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9.xml" ContentType="application/vnd.openxmlformats-officedocument.wordprocessingml.footer+xml"/>
  <Override PartName="/word/footer10.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B9E8DA9" w14:textId="7CDCB70C" w:rsidR="00C36C83" w:rsidRPr="0068236B" w:rsidRDefault="00C36C83" w:rsidP="00B24184">
      <w:pPr>
        <w:pStyle w:val="TitlePage"/>
        <w:spacing w:line="240" w:lineRule="auto"/>
        <w:rPr>
          <w:b/>
          <w:bCs w:val="0"/>
          <w:sz w:val="36"/>
          <w:szCs w:val="36"/>
          <w:lang w:val="en-GB"/>
        </w:rPr>
      </w:pPr>
      <w:r w:rsidRPr="0068236B">
        <w:rPr>
          <w:b/>
          <w:bCs w:val="0"/>
          <w:sz w:val="36"/>
          <w:szCs w:val="36"/>
          <w:lang w:val="en-GB"/>
        </w:rPr>
        <w:t xml:space="preserve">Western Balkans Investment </w:t>
      </w:r>
      <w:r w:rsidR="002C33EA" w:rsidRPr="0068236B">
        <w:rPr>
          <w:b/>
          <w:bCs w:val="0"/>
          <w:sz w:val="36"/>
          <w:szCs w:val="36"/>
          <w:lang w:val="en-GB"/>
        </w:rPr>
        <w:t>Framework</w:t>
      </w:r>
      <w:r w:rsidRPr="0068236B">
        <w:rPr>
          <w:b/>
          <w:bCs w:val="0"/>
          <w:sz w:val="36"/>
          <w:szCs w:val="36"/>
          <w:lang w:val="en-GB"/>
        </w:rPr>
        <w:t xml:space="preserve"> Infrastructure Project</w:t>
      </w:r>
      <w:r w:rsidR="00654137" w:rsidRPr="0068236B">
        <w:rPr>
          <w:b/>
          <w:bCs w:val="0"/>
          <w:sz w:val="36"/>
          <w:szCs w:val="36"/>
          <w:lang w:val="en-GB"/>
        </w:rPr>
        <w:t xml:space="preserve"> Facility Technical Assistance 7 (IPF 7</w:t>
      </w:r>
      <w:r w:rsidRPr="0068236B">
        <w:rPr>
          <w:b/>
          <w:bCs w:val="0"/>
          <w:sz w:val="36"/>
          <w:szCs w:val="36"/>
          <w:lang w:val="en-GB"/>
        </w:rPr>
        <w:t>)</w:t>
      </w:r>
    </w:p>
    <w:p w14:paraId="5CAD444A" w14:textId="77777777" w:rsidR="00C36C83" w:rsidRPr="0068236B" w:rsidRDefault="00C36C83" w:rsidP="002C1984">
      <w:pPr>
        <w:rPr>
          <w:sz w:val="20"/>
        </w:rPr>
      </w:pPr>
    </w:p>
    <w:p w14:paraId="7E21B80D" w14:textId="77777777" w:rsidR="00C36C83" w:rsidRPr="0068236B" w:rsidRDefault="00654137" w:rsidP="00B24184">
      <w:pPr>
        <w:pStyle w:val="TitlePage"/>
        <w:spacing w:line="240" w:lineRule="auto"/>
        <w:rPr>
          <w:lang w:val="en-GB"/>
        </w:rPr>
      </w:pPr>
      <w:r w:rsidRPr="0068236B">
        <w:rPr>
          <w:lang w:val="en-GB"/>
        </w:rPr>
        <w:t>TA201705</w:t>
      </w:r>
      <w:r w:rsidR="00C36C83" w:rsidRPr="0068236B">
        <w:rPr>
          <w:lang w:val="en-GB"/>
        </w:rPr>
        <w:t>0 R0 IPA</w:t>
      </w:r>
    </w:p>
    <w:p w14:paraId="58E9CF9A" w14:textId="77777777" w:rsidR="00235E14" w:rsidRPr="0068236B" w:rsidRDefault="00871469" w:rsidP="00B24184">
      <w:pPr>
        <w:pStyle w:val="TitlePage"/>
        <w:spacing w:line="240" w:lineRule="auto"/>
        <w:rPr>
          <w:b/>
          <w:color w:val="FFFF00"/>
          <w:sz w:val="40"/>
          <w:szCs w:val="40"/>
          <w:lang w:val="en-GB"/>
        </w:rPr>
      </w:pPr>
      <w:r w:rsidRPr="0068236B">
        <w:rPr>
          <w:b/>
          <w:color w:val="FFFF00"/>
          <w:sz w:val="40"/>
          <w:szCs w:val="40"/>
          <w:lang w:val="en-GB"/>
        </w:rPr>
        <w:t>WB21-MKD-ENE-03</w:t>
      </w:r>
    </w:p>
    <w:p w14:paraId="1CCE25CF" w14:textId="77777777" w:rsidR="00871469" w:rsidRPr="0068236B" w:rsidRDefault="00871469" w:rsidP="00B24184">
      <w:pPr>
        <w:pStyle w:val="TitlePage"/>
        <w:spacing w:line="240" w:lineRule="auto"/>
        <w:rPr>
          <w:b/>
          <w:color w:val="FFFF00"/>
          <w:sz w:val="40"/>
          <w:szCs w:val="40"/>
          <w:lang w:val="en-GB"/>
        </w:rPr>
      </w:pPr>
      <w:r w:rsidRPr="0068236B">
        <w:rPr>
          <w:b/>
          <w:color w:val="FFFF00"/>
          <w:sz w:val="40"/>
          <w:szCs w:val="40"/>
          <w:lang w:val="en-GB"/>
        </w:rPr>
        <w:t>North Macedonia, Strengthening the Transmission Network in the Sout</w:t>
      </w:r>
      <w:r w:rsidRPr="0068236B">
        <w:rPr>
          <w:b/>
          <w:color w:val="FFFF00"/>
          <w:sz w:val="40"/>
          <w:szCs w:val="40"/>
          <w:lang w:val="en-GB"/>
        </w:rPr>
        <w:t>h</w:t>
      </w:r>
      <w:r w:rsidRPr="0068236B">
        <w:rPr>
          <w:b/>
          <w:color w:val="FFFF00"/>
          <w:sz w:val="40"/>
          <w:szCs w:val="40"/>
          <w:lang w:val="en-GB"/>
        </w:rPr>
        <w:t>east Region of North Macedonia - Component 1</w:t>
      </w:r>
    </w:p>
    <w:p w14:paraId="37E9E8AE" w14:textId="60F6E864" w:rsidR="00C54203" w:rsidRPr="0068236B" w:rsidRDefault="00C54203" w:rsidP="00B24184">
      <w:pPr>
        <w:pStyle w:val="TitlePage"/>
        <w:spacing w:line="240" w:lineRule="auto"/>
        <w:rPr>
          <w:b/>
          <w:color w:val="FFFF00"/>
          <w:sz w:val="40"/>
          <w:szCs w:val="40"/>
          <w:lang w:val="en-GB"/>
        </w:rPr>
      </w:pPr>
      <w:r w:rsidRPr="0068236B">
        <w:rPr>
          <w:b/>
          <w:color w:val="FFFF00"/>
          <w:sz w:val="40"/>
          <w:szCs w:val="40"/>
          <w:lang w:val="en-GB"/>
        </w:rPr>
        <w:t xml:space="preserve">Sub-project 1 - </w:t>
      </w:r>
      <w:r w:rsidR="00EF778D" w:rsidRPr="0068236B">
        <w:rPr>
          <w:b/>
          <w:color w:val="FFFF00"/>
          <w:sz w:val="40"/>
          <w:szCs w:val="40"/>
          <w:lang w:val="en-GB"/>
        </w:rPr>
        <w:t>New 400/110 kV S</w:t>
      </w:r>
      <w:r w:rsidRPr="0068236B">
        <w:rPr>
          <w:b/>
          <w:color w:val="FFFF00"/>
          <w:sz w:val="40"/>
          <w:szCs w:val="40"/>
          <w:lang w:val="en-GB"/>
        </w:rPr>
        <w:t>u</w:t>
      </w:r>
      <w:r w:rsidRPr="0068236B">
        <w:rPr>
          <w:b/>
          <w:color w:val="FFFF00"/>
          <w:sz w:val="40"/>
          <w:szCs w:val="40"/>
          <w:lang w:val="en-GB"/>
        </w:rPr>
        <w:t>b</w:t>
      </w:r>
      <w:r w:rsidRPr="0068236B">
        <w:rPr>
          <w:b/>
          <w:color w:val="FFFF00"/>
          <w:sz w:val="40"/>
          <w:szCs w:val="40"/>
          <w:lang w:val="en-GB"/>
        </w:rPr>
        <w:t xml:space="preserve">station </w:t>
      </w:r>
      <w:r w:rsidR="00EC1A7E" w:rsidRPr="0068236B">
        <w:rPr>
          <w:b/>
          <w:color w:val="FFFF00"/>
          <w:sz w:val="40"/>
          <w:szCs w:val="40"/>
          <w:lang w:val="en-GB"/>
        </w:rPr>
        <w:t>Miletkovo</w:t>
      </w:r>
      <w:r w:rsidRPr="0068236B">
        <w:rPr>
          <w:b/>
          <w:color w:val="FFFF00"/>
          <w:sz w:val="40"/>
          <w:szCs w:val="40"/>
          <w:lang w:val="en-GB"/>
        </w:rPr>
        <w:t xml:space="preserve"> </w:t>
      </w:r>
      <w:r w:rsidRPr="0068236B">
        <w:rPr>
          <w:rFonts w:cs="Tahoma"/>
          <w:b/>
          <w:color w:val="FFFF00"/>
          <w:sz w:val="40"/>
          <w:szCs w:val="40"/>
          <w:lang w:val="en-GB"/>
        </w:rPr>
        <w:t xml:space="preserve">with </w:t>
      </w:r>
      <w:r w:rsidR="00EF778D" w:rsidRPr="0068236B">
        <w:rPr>
          <w:rFonts w:cs="Tahoma"/>
          <w:b/>
          <w:color w:val="FFFF00"/>
          <w:sz w:val="40"/>
          <w:szCs w:val="40"/>
          <w:lang w:val="en-GB"/>
        </w:rPr>
        <w:t>C</w:t>
      </w:r>
      <w:r w:rsidRPr="0068236B">
        <w:rPr>
          <w:rFonts w:cs="Tahoma"/>
          <w:b/>
          <w:color w:val="FFFF00"/>
          <w:sz w:val="40"/>
          <w:szCs w:val="40"/>
          <w:lang w:val="en-GB"/>
        </w:rPr>
        <w:t xml:space="preserve">onnection to the existing 400 kV and 110 kV </w:t>
      </w:r>
      <w:r w:rsidR="00EF778D" w:rsidRPr="0068236B">
        <w:rPr>
          <w:rFonts w:cs="Tahoma"/>
          <w:b/>
          <w:color w:val="FFFF00"/>
          <w:sz w:val="40"/>
          <w:szCs w:val="40"/>
          <w:lang w:val="en-GB"/>
        </w:rPr>
        <w:t>Tran</w:t>
      </w:r>
      <w:r w:rsidR="00EF778D" w:rsidRPr="0068236B">
        <w:rPr>
          <w:rFonts w:cs="Tahoma"/>
          <w:b/>
          <w:color w:val="FFFF00"/>
          <w:sz w:val="40"/>
          <w:szCs w:val="40"/>
          <w:lang w:val="en-GB"/>
        </w:rPr>
        <w:t>s</w:t>
      </w:r>
      <w:r w:rsidR="00EF778D" w:rsidRPr="0068236B">
        <w:rPr>
          <w:rFonts w:cs="Tahoma"/>
          <w:b/>
          <w:color w:val="FFFF00"/>
          <w:sz w:val="40"/>
          <w:szCs w:val="40"/>
          <w:lang w:val="en-GB"/>
        </w:rPr>
        <w:t>mission N</w:t>
      </w:r>
      <w:r w:rsidRPr="0068236B">
        <w:rPr>
          <w:rFonts w:cs="Tahoma"/>
          <w:b/>
          <w:color w:val="FFFF00"/>
          <w:sz w:val="40"/>
          <w:szCs w:val="40"/>
          <w:lang w:val="en-GB"/>
        </w:rPr>
        <w:t>etwork</w:t>
      </w:r>
    </w:p>
    <w:p w14:paraId="490D75B7" w14:textId="77777777" w:rsidR="00EF778D" w:rsidRPr="0068236B" w:rsidRDefault="005000C7" w:rsidP="00EF778D">
      <w:pPr>
        <w:pStyle w:val="TitlePage"/>
        <w:spacing w:after="0" w:line="240" w:lineRule="auto"/>
        <w:rPr>
          <w:b/>
          <w:color w:val="FFFF00"/>
          <w:sz w:val="46"/>
          <w:szCs w:val="46"/>
          <w:lang w:val="en-GB"/>
        </w:rPr>
      </w:pPr>
      <w:r w:rsidRPr="0068236B">
        <w:rPr>
          <w:b/>
          <w:color w:val="FFFF00"/>
          <w:sz w:val="46"/>
          <w:szCs w:val="46"/>
          <w:lang w:val="en-GB"/>
        </w:rPr>
        <w:t>E</w:t>
      </w:r>
      <w:r w:rsidR="00EF778D" w:rsidRPr="0068236B">
        <w:rPr>
          <w:b/>
          <w:color w:val="FFFF00"/>
          <w:sz w:val="46"/>
          <w:szCs w:val="46"/>
          <w:lang w:val="en-GB"/>
        </w:rPr>
        <w:t>nvironmental and Social</w:t>
      </w:r>
    </w:p>
    <w:p w14:paraId="6145665D" w14:textId="2469D602" w:rsidR="00AF70AB" w:rsidRPr="0068236B" w:rsidRDefault="005000C7" w:rsidP="00EF778D">
      <w:pPr>
        <w:pStyle w:val="TitlePage"/>
        <w:spacing w:before="0" w:line="240" w:lineRule="auto"/>
        <w:rPr>
          <w:b/>
          <w:color w:val="FFFF00"/>
          <w:sz w:val="46"/>
          <w:szCs w:val="46"/>
          <w:lang w:val="en-GB"/>
        </w:rPr>
      </w:pPr>
      <w:r w:rsidRPr="0068236B">
        <w:rPr>
          <w:b/>
          <w:color w:val="FFFF00"/>
          <w:sz w:val="46"/>
          <w:szCs w:val="46"/>
          <w:lang w:val="en-GB"/>
        </w:rPr>
        <w:t>A</w:t>
      </w:r>
      <w:r w:rsidR="00C54203" w:rsidRPr="0068236B">
        <w:rPr>
          <w:b/>
          <w:color w:val="FFFF00"/>
          <w:sz w:val="46"/>
          <w:szCs w:val="46"/>
          <w:lang w:val="en-GB"/>
        </w:rPr>
        <w:t xml:space="preserve">ssessment </w:t>
      </w:r>
      <w:r w:rsidRPr="0068236B">
        <w:rPr>
          <w:b/>
          <w:color w:val="FFFF00"/>
          <w:sz w:val="46"/>
          <w:szCs w:val="46"/>
          <w:lang w:val="en-GB"/>
        </w:rPr>
        <w:t>Report</w:t>
      </w:r>
    </w:p>
    <w:p w14:paraId="3E74E51D" w14:textId="77777777" w:rsidR="00C36C83" w:rsidRPr="0068236B" w:rsidRDefault="00C36C83" w:rsidP="002C1984">
      <w:pPr>
        <w:rPr>
          <w:sz w:val="20"/>
        </w:rPr>
      </w:pPr>
    </w:p>
    <w:p w14:paraId="2CA56DD2" w14:textId="7657748E" w:rsidR="00C36C83" w:rsidRPr="0068236B" w:rsidRDefault="00ED6A5A" w:rsidP="00B24184">
      <w:pPr>
        <w:pStyle w:val="TitlePage"/>
        <w:spacing w:line="240" w:lineRule="auto"/>
        <w:rPr>
          <w:lang w:val="en-GB"/>
        </w:rPr>
      </w:pPr>
      <w:r w:rsidRPr="0068236B">
        <w:rPr>
          <w:lang w:val="en-GB"/>
        </w:rPr>
        <w:t>September</w:t>
      </w:r>
      <w:r w:rsidR="000171F1" w:rsidRPr="0068236B">
        <w:rPr>
          <w:lang w:val="en-GB"/>
        </w:rPr>
        <w:t xml:space="preserve"> </w:t>
      </w:r>
      <w:r w:rsidR="0066238E" w:rsidRPr="0068236B">
        <w:rPr>
          <w:lang w:val="en-GB"/>
        </w:rPr>
        <w:t>202</w:t>
      </w:r>
      <w:r w:rsidR="006F6DB3" w:rsidRPr="0068236B">
        <w:rPr>
          <w:lang w:val="en-GB"/>
        </w:rPr>
        <w:t>2</w:t>
      </w:r>
    </w:p>
    <w:p w14:paraId="6172D639" w14:textId="77777777" w:rsidR="00C36C83" w:rsidRPr="0068236B" w:rsidRDefault="00C36C83" w:rsidP="008A5042">
      <w:pPr>
        <w:jc w:val="left"/>
        <w:rPr>
          <w:b/>
          <w:sz w:val="20"/>
        </w:rPr>
      </w:pPr>
    </w:p>
    <w:p w14:paraId="0D9126BF" w14:textId="77777777" w:rsidR="001D4F0C" w:rsidRPr="0068236B" w:rsidRDefault="001D4F0C" w:rsidP="005F6362">
      <w:pPr>
        <w:tabs>
          <w:tab w:val="left" w:pos="7230"/>
        </w:tabs>
        <w:jc w:val="left"/>
        <w:rPr>
          <w:b/>
          <w:sz w:val="20"/>
        </w:rPr>
        <w:sectPr w:rsidR="001D4F0C" w:rsidRPr="0068236B" w:rsidSect="00C36C83">
          <w:headerReference w:type="even" r:id="rId13"/>
          <w:headerReference w:type="default" r:id="rId14"/>
          <w:footerReference w:type="default" r:id="rId15"/>
          <w:headerReference w:type="first" r:id="rId16"/>
          <w:footerReference w:type="first" r:id="rId17"/>
          <w:pgSz w:w="11906" w:h="16838" w:code="9"/>
          <w:pgMar w:top="1310" w:right="1138" w:bottom="1138" w:left="1138" w:header="403" w:footer="403" w:gutter="0"/>
          <w:pgNumType w:start="1"/>
          <w:cols w:space="708"/>
          <w:titlePg/>
          <w:docGrid w:linePitch="360"/>
        </w:sectPr>
      </w:pPr>
    </w:p>
    <w:p w14:paraId="14881F4B" w14:textId="77777777" w:rsidR="00EB30A8" w:rsidRPr="0068236B" w:rsidRDefault="00EB30A8" w:rsidP="00EB30A8">
      <w:pPr>
        <w:rPr>
          <w:sz w:val="20"/>
        </w:rPr>
      </w:pPr>
    </w:p>
    <w:p w14:paraId="452532AC" w14:textId="77777777" w:rsidR="00EB30A8" w:rsidRPr="0068236B" w:rsidRDefault="00EB30A8" w:rsidP="00EB30A8">
      <w:pPr>
        <w:rPr>
          <w:sz w:val="20"/>
        </w:rPr>
      </w:pPr>
    </w:p>
    <w:p w14:paraId="3F15D3B1" w14:textId="77777777" w:rsidR="001D4F0C" w:rsidRPr="0068236B" w:rsidRDefault="001D4F0C" w:rsidP="00EB30A8">
      <w:pPr>
        <w:rPr>
          <w:sz w:val="20"/>
        </w:rPr>
      </w:pPr>
    </w:p>
    <w:p w14:paraId="4366F3A9" w14:textId="77777777" w:rsidR="001D4F0C" w:rsidRPr="0068236B" w:rsidRDefault="001D4F0C" w:rsidP="006F6DB3">
      <w:pPr>
        <w:jc w:val="center"/>
        <w:rPr>
          <w:sz w:val="20"/>
        </w:rPr>
      </w:pPr>
    </w:p>
    <w:p w14:paraId="5F9E6360" w14:textId="77777777" w:rsidR="001D4F0C" w:rsidRPr="0068236B" w:rsidRDefault="001D4F0C" w:rsidP="00EB30A8">
      <w:pPr>
        <w:rPr>
          <w:sz w:val="20"/>
        </w:rPr>
      </w:pPr>
    </w:p>
    <w:p w14:paraId="5A573091" w14:textId="77777777" w:rsidR="001D4F0C" w:rsidRPr="0068236B" w:rsidRDefault="001D4F0C" w:rsidP="00EB30A8">
      <w:pPr>
        <w:rPr>
          <w:sz w:val="20"/>
        </w:rPr>
      </w:pPr>
    </w:p>
    <w:p w14:paraId="5DEF0A95" w14:textId="77777777" w:rsidR="001D4F0C" w:rsidRPr="0068236B" w:rsidRDefault="001D4F0C" w:rsidP="002C33EA">
      <w:pPr>
        <w:tabs>
          <w:tab w:val="left" w:pos="1785"/>
        </w:tabs>
        <w:rPr>
          <w:sz w:val="20"/>
        </w:rPr>
      </w:pPr>
    </w:p>
    <w:p w14:paraId="3675E327" w14:textId="77777777" w:rsidR="001D4F0C" w:rsidRPr="0068236B" w:rsidRDefault="001D4F0C" w:rsidP="00EB30A8">
      <w:pPr>
        <w:rPr>
          <w:sz w:val="20"/>
        </w:rPr>
      </w:pPr>
    </w:p>
    <w:p w14:paraId="63980DA8" w14:textId="77777777" w:rsidR="001D4F0C" w:rsidRPr="0068236B" w:rsidRDefault="001D4F0C" w:rsidP="00EB30A8">
      <w:pPr>
        <w:rPr>
          <w:sz w:val="20"/>
        </w:rPr>
      </w:pPr>
    </w:p>
    <w:p w14:paraId="5B50D29A" w14:textId="77777777" w:rsidR="001D4F0C" w:rsidRPr="0068236B" w:rsidRDefault="001D4F0C" w:rsidP="00EB30A8">
      <w:pPr>
        <w:rPr>
          <w:sz w:val="20"/>
        </w:rPr>
      </w:pPr>
    </w:p>
    <w:p w14:paraId="46AC3F5A" w14:textId="77777777" w:rsidR="001D4F0C" w:rsidRPr="0068236B" w:rsidRDefault="001D4F0C" w:rsidP="00EB30A8">
      <w:pPr>
        <w:rPr>
          <w:sz w:val="20"/>
        </w:rPr>
      </w:pPr>
    </w:p>
    <w:p w14:paraId="59073EA1" w14:textId="77777777" w:rsidR="00723A91" w:rsidRPr="0068236B" w:rsidRDefault="00723A91" w:rsidP="00723A91">
      <w:pPr>
        <w:rPr>
          <w:i/>
          <w:sz w:val="20"/>
        </w:rPr>
      </w:pPr>
    </w:p>
    <w:p w14:paraId="05FA85A7" w14:textId="77777777" w:rsidR="00723A91" w:rsidRPr="0068236B" w:rsidRDefault="00723A91" w:rsidP="00723A91">
      <w:pPr>
        <w:pBdr>
          <w:top w:val="single" w:sz="24" w:space="8" w:color="5B9BD5"/>
          <w:bottom w:val="single" w:sz="24" w:space="8" w:color="5B9BD5"/>
        </w:pBdr>
        <w:rPr>
          <w:color w:val="8496B0"/>
          <w:sz w:val="20"/>
        </w:rPr>
      </w:pPr>
      <w:r w:rsidRPr="0068236B">
        <w:rPr>
          <w:color w:val="8496B0"/>
          <w:sz w:val="20"/>
        </w:rPr>
        <w:t>The Western Balkans Investment Framework (WBIF) is a financing facility launched in December 2009 by the European Commission, together with the Council of Europe Development Bank (CEB), the European Bank for Reconstruction and Development (EBRD), the European Investment Bank (EIB), Bilateral Donors, and Western Balkans countries with the purpose to deliver funding for strategic investment projects in ben</w:t>
      </w:r>
      <w:r w:rsidRPr="0068236B">
        <w:rPr>
          <w:color w:val="8496B0"/>
          <w:sz w:val="20"/>
        </w:rPr>
        <w:t>e</w:t>
      </w:r>
      <w:r w:rsidRPr="0068236B">
        <w:rPr>
          <w:color w:val="8496B0"/>
          <w:sz w:val="20"/>
        </w:rPr>
        <w:t>ficiary countries. Eligible sectors include infrastructure development in the environment, energy, transport, social and digital sectors as well as private sector development. KfW and the World Bank subsequently joined the Framework. In July 2017, the KfW became a partner organisation.</w:t>
      </w:r>
    </w:p>
    <w:p w14:paraId="76E5FF01" w14:textId="77777777" w:rsidR="00723A91" w:rsidRPr="0068236B" w:rsidRDefault="00723A91" w:rsidP="00723A91">
      <w:pPr>
        <w:rPr>
          <w:i/>
          <w:sz w:val="20"/>
        </w:rPr>
      </w:pPr>
    </w:p>
    <w:p w14:paraId="7074B110" w14:textId="77777777" w:rsidR="00723A91" w:rsidRPr="0068236B" w:rsidRDefault="00723A91" w:rsidP="00723A91">
      <w:pPr>
        <w:rPr>
          <w:rFonts w:cs="Tahoma"/>
          <w:sz w:val="20"/>
        </w:rPr>
      </w:pPr>
    </w:p>
    <w:p w14:paraId="47B99BA3" w14:textId="77777777" w:rsidR="00723A91" w:rsidRPr="0068236B" w:rsidRDefault="00723A91" w:rsidP="00723A91">
      <w:pPr>
        <w:rPr>
          <w:rFonts w:cs="Tahoma"/>
          <w:sz w:val="20"/>
        </w:rPr>
      </w:pPr>
    </w:p>
    <w:p w14:paraId="36949A8D" w14:textId="77777777" w:rsidR="00723A91" w:rsidRPr="0068236B" w:rsidRDefault="00723A91" w:rsidP="00723A91">
      <w:pPr>
        <w:rPr>
          <w:rFonts w:cs="Tahoma"/>
          <w:sz w:val="20"/>
        </w:rPr>
      </w:pPr>
    </w:p>
    <w:p w14:paraId="7DF9E0FF" w14:textId="77777777" w:rsidR="00723A91" w:rsidRPr="0068236B" w:rsidRDefault="00723A91" w:rsidP="00723A91">
      <w:pPr>
        <w:rPr>
          <w:rFonts w:cs="Tahoma"/>
          <w:b/>
          <w:sz w:val="20"/>
        </w:rPr>
      </w:pPr>
      <w:r w:rsidRPr="0068236B">
        <w:rPr>
          <w:rFonts w:cs="Tahoma"/>
          <w:b/>
          <w:sz w:val="20"/>
        </w:rPr>
        <w:t>Disclaimer</w:t>
      </w:r>
    </w:p>
    <w:p w14:paraId="7639854E" w14:textId="77777777" w:rsidR="00723A91" w:rsidRPr="0068236B" w:rsidRDefault="00723A91" w:rsidP="00723A91">
      <w:pPr>
        <w:rPr>
          <w:rFonts w:cs="Tahoma"/>
          <w:i/>
          <w:sz w:val="20"/>
        </w:rPr>
      </w:pPr>
      <w:r w:rsidRPr="0068236B">
        <w:rPr>
          <w:rFonts w:cs="Tahoma"/>
          <w:i/>
          <w:sz w:val="20"/>
        </w:rPr>
        <w:t>This publication has been produced with the assistance of the European Union. The contents of this public</w:t>
      </w:r>
      <w:r w:rsidRPr="0068236B">
        <w:rPr>
          <w:rFonts w:cs="Tahoma"/>
          <w:i/>
          <w:sz w:val="20"/>
        </w:rPr>
        <w:t>a</w:t>
      </w:r>
      <w:r w:rsidRPr="0068236B">
        <w:rPr>
          <w:rFonts w:cs="Tahoma"/>
          <w:i/>
          <w:sz w:val="20"/>
        </w:rPr>
        <w:t>tion are the sole responsibility of Hill International led IPF7 Consortium and can in no way be taken to reflect the views of the European Union or the European Investment Bank.</w:t>
      </w:r>
    </w:p>
    <w:p w14:paraId="17BBE61E" w14:textId="40813BF7" w:rsidR="00982A9B" w:rsidRPr="0068236B" w:rsidRDefault="00982A9B" w:rsidP="00022981">
      <w:pPr>
        <w:rPr>
          <w:sz w:val="20"/>
        </w:rPr>
      </w:pPr>
    </w:p>
    <w:p w14:paraId="3C5ED104" w14:textId="77777777" w:rsidR="00982A9B" w:rsidRPr="0068236B" w:rsidRDefault="00982A9B" w:rsidP="00982A9B">
      <w:pPr>
        <w:rPr>
          <w:sz w:val="20"/>
        </w:rPr>
      </w:pPr>
    </w:p>
    <w:p w14:paraId="38E64EF8" w14:textId="1C855B93" w:rsidR="00982A9B" w:rsidRPr="0068236B" w:rsidRDefault="00982A9B" w:rsidP="00982A9B">
      <w:pPr>
        <w:rPr>
          <w:sz w:val="20"/>
        </w:rPr>
      </w:pPr>
    </w:p>
    <w:p w14:paraId="4316D711" w14:textId="5E4577A6" w:rsidR="00982A9B" w:rsidRPr="0068236B" w:rsidRDefault="00982A9B" w:rsidP="00982A9B">
      <w:pPr>
        <w:jc w:val="center"/>
        <w:rPr>
          <w:sz w:val="20"/>
        </w:rPr>
      </w:pPr>
    </w:p>
    <w:p w14:paraId="2A0BF84B" w14:textId="284118AF" w:rsidR="00982A9B" w:rsidRPr="0068236B" w:rsidRDefault="00982A9B" w:rsidP="00982A9B">
      <w:pPr>
        <w:rPr>
          <w:sz w:val="20"/>
        </w:rPr>
      </w:pPr>
    </w:p>
    <w:p w14:paraId="645CB755" w14:textId="77777777" w:rsidR="00022981" w:rsidRPr="0068236B" w:rsidRDefault="00022981" w:rsidP="00982A9B">
      <w:pPr>
        <w:rPr>
          <w:sz w:val="20"/>
        </w:rPr>
        <w:sectPr w:rsidR="00022981" w:rsidRPr="0068236B" w:rsidSect="00C36C83">
          <w:headerReference w:type="even" r:id="rId18"/>
          <w:headerReference w:type="default" r:id="rId19"/>
          <w:footerReference w:type="even" r:id="rId20"/>
          <w:footerReference w:type="default" r:id="rId21"/>
          <w:headerReference w:type="first" r:id="rId22"/>
          <w:footerReference w:type="first" r:id="rId23"/>
          <w:pgSz w:w="11906" w:h="16838" w:code="9"/>
          <w:pgMar w:top="1310" w:right="1138" w:bottom="1138" w:left="1138" w:header="403" w:footer="403" w:gutter="0"/>
          <w:pgNumType w:start="1"/>
          <w:cols w:space="708"/>
          <w:titlePg/>
          <w:docGrid w:linePitch="360"/>
        </w:sectPr>
      </w:pPr>
    </w:p>
    <w:p w14:paraId="1E77CC37" w14:textId="77777777" w:rsidR="00022981" w:rsidRPr="0068236B" w:rsidRDefault="00022981" w:rsidP="008119E6">
      <w:pPr>
        <w:rPr>
          <w:rFonts w:cs="Tahoma"/>
          <w:b/>
          <w:sz w:val="20"/>
        </w:rPr>
      </w:pPr>
    </w:p>
    <w:p w14:paraId="74E2201C" w14:textId="77777777" w:rsidR="00022981" w:rsidRPr="0068236B" w:rsidRDefault="00022981" w:rsidP="008119E6">
      <w:pPr>
        <w:rPr>
          <w:rFonts w:cs="Tahoma"/>
          <w:b/>
          <w:sz w:val="20"/>
        </w:rPr>
      </w:pPr>
    </w:p>
    <w:p w14:paraId="21F6D2FA" w14:textId="77777777" w:rsidR="00022981" w:rsidRPr="0068236B" w:rsidRDefault="00022981" w:rsidP="008119E6">
      <w:pPr>
        <w:rPr>
          <w:rFonts w:cs="Tahoma"/>
          <w:b/>
          <w:sz w:val="20"/>
        </w:rPr>
      </w:pPr>
    </w:p>
    <w:p w14:paraId="15087D97" w14:textId="77777777" w:rsidR="008119E6" w:rsidRPr="0068236B" w:rsidRDefault="008119E6" w:rsidP="008119E6">
      <w:pPr>
        <w:rPr>
          <w:rFonts w:cs="Tahoma"/>
          <w:b/>
          <w:sz w:val="20"/>
        </w:rPr>
      </w:pPr>
      <w:r w:rsidRPr="0068236B">
        <w:rPr>
          <w:rFonts w:cs="Tahoma"/>
          <w:b/>
          <w:sz w:val="20"/>
        </w:rPr>
        <w:t xml:space="preserve">Report Issue Record </w:t>
      </w:r>
    </w:p>
    <w:p w14:paraId="01C6C940" w14:textId="77777777" w:rsidR="008119E6" w:rsidRPr="0068236B" w:rsidRDefault="008119E6" w:rsidP="008119E6">
      <w:pPr>
        <w:rPr>
          <w:rFonts w:cs="Tahoma"/>
          <w:sz w:val="20"/>
        </w:rPr>
      </w:pPr>
    </w:p>
    <w:p w14:paraId="422342FD" w14:textId="77777777" w:rsidR="008119E6" w:rsidRPr="0068236B" w:rsidRDefault="00BB69D2" w:rsidP="00842C48">
      <w:pPr>
        <w:ind w:left="2160" w:hanging="2160"/>
        <w:jc w:val="left"/>
        <w:rPr>
          <w:rFonts w:cs="Tahoma"/>
          <w:sz w:val="20"/>
        </w:rPr>
      </w:pPr>
      <w:r w:rsidRPr="0068236B">
        <w:rPr>
          <w:rFonts w:cs="Tahoma"/>
          <w:sz w:val="20"/>
        </w:rPr>
        <w:t>Subproject</w:t>
      </w:r>
      <w:r w:rsidR="008119E6" w:rsidRPr="0068236B">
        <w:rPr>
          <w:rFonts w:cs="Tahoma"/>
          <w:sz w:val="20"/>
        </w:rPr>
        <w:t xml:space="preserve"> Title:</w:t>
      </w:r>
      <w:r w:rsidR="008119E6" w:rsidRPr="0068236B">
        <w:rPr>
          <w:rFonts w:cs="Tahoma"/>
          <w:sz w:val="20"/>
        </w:rPr>
        <w:tab/>
      </w:r>
      <w:r w:rsidR="00871469" w:rsidRPr="0068236B">
        <w:rPr>
          <w:rFonts w:cs="Tahoma"/>
          <w:sz w:val="20"/>
          <w:szCs w:val="23"/>
          <w:lang w:eastAsia="en-US"/>
        </w:rPr>
        <w:t>North Macedonia, Strengthening the Transmission Network in the Southeast Region of North Macedonia - Component 1</w:t>
      </w:r>
    </w:p>
    <w:p w14:paraId="5DCDBA3A" w14:textId="77777777" w:rsidR="008119E6" w:rsidRPr="0068236B" w:rsidRDefault="008119E6" w:rsidP="008119E6">
      <w:pPr>
        <w:rPr>
          <w:rFonts w:cs="Tahoma"/>
          <w:sz w:val="20"/>
        </w:rPr>
      </w:pPr>
      <w:r w:rsidRPr="0068236B">
        <w:rPr>
          <w:rFonts w:cs="Tahoma"/>
          <w:sz w:val="20"/>
        </w:rPr>
        <w:t>Protocol Number:</w:t>
      </w:r>
      <w:r w:rsidRPr="0068236B">
        <w:rPr>
          <w:rFonts w:cs="Tahoma"/>
          <w:sz w:val="20"/>
        </w:rPr>
        <w:tab/>
      </w:r>
      <w:r w:rsidRPr="0068236B">
        <w:rPr>
          <w:rFonts w:cs="Tahoma"/>
          <w:sz w:val="20"/>
          <w:szCs w:val="23"/>
          <w:lang w:eastAsia="en-US"/>
        </w:rPr>
        <w:t>WB</w:t>
      </w:r>
      <w:r w:rsidR="007E19FD" w:rsidRPr="0068236B">
        <w:rPr>
          <w:rFonts w:cs="Tahoma"/>
          <w:sz w:val="20"/>
          <w:szCs w:val="23"/>
          <w:lang w:eastAsia="en-US"/>
        </w:rPr>
        <w:t>21</w:t>
      </w:r>
      <w:r w:rsidRPr="0068236B">
        <w:rPr>
          <w:rFonts w:cs="Tahoma"/>
          <w:sz w:val="20"/>
          <w:szCs w:val="23"/>
          <w:lang w:eastAsia="en-US"/>
        </w:rPr>
        <w:t>-</w:t>
      </w:r>
      <w:r w:rsidR="00692EE7" w:rsidRPr="0068236B">
        <w:rPr>
          <w:rFonts w:cs="Tahoma"/>
          <w:sz w:val="20"/>
          <w:szCs w:val="23"/>
          <w:lang w:eastAsia="en-US"/>
        </w:rPr>
        <w:t>MKD-ENE-03</w:t>
      </w:r>
    </w:p>
    <w:p w14:paraId="57DAA6F9" w14:textId="43743802" w:rsidR="00703DAD" w:rsidRPr="0068236B" w:rsidRDefault="008119E6" w:rsidP="00842C48">
      <w:pPr>
        <w:ind w:left="2160" w:hanging="2160"/>
        <w:jc w:val="left"/>
        <w:rPr>
          <w:rFonts w:cs="Tahoma"/>
          <w:bCs/>
          <w:sz w:val="20"/>
        </w:rPr>
      </w:pPr>
      <w:r w:rsidRPr="0068236B">
        <w:rPr>
          <w:rFonts w:cs="Tahoma"/>
          <w:sz w:val="20"/>
        </w:rPr>
        <w:t>Report Title:</w:t>
      </w:r>
      <w:r w:rsidRPr="0068236B">
        <w:rPr>
          <w:rFonts w:cs="Tahoma"/>
          <w:sz w:val="20"/>
        </w:rPr>
        <w:tab/>
      </w:r>
      <w:r w:rsidR="00703DAD" w:rsidRPr="0068236B">
        <w:rPr>
          <w:sz w:val="20"/>
        </w:rPr>
        <w:t xml:space="preserve">Sub-project 1 - New 400/110 kV Substation </w:t>
      </w:r>
      <w:r w:rsidR="00CF67B7" w:rsidRPr="0068236B">
        <w:rPr>
          <w:sz w:val="20"/>
        </w:rPr>
        <w:t>Miletkovo</w:t>
      </w:r>
      <w:r w:rsidR="00703DAD" w:rsidRPr="0068236B">
        <w:rPr>
          <w:sz w:val="20"/>
        </w:rPr>
        <w:t xml:space="preserve"> </w:t>
      </w:r>
      <w:r w:rsidR="00703DAD" w:rsidRPr="0068236B">
        <w:rPr>
          <w:rFonts w:cs="Tahoma"/>
          <w:sz w:val="20"/>
        </w:rPr>
        <w:t>with Connection to the exis</w:t>
      </w:r>
      <w:r w:rsidR="00703DAD" w:rsidRPr="0068236B">
        <w:rPr>
          <w:rFonts w:cs="Tahoma"/>
          <w:sz w:val="20"/>
        </w:rPr>
        <w:t>t</w:t>
      </w:r>
      <w:r w:rsidR="00703DAD" w:rsidRPr="0068236B">
        <w:rPr>
          <w:rFonts w:cs="Tahoma"/>
          <w:sz w:val="20"/>
        </w:rPr>
        <w:t>ing 400 kV and 110 kV Transmission Network</w:t>
      </w:r>
      <w:r w:rsidR="00703DAD" w:rsidRPr="0068236B">
        <w:rPr>
          <w:rFonts w:cs="Tahoma"/>
          <w:bCs/>
          <w:sz w:val="20"/>
        </w:rPr>
        <w:t xml:space="preserve"> </w:t>
      </w:r>
    </w:p>
    <w:p w14:paraId="386E3D81" w14:textId="7A4489AE" w:rsidR="008119E6" w:rsidRPr="0068236B" w:rsidRDefault="00703DAD" w:rsidP="00703DAD">
      <w:pPr>
        <w:ind w:left="2160"/>
        <w:rPr>
          <w:rFonts w:cs="Tahoma"/>
          <w:sz w:val="20"/>
        </w:rPr>
      </w:pPr>
      <w:r w:rsidRPr="0068236B">
        <w:rPr>
          <w:rFonts w:cs="Tahoma"/>
          <w:bCs/>
          <w:sz w:val="20"/>
          <w:szCs w:val="20"/>
        </w:rPr>
        <w:t>Environmental and Social Assessment</w:t>
      </w:r>
      <w:r w:rsidR="008557E3" w:rsidRPr="0068236B">
        <w:rPr>
          <w:rFonts w:cs="Tahoma"/>
          <w:bCs/>
          <w:sz w:val="20"/>
          <w:szCs w:val="20"/>
        </w:rPr>
        <w:t xml:space="preserve"> Report</w:t>
      </w:r>
    </w:p>
    <w:p w14:paraId="783A500E" w14:textId="14713664" w:rsidR="008119E6" w:rsidRPr="0068236B" w:rsidRDefault="008119E6" w:rsidP="008119E6">
      <w:pPr>
        <w:rPr>
          <w:rFonts w:cs="Tahoma"/>
          <w:sz w:val="20"/>
        </w:rPr>
      </w:pPr>
      <w:r w:rsidRPr="0068236B">
        <w:rPr>
          <w:rFonts w:cs="Tahoma"/>
          <w:sz w:val="20"/>
        </w:rPr>
        <w:t>Issue Number:</w:t>
      </w:r>
      <w:r w:rsidRPr="0068236B">
        <w:rPr>
          <w:rFonts w:cs="Tahoma"/>
          <w:sz w:val="20"/>
        </w:rPr>
        <w:tab/>
      </w:r>
      <w:r w:rsidRPr="0068236B">
        <w:rPr>
          <w:rFonts w:cs="Tahoma"/>
          <w:sz w:val="20"/>
        </w:rPr>
        <w:tab/>
        <w:t>0</w:t>
      </w:r>
      <w:r w:rsidR="006C4F55" w:rsidRPr="0068236B">
        <w:rPr>
          <w:rFonts w:cs="Tahoma"/>
          <w:sz w:val="20"/>
        </w:rPr>
        <w:t>3</w:t>
      </w:r>
    </w:p>
    <w:p w14:paraId="701E3340" w14:textId="77777777" w:rsidR="008119E6" w:rsidRPr="0068236B" w:rsidRDefault="008119E6" w:rsidP="008119E6">
      <w:pPr>
        <w:rPr>
          <w:rFonts w:cs="Tahoma"/>
          <w:sz w:val="20"/>
        </w:rPr>
      </w:pPr>
    </w:p>
    <w:tbl>
      <w:tblPr>
        <w:tblW w:w="5300" w:type="pct"/>
        <w:tblInd w:w="108" w:type="dxa"/>
        <w:tblBorders>
          <w:top w:val="single" w:sz="8" w:space="0" w:color="9DBCB0"/>
          <w:left w:val="single" w:sz="8" w:space="0" w:color="9DBCB0"/>
          <w:bottom w:val="single" w:sz="8" w:space="0" w:color="9DBCB0"/>
          <w:right w:val="single" w:sz="8" w:space="0" w:color="9DBCB0"/>
          <w:insideH w:val="single" w:sz="8" w:space="0" w:color="9DBCB0"/>
          <w:insideV w:val="single" w:sz="8" w:space="0" w:color="9DBCB0"/>
        </w:tblBorders>
        <w:tblCellMar>
          <w:left w:w="28" w:type="dxa"/>
          <w:right w:w="28" w:type="dxa"/>
        </w:tblCellMar>
        <w:tblLook w:val="01E0" w:firstRow="1" w:lastRow="1" w:firstColumn="1" w:lastColumn="1" w:noHBand="0" w:noVBand="0"/>
      </w:tblPr>
      <w:tblGrid>
        <w:gridCol w:w="1656"/>
        <w:gridCol w:w="2072"/>
        <w:gridCol w:w="2131"/>
        <w:gridCol w:w="2281"/>
        <w:gridCol w:w="2127"/>
      </w:tblGrid>
      <w:tr w:rsidR="00142F6A" w:rsidRPr="0068236B" w14:paraId="042BDC63" w14:textId="77777777" w:rsidTr="006C4F55">
        <w:trPr>
          <w:trHeight w:val="737"/>
        </w:trPr>
        <w:tc>
          <w:tcPr>
            <w:tcW w:w="806" w:type="pct"/>
            <w:tcBorders>
              <w:bottom w:val="single" w:sz="8" w:space="0" w:color="9DBCB0"/>
            </w:tcBorders>
            <w:shd w:val="clear" w:color="auto" w:fill="44697D"/>
            <w:vAlign w:val="center"/>
          </w:tcPr>
          <w:p w14:paraId="51A11C5B" w14:textId="77777777" w:rsidR="008119E6" w:rsidRPr="0068236B" w:rsidRDefault="008119E6" w:rsidP="00FE40D0">
            <w:pPr>
              <w:jc w:val="center"/>
              <w:rPr>
                <w:rFonts w:cs="Tahoma"/>
                <w:b/>
                <w:color w:val="FFFFFF"/>
                <w:sz w:val="20"/>
              </w:rPr>
            </w:pPr>
            <w:r w:rsidRPr="0068236B">
              <w:rPr>
                <w:rFonts w:cs="Tahoma"/>
                <w:b/>
                <w:color w:val="FFFFFF"/>
                <w:sz w:val="20"/>
              </w:rPr>
              <w:t>Revision</w:t>
            </w:r>
          </w:p>
        </w:tc>
        <w:tc>
          <w:tcPr>
            <w:tcW w:w="1009" w:type="pct"/>
            <w:shd w:val="clear" w:color="auto" w:fill="44697D"/>
            <w:vAlign w:val="center"/>
          </w:tcPr>
          <w:p w14:paraId="2CC99D83" w14:textId="77777777" w:rsidR="008119E6" w:rsidRPr="0068236B" w:rsidRDefault="008119E6" w:rsidP="00FE40D0">
            <w:pPr>
              <w:jc w:val="center"/>
              <w:rPr>
                <w:rFonts w:cs="Tahoma"/>
                <w:b/>
                <w:color w:val="FFFFFF"/>
                <w:sz w:val="20"/>
              </w:rPr>
            </w:pPr>
            <w:r w:rsidRPr="0068236B">
              <w:rPr>
                <w:rFonts w:cs="Tahoma"/>
                <w:b/>
                <w:color w:val="FFFFFF"/>
                <w:sz w:val="20"/>
              </w:rPr>
              <w:t>1</w:t>
            </w:r>
          </w:p>
        </w:tc>
        <w:tc>
          <w:tcPr>
            <w:tcW w:w="1038" w:type="pct"/>
            <w:shd w:val="clear" w:color="auto" w:fill="44697D"/>
            <w:vAlign w:val="center"/>
          </w:tcPr>
          <w:p w14:paraId="4DAC64E2" w14:textId="77777777" w:rsidR="008119E6" w:rsidRPr="0068236B" w:rsidRDefault="008119E6" w:rsidP="00FE40D0">
            <w:pPr>
              <w:jc w:val="center"/>
              <w:rPr>
                <w:rFonts w:cs="Tahoma"/>
                <w:b/>
                <w:color w:val="FFFFFF"/>
                <w:sz w:val="20"/>
              </w:rPr>
            </w:pPr>
            <w:r w:rsidRPr="0068236B">
              <w:rPr>
                <w:rFonts w:cs="Tahoma"/>
                <w:b/>
                <w:color w:val="FFFFFF"/>
                <w:sz w:val="20"/>
              </w:rPr>
              <w:t>2</w:t>
            </w:r>
          </w:p>
        </w:tc>
        <w:tc>
          <w:tcPr>
            <w:tcW w:w="1111" w:type="pct"/>
            <w:shd w:val="clear" w:color="auto" w:fill="44697D"/>
            <w:vAlign w:val="center"/>
          </w:tcPr>
          <w:p w14:paraId="69A71814" w14:textId="77777777" w:rsidR="008119E6" w:rsidRPr="0068236B" w:rsidRDefault="008119E6" w:rsidP="00FE40D0">
            <w:pPr>
              <w:jc w:val="center"/>
              <w:rPr>
                <w:rFonts w:cs="Tahoma"/>
                <w:b/>
                <w:color w:val="FFFFFF"/>
                <w:sz w:val="20"/>
                <w:szCs w:val="20"/>
              </w:rPr>
            </w:pPr>
            <w:r w:rsidRPr="0068236B">
              <w:rPr>
                <w:rFonts w:cs="Tahoma"/>
                <w:b/>
                <w:color w:val="FFFFFF"/>
                <w:sz w:val="20"/>
                <w:szCs w:val="20"/>
              </w:rPr>
              <w:t>3</w:t>
            </w:r>
          </w:p>
        </w:tc>
        <w:tc>
          <w:tcPr>
            <w:tcW w:w="1036" w:type="pct"/>
            <w:shd w:val="clear" w:color="auto" w:fill="44697D"/>
            <w:vAlign w:val="center"/>
          </w:tcPr>
          <w:p w14:paraId="4A539946" w14:textId="77777777" w:rsidR="008119E6" w:rsidRPr="0068236B" w:rsidRDefault="008119E6" w:rsidP="00FE40D0">
            <w:pPr>
              <w:jc w:val="center"/>
              <w:rPr>
                <w:rFonts w:cs="Tahoma"/>
                <w:b/>
                <w:color w:val="FFFFFF"/>
                <w:sz w:val="20"/>
              </w:rPr>
            </w:pPr>
            <w:r w:rsidRPr="0068236B">
              <w:rPr>
                <w:rFonts w:cs="Tahoma"/>
                <w:b/>
                <w:color w:val="FFFFFF"/>
                <w:sz w:val="20"/>
              </w:rPr>
              <w:t>4</w:t>
            </w:r>
          </w:p>
        </w:tc>
      </w:tr>
      <w:tr w:rsidR="00142F6A" w:rsidRPr="0068236B" w14:paraId="12C1EA1D" w14:textId="77777777" w:rsidTr="006C4F55">
        <w:trPr>
          <w:trHeight w:val="737"/>
        </w:trPr>
        <w:tc>
          <w:tcPr>
            <w:tcW w:w="806" w:type="pct"/>
            <w:shd w:val="clear" w:color="auto" w:fill="BDD6EE"/>
            <w:vAlign w:val="center"/>
          </w:tcPr>
          <w:p w14:paraId="21B28028" w14:textId="77777777" w:rsidR="0033477A" w:rsidRPr="0068236B" w:rsidRDefault="0033477A" w:rsidP="0033477A">
            <w:pPr>
              <w:jc w:val="center"/>
              <w:rPr>
                <w:rFonts w:cs="Tahoma"/>
                <w:b/>
                <w:sz w:val="20"/>
              </w:rPr>
            </w:pPr>
            <w:r w:rsidRPr="0068236B">
              <w:rPr>
                <w:rFonts w:cs="Tahoma"/>
                <w:b/>
                <w:sz w:val="20"/>
              </w:rPr>
              <w:t>Date</w:t>
            </w:r>
          </w:p>
        </w:tc>
        <w:tc>
          <w:tcPr>
            <w:tcW w:w="1009" w:type="pct"/>
            <w:vAlign w:val="center"/>
          </w:tcPr>
          <w:p w14:paraId="57EB4F3A" w14:textId="1219A9A5" w:rsidR="0033477A" w:rsidRPr="0068236B" w:rsidRDefault="00016E5B" w:rsidP="00016E5B">
            <w:pPr>
              <w:jc w:val="center"/>
              <w:rPr>
                <w:rFonts w:cs="Tahoma"/>
                <w:sz w:val="20"/>
                <w:szCs w:val="20"/>
              </w:rPr>
            </w:pPr>
            <w:r w:rsidRPr="0068236B">
              <w:rPr>
                <w:rFonts w:cs="Tahoma"/>
                <w:sz w:val="20"/>
                <w:szCs w:val="20"/>
              </w:rPr>
              <w:t>01 March</w:t>
            </w:r>
            <w:r w:rsidR="00703DAD" w:rsidRPr="0068236B">
              <w:rPr>
                <w:rFonts w:cs="Tahoma"/>
                <w:sz w:val="20"/>
                <w:szCs w:val="20"/>
              </w:rPr>
              <w:t xml:space="preserve"> 2022</w:t>
            </w:r>
          </w:p>
        </w:tc>
        <w:tc>
          <w:tcPr>
            <w:tcW w:w="1038" w:type="pct"/>
            <w:vAlign w:val="center"/>
          </w:tcPr>
          <w:p w14:paraId="794B55F5" w14:textId="0BC982FE" w:rsidR="0033477A" w:rsidRPr="0068236B" w:rsidRDefault="001E4038" w:rsidP="0033477A">
            <w:pPr>
              <w:jc w:val="center"/>
              <w:rPr>
                <w:rFonts w:cs="Tahoma"/>
                <w:sz w:val="20"/>
                <w:szCs w:val="20"/>
              </w:rPr>
            </w:pPr>
            <w:r w:rsidRPr="0068236B">
              <w:rPr>
                <w:rFonts w:cs="Tahoma"/>
                <w:sz w:val="20"/>
                <w:szCs w:val="20"/>
              </w:rPr>
              <w:t>17 June 2022</w:t>
            </w:r>
          </w:p>
        </w:tc>
        <w:tc>
          <w:tcPr>
            <w:tcW w:w="1111" w:type="pct"/>
            <w:vAlign w:val="center"/>
          </w:tcPr>
          <w:p w14:paraId="5A2D9BCD" w14:textId="44A608E5" w:rsidR="0033477A" w:rsidRPr="0068236B" w:rsidRDefault="00ED6A5A" w:rsidP="00ED6A5A">
            <w:pPr>
              <w:jc w:val="center"/>
              <w:rPr>
                <w:rFonts w:cs="Tahoma"/>
                <w:sz w:val="20"/>
                <w:szCs w:val="20"/>
              </w:rPr>
            </w:pPr>
            <w:r w:rsidRPr="0068236B">
              <w:rPr>
                <w:rFonts w:cs="Tahoma"/>
                <w:sz w:val="20"/>
                <w:szCs w:val="20"/>
              </w:rPr>
              <w:t>01 September 2022</w:t>
            </w:r>
          </w:p>
        </w:tc>
        <w:tc>
          <w:tcPr>
            <w:tcW w:w="1036" w:type="pct"/>
            <w:vAlign w:val="center"/>
          </w:tcPr>
          <w:p w14:paraId="22BEF4CC" w14:textId="77777777" w:rsidR="0033477A" w:rsidRPr="0068236B" w:rsidRDefault="0033477A" w:rsidP="0033477A">
            <w:pPr>
              <w:jc w:val="center"/>
              <w:rPr>
                <w:rFonts w:cs="Tahoma"/>
                <w:sz w:val="20"/>
              </w:rPr>
            </w:pPr>
          </w:p>
        </w:tc>
      </w:tr>
      <w:tr w:rsidR="006C4F55" w:rsidRPr="0068236B" w14:paraId="3D5262DE" w14:textId="77777777" w:rsidTr="006C4F55">
        <w:trPr>
          <w:trHeight w:val="737"/>
        </w:trPr>
        <w:tc>
          <w:tcPr>
            <w:tcW w:w="806" w:type="pct"/>
            <w:shd w:val="clear" w:color="auto" w:fill="BDD6EE"/>
            <w:vAlign w:val="center"/>
          </w:tcPr>
          <w:p w14:paraId="343F1043" w14:textId="77777777" w:rsidR="006C4F55" w:rsidRPr="0068236B" w:rsidRDefault="006C4F55" w:rsidP="00F80ED3">
            <w:pPr>
              <w:jc w:val="center"/>
              <w:rPr>
                <w:rFonts w:cs="Tahoma"/>
                <w:b/>
                <w:sz w:val="20"/>
              </w:rPr>
            </w:pPr>
            <w:r w:rsidRPr="0068236B">
              <w:rPr>
                <w:rFonts w:cs="Tahoma"/>
                <w:b/>
                <w:sz w:val="20"/>
              </w:rPr>
              <w:t>Detail</w:t>
            </w:r>
          </w:p>
        </w:tc>
        <w:tc>
          <w:tcPr>
            <w:tcW w:w="1009" w:type="pct"/>
            <w:vAlign w:val="center"/>
          </w:tcPr>
          <w:p w14:paraId="725F96E1" w14:textId="3CC16BE2" w:rsidR="006C4F55" w:rsidRPr="0068236B" w:rsidRDefault="006C4F55" w:rsidP="000E7E2C">
            <w:pPr>
              <w:jc w:val="center"/>
              <w:rPr>
                <w:rFonts w:cs="Tahoma"/>
                <w:sz w:val="20"/>
                <w:szCs w:val="20"/>
              </w:rPr>
            </w:pPr>
            <w:r w:rsidRPr="0068236B">
              <w:rPr>
                <w:sz w:val="20"/>
                <w:szCs w:val="20"/>
              </w:rPr>
              <w:t>First draft</w:t>
            </w:r>
          </w:p>
        </w:tc>
        <w:tc>
          <w:tcPr>
            <w:tcW w:w="1038" w:type="pct"/>
            <w:vAlign w:val="center"/>
          </w:tcPr>
          <w:p w14:paraId="582C2CF3" w14:textId="73DA4C7B" w:rsidR="006C4F55" w:rsidRPr="0068236B" w:rsidRDefault="006C4F55" w:rsidP="00392015">
            <w:pPr>
              <w:jc w:val="center"/>
              <w:rPr>
                <w:rFonts w:cs="Tahoma"/>
                <w:sz w:val="20"/>
                <w:szCs w:val="20"/>
              </w:rPr>
            </w:pPr>
            <w:r w:rsidRPr="0068236B">
              <w:rPr>
                <w:rFonts w:cs="Tahoma"/>
                <w:sz w:val="20"/>
                <w:szCs w:val="20"/>
              </w:rPr>
              <w:t>Second draft with EBRD comments a</w:t>
            </w:r>
            <w:r w:rsidRPr="0068236B">
              <w:rPr>
                <w:rFonts w:cs="Tahoma"/>
                <w:sz w:val="20"/>
                <w:szCs w:val="20"/>
              </w:rPr>
              <w:t>d</w:t>
            </w:r>
            <w:r w:rsidRPr="0068236B">
              <w:rPr>
                <w:rFonts w:cs="Tahoma"/>
                <w:sz w:val="20"/>
                <w:szCs w:val="20"/>
              </w:rPr>
              <w:t>dressed</w:t>
            </w:r>
          </w:p>
        </w:tc>
        <w:tc>
          <w:tcPr>
            <w:tcW w:w="1111" w:type="pct"/>
            <w:vAlign w:val="center"/>
          </w:tcPr>
          <w:p w14:paraId="31C53FD1" w14:textId="1C0430A1" w:rsidR="006C4F55" w:rsidRPr="0068236B" w:rsidRDefault="006C4F55" w:rsidP="00F80ED3">
            <w:pPr>
              <w:jc w:val="center"/>
              <w:rPr>
                <w:rFonts w:cs="Tahoma"/>
                <w:sz w:val="20"/>
                <w:szCs w:val="20"/>
              </w:rPr>
            </w:pPr>
            <w:r w:rsidRPr="0068236B">
              <w:rPr>
                <w:rFonts w:cs="Tahoma"/>
                <w:sz w:val="20"/>
                <w:szCs w:val="20"/>
              </w:rPr>
              <w:t>Third draft with EBRD comments addressed</w:t>
            </w:r>
          </w:p>
        </w:tc>
        <w:tc>
          <w:tcPr>
            <w:tcW w:w="1036" w:type="pct"/>
            <w:vAlign w:val="center"/>
          </w:tcPr>
          <w:p w14:paraId="772E1116" w14:textId="77777777" w:rsidR="006C4F55" w:rsidRPr="0068236B" w:rsidRDefault="006C4F55" w:rsidP="00F80ED3">
            <w:pPr>
              <w:jc w:val="center"/>
              <w:rPr>
                <w:rFonts w:cs="Tahoma"/>
                <w:sz w:val="20"/>
              </w:rPr>
            </w:pPr>
          </w:p>
        </w:tc>
      </w:tr>
      <w:tr w:rsidR="006C4F55" w:rsidRPr="0068236B" w14:paraId="7C921301" w14:textId="77777777" w:rsidTr="006C4F55">
        <w:trPr>
          <w:trHeight w:val="737"/>
        </w:trPr>
        <w:tc>
          <w:tcPr>
            <w:tcW w:w="806" w:type="pct"/>
            <w:shd w:val="clear" w:color="auto" w:fill="BDD6EE"/>
            <w:vAlign w:val="center"/>
          </w:tcPr>
          <w:p w14:paraId="1CA7AB74" w14:textId="77777777" w:rsidR="006C4F55" w:rsidRPr="0068236B" w:rsidRDefault="006C4F55" w:rsidP="00F80ED3">
            <w:pPr>
              <w:jc w:val="center"/>
              <w:rPr>
                <w:rFonts w:cs="Tahoma"/>
                <w:b/>
                <w:sz w:val="20"/>
              </w:rPr>
            </w:pPr>
            <w:r w:rsidRPr="0068236B">
              <w:rPr>
                <w:rFonts w:cs="Tahoma"/>
                <w:b/>
                <w:sz w:val="20"/>
              </w:rPr>
              <w:t>Prepared By</w:t>
            </w:r>
          </w:p>
        </w:tc>
        <w:tc>
          <w:tcPr>
            <w:tcW w:w="1009" w:type="pct"/>
            <w:vAlign w:val="center"/>
          </w:tcPr>
          <w:p w14:paraId="5C777841" w14:textId="77777777" w:rsidR="006C4F55" w:rsidRPr="0068236B" w:rsidRDefault="006C4F55" w:rsidP="003037B7">
            <w:pPr>
              <w:spacing w:before="0" w:after="0"/>
              <w:jc w:val="center"/>
              <w:rPr>
                <w:rFonts w:cs="Tahoma"/>
                <w:sz w:val="20"/>
                <w:szCs w:val="20"/>
              </w:rPr>
            </w:pPr>
            <w:r w:rsidRPr="0068236B">
              <w:rPr>
                <w:rFonts w:cs="Tahoma"/>
                <w:sz w:val="20"/>
                <w:szCs w:val="20"/>
              </w:rPr>
              <w:t>ESIA Team:</w:t>
            </w:r>
          </w:p>
          <w:p w14:paraId="6E4D457B" w14:textId="77777777" w:rsidR="006C4F55" w:rsidRPr="0068236B" w:rsidRDefault="006C4F55" w:rsidP="003037B7">
            <w:pPr>
              <w:spacing w:before="0" w:after="0"/>
              <w:jc w:val="center"/>
              <w:rPr>
                <w:rFonts w:cs="Tahoma"/>
                <w:sz w:val="20"/>
                <w:szCs w:val="20"/>
              </w:rPr>
            </w:pPr>
            <w:r w:rsidRPr="0068236B">
              <w:rPr>
                <w:rFonts w:cs="Tahoma"/>
                <w:sz w:val="20"/>
                <w:szCs w:val="20"/>
              </w:rPr>
              <w:t xml:space="preserve">Konstantin Siderovski </w:t>
            </w:r>
          </w:p>
          <w:p w14:paraId="256F60CB" w14:textId="77777777" w:rsidR="006C4F55" w:rsidRPr="0068236B" w:rsidRDefault="006C4F55" w:rsidP="003037B7">
            <w:pPr>
              <w:spacing w:before="0" w:after="0"/>
              <w:jc w:val="center"/>
              <w:rPr>
                <w:rFonts w:cs="Tahoma"/>
                <w:sz w:val="20"/>
                <w:szCs w:val="20"/>
              </w:rPr>
            </w:pPr>
            <w:r w:rsidRPr="0068236B">
              <w:rPr>
                <w:rFonts w:cs="Tahoma"/>
                <w:sz w:val="20"/>
                <w:szCs w:val="20"/>
              </w:rPr>
              <w:t>Boris Stipcarov</w:t>
            </w:r>
          </w:p>
          <w:p w14:paraId="3CE10ECF" w14:textId="77777777" w:rsidR="006C4F55" w:rsidRPr="0068236B" w:rsidRDefault="006C4F55" w:rsidP="003037B7">
            <w:pPr>
              <w:spacing w:before="0" w:after="0"/>
              <w:jc w:val="center"/>
              <w:rPr>
                <w:rFonts w:cs="Tahoma"/>
                <w:sz w:val="20"/>
                <w:szCs w:val="20"/>
              </w:rPr>
            </w:pPr>
            <w:r w:rsidRPr="0068236B">
              <w:rPr>
                <w:rFonts w:cs="Tahoma"/>
                <w:sz w:val="20"/>
                <w:szCs w:val="20"/>
              </w:rPr>
              <w:t>Slavco Hristovski</w:t>
            </w:r>
          </w:p>
          <w:p w14:paraId="2101E47B" w14:textId="77777777" w:rsidR="006C4F55" w:rsidRPr="0068236B" w:rsidRDefault="006C4F55" w:rsidP="003037B7">
            <w:pPr>
              <w:spacing w:before="0" w:after="0"/>
              <w:jc w:val="center"/>
              <w:rPr>
                <w:rFonts w:cs="Tahoma"/>
                <w:sz w:val="20"/>
                <w:szCs w:val="20"/>
              </w:rPr>
            </w:pPr>
            <w:r w:rsidRPr="0068236B">
              <w:rPr>
                <w:rFonts w:cs="Tahoma"/>
                <w:sz w:val="20"/>
                <w:szCs w:val="20"/>
              </w:rPr>
              <w:t>Mitko Dimov</w:t>
            </w:r>
          </w:p>
          <w:p w14:paraId="67693B95" w14:textId="60A70EE2" w:rsidR="006C4F55" w:rsidRPr="0068236B" w:rsidRDefault="006C4F55" w:rsidP="003037B7">
            <w:pPr>
              <w:spacing w:before="0" w:after="0"/>
              <w:jc w:val="center"/>
              <w:rPr>
                <w:rFonts w:cs="Tahoma"/>
                <w:sz w:val="20"/>
                <w:szCs w:val="20"/>
              </w:rPr>
            </w:pPr>
            <w:r w:rsidRPr="0068236B">
              <w:rPr>
                <w:rFonts w:cs="Tahoma"/>
                <w:sz w:val="20"/>
                <w:szCs w:val="20"/>
              </w:rPr>
              <w:t>Vasko Avukatov</w:t>
            </w:r>
          </w:p>
        </w:tc>
        <w:tc>
          <w:tcPr>
            <w:tcW w:w="1038" w:type="pct"/>
            <w:vAlign w:val="center"/>
          </w:tcPr>
          <w:p w14:paraId="412DECB1" w14:textId="7E2BF007" w:rsidR="006C4F55" w:rsidRPr="0068236B" w:rsidRDefault="006C4F55" w:rsidP="001E4038">
            <w:pPr>
              <w:spacing w:before="0" w:after="0"/>
              <w:jc w:val="center"/>
              <w:rPr>
                <w:rFonts w:cs="Tahoma"/>
                <w:sz w:val="20"/>
                <w:szCs w:val="20"/>
              </w:rPr>
            </w:pPr>
            <w:r w:rsidRPr="0068236B">
              <w:rPr>
                <w:rFonts w:cs="Tahoma"/>
                <w:sz w:val="20"/>
                <w:szCs w:val="20"/>
              </w:rPr>
              <w:t>E</w:t>
            </w:r>
            <w:r w:rsidR="00175E13" w:rsidRPr="0068236B">
              <w:rPr>
                <w:rFonts w:cs="Tahoma"/>
                <w:sz w:val="20"/>
                <w:szCs w:val="20"/>
              </w:rPr>
              <w:t>&amp;</w:t>
            </w:r>
            <w:r w:rsidRPr="0068236B">
              <w:rPr>
                <w:rFonts w:cs="Tahoma"/>
                <w:sz w:val="20"/>
                <w:szCs w:val="20"/>
              </w:rPr>
              <w:t>S Team:</w:t>
            </w:r>
          </w:p>
          <w:p w14:paraId="19DE1360" w14:textId="77777777" w:rsidR="006C4F55" w:rsidRPr="0068236B" w:rsidRDefault="006C4F55" w:rsidP="001E4038">
            <w:pPr>
              <w:spacing w:before="0" w:after="0"/>
              <w:jc w:val="center"/>
              <w:rPr>
                <w:rFonts w:cs="Tahoma"/>
                <w:sz w:val="20"/>
                <w:szCs w:val="20"/>
              </w:rPr>
            </w:pPr>
            <w:r w:rsidRPr="0068236B">
              <w:rPr>
                <w:rFonts w:cs="Tahoma"/>
                <w:sz w:val="20"/>
                <w:szCs w:val="20"/>
              </w:rPr>
              <w:t xml:space="preserve">Konstantin Siderovski </w:t>
            </w:r>
          </w:p>
          <w:p w14:paraId="779A11E1" w14:textId="77777777" w:rsidR="006C4F55" w:rsidRPr="0068236B" w:rsidRDefault="006C4F55" w:rsidP="001E4038">
            <w:pPr>
              <w:spacing w:before="0" w:after="0"/>
              <w:jc w:val="center"/>
              <w:rPr>
                <w:rFonts w:cs="Tahoma"/>
                <w:sz w:val="20"/>
                <w:szCs w:val="20"/>
              </w:rPr>
            </w:pPr>
            <w:r w:rsidRPr="0068236B">
              <w:rPr>
                <w:rFonts w:cs="Tahoma"/>
                <w:sz w:val="20"/>
                <w:szCs w:val="20"/>
              </w:rPr>
              <w:t>Boris Stipcarov</w:t>
            </w:r>
          </w:p>
          <w:p w14:paraId="6CACD3EE" w14:textId="77777777" w:rsidR="006C4F55" w:rsidRPr="0068236B" w:rsidRDefault="006C4F55" w:rsidP="001E4038">
            <w:pPr>
              <w:spacing w:before="0" w:after="0"/>
              <w:jc w:val="center"/>
              <w:rPr>
                <w:rFonts w:cs="Tahoma"/>
                <w:sz w:val="20"/>
                <w:szCs w:val="20"/>
              </w:rPr>
            </w:pPr>
            <w:r w:rsidRPr="0068236B">
              <w:rPr>
                <w:rFonts w:cs="Tahoma"/>
                <w:sz w:val="20"/>
                <w:szCs w:val="20"/>
              </w:rPr>
              <w:t>Slavco Hristovski</w:t>
            </w:r>
          </w:p>
          <w:p w14:paraId="19BD935C" w14:textId="77777777" w:rsidR="006C4F55" w:rsidRPr="0068236B" w:rsidRDefault="006C4F55" w:rsidP="001E4038">
            <w:pPr>
              <w:spacing w:before="0" w:after="0"/>
              <w:jc w:val="center"/>
              <w:rPr>
                <w:rFonts w:cs="Tahoma"/>
                <w:sz w:val="20"/>
                <w:szCs w:val="20"/>
              </w:rPr>
            </w:pPr>
            <w:r w:rsidRPr="0068236B">
              <w:rPr>
                <w:rFonts w:cs="Tahoma"/>
                <w:sz w:val="20"/>
                <w:szCs w:val="20"/>
              </w:rPr>
              <w:t>Mitko Dimov</w:t>
            </w:r>
          </w:p>
          <w:p w14:paraId="4B1FB70B" w14:textId="18CAEE17" w:rsidR="006C4F55" w:rsidRPr="0068236B" w:rsidRDefault="006C4F55" w:rsidP="001E4038">
            <w:pPr>
              <w:spacing w:before="0" w:after="0"/>
              <w:jc w:val="center"/>
              <w:rPr>
                <w:rFonts w:cs="Tahoma"/>
                <w:sz w:val="20"/>
                <w:szCs w:val="20"/>
              </w:rPr>
            </w:pPr>
            <w:r w:rsidRPr="0068236B">
              <w:rPr>
                <w:rFonts w:cs="Tahoma"/>
                <w:sz w:val="20"/>
                <w:szCs w:val="20"/>
              </w:rPr>
              <w:t>Vasko Avukatov</w:t>
            </w:r>
          </w:p>
        </w:tc>
        <w:tc>
          <w:tcPr>
            <w:tcW w:w="1111" w:type="pct"/>
            <w:vAlign w:val="center"/>
          </w:tcPr>
          <w:p w14:paraId="052B8D51" w14:textId="4E3EF537" w:rsidR="006C4F55" w:rsidRPr="0068236B" w:rsidRDefault="006C4F55" w:rsidP="006C4F55">
            <w:pPr>
              <w:spacing w:before="0" w:after="0"/>
              <w:jc w:val="center"/>
              <w:rPr>
                <w:rFonts w:cs="Tahoma"/>
                <w:sz w:val="20"/>
                <w:szCs w:val="20"/>
              </w:rPr>
            </w:pPr>
            <w:r w:rsidRPr="0068236B">
              <w:rPr>
                <w:rFonts w:cs="Tahoma"/>
                <w:sz w:val="20"/>
                <w:szCs w:val="20"/>
              </w:rPr>
              <w:t>E</w:t>
            </w:r>
            <w:r w:rsidR="00175E13" w:rsidRPr="0068236B">
              <w:rPr>
                <w:rFonts w:cs="Tahoma"/>
                <w:sz w:val="20"/>
                <w:szCs w:val="20"/>
              </w:rPr>
              <w:t>&amp;</w:t>
            </w:r>
            <w:r w:rsidRPr="0068236B">
              <w:rPr>
                <w:rFonts w:cs="Tahoma"/>
                <w:sz w:val="20"/>
                <w:szCs w:val="20"/>
              </w:rPr>
              <w:t>S Team:</w:t>
            </w:r>
          </w:p>
          <w:p w14:paraId="72D91CA3" w14:textId="77777777" w:rsidR="006C4F55" w:rsidRPr="0068236B" w:rsidRDefault="006C4F55" w:rsidP="006C4F55">
            <w:pPr>
              <w:spacing w:before="0" w:after="0"/>
              <w:jc w:val="center"/>
              <w:rPr>
                <w:rFonts w:cs="Tahoma"/>
                <w:sz w:val="20"/>
                <w:szCs w:val="20"/>
              </w:rPr>
            </w:pPr>
            <w:r w:rsidRPr="0068236B">
              <w:rPr>
                <w:rFonts w:cs="Tahoma"/>
                <w:sz w:val="20"/>
                <w:szCs w:val="20"/>
              </w:rPr>
              <w:t xml:space="preserve">Konstantin Siderovski </w:t>
            </w:r>
          </w:p>
          <w:p w14:paraId="0E2C8C9C" w14:textId="77777777" w:rsidR="006C4F55" w:rsidRPr="0068236B" w:rsidRDefault="006C4F55" w:rsidP="006C4F55">
            <w:pPr>
              <w:spacing w:before="0" w:after="0"/>
              <w:jc w:val="center"/>
              <w:rPr>
                <w:rFonts w:cs="Tahoma"/>
                <w:sz w:val="20"/>
                <w:szCs w:val="20"/>
              </w:rPr>
            </w:pPr>
            <w:r w:rsidRPr="0068236B">
              <w:rPr>
                <w:rFonts w:cs="Tahoma"/>
                <w:sz w:val="20"/>
                <w:szCs w:val="20"/>
              </w:rPr>
              <w:t>Boris Stipcarov</w:t>
            </w:r>
          </w:p>
          <w:p w14:paraId="5E1AE5A8" w14:textId="77777777" w:rsidR="006C4F55" w:rsidRPr="0068236B" w:rsidRDefault="006C4F55" w:rsidP="006C4F55">
            <w:pPr>
              <w:spacing w:before="0" w:after="0"/>
              <w:jc w:val="center"/>
              <w:rPr>
                <w:rFonts w:cs="Tahoma"/>
                <w:sz w:val="20"/>
                <w:szCs w:val="20"/>
              </w:rPr>
            </w:pPr>
            <w:r w:rsidRPr="0068236B">
              <w:rPr>
                <w:rFonts w:cs="Tahoma"/>
                <w:sz w:val="20"/>
                <w:szCs w:val="20"/>
              </w:rPr>
              <w:t>Slavco Hristovski</w:t>
            </w:r>
          </w:p>
          <w:p w14:paraId="48E94595" w14:textId="77777777" w:rsidR="006C4F55" w:rsidRPr="0068236B" w:rsidRDefault="006C4F55" w:rsidP="006C4F55">
            <w:pPr>
              <w:spacing w:before="0" w:after="0"/>
              <w:jc w:val="center"/>
              <w:rPr>
                <w:rFonts w:cs="Tahoma"/>
                <w:sz w:val="20"/>
                <w:szCs w:val="20"/>
              </w:rPr>
            </w:pPr>
            <w:r w:rsidRPr="0068236B">
              <w:rPr>
                <w:rFonts w:cs="Tahoma"/>
                <w:sz w:val="20"/>
                <w:szCs w:val="20"/>
              </w:rPr>
              <w:t>Mitko Dimov</w:t>
            </w:r>
          </w:p>
          <w:p w14:paraId="1ABDFAC3" w14:textId="381F4005" w:rsidR="006C4F55" w:rsidRPr="0068236B" w:rsidRDefault="006C4F55" w:rsidP="006C4F55">
            <w:pPr>
              <w:spacing w:before="0" w:after="0"/>
              <w:jc w:val="center"/>
              <w:rPr>
                <w:rFonts w:cs="Tahoma"/>
                <w:sz w:val="20"/>
                <w:szCs w:val="20"/>
              </w:rPr>
            </w:pPr>
            <w:r w:rsidRPr="0068236B">
              <w:rPr>
                <w:rFonts w:cs="Tahoma"/>
                <w:sz w:val="20"/>
                <w:szCs w:val="20"/>
              </w:rPr>
              <w:t>Vasko Avukatov</w:t>
            </w:r>
          </w:p>
        </w:tc>
        <w:tc>
          <w:tcPr>
            <w:tcW w:w="1036" w:type="pct"/>
            <w:vAlign w:val="center"/>
          </w:tcPr>
          <w:p w14:paraId="0549D58C" w14:textId="77777777" w:rsidR="006C4F55" w:rsidRPr="0068236B" w:rsidRDefault="006C4F55" w:rsidP="00F80ED3">
            <w:pPr>
              <w:jc w:val="center"/>
              <w:rPr>
                <w:rFonts w:cs="Tahoma"/>
                <w:sz w:val="20"/>
              </w:rPr>
            </w:pPr>
          </w:p>
        </w:tc>
      </w:tr>
      <w:tr w:rsidR="006C4F55" w:rsidRPr="0068236B" w14:paraId="17D40696" w14:textId="77777777" w:rsidTr="006C4F55">
        <w:trPr>
          <w:trHeight w:val="737"/>
        </w:trPr>
        <w:tc>
          <w:tcPr>
            <w:tcW w:w="806" w:type="pct"/>
            <w:shd w:val="clear" w:color="auto" w:fill="BDD6EE"/>
            <w:vAlign w:val="center"/>
          </w:tcPr>
          <w:p w14:paraId="0AF00195" w14:textId="77777777" w:rsidR="006C4F55" w:rsidRPr="0068236B" w:rsidRDefault="006C4F55" w:rsidP="00F80ED3">
            <w:pPr>
              <w:jc w:val="center"/>
              <w:rPr>
                <w:rFonts w:cs="Tahoma"/>
                <w:b/>
                <w:sz w:val="20"/>
              </w:rPr>
            </w:pPr>
            <w:r w:rsidRPr="0068236B">
              <w:rPr>
                <w:rFonts w:cs="Tahoma"/>
                <w:b/>
                <w:sz w:val="20"/>
              </w:rPr>
              <w:t>Checked By</w:t>
            </w:r>
          </w:p>
        </w:tc>
        <w:tc>
          <w:tcPr>
            <w:tcW w:w="1009" w:type="pct"/>
            <w:vAlign w:val="center"/>
          </w:tcPr>
          <w:p w14:paraId="34795A1E" w14:textId="33AFE0C0" w:rsidR="006C4F55" w:rsidRPr="0068236B" w:rsidRDefault="006C4F55" w:rsidP="00142F6A">
            <w:pPr>
              <w:spacing w:before="0" w:after="0"/>
              <w:jc w:val="center"/>
              <w:rPr>
                <w:rFonts w:cs="Tahoma"/>
                <w:sz w:val="20"/>
                <w:szCs w:val="20"/>
              </w:rPr>
            </w:pPr>
            <w:r w:rsidRPr="0068236B">
              <w:rPr>
                <w:sz w:val="20"/>
                <w:szCs w:val="20"/>
              </w:rPr>
              <w:t>Sinisha Stanchevski / Božidar Radović</w:t>
            </w:r>
          </w:p>
        </w:tc>
        <w:tc>
          <w:tcPr>
            <w:tcW w:w="1038" w:type="pct"/>
            <w:vAlign w:val="center"/>
          </w:tcPr>
          <w:p w14:paraId="2E82F216" w14:textId="1A64BE27" w:rsidR="006C4F55" w:rsidRPr="0068236B" w:rsidRDefault="006C4F55" w:rsidP="00F80ED3">
            <w:pPr>
              <w:jc w:val="center"/>
              <w:rPr>
                <w:rFonts w:cs="Tahoma"/>
                <w:sz w:val="20"/>
                <w:szCs w:val="20"/>
              </w:rPr>
            </w:pPr>
            <w:r w:rsidRPr="0068236B">
              <w:rPr>
                <w:sz w:val="20"/>
                <w:szCs w:val="20"/>
              </w:rPr>
              <w:t>Sinisha Stanchevski / Božidar Radović</w:t>
            </w:r>
          </w:p>
        </w:tc>
        <w:tc>
          <w:tcPr>
            <w:tcW w:w="1111" w:type="pct"/>
            <w:vAlign w:val="center"/>
          </w:tcPr>
          <w:p w14:paraId="708E10E1" w14:textId="52BBE010" w:rsidR="006C4F55" w:rsidRPr="0068236B" w:rsidRDefault="006C4F55" w:rsidP="00F80ED3">
            <w:pPr>
              <w:jc w:val="center"/>
              <w:rPr>
                <w:rFonts w:cs="Tahoma"/>
                <w:sz w:val="20"/>
                <w:szCs w:val="20"/>
              </w:rPr>
            </w:pPr>
            <w:r w:rsidRPr="0068236B">
              <w:rPr>
                <w:sz w:val="20"/>
                <w:szCs w:val="20"/>
              </w:rPr>
              <w:t>Sinisha Stanchevski / Božidar Radović</w:t>
            </w:r>
          </w:p>
        </w:tc>
        <w:tc>
          <w:tcPr>
            <w:tcW w:w="1036" w:type="pct"/>
            <w:vAlign w:val="center"/>
          </w:tcPr>
          <w:p w14:paraId="152A6E3E" w14:textId="77777777" w:rsidR="006C4F55" w:rsidRPr="0068236B" w:rsidRDefault="006C4F55" w:rsidP="00F80ED3">
            <w:pPr>
              <w:jc w:val="center"/>
              <w:rPr>
                <w:rFonts w:cs="Tahoma"/>
                <w:sz w:val="20"/>
              </w:rPr>
            </w:pPr>
          </w:p>
        </w:tc>
      </w:tr>
      <w:tr w:rsidR="006C4F55" w:rsidRPr="0068236B" w14:paraId="35E0028D" w14:textId="77777777" w:rsidTr="006C4F55">
        <w:trPr>
          <w:trHeight w:val="737"/>
        </w:trPr>
        <w:tc>
          <w:tcPr>
            <w:tcW w:w="806" w:type="pct"/>
            <w:shd w:val="clear" w:color="auto" w:fill="BDD6EE"/>
            <w:vAlign w:val="center"/>
          </w:tcPr>
          <w:p w14:paraId="3C0D5599" w14:textId="77777777" w:rsidR="006C4F55" w:rsidRPr="0068236B" w:rsidRDefault="006C4F55" w:rsidP="003037B7">
            <w:pPr>
              <w:spacing w:before="0" w:after="0"/>
              <w:jc w:val="center"/>
              <w:rPr>
                <w:rFonts w:cs="Tahoma"/>
                <w:b/>
              </w:rPr>
            </w:pPr>
            <w:r w:rsidRPr="0068236B">
              <w:rPr>
                <w:rFonts w:cs="Tahoma"/>
                <w:b/>
                <w:sz w:val="20"/>
              </w:rPr>
              <w:t>Approved By</w:t>
            </w:r>
          </w:p>
        </w:tc>
        <w:tc>
          <w:tcPr>
            <w:tcW w:w="1009" w:type="pct"/>
            <w:vAlign w:val="center"/>
          </w:tcPr>
          <w:p w14:paraId="6699B5C2" w14:textId="308568A2" w:rsidR="006C4F55" w:rsidRPr="0068236B" w:rsidRDefault="006C4F55" w:rsidP="003037B7">
            <w:pPr>
              <w:spacing w:before="0" w:after="0"/>
              <w:jc w:val="center"/>
              <w:rPr>
                <w:rFonts w:cs="Tahoma"/>
                <w:sz w:val="20"/>
                <w:szCs w:val="20"/>
              </w:rPr>
            </w:pPr>
          </w:p>
        </w:tc>
        <w:tc>
          <w:tcPr>
            <w:tcW w:w="1038" w:type="pct"/>
            <w:vAlign w:val="center"/>
          </w:tcPr>
          <w:p w14:paraId="31DEB1E3" w14:textId="77777777" w:rsidR="006C4F55" w:rsidRPr="0068236B" w:rsidRDefault="006C4F55" w:rsidP="003037B7">
            <w:pPr>
              <w:spacing w:before="0" w:after="0"/>
              <w:jc w:val="center"/>
              <w:rPr>
                <w:rFonts w:cs="Tahoma"/>
                <w:sz w:val="20"/>
              </w:rPr>
            </w:pPr>
          </w:p>
        </w:tc>
        <w:tc>
          <w:tcPr>
            <w:tcW w:w="1111" w:type="pct"/>
            <w:vAlign w:val="center"/>
          </w:tcPr>
          <w:p w14:paraId="475B2635" w14:textId="77777777" w:rsidR="006C4F55" w:rsidRPr="0068236B" w:rsidRDefault="006C4F55" w:rsidP="003037B7">
            <w:pPr>
              <w:spacing w:before="0" w:after="0"/>
              <w:jc w:val="center"/>
              <w:rPr>
                <w:rFonts w:cs="Tahoma"/>
                <w:sz w:val="20"/>
                <w:szCs w:val="20"/>
              </w:rPr>
            </w:pPr>
          </w:p>
        </w:tc>
        <w:tc>
          <w:tcPr>
            <w:tcW w:w="1036" w:type="pct"/>
            <w:vAlign w:val="center"/>
          </w:tcPr>
          <w:p w14:paraId="0ED5A9CE" w14:textId="77777777" w:rsidR="006C4F55" w:rsidRPr="0068236B" w:rsidRDefault="006C4F55" w:rsidP="003037B7">
            <w:pPr>
              <w:spacing w:before="0" w:after="0"/>
              <w:jc w:val="center"/>
              <w:rPr>
                <w:rFonts w:cs="Tahoma"/>
                <w:sz w:val="20"/>
              </w:rPr>
            </w:pPr>
          </w:p>
        </w:tc>
      </w:tr>
    </w:tbl>
    <w:p w14:paraId="6DCEB655" w14:textId="77777777" w:rsidR="008119E6" w:rsidRPr="0068236B" w:rsidRDefault="008119E6" w:rsidP="008119E6">
      <w:pPr>
        <w:rPr>
          <w:rFonts w:cs="Tahoma"/>
          <w:sz w:val="20"/>
        </w:rPr>
      </w:pPr>
    </w:p>
    <w:p w14:paraId="2E35D64A" w14:textId="77777777" w:rsidR="008119E6" w:rsidRPr="0068236B" w:rsidRDefault="008119E6" w:rsidP="00EB30A8">
      <w:pPr>
        <w:jc w:val="left"/>
        <w:rPr>
          <w:sz w:val="20"/>
        </w:rPr>
        <w:sectPr w:rsidR="008119E6" w:rsidRPr="0068236B" w:rsidSect="00C36C83">
          <w:headerReference w:type="even" r:id="rId24"/>
          <w:headerReference w:type="default" r:id="rId25"/>
          <w:footerReference w:type="even" r:id="rId26"/>
          <w:footerReference w:type="default" r:id="rId27"/>
          <w:headerReference w:type="first" r:id="rId28"/>
          <w:footerReference w:type="first" r:id="rId29"/>
          <w:pgSz w:w="11906" w:h="16838" w:code="9"/>
          <w:pgMar w:top="1310" w:right="1138" w:bottom="1138" w:left="1138" w:header="403" w:footer="403" w:gutter="0"/>
          <w:pgNumType w:start="1"/>
          <w:cols w:space="708"/>
          <w:titlePg/>
          <w:docGrid w:linePitch="360"/>
        </w:sectPr>
      </w:pPr>
    </w:p>
    <w:p w14:paraId="626A8EA7" w14:textId="77777777" w:rsidR="00F663CF" w:rsidRPr="0068236B" w:rsidRDefault="00F663CF" w:rsidP="00F663CF">
      <w:pPr>
        <w:spacing w:before="0"/>
        <w:jc w:val="center"/>
        <w:rPr>
          <w:b/>
          <w:color w:val="44697D"/>
          <w:sz w:val="32"/>
          <w:szCs w:val="32"/>
        </w:rPr>
      </w:pPr>
      <w:r w:rsidRPr="0068236B">
        <w:rPr>
          <w:b/>
          <w:color w:val="44697D"/>
          <w:sz w:val="32"/>
          <w:szCs w:val="32"/>
        </w:rPr>
        <w:lastRenderedPageBreak/>
        <w:t>Table of Contents</w:t>
      </w:r>
    </w:p>
    <w:p w14:paraId="390A2E09" w14:textId="77777777" w:rsidR="00B36385" w:rsidRDefault="00562304" w:rsidP="00623F2E">
      <w:pPr>
        <w:pStyle w:val="TOC1"/>
      </w:pPr>
      <w:r w:rsidRPr="0068236B">
        <w:rPr>
          <w:noProof w:val="0"/>
        </w:rPr>
        <w:tab/>
      </w:r>
      <w:r w:rsidR="00623F2E" w:rsidRPr="0068236B">
        <w:rPr>
          <w:noProof w:val="0"/>
        </w:rPr>
        <w:fldChar w:fldCharType="begin"/>
      </w:r>
      <w:r w:rsidR="00623F2E" w:rsidRPr="0068236B">
        <w:rPr>
          <w:noProof w:val="0"/>
        </w:rPr>
        <w:instrText xml:space="preserve"> TOC \o "1-3" \h \z \u </w:instrText>
      </w:r>
      <w:r w:rsidR="00623F2E" w:rsidRPr="0068236B">
        <w:rPr>
          <w:noProof w:val="0"/>
        </w:rPr>
        <w:fldChar w:fldCharType="separate"/>
      </w:r>
    </w:p>
    <w:p w14:paraId="5694DACC" w14:textId="77777777" w:rsidR="00B36385" w:rsidRDefault="00FD548C">
      <w:pPr>
        <w:pStyle w:val="TOC1"/>
        <w:rPr>
          <w:rFonts w:asciiTheme="minorHAnsi" w:eastAsiaTheme="minorEastAsia" w:hAnsiTheme="minorHAnsi" w:cstheme="minorBidi"/>
          <w:b w:val="0"/>
          <w:color w:val="auto"/>
          <w:sz w:val="22"/>
          <w:lang w:val="mk-MK" w:eastAsia="mk-MK"/>
        </w:rPr>
      </w:pPr>
      <w:hyperlink w:anchor="_Toc112852179" w:history="1">
        <w:r w:rsidR="00B36385" w:rsidRPr="001E7F57">
          <w:rPr>
            <w:rStyle w:val="Hyperlink"/>
          </w:rPr>
          <w:t>1.</w:t>
        </w:r>
        <w:r w:rsidR="00B36385">
          <w:rPr>
            <w:rFonts w:asciiTheme="minorHAnsi" w:eastAsiaTheme="minorEastAsia" w:hAnsiTheme="minorHAnsi" w:cstheme="minorBidi"/>
            <w:b w:val="0"/>
            <w:color w:val="auto"/>
            <w:sz w:val="22"/>
            <w:lang w:val="mk-MK" w:eastAsia="mk-MK"/>
          </w:rPr>
          <w:tab/>
        </w:r>
        <w:r w:rsidR="00B36385" w:rsidRPr="001E7F57">
          <w:rPr>
            <w:rStyle w:val="Hyperlink"/>
          </w:rPr>
          <w:t>Executive Summary</w:t>
        </w:r>
        <w:r w:rsidR="00B36385">
          <w:rPr>
            <w:webHidden/>
          </w:rPr>
          <w:tab/>
        </w:r>
        <w:r w:rsidR="00B36385">
          <w:rPr>
            <w:webHidden/>
          </w:rPr>
          <w:fldChar w:fldCharType="begin"/>
        </w:r>
        <w:r w:rsidR="00B36385">
          <w:rPr>
            <w:webHidden/>
          </w:rPr>
          <w:instrText xml:space="preserve"> PAGEREF _Toc112852179 \h </w:instrText>
        </w:r>
        <w:r w:rsidR="00B36385">
          <w:rPr>
            <w:webHidden/>
          </w:rPr>
        </w:r>
        <w:r w:rsidR="00B36385">
          <w:rPr>
            <w:webHidden/>
          </w:rPr>
          <w:fldChar w:fldCharType="separate"/>
        </w:r>
        <w:r w:rsidR="009F12BA">
          <w:rPr>
            <w:webHidden/>
          </w:rPr>
          <w:t>14</w:t>
        </w:r>
        <w:r w:rsidR="00B36385">
          <w:rPr>
            <w:webHidden/>
          </w:rPr>
          <w:fldChar w:fldCharType="end"/>
        </w:r>
      </w:hyperlink>
    </w:p>
    <w:p w14:paraId="279AA18C"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180" w:history="1">
        <w:r w:rsidR="00B36385" w:rsidRPr="001E7F57">
          <w:rPr>
            <w:rStyle w:val="Hyperlink"/>
            <w:rFonts w:cs="Tahoma"/>
          </w:rPr>
          <w:t>1.1</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Pr>
          <w:t>Objective of the Proposed Project</w:t>
        </w:r>
        <w:r w:rsidR="00B36385">
          <w:rPr>
            <w:webHidden/>
          </w:rPr>
          <w:tab/>
        </w:r>
        <w:r w:rsidR="00B36385">
          <w:rPr>
            <w:webHidden/>
          </w:rPr>
          <w:fldChar w:fldCharType="begin"/>
        </w:r>
        <w:r w:rsidR="00B36385">
          <w:rPr>
            <w:webHidden/>
          </w:rPr>
          <w:instrText xml:space="preserve"> PAGEREF _Toc112852180 \h </w:instrText>
        </w:r>
        <w:r w:rsidR="00B36385">
          <w:rPr>
            <w:webHidden/>
          </w:rPr>
        </w:r>
        <w:r w:rsidR="00B36385">
          <w:rPr>
            <w:webHidden/>
          </w:rPr>
          <w:fldChar w:fldCharType="separate"/>
        </w:r>
        <w:r w:rsidR="009F12BA">
          <w:rPr>
            <w:webHidden/>
          </w:rPr>
          <w:t>14</w:t>
        </w:r>
        <w:r w:rsidR="00B36385">
          <w:rPr>
            <w:webHidden/>
          </w:rPr>
          <w:fldChar w:fldCharType="end"/>
        </w:r>
      </w:hyperlink>
    </w:p>
    <w:p w14:paraId="72343EBD"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181" w:history="1">
        <w:r w:rsidR="00B36385" w:rsidRPr="001E7F57">
          <w:rPr>
            <w:rStyle w:val="Hyperlink"/>
            <w:rFonts w:cs="Tahoma"/>
          </w:rPr>
          <w:t>1.2</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Pr>
          <w:t>Project Developer</w:t>
        </w:r>
        <w:r w:rsidR="00B36385">
          <w:rPr>
            <w:webHidden/>
          </w:rPr>
          <w:tab/>
        </w:r>
        <w:r w:rsidR="00B36385">
          <w:rPr>
            <w:webHidden/>
          </w:rPr>
          <w:fldChar w:fldCharType="begin"/>
        </w:r>
        <w:r w:rsidR="00B36385">
          <w:rPr>
            <w:webHidden/>
          </w:rPr>
          <w:instrText xml:space="preserve"> PAGEREF _Toc112852181 \h </w:instrText>
        </w:r>
        <w:r w:rsidR="00B36385">
          <w:rPr>
            <w:webHidden/>
          </w:rPr>
        </w:r>
        <w:r w:rsidR="00B36385">
          <w:rPr>
            <w:webHidden/>
          </w:rPr>
          <w:fldChar w:fldCharType="separate"/>
        </w:r>
        <w:r w:rsidR="009F12BA">
          <w:rPr>
            <w:webHidden/>
          </w:rPr>
          <w:t>14</w:t>
        </w:r>
        <w:r w:rsidR="00B36385">
          <w:rPr>
            <w:webHidden/>
          </w:rPr>
          <w:fldChar w:fldCharType="end"/>
        </w:r>
      </w:hyperlink>
    </w:p>
    <w:p w14:paraId="5957D26B"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182" w:history="1">
        <w:r w:rsidR="00B36385" w:rsidRPr="001E7F57">
          <w:rPr>
            <w:rStyle w:val="Hyperlink"/>
            <w:rFonts w:cs="Tahoma"/>
          </w:rPr>
          <w:t>1.3</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Pr>
          <w:t>Need for the Proposed Project</w:t>
        </w:r>
        <w:r w:rsidR="00B36385">
          <w:rPr>
            <w:webHidden/>
          </w:rPr>
          <w:tab/>
        </w:r>
        <w:r w:rsidR="00B36385">
          <w:rPr>
            <w:webHidden/>
          </w:rPr>
          <w:fldChar w:fldCharType="begin"/>
        </w:r>
        <w:r w:rsidR="00B36385">
          <w:rPr>
            <w:webHidden/>
          </w:rPr>
          <w:instrText xml:space="preserve"> PAGEREF _Toc112852182 \h </w:instrText>
        </w:r>
        <w:r w:rsidR="00B36385">
          <w:rPr>
            <w:webHidden/>
          </w:rPr>
        </w:r>
        <w:r w:rsidR="00B36385">
          <w:rPr>
            <w:webHidden/>
          </w:rPr>
          <w:fldChar w:fldCharType="separate"/>
        </w:r>
        <w:r w:rsidR="009F12BA">
          <w:rPr>
            <w:webHidden/>
          </w:rPr>
          <w:t>14</w:t>
        </w:r>
        <w:r w:rsidR="00B36385">
          <w:rPr>
            <w:webHidden/>
          </w:rPr>
          <w:fldChar w:fldCharType="end"/>
        </w:r>
      </w:hyperlink>
    </w:p>
    <w:p w14:paraId="19303328"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183" w:history="1">
        <w:r w:rsidR="00B36385" w:rsidRPr="001E7F57">
          <w:rPr>
            <w:rStyle w:val="Hyperlink"/>
            <w:rFonts w:cs="Tahoma"/>
          </w:rPr>
          <w:t>1.4</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Pr>
          <w:t>Purpose and Structure of the Report</w:t>
        </w:r>
        <w:r w:rsidR="00B36385">
          <w:rPr>
            <w:webHidden/>
          </w:rPr>
          <w:tab/>
        </w:r>
        <w:r w:rsidR="00B36385">
          <w:rPr>
            <w:webHidden/>
          </w:rPr>
          <w:fldChar w:fldCharType="begin"/>
        </w:r>
        <w:r w:rsidR="00B36385">
          <w:rPr>
            <w:webHidden/>
          </w:rPr>
          <w:instrText xml:space="preserve"> PAGEREF _Toc112852183 \h </w:instrText>
        </w:r>
        <w:r w:rsidR="00B36385">
          <w:rPr>
            <w:webHidden/>
          </w:rPr>
        </w:r>
        <w:r w:rsidR="00B36385">
          <w:rPr>
            <w:webHidden/>
          </w:rPr>
          <w:fldChar w:fldCharType="separate"/>
        </w:r>
        <w:r w:rsidR="009F12BA">
          <w:rPr>
            <w:webHidden/>
          </w:rPr>
          <w:t>15</w:t>
        </w:r>
        <w:r w:rsidR="00B36385">
          <w:rPr>
            <w:webHidden/>
          </w:rPr>
          <w:fldChar w:fldCharType="end"/>
        </w:r>
      </w:hyperlink>
    </w:p>
    <w:p w14:paraId="692748AA"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184" w:history="1">
        <w:r w:rsidR="00B36385" w:rsidRPr="001E7F57">
          <w:rPr>
            <w:rStyle w:val="Hyperlink"/>
            <w:rFonts w:cs="Tahoma"/>
          </w:rPr>
          <w:t>1.5</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Pr>
          <w:t>Project Design Status and Level of Details</w:t>
        </w:r>
        <w:r w:rsidR="00B36385">
          <w:rPr>
            <w:webHidden/>
          </w:rPr>
          <w:tab/>
        </w:r>
        <w:r w:rsidR="00B36385">
          <w:rPr>
            <w:webHidden/>
          </w:rPr>
          <w:fldChar w:fldCharType="begin"/>
        </w:r>
        <w:r w:rsidR="00B36385">
          <w:rPr>
            <w:webHidden/>
          </w:rPr>
          <w:instrText xml:space="preserve"> PAGEREF _Toc112852184 \h </w:instrText>
        </w:r>
        <w:r w:rsidR="00B36385">
          <w:rPr>
            <w:webHidden/>
          </w:rPr>
        </w:r>
        <w:r w:rsidR="00B36385">
          <w:rPr>
            <w:webHidden/>
          </w:rPr>
          <w:fldChar w:fldCharType="separate"/>
        </w:r>
        <w:r w:rsidR="009F12BA">
          <w:rPr>
            <w:webHidden/>
          </w:rPr>
          <w:t>16</w:t>
        </w:r>
        <w:r w:rsidR="00B36385">
          <w:rPr>
            <w:webHidden/>
          </w:rPr>
          <w:fldChar w:fldCharType="end"/>
        </w:r>
      </w:hyperlink>
    </w:p>
    <w:p w14:paraId="231B985F"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185" w:history="1">
        <w:r w:rsidR="00B36385" w:rsidRPr="001E7F57">
          <w:rPr>
            <w:rStyle w:val="Hyperlink"/>
            <w:rFonts w:cs="Tahoma"/>
          </w:rPr>
          <w:t>1.6</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Pr>
          <w:t>The Proposed Project</w:t>
        </w:r>
        <w:r w:rsidR="00B36385">
          <w:rPr>
            <w:webHidden/>
          </w:rPr>
          <w:tab/>
        </w:r>
        <w:r w:rsidR="00B36385">
          <w:rPr>
            <w:webHidden/>
          </w:rPr>
          <w:fldChar w:fldCharType="begin"/>
        </w:r>
        <w:r w:rsidR="00B36385">
          <w:rPr>
            <w:webHidden/>
          </w:rPr>
          <w:instrText xml:space="preserve"> PAGEREF _Toc112852185 \h </w:instrText>
        </w:r>
        <w:r w:rsidR="00B36385">
          <w:rPr>
            <w:webHidden/>
          </w:rPr>
        </w:r>
        <w:r w:rsidR="00B36385">
          <w:rPr>
            <w:webHidden/>
          </w:rPr>
          <w:fldChar w:fldCharType="separate"/>
        </w:r>
        <w:r w:rsidR="009F12BA">
          <w:rPr>
            <w:webHidden/>
          </w:rPr>
          <w:t>17</w:t>
        </w:r>
        <w:r w:rsidR="00B36385">
          <w:rPr>
            <w:webHidden/>
          </w:rPr>
          <w:fldChar w:fldCharType="end"/>
        </w:r>
      </w:hyperlink>
    </w:p>
    <w:p w14:paraId="74B13C97" w14:textId="77777777" w:rsidR="00B36385" w:rsidRDefault="00FD548C">
      <w:pPr>
        <w:pStyle w:val="TOC3"/>
        <w:rPr>
          <w:rFonts w:asciiTheme="minorHAnsi" w:eastAsiaTheme="minorEastAsia" w:hAnsiTheme="minorHAnsi" w:cstheme="minorBidi"/>
          <w:sz w:val="22"/>
          <w:szCs w:val="22"/>
          <w:lang w:val="mk-MK" w:eastAsia="mk-MK"/>
        </w:rPr>
      </w:pPr>
      <w:hyperlink w:anchor="_Toc112852186" w:history="1">
        <w:r w:rsidR="00B36385" w:rsidRPr="001E7F57">
          <w:rPr>
            <w:rStyle w:val="Hyperlink"/>
          </w:rPr>
          <w:t>1.6.1</w:t>
        </w:r>
        <w:r w:rsidR="00B36385">
          <w:rPr>
            <w:rFonts w:asciiTheme="minorHAnsi" w:eastAsiaTheme="minorEastAsia" w:hAnsiTheme="minorHAnsi" w:cstheme="minorBidi"/>
            <w:sz w:val="22"/>
            <w:szCs w:val="22"/>
            <w:lang w:val="mk-MK" w:eastAsia="mk-MK"/>
          </w:rPr>
          <w:tab/>
        </w:r>
        <w:r w:rsidR="00B36385" w:rsidRPr="001E7F57">
          <w:rPr>
            <w:rStyle w:val="Hyperlink"/>
          </w:rPr>
          <w:t>Project Location</w:t>
        </w:r>
        <w:r w:rsidR="00B36385">
          <w:rPr>
            <w:webHidden/>
          </w:rPr>
          <w:tab/>
        </w:r>
        <w:r w:rsidR="00B36385">
          <w:rPr>
            <w:webHidden/>
          </w:rPr>
          <w:fldChar w:fldCharType="begin"/>
        </w:r>
        <w:r w:rsidR="00B36385">
          <w:rPr>
            <w:webHidden/>
          </w:rPr>
          <w:instrText xml:space="preserve"> PAGEREF _Toc112852186 \h </w:instrText>
        </w:r>
        <w:r w:rsidR="00B36385">
          <w:rPr>
            <w:webHidden/>
          </w:rPr>
        </w:r>
        <w:r w:rsidR="00B36385">
          <w:rPr>
            <w:webHidden/>
          </w:rPr>
          <w:fldChar w:fldCharType="separate"/>
        </w:r>
        <w:r w:rsidR="009F12BA">
          <w:rPr>
            <w:webHidden/>
          </w:rPr>
          <w:t>17</w:t>
        </w:r>
        <w:r w:rsidR="00B36385">
          <w:rPr>
            <w:webHidden/>
          </w:rPr>
          <w:fldChar w:fldCharType="end"/>
        </w:r>
      </w:hyperlink>
    </w:p>
    <w:p w14:paraId="4E6E6304" w14:textId="77777777" w:rsidR="00B36385" w:rsidRDefault="00FD548C">
      <w:pPr>
        <w:pStyle w:val="TOC3"/>
        <w:rPr>
          <w:rFonts w:asciiTheme="minorHAnsi" w:eastAsiaTheme="minorEastAsia" w:hAnsiTheme="minorHAnsi" w:cstheme="minorBidi"/>
          <w:sz w:val="22"/>
          <w:szCs w:val="22"/>
          <w:lang w:val="mk-MK" w:eastAsia="mk-MK"/>
        </w:rPr>
      </w:pPr>
      <w:hyperlink w:anchor="_Toc112852187" w:history="1">
        <w:r w:rsidR="00B36385" w:rsidRPr="001E7F57">
          <w:rPr>
            <w:rStyle w:val="Hyperlink"/>
            <w:rFonts w:cs="Tahoma"/>
          </w:rPr>
          <w:t>1.6.2</w:t>
        </w:r>
        <w:r w:rsidR="00B36385">
          <w:rPr>
            <w:rFonts w:asciiTheme="minorHAnsi" w:eastAsiaTheme="minorEastAsia" w:hAnsiTheme="minorHAnsi" w:cstheme="minorBidi"/>
            <w:sz w:val="22"/>
            <w:szCs w:val="22"/>
            <w:lang w:val="mk-MK" w:eastAsia="mk-MK"/>
          </w:rPr>
          <w:tab/>
        </w:r>
        <w:r w:rsidR="00B36385" w:rsidRPr="001E7F57">
          <w:rPr>
            <w:rStyle w:val="Hyperlink"/>
          </w:rPr>
          <w:t>Project Elements</w:t>
        </w:r>
        <w:r w:rsidR="00B36385">
          <w:rPr>
            <w:webHidden/>
          </w:rPr>
          <w:tab/>
        </w:r>
        <w:r w:rsidR="00B36385">
          <w:rPr>
            <w:webHidden/>
          </w:rPr>
          <w:fldChar w:fldCharType="begin"/>
        </w:r>
        <w:r w:rsidR="00B36385">
          <w:rPr>
            <w:webHidden/>
          </w:rPr>
          <w:instrText xml:space="preserve"> PAGEREF _Toc112852187 \h </w:instrText>
        </w:r>
        <w:r w:rsidR="00B36385">
          <w:rPr>
            <w:webHidden/>
          </w:rPr>
        </w:r>
        <w:r w:rsidR="00B36385">
          <w:rPr>
            <w:webHidden/>
          </w:rPr>
          <w:fldChar w:fldCharType="separate"/>
        </w:r>
        <w:r w:rsidR="009F12BA">
          <w:rPr>
            <w:webHidden/>
          </w:rPr>
          <w:t>19</w:t>
        </w:r>
        <w:r w:rsidR="00B36385">
          <w:rPr>
            <w:webHidden/>
          </w:rPr>
          <w:fldChar w:fldCharType="end"/>
        </w:r>
      </w:hyperlink>
    </w:p>
    <w:p w14:paraId="7BD97B86"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188" w:history="1">
        <w:r w:rsidR="00B36385" w:rsidRPr="001E7F57">
          <w:rPr>
            <w:rStyle w:val="Hyperlink"/>
            <w:rFonts w:cs="Tahoma"/>
          </w:rPr>
          <w:t>1.7</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Pr>
          <w:t>Right of Way</w:t>
        </w:r>
        <w:r w:rsidR="00B36385">
          <w:rPr>
            <w:webHidden/>
          </w:rPr>
          <w:tab/>
        </w:r>
        <w:r w:rsidR="00B36385">
          <w:rPr>
            <w:webHidden/>
          </w:rPr>
          <w:fldChar w:fldCharType="begin"/>
        </w:r>
        <w:r w:rsidR="00B36385">
          <w:rPr>
            <w:webHidden/>
          </w:rPr>
          <w:instrText xml:space="preserve"> PAGEREF _Toc112852188 \h </w:instrText>
        </w:r>
        <w:r w:rsidR="00B36385">
          <w:rPr>
            <w:webHidden/>
          </w:rPr>
        </w:r>
        <w:r w:rsidR="00B36385">
          <w:rPr>
            <w:webHidden/>
          </w:rPr>
          <w:fldChar w:fldCharType="separate"/>
        </w:r>
        <w:r w:rsidR="009F12BA">
          <w:rPr>
            <w:webHidden/>
          </w:rPr>
          <w:t>24</w:t>
        </w:r>
        <w:r w:rsidR="00B36385">
          <w:rPr>
            <w:webHidden/>
          </w:rPr>
          <w:fldChar w:fldCharType="end"/>
        </w:r>
      </w:hyperlink>
    </w:p>
    <w:p w14:paraId="6164B32C"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189" w:history="1">
        <w:r w:rsidR="00B36385" w:rsidRPr="001E7F57">
          <w:rPr>
            <w:rStyle w:val="Hyperlink"/>
            <w:rFonts w:cs="Tahoma"/>
          </w:rPr>
          <w:t>1.8</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Pr>
          <w:t>Alternatives Considered and Selection of Preferred Option</w:t>
        </w:r>
        <w:r w:rsidR="00B36385">
          <w:rPr>
            <w:webHidden/>
          </w:rPr>
          <w:tab/>
        </w:r>
        <w:r w:rsidR="00B36385">
          <w:rPr>
            <w:webHidden/>
          </w:rPr>
          <w:fldChar w:fldCharType="begin"/>
        </w:r>
        <w:r w:rsidR="00B36385">
          <w:rPr>
            <w:webHidden/>
          </w:rPr>
          <w:instrText xml:space="preserve"> PAGEREF _Toc112852189 \h </w:instrText>
        </w:r>
        <w:r w:rsidR="00B36385">
          <w:rPr>
            <w:webHidden/>
          </w:rPr>
        </w:r>
        <w:r w:rsidR="00B36385">
          <w:rPr>
            <w:webHidden/>
          </w:rPr>
          <w:fldChar w:fldCharType="separate"/>
        </w:r>
        <w:r w:rsidR="009F12BA">
          <w:rPr>
            <w:webHidden/>
          </w:rPr>
          <w:t>25</w:t>
        </w:r>
        <w:r w:rsidR="00B36385">
          <w:rPr>
            <w:webHidden/>
          </w:rPr>
          <w:fldChar w:fldCharType="end"/>
        </w:r>
      </w:hyperlink>
    </w:p>
    <w:p w14:paraId="6F3A839C" w14:textId="77777777" w:rsidR="00B36385" w:rsidRDefault="00FD548C">
      <w:pPr>
        <w:pStyle w:val="TOC3"/>
        <w:rPr>
          <w:rFonts w:asciiTheme="minorHAnsi" w:eastAsiaTheme="minorEastAsia" w:hAnsiTheme="minorHAnsi" w:cstheme="minorBidi"/>
          <w:sz w:val="22"/>
          <w:szCs w:val="22"/>
          <w:lang w:val="mk-MK" w:eastAsia="mk-MK"/>
        </w:rPr>
      </w:pPr>
      <w:hyperlink w:anchor="_Toc112852190" w:history="1">
        <w:r w:rsidR="00B36385" w:rsidRPr="001E7F57">
          <w:rPr>
            <w:rStyle w:val="Hyperlink"/>
          </w:rPr>
          <w:t>1.8.1</w:t>
        </w:r>
        <w:r w:rsidR="00B36385">
          <w:rPr>
            <w:rFonts w:asciiTheme="minorHAnsi" w:eastAsiaTheme="minorEastAsia" w:hAnsiTheme="minorHAnsi" w:cstheme="minorBidi"/>
            <w:sz w:val="22"/>
            <w:szCs w:val="22"/>
            <w:lang w:val="mk-MK" w:eastAsia="mk-MK"/>
          </w:rPr>
          <w:tab/>
        </w:r>
        <w:r w:rsidR="00B36385" w:rsidRPr="001E7F57">
          <w:rPr>
            <w:rStyle w:val="Hyperlink"/>
          </w:rPr>
          <w:t>No Project Option</w:t>
        </w:r>
        <w:r w:rsidR="00B36385">
          <w:rPr>
            <w:webHidden/>
          </w:rPr>
          <w:tab/>
        </w:r>
        <w:r w:rsidR="00B36385">
          <w:rPr>
            <w:webHidden/>
          </w:rPr>
          <w:fldChar w:fldCharType="begin"/>
        </w:r>
        <w:r w:rsidR="00B36385">
          <w:rPr>
            <w:webHidden/>
          </w:rPr>
          <w:instrText xml:space="preserve"> PAGEREF _Toc112852190 \h </w:instrText>
        </w:r>
        <w:r w:rsidR="00B36385">
          <w:rPr>
            <w:webHidden/>
          </w:rPr>
        </w:r>
        <w:r w:rsidR="00B36385">
          <w:rPr>
            <w:webHidden/>
          </w:rPr>
          <w:fldChar w:fldCharType="separate"/>
        </w:r>
        <w:r w:rsidR="009F12BA">
          <w:rPr>
            <w:webHidden/>
          </w:rPr>
          <w:t>25</w:t>
        </w:r>
        <w:r w:rsidR="00B36385">
          <w:rPr>
            <w:webHidden/>
          </w:rPr>
          <w:fldChar w:fldCharType="end"/>
        </w:r>
      </w:hyperlink>
    </w:p>
    <w:p w14:paraId="32D7F5B4" w14:textId="77777777" w:rsidR="00B36385" w:rsidRDefault="00FD548C">
      <w:pPr>
        <w:pStyle w:val="TOC3"/>
        <w:rPr>
          <w:rFonts w:asciiTheme="minorHAnsi" w:eastAsiaTheme="minorEastAsia" w:hAnsiTheme="minorHAnsi" w:cstheme="minorBidi"/>
          <w:sz w:val="22"/>
          <w:szCs w:val="22"/>
          <w:lang w:val="mk-MK" w:eastAsia="mk-MK"/>
        </w:rPr>
      </w:pPr>
      <w:hyperlink w:anchor="_Toc112852191" w:history="1">
        <w:r w:rsidR="00B36385" w:rsidRPr="001E7F57">
          <w:rPr>
            <w:rStyle w:val="Hyperlink"/>
          </w:rPr>
          <w:t>1.8.2</w:t>
        </w:r>
        <w:r w:rsidR="00B36385">
          <w:rPr>
            <w:rFonts w:asciiTheme="minorHAnsi" w:eastAsiaTheme="minorEastAsia" w:hAnsiTheme="minorHAnsi" w:cstheme="minorBidi"/>
            <w:sz w:val="22"/>
            <w:szCs w:val="22"/>
            <w:lang w:val="mk-MK" w:eastAsia="mk-MK"/>
          </w:rPr>
          <w:tab/>
        </w:r>
        <w:r w:rsidR="00B36385" w:rsidRPr="001E7F57">
          <w:rPr>
            <w:rStyle w:val="Hyperlink"/>
          </w:rPr>
          <w:t>Project Options</w:t>
        </w:r>
        <w:r w:rsidR="00B36385">
          <w:rPr>
            <w:webHidden/>
          </w:rPr>
          <w:tab/>
        </w:r>
        <w:r w:rsidR="00B36385">
          <w:rPr>
            <w:webHidden/>
          </w:rPr>
          <w:fldChar w:fldCharType="begin"/>
        </w:r>
        <w:r w:rsidR="00B36385">
          <w:rPr>
            <w:webHidden/>
          </w:rPr>
          <w:instrText xml:space="preserve"> PAGEREF _Toc112852191 \h </w:instrText>
        </w:r>
        <w:r w:rsidR="00B36385">
          <w:rPr>
            <w:webHidden/>
          </w:rPr>
        </w:r>
        <w:r w:rsidR="00B36385">
          <w:rPr>
            <w:webHidden/>
          </w:rPr>
          <w:fldChar w:fldCharType="separate"/>
        </w:r>
        <w:r w:rsidR="009F12BA">
          <w:rPr>
            <w:webHidden/>
          </w:rPr>
          <w:t>26</w:t>
        </w:r>
        <w:r w:rsidR="00B36385">
          <w:rPr>
            <w:webHidden/>
          </w:rPr>
          <w:fldChar w:fldCharType="end"/>
        </w:r>
      </w:hyperlink>
    </w:p>
    <w:p w14:paraId="21F9C1CD" w14:textId="77777777" w:rsidR="00B36385" w:rsidRDefault="00FD548C">
      <w:pPr>
        <w:pStyle w:val="TOC3"/>
        <w:rPr>
          <w:rFonts w:asciiTheme="minorHAnsi" w:eastAsiaTheme="minorEastAsia" w:hAnsiTheme="minorHAnsi" w:cstheme="minorBidi"/>
          <w:sz w:val="22"/>
          <w:szCs w:val="22"/>
          <w:lang w:val="mk-MK" w:eastAsia="mk-MK"/>
        </w:rPr>
      </w:pPr>
      <w:hyperlink w:anchor="_Toc112852192" w:history="1">
        <w:r w:rsidR="00B36385" w:rsidRPr="001E7F57">
          <w:rPr>
            <w:rStyle w:val="Hyperlink"/>
          </w:rPr>
          <w:t>1.8.3</w:t>
        </w:r>
        <w:r w:rsidR="00B36385">
          <w:rPr>
            <w:rFonts w:asciiTheme="minorHAnsi" w:eastAsiaTheme="minorEastAsia" w:hAnsiTheme="minorHAnsi" w:cstheme="minorBidi"/>
            <w:sz w:val="22"/>
            <w:szCs w:val="22"/>
            <w:lang w:val="mk-MK" w:eastAsia="mk-MK"/>
          </w:rPr>
          <w:tab/>
        </w:r>
        <w:r w:rsidR="00B36385" w:rsidRPr="001E7F57">
          <w:rPr>
            <w:rStyle w:val="Hyperlink"/>
          </w:rPr>
          <w:t>Description of the Options</w:t>
        </w:r>
        <w:r w:rsidR="00B36385">
          <w:rPr>
            <w:webHidden/>
          </w:rPr>
          <w:tab/>
        </w:r>
        <w:r w:rsidR="00B36385">
          <w:rPr>
            <w:webHidden/>
          </w:rPr>
          <w:fldChar w:fldCharType="begin"/>
        </w:r>
        <w:r w:rsidR="00B36385">
          <w:rPr>
            <w:webHidden/>
          </w:rPr>
          <w:instrText xml:space="preserve"> PAGEREF _Toc112852192 \h </w:instrText>
        </w:r>
        <w:r w:rsidR="00B36385">
          <w:rPr>
            <w:webHidden/>
          </w:rPr>
        </w:r>
        <w:r w:rsidR="00B36385">
          <w:rPr>
            <w:webHidden/>
          </w:rPr>
          <w:fldChar w:fldCharType="separate"/>
        </w:r>
        <w:r w:rsidR="009F12BA">
          <w:rPr>
            <w:webHidden/>
          </w:rPr>
          <w:t>28</w:t>
        </w:r>
        <w:r w:rsidR="00B36385">
          <w:rPr>
            <w:webHidden/>
          </w:rPr>
          <w:fldChar w:fldCharType="end"/>
        </w:r>
      </w:hyperlink>
    </w:p>
    <w:p w14:paraId="058C8CEC" w14:textId="77777777" w:rsidR="00B36385" w:rsidRDefault="00FD548C">
      <w:pPr>
        <w:pStyle w:val="TOC3"/>
        <w:rPr>
          <w:rFonts w:asciiTheme="minorHAnsi" w:eastAsiaTheme="minorEastAsia" w:hAnsiTheme="minorHAnsi" w:cstheme="minorBidi"/>
          <w:sz w:val="22"/>
          <w:szCs w:val="22"/>
          <w:lang w:val="mk-MK" w:eastAsia="mk-MK"/>
        </w:rPr>
      </w:pPr>
      <w:hyperlink w:anchor="_Toc112852193" w:history="1">
        <w:r w:rsidR="00B36385" w:rsidRPr="001E7F57">
          <w:rPr>
            <w:rStyle w:val="Hyperlink"/>
          </w:rPr>
          <w:t>1.8.4</w:t>
        </w:r>
        <w:r w:rsidR="00B36385">
          <w:rPr>
            <w:rFonts w:asciiTheme="minorHAnsi" w:eastAsiaTheme="minorEastAsia" w:hAnsiTheme="minorHAnsi" w:cstheme="minorBidi"/>
            <w:sz w:val="22"/>
            <w:szCs w:val="22"/>
            <w:lang w:val="mk-MK" w:eastAsia="mk-MK"/>
          </w:rPr>
          <w:tab/>
        </w:r>
        <w:r w:rsidR="00B36385" w:rsidRPr="001E7F57">
          <w:rPr>
            <w:rStyle w:val="Hyperlink"/>
          </w:rPr>
          <w:t>Evaluation of Options - Multi-Criteria Analysis</w:t>
        </w:r>
        <w:r w:rsidR="00B36385">
          <w:rPr>
            <w:webHidden/>
          </w:rPr>
          <w:tab/>
        </w:r>
        <w:r w:rsidR="00B36385">
          <w:rPr>
            <w:webHidden/>
          </w:rPr>
          <w:fldChar w:fldCharType="begin"/>
        </w:r>
        <w:r w:rsidR="00B36385">
          <w:rPr>
            <w:webHidden/>
          </w:rPr>
          <w:instrText xml:space="preserve"> PAGEREF _Toc112852193 \h </w:instrText>
        </w:r>
        <w:r w:rsidR="00B36385">
          <w:rPr>
            <w:webHidden/>
          </w:rPr>
        </w:r>
        <w:r w:rsidR="00B36385">
          <w:rPr>
            <w:webHidden/>
          </w:rPr>
          <w:fldChar w:fldCharType="separate"/>
        </w:r>
        <w:r w:rsidR="009F12BA">
          <w:rPr>
            <w:webHidden/>
          </w:rPr>
          <w:t>31</w:t>
        </w:r>
        <w:r w:rsidR="00B36385">
          <w:rPr>
            <w:webHidden/>
          </w:rPr>
          <w:fldChar w:fldCharType="end"/>
        </w:r>
      </w:hyperlink>
    </w:p>
    <w:p w14:paraId="7C06FD17" w14:textId="77777777" w:rsidR="00B36385" w:rsidRDefault="00FD548C">
      <w:pPr>
        <w:pStyle w:val="TOC3"/>
        <w:rPr>
          <w:rFonts w:asciiTheme="minorHAnsi" w:eastAsiaTheme="minorEastAsia" w:hAnsiTheme="minorHAnsi" w:cstheme="minorBidi"/>
          <w:sz w:val="22"/>
          <w:szCs w:val="22"/>
          <w:lang w:val="mk-MK" w:eastAsia="mk-MK"/>
        </w:rPr>
      </w:pPr>
      <w:hyperlink w:anchor="_Toc112852194" w:history="1">
        <w:r w:rsidR="00B36385" w:rsidRPr="001E7F57">
          <w:rPr>
            <w:rStyle w:val="Hyperlink"/>
            <w:rFonts w:cs="Tahoma"/>
          </w:rPr>
          <w:t>1.8.5</w:t>
        </w:r>
        <w:r w:rsidR="00B36385">
          <w:rPr>
            <w:rFonts w:asciiTheme="minorHAnsi" w:eastAsiaTheme="minorEastAsia" w:hAnsiTheme="minorHAnsi" w:cstheme="minorBidi"/>
            <w:sz w:val="22"/>
            <w:szCs w:val="22"/>
            <w:lang w:val="mk-MK" w:eastAsia="mk-MK"/>
          </w:rPr>
          <w:tab/>
        </w:r>
        <w:r w:rsidR="00B36385" w:rsidRPr="001E7F57">
          <w:rPr>
            <w:rStyle w:val="Hyperlink"/>
          </w:rPr>
          <w:t>Selection of Preferred Option</w:t>
        </w:r>
        <w:r w:rsidR="00B36385">
          <w:rPr>
            <w:webHidden/>
          </w:rPr>
          <w:tab/>
        </w:r>
        <w:r w:rsidR="00B36385">
          <w:rPr>
            <w:webHidden/>
          </w:rPr>
          <w:fldChar w:fldCharType="begin"/>
        </w:r>
        <w:r w:rsidR="00B36385">
          <w:rPr>
            <w:webHidden/>
          </w:rPr>
          <w:instrText xml:space="preserve"> PAGEREF _Toc112852194 \h </w:instrText>
        </w:r>
        <w:r w:rsidR="00B36385">
          <w:rPr>
            <w:webHidden/>
          </w:rPr>
        </w:r>
        <w:r w:rsidR="00B36385">
          <w:rPr>
            <w:webHidden/>
          </w:rPr>
          <w:fldChar w:fldCharType="separate"/>
        </w:r>
        <w:r w:rsidR="009F12BA">
          <w:rPr>
            <w:webHidden/>
          </w:rPr>
          <w:t>33</w:t>
        </w:r>
        <w:r w:rsidR="00B36385">
          <w:rPr>
            <w:webHidden/>
          </w:rPr>
          <w:fldChar w:fldCharType="end"/>
        </w:r>
      </w:hyperlink>
    </w:p>
    <w:p w14:paraId="332866E0"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195" w:history="1">
        <w:r w:rsidR="00B36385" w:rsidRPr="001E7F57">
          <w:rPr>
            <w:rStyle w:val="Hyperlink"/>
            <w:rFonts w:cs="Tahoma"/>
          </w:rPr>
          <w:t>1.9</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Pr>
          <w:t>Project Category</w:t>
        </w:r>
        <w:r w:rsidR="00B36385">
          <w:rPr>
            <w:webHidden/>
          </w:rPr>
          <w:tab/>
        </w:r>
        <w:r w:rsidR="00B36385">
          <w:rPr>
            <w:webHidden/>
          </w:rPr>
          <w:fldChar w:fldCharType="begin"/>
        </w:r>
        <w:r w:rsidR="00B36385">
          <w:rPr>
            <w:webHidden/>
          </w:rPr>
          <w:instrText xml:space="preserve"> PAGEREF _Toc112852195 \h </w:instrText>
        </w:r>
        <w:r w:rsidR="00B36385">
          <w:rPr>
            <w:webHidden/>
          </w:rPr>
        </w:r>
        <w:r w:rsidR="00B36385">
          <w:rPr>
            <w:webHidden/>
          </w:rPr>
          <w:fldChar w:fldCharType="separate"/>
        </w:r>
        <w:r w:rsidR="009F12BA">
          <w:rPr>
            <w:webHidden/>
          </w:rPr>
          <w:t>34</w:t>
        </w:r>
        <w:r w:rsidR="00B36385">
          <w:rPr>
            <w:webHidden/>
          </w:rPr>
          <w:fldChar w:fldCharType="end"/>
        </w:r>
      </w:hyperlink>
    </w:p>
    <w:p w14:paraId="2FFF5B18"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196" w:history="1">
        <w:r w:rsidR="00B36385" w:rsidRPr="001E7F57">
          <w:rPr>
            <w:rStyle w:val="Hyperlink"/>
            <w:rFonts w:cs="Tahoma"/>
          </w:rPr>
          <w:t>1.10</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Pr>
          <w:t>Environmental and Social Assessment Summary</w:t>
        </w:r>
        <w:r w:rsidR="00B36385">
          <w:rPr>
            <w:webHidden/>
          </w:rPr>
          <w:tab/>
        </w:r>
        <w:r w:rsidR="00B36385">
          <w:rPr>
            <w:webHidden/>
          </w:rPr>
          <w:fldChar w:fldCharType="begin"/>
        </w:r>
        <w:r w:rsidR="00B36385">
          <w:rPr>
            <w:webHidden/>
          </w:rPr>
          <w:instrText xml:space="preserve"> PAGEREF _Toc112852196 \h </w:instrText>
        </w:r>
        <w:r w:rsidR="00B36385">
          <w:rPr>
            <w:webHidden/>
          </w:rPr>
        </w:r>
        <w:r w:rsidR="00B36385">
          <w:rPr>
            <w:webHidden/>
          </w:rPr>
          <w:fldChar w:fldCharType="separate"/>
        </w:r>
        <w:r w:rsidR="009F12BA">
          <w:rPr>
            <w:webHidden/>
          </w:rPr>
          <w:t>35</w:t>
        </w:r>
        <w:r w:rsidR="00B36385">
          <w:rPr>
            <w:webHidden/>
          </w:rPr>
          <w:fldChar w:fldCharType="end"/>
        </w:r>
      </w:hyperlink>
    </w:p>
    <w:p w14:paraId="725678A3" w14:textId="77777777" w:rsidR="00B36385" w:rsidRDefault="00FD548C">
      <w:pPr>
        <w:pStyle w:val="TOC1"/>
        <w:rPr>
          <w:rFonts w:asciiTheme="minorHAnsi" w:eastAsiaTheme="minorEastAsia" w:hAnsiTheme="minorHAnsi" w:cstheme="minorBidi"/>
          <w:b w:val="0"/>
          <w:color w:val="auto"/>
          <w:sz w:val="22"/>
          <w:lang w:val="mk-MK" w:eastAsia="mk-MK"/>
        </w:rPr>
      </w:pPr>
      <w:hyperlink w:anchor="_Toc112852197" w:history="1">
        <w:r w:rsidR="00B36385" w:rsidRPr="001E7F57">
          <w:rPr>
            <w:rStyle w:val="Hyperlink"/>
          </w:rPr>
          <w:t>2.</w:t>
        </w:r>
        <w:r w:rsidR="00B36385">
          <w:rPr>
            <w:rFonts w:asciiTheme="minorHAnsi" w:eastAsiaTheme="minorEastAsia" w:hAnsiTheme="minorHAnsi" w:cstheme="minorBidi"/>
            <w:b w:val="0"/>
            <w:color w:val="auto"/>
            <w:sz w:val="22"/>
            <w:lang w:val="mk-MK" w:eastAsia="mk-MK"/>
          </w:rPr>
          <w:tab/>
        </w:r>
        <w:r w:rsidR="00B36385" w:rsidRPr="001E7F57">
          <w:rPr>
            <w:rStyle w:val="Hyperlink"/>
          </w:rPr>
          <w:t>Project Description</w:t>
        </w:r>
        <w:r w:rsidR="00B36385">
          <w:rPr>
            <w:webHidden/>
          </w:rPr>
          <w:tab/>
        </w:r>
        <w:r w:rsidR="00B36385">
          <w:rPr>
            <w:webHidden/>
          </w:rPr>
          <w:fldChar w:fldCharType="begin"/>
        </w:r>
        <w:r w:rsidR="00B36385">
          <w:rPr>
            <w:webHidden/>
          </w:rPr>
          <w:instrText xml:space="preserve"> PAGEREF _Toc112852197 \h </w:instrText>
        </w:r>
        <w:r w:rsidR="00B36385">
          <w:rPr>
            <w:webHidden/>
          </w:rPr>
        </w:r>
        <w:r w:rsidR="00B36385">
          <w:rPr>
            <w:webHidden/>
          </w:rPr>
          <w:fldChar w:fldCharType="separate"/>
        </w:r>
        <w:r w:rsidR="009F12BA">
          <w:rPr>
            <w:webHidden/>
          </w:rPr>
          <w:t>43</w:t>
        </w:r>
        <w:r w:rsidR="00B36385">
          <w:rPr>
            <w:webHidden/>
          </w:rPr>
          <w:fldChar w:fldCharType="end"/>
        </w:r>
      </w:hyperlink>
    </w:p>
    <w:p w14:paraId="7A5F0C02"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198" w:history="1">
        <w:r w:rsidR="00B36385" w:rsidRPr="001E7F57">
          <w:rPr>
            <w:rStyle w:val="Hyperlink"/>
            <w:rFonts w:cs="Tahoma"/>
          </w:rPr>
          <w:t>2.1</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Pr>
          <w:t>Background and Project Objective</w:t>
        </w:r>
        <w:r w:rsidR="00B36385">
          <w:rPr>
            <w:webHidden/>
          </w:rPr>
          <w:tab/>
        </w:r>
        <w:r w:rsidR="00B36385">
          <w:rPr>
            <w:webHidden/>
          </w:rPr>
          <w:fldChar w:fldCharType="begin"/>
        </w:r>
        <w:r w:rsidR="00B36385">
          <w:rPr>
            <w:webHidden/>
          </w:rPr>
          <w:instrText xml:space="preserve"> PAGEREF _Toc112852198 \h </w:instrText>
        </w:r>
        <w:r w:rsidR="00B36385">
          <w:rPr>
            <w:webHidden/>
          </w:rPr>
        </w:r>
        <w:r w:rsidR="00B36385">
          <w:rPr>
            <w:webHidden/>
          </w:rPr>
          <w:fldChar w:fldCharType="separate"/>
        </w:r>
        <w:r w:rsidR="009F12BA">
          <w:rPr>
            <w:webHidden/>
          </w:rPr>
          <w:t>43</w:t>
        </w:r>
        <w:r w:rsidR="00B36385">
          <w:rPr>
            <w:webHidden/>
          </w:rPr>
          <w:fldChar w:fldCharType="end"/>
        </w:r>
      </w:hyperlink>
    </w:p>
    <w:p w14:paraId="2B5CA03D"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199" w:history="1">
        <w:r w:rsidR="00B36385" w:rsidRPr="001E7F57">
          <w:rPr>
            <w:rStyle w:val="Hyperlink"/>
            <w:rFonts w:cs="Tahoma"/>
          </w:rPr>
          <w:t>2.2</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Pr>
          <w:t>The Project Developer</w:t>
        </w:r>
        <w:r w:rsidR="00B36385">
          <w:rPr>
            <w:webHidden/>
          </w:rPr>
          <w:tab/>
        </w:r>
        <w:r w:rsidR="00B36385">
          <w:rPr>
            <w:webHidden/>
          </w:rPr>
          <w:fldChar w:fldCharType="begin"/>
        </w:r>
        <w:r w:rsidR="00B36385">
          <w:rPr>
            <w:webHidden/>
          </w:rPr>
          <w:instrText xml:space="preserve"> PAGEREF _Toc112852199 \h </w:instrText>
        </w:r>
        <w:r w:rsidR="00B36385">
          <w:rPr>
            <w:webHidden/>
          </w:rPr>
        </w:r>
        <w:r w:rsidR="00B36385">
          <w:rPr>
            <w:webHidden/>
          </w:rPr>
          <w:fldChar w:fldCharType="separate"/>
        </w:r>
        <w:r w:rsidR="009F12BA">
          <w:rPr>
            <w:webHidden/>
          </w:rPr>
          <w:t>44</w:t>
        </w:r>
        <w:r w:rsidR="00B36385">
          <w:rPr>
            <w:webHidden/>
          </w:rPr>
          <w:fldChar w:fldCharType="end"/>
        </w:r>
      </w:hyperlink>
    </w:p>
    <w:p w14:paraId="1B7C1336"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00" w:history="1">
        <w:r w:rsidR="00B36385" w:rsidRPr="001E7F57">
          <w:rPr>
            <w:rStyle w:val="Hyperlink"/>
            <w:rFonts w:cs="Tahoma"/>
          </w:rPr>
          <w:t>2.3</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Pr>
          <w:t>Purpose of the Report</w:t>
        </w:r>
        <w:r w:rsidR="00B36385">
          <w:rPr>
            <w:webHidden/>
          </w:rPr>
          <w:tab/>
        </w:r>
        <w:r w:rsidR="00B36385">
          <w:rPr>
            <w:webHidden/>
          </w:rPr>
          <w:fldChar w:fldCharType="begin"/>
        </w:r>
        <w:r w:rsidR="00B36385">
          <w:rPr>
            <w:webHidden/>
          </w:rPr>
          <w:instrText xml:space="preserve"> PAGEREF _Toc112852200 \h </w:instrText>
        </w:r>
        <w:r w:rsidR="00B36385">
          <w:rPr>
            <w:webHidden/>
          </w:rPr>
        </w:r>
        <w:r w:rsidR="00B36385">
          <w:rPr>
            <w:webHidden/>
          </w:rPr>
          <w:fldChar w:fldCharType="separate"/>
        </w:r>
        <w:r w:rsidR="009F12BA">
          <w:rPr>
            <w:webHidden/>
          </w:rPr>
          <w:t>44</w:t>
        </w:r>
        <w:r w:rsidR="00B36385">
          <w:rPr>
            <w:webHidden/>
          </w:rPr>
          <w:fldChar w:fldCharType="end"/>
        </w:r>
      </w:hyperlink>
    </w:p>
    <w:p w14:paraId="01F9CA4D"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01" w:history="1">
        <w:r w:rsidR="00B36385" w:rsidRPr="001E7F57">
          <w:rPr>
            <w:rStyle w:val="Hyperlink"/>
            <w:rFonts w:cs="Tahoma"/>
          </w:rPr>
          <w:t>2.4</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Pr>
          <w:t>The Proposed Project</w:t>
        </w:r>
        <w:r w:rsidR="00B36385">
          <w:rPr>
            <w:webHidden/>
          </w:rPr>
          <w:tab/>
        </w:r>
        <w:r w:rsidR="00B36385">
          <w:rPr>
            <w:webHidden/>
          </w:rPr>
          <w:fldChar w:fldCharType="begin"/>
        </w:r>
        <w:r w:rsidR="00B36385">
          <w:rPr>
            <w:webHidden/>
          </w:rPr>
          <w:instrText xml:space="preserve"> PAGEREF _Toc112852201 \h </w:instrText>
        </w:r>
        <w:r w:rsidR="00B36385">
          <w:rPr>
            <w:webHidden/>
          </w:rPr>
        </w:r>
        <w:r w:rsidR="00B36385">
          <w:rPr>
            <w:webHidden/>
          </w:rPr>
          <w:fldChar w:fldCharType="separate"/>
        </w:r>
        <w:r w:rsidR="009F12BA">
          <w:rPr>
            <w:webHidden/>
          </w:rPr>
          <w:t>45</w:t>
        </w:r>
        <w:r w:rsidR="00B36385">
          <w:rPr>
            <w:webHidden/>
          </w:rPr>
          <w:fldChar w:fldCharType="end"/>
        </w:r>
      </w:hyperlink>
    </w:p>
    <w:p w14:paraId="66D28A9E" w14:textId="77777777" w:rsidR="00B36385" w:rsidRDefault="00FD548C">
      <w:pPr>
        <w:pStyle w:val="TOC3"/>
        <w:rPr>
          <w:rFonts w:asciiTheme="minorHAnsi" w:eastAsiaTheme="minorEastAsia" w:hAnsiTheme="minorHAnsi" w:cstheme="minorBidi"/>
          <w:sz w:val="22"/>
          <w:szCs w:val="22"/>
          <w:lang w:val="mk-MK" w:eastAsia="mk-MK"/>
        </w:rPr>
      </w:pPr>
      <w:hyperlink w:anchor="_Toc112852202" w:history="1">
        <w:r w:rsidR="00B36385" w:rsidRPr="001E7F57">
          <w:rPr>
            <w:rStyle w:val="Hyperlink"/>
          </w:rPr>
          <w:t>2.4.1</w:t>
        </w:r>
        <w:r w:rsidR="00B36385">
          <w:rPr>
            <w:rFonts w:asciiTheme="minorHAnsi" w:eastAsiaTheme="minorEastAsia" w:hAnsiTheme="minorHAnsi" w:cstheme="minorBidi"/>
            <w:sz w:val="22"/>
            <w:szCs w:val="22"/>
            <w:lang w:val="mk-MK" w:eastAsia="mk-MK"/>
          </w:rPr>
          <w:tab/>
        </w:r>
        <w:r w:rsidR="00B36385" w:rsidRPr="001E7F57">
          <w:rPr>
            <w:rStyle w:val="Hyperlink"/>
          </w:rPr>
          <w:t>Project Location</w:t>
        </w:r>
        <w:r w:rsidR="00B36385">
          <w:rPr>
            <w:webHidden/>
          </w:rPr>
          <w:tab/>
        </w:r>
        <w:r w:rsidR="00B36385">
          <w:rPr>
            <w:webHidden/>
          </w:rPr>
          <w:fldChar w:fldCharType="begin"/>
        </w:r>
        <w:r w:rsidR="00B36385">
          <w:rPr>
            <w:webHidden/>
          </w:rPr>
          <w:instrText xml:space="preserve"> PAGEREF _Toc112852202 \h </w:instrText>
        </w:r>
        <w:r w:rsidR="00B36385">
          <w:rPr>
            <w:webHidden/>
          </w:rPr>
        </w:r>
        <w:r w:rsidR="00B36385">
          <w:rPr>
            <w:webHidden/>
          </w:rPr>
          <w:fldChar w:fldCharType="separate"/>
        </w:r>
        <w:r w:rsidR="009F12BA">
          <w:rPr>
            <w:webHidden/>
          </w:rPr>
          <w:t>45</w:t>
        </w:r>
        <w:r w:rsidR="00B36385">
          <w:rPr>
            <w:webHidden/>
          </w:rPr>
          <w:fldChar w:fldCharType="end"/>
        </w:r>
      </w:hyperlink>
    </w:p>
    <w:p w14:paraId="361CB468" w14:textId="77777777" w:rsidR="00B36385" w:rsidRDefault="00FD548C">
      <w:pPr>
        <w:pStyle w:val="TOC3"/>
        <w:rPr>
          <w:rFonts w:asciiTheme="minorHAnsi" w:eastAsiaTheme="minorEastAsia" w:hAnsiTheme="minorHAnsi" w:cstheme="minorBidi"/>
          <w:sz w:val="22"/>
          <w:szCs w:val="22"/>
          <w:lang w:val="mk-MK" w:eastAsia="mk-MK"/>
        </w:rPr>
      </w:pPr>
      <w:hyperlink w:anchor="_Toc112852203" w:history="1">
        <w:r w:rsidR="00B36385" w:rsidRPr="001E7F57">
          <w:rPr>
            <w:rStyle w:val="Hyperlink"/>
          </w:rPr>
          <w:t>2.4.2</w:t>
        </w:r>
        <w:r w:rsidR="00B36385">
          <w:rPr>
            <w:rFonts w:asciiTheme="minorHAnsi" w:eastAsiaTheme="minorEastAsia" w:hAnsiTheme="minorHAnsi" w:cstheme="minorBidi"/>
            <w:sz w:val="22"/>
            <w:szCs w:val="22"/>
            <w:lang w:val="mk-MK" w:eastAsia="mk-MK"/>
          </w:rPr>
          <w:tab/>
        </w:r>
        <w:r w:rsidR="00B36385" w:rsidRPr="001E7F57">
          <w:rPr>
            <w:rStyle w:val="Hyperlink"/>
          </w:rPr>
          <w:t>Project Description</w:t>
        </w:r>
        <w:r w:rsidR="00B36385">
          <w:rPr>
            <w:webHidden/>
          </w:rPr>
          <w:tab/>
        </w:r>
        <w:r w:rsidR="00B36385">
          <w:rPr>
            <w:webHidden/>
          </w:rPr>
          <w:fldChar w:fldCharType="begin"/>
        </w:r>
        <w:r w:rsidR="00B36385">
          <w:rPr>
            <w:webHidden/>
          </w:rPr>
          <w:instrText xml:space="preserve"> PAGEREF _Toc112852203 \h </w:instrText>
        </w:r>
        <w:r w:rsidR="00B36385">
          <w:rPr>
            <w:webHidden/>
          </w:rPr>
        </w:r>
        <w:r w:rsidR="00B36385">
          <w:rPr>
            <w:webHidden/>
          </w:rPr>
          <w:fldChar w:fldCharType="separate"/>
        </w:r>
        <w:r w:rsidR="009F12BA">
          <w:rPr>
            <w:webHidden/>
          </w:rPr>
          <w:t>46</w:t>
        </w:r>
        <w:r w:rsidR="00B36385">
          <w:rPr>
            <w:webHidden/>
          </w:rPr>
          <w:fldChar w:fldCharType="end"/>
        </w:r>
      </w:hyperlink>
    </w:p>
    <w:p w14:paraId="0641BE92" w14:textId="77777777" w:rsidR="00B36385" w:rsidRDefault="00FD548C">
      <w:pPr>
        <w:pStyle w:val="TOC3"/>
        <w:rPr>
          <w:rFonts w:asciiTheme="minorHAnsi" w:eastAsiaTheme="minorEastAsia" w:hAnsiTheme="minorHAnsi" w:cstheme="minorBidi"/>
          <w:sz w:val="22"/>
          <w:szCs w:val="22"/>
          <w:lang w:val="mk-MK" w:eastAsia="mk-MK"/>
        </w:rPr>
      </w:pPr>
      <w:hyperlink w:anchor="_Toc112852204" w:history="1">
        <w:r w:rsidR="00B36385" w:rsidRPr="001E7F57">
          <w:rPr>
            <w:rStyle w:val="Hyperlink"/>
          </w:rPr>
          <w:t>2.4.3</w:t>
        </w:r>
        <w:r w:rsidR="00B36385">
          <w:rPr>
            <w:rFonts w:asciiTheme="minorHAnsi" w:eastAsiaTheme="minorEastAsia" w:hAnsiTheme="minorHAnsi" w:cstheme="minorBidi"/>
            <w:sz w:val="22"/>
            <w:szCs w:val="22"/>
            <w:lang w:val="mk-MK" w:eastAsia="mk-MK"/>
          </w:rPr>
          <w:tab/>
        </w:r>
        <w:r w:rsidR="00B36385" w:rsidRPr="001E7F57">
          <w:rPr>
            <w:rStyle w:val="Hyperlink"/>
          </w:rPr>
          <w:t>Project Construction</w:t>
        </w:r>
        <w:r w:rsidR="00B36385">
          <w:rPr>
            <w:webHidden/>
          </w:rPr>
          <w:tab/>
        </w:r>
        <w:r w:rsidR="00B36385">
          <w:rPr>
            <w:webHidden/>
          </w:rPr>
          <w:fldChar w:fldCharType="begin"/>
        </w:r>
        <w:r w:rsidR="00B36385">
          <w:rPr>
            <w:webHidden/>
          </w:rPr>
          <w:instrText xml:space="preserve"> PAGEREF _Toc112852204 \h </w:instrText>
        </w:r>
        <w:r w:rsidR="00B36385">
          <w:rPr>
            <w:webHidden/>
          </w:rPr>
        </w:r>
        <w:r w:rsidR="00B36385">
          <w:rPr>
            <w:webHidden/>
          </w:rPr>
          <w:fldChar w:fldCharType="separate"/>
        </w:r>
        <w:r w:rsidR="009F12BA">
          <w:rPr>
            <w:webHidden/>
          </w:rPr>
          <w:t>60</w:t>
        </w:r>
        <w:r w:rsidR="00B36385">
          <w:rPr>
            <w:webHidden/>
          </w:rPr>
          <w:fldChar w:fldCharType="end"/>
        </w:r>
      </w:hyperlink>
    </w:p>
    <w:p w14:paraId="233890C7" w14:textId="77777777" w:rsidR="00B36385" w:rsidRDefault="00FD548C">
      <w:pPr>
        <w:pStyle w:val="TOC3"/>
        <w:rPr>
          <w:rFonts w:asciiTheme="minorHAnsi" w:eastAsiaTheme="minorEastAsia" w:hAnsiTheme="minorHAnsi" w:cstheme="minorBidi"/>
          <w:sz w:val="22"/>
          <w:szCs w:val="22"/>
          <w:lang w:val="mk-MK" w:eastAsia="mk-MK"/>
        </w:rPr>
      </w:pPr>
      <w:hyperlink w:anchor="_Toc112852205" w:history="1">
        <w:r w:rsidR="00B36385" w:rsidRPr="001E7F57">
          <w:rPr>
            <w:rStyle w:val="Hyperlink"/>
          </w:rPr>
          <w:t>2.4.4</w:t>
        </w:r>
        <w:r w:rsidR="00B36385">
          <w:rPr>
            <w:rFonts w:asciiTheme="minorHAnsi" w:eastAsiaTheme="minorEastAsia" w:hAnsiTheme="minorHAnsi" w:cstheme="minorBidi"/>
            <w:sz w:val="22"/>
            <w:szCs w:val="22"/>
            <w:lang w:val="mk-MK" w:eastAsia="mk-MK"/>
          </w:rPr>
          <w:tab/>
        </w:r>
        <w:r w:rsidR="00B36385" w:rsidRPr="001E7F57">
          <w:rPr>
            <w:rStyle w:val="Hyperlink"/>
          </w:rPr>
          <w:t>Commencement of Operation</w:t>
        </w:r>
        <w:r w:rsidR="00B36385">
          <w:rPr>
            <w:webHidden/>
          </w:rPr>
          <w:tab/>
        </w:r>
        <w:r w:rsidR="00B36385">
          <w:rPr>
            <w:webHidden/>
          </w:rPr>
          <w:fldChar w:fldCharType="begin"/>
        </w:r>
        <w:r w:rsidR="00B36385">
          <w:rPr>
            <w:webHidden/>
          </w:rPr>
          <w:instrText xml:space="preserve"> PAGEREF _Toc112852205 \h </w:instrText>
        </w:r>
        <w:r w:rsidR="00B36385">
          <w:rPr>
            <w:webHidden/>
          </w:rPr>
        </w:r>
        <w:r w:rsidR="00B36385">
          <w:rPr>
            <w:webHidden/>
          </w:rPr>
          <w:fldChar w:fldCharType="separate"/>
        </w:r>
        <w:r w:rsidR="009F12BA">
          <w:rPr>
            <w:webHidden/>
          </w:rPr>
          <w:t>68</w:t>
        </w:r>
        <w:r w:rsidR="00B36385">
          <w:rPr>
            <w:webHidden/>
          </w:rPr>
          <w:fldChar w:fldCharType="end"/>
        </w:r>
      </w:hyperlink>
    </w:p>
    <w:p w14:paraId="4C16DC70" w14:textId="77777777" w:rsidR="00B36385" w:rsidRDefault="00FD548C">
      <w:pPr>
        <w:pStyle w:val="TOC3"/>
        <w:rPr>
          <w:rFonts w:asciiTheme="minorHAnsi" w:eastAsiaTheme="minorEastAsia" w:hAnsiTheme="minorHAnsi" w:cstheme="minorBidi"/>
          <w:sz w:val="22"/>
          <w:szCs w:val="22"/>
          <w:lang w:val="mk-MK" w:eastAsia="mk-MK"/>
        </w:rPr>
      </w:pPr>
      <w:hyperlink w:anchor="_Toc112852206" w:history="1">
        <w:r w:rsidR="00B36385" w:rsidRPr="001E7F57">
          <w:rPr>
            <w:rStyle w:val="Hyperlink"/>
          </w:rPr>
          <w:t>2.4.5</w:t>
        </w:r>
        <w:r w:rsidR="00B36385">
          <w:rPr>
            <w:rFonts w:asciiTheme="minorHAnsi" w:eastAsiaTheme="minorEastAsia" w:hAnsiTheme="minorHAnsi" w:cstheme="minorBidi"/>
            <w:sz w:val="22"/>
            <w:szCs w:val="22"/>
            <w:lang w:val="mk-MK" w:eastAsia="mk-MK"/>
          </w:rPr>
          <w:tab/>
        </w:r>
        <w:r w:rsidR="00B36385" w:rsidRPr="001E7F57">
          <w:rPr>
            <w:rStyle w:val="Hyperlink"/>
          </w:rPr>
          <w:t>Operation and Maintenance of the Project</w:t>
        </w:r>
        <w:r w:rsidR="00B36385">
          <w:rPr>
            <w:webHidden/>
          </w:rPr>
          <w:tab/>
        </w:r>
        <w:r w:rsidR="00B36385">
          <w:rPr>
            <w:webHidden/>
          </w:rPr>
          <w:fldChar w:fldCharType="begin"/>
        </w:r>
        <w:r w:rsidR="00B36385">
          <w:rPr>
            <w:webHidden/>
          </w:rPr>
          <w:instrText xml:space="preserve"> PAGEREF _Toc112852206 \h </w:instrText>
        </w:r>
        <w:r w:rsidR="00B36385">
          <w:rPr>
            <w:webHidden/>
          </w:rPr>
        </w:r>
        <w:r w:rsidR="00B36385">
          <w:rPr>
            <w:webHidden/>
          </w:rPr>
          <w:fldChar w:fldCharType="separate"/>
        </w:r>
        <w:r w:rsidR="009F12BA">
          <w:rPr>
            <w:webHidden/>
          </w:rPr>
          <w:t>68</w:t>
        </w:r>
        <w:r w:rsidR="00B36385">
          <w:rPr>
            <w:webHidden/>
          </w:rPr>
          <w:fldChar w:fldCharType="end"/>
        </w:r>
      </w:hyperlink>
    </w:p>
    <w:p w14:paraId="24138CBB" w14:textId="77777777" w:rsidR="00B36385" w:rsidRDefault="00FD548C">
      <w:pPr>
        <w:pStyle w:val="TOC3"/>
        <w:rPr>
          <w:rFonts w:asciiTheme="minorHAnsi" w:eastAsiaTheme="minorEastAsia" w:hAnsiTheme="minorHAnsi" w:cstheme="minorBidi"/>
          <w:sz w:val="22"/>
          <w:szCs w:val="22"/>
          <w:lang w:val="mk-MK" w:eastAsia="mk-MK"/>
        </w:rPr>
      </w:pPr>
      <w:hyperlink w:anchor="_Toc112852207" w:history="1">
        <w:r w:rsidR="00B36385" w:rsidRPr="001E7F57">
          <w:rPr>
            <w:rStyle w:val="Hyperlink"/>
          </w:rPr>
          <w:t>2.4.6</w:t>
        </w:r>
        <w:r w:rsidR="00B36385">
          <w:rPr>
            <w:rFonts w:asciiTheme="minorHAnsi" w:eastAsiaTheme="minorEastAsia" w:hAnsiTheme="minorHAnsi" w:cstheme="minorBidi"/>
            <w:sz w:val="22"/>
            <w:szCs w:val="22"/>
            <w:lang w:val="mk-MK" w:eastAsia="mk-MK"/>
          </w:rPr>
          <w:tab/>
        </w:r>
        <w:r w:rsidR="00B36385" w:rsidRPr="001E7F57">
          <w:rPr>
            <w:rStyle w:val="Hyperlink"/>
          </w:rPr>
          <w:t>Decommissioning of the Project</w:t>
        </w:r>
        <w:r w:rsidR="00B36385">
          <w:rPr>
            <w:webHidden/>
          </w:rPr>
          <w:tab/>
        </w:r>
        <w:r w:rsidR="00B36385">
          <w:rPr>
            <w:webHidden/>
          </w:rPr>
          <w:fldChar w:fldCharType="begin"/>
        </w:r>
        <w:r w:rsidR="00B36385">
          <w:rPr>
            <w:webHidden/>
          </w:rPr>
          <w:instrText xml:space="preserve"> PAGEREF _Toc112852207 \h </w:instrText>
        </w:r>
        <w:r w:rsidR="00B36385">
          <w:rPr>
            <w:webHidden/>
          </w:rPr>
        </w:r>
        <w:r w:rsidR="00B36385">
          <w:rPr>
            <w:webHidden/>
          </w:rPr>
          <w:fldChar w:fldCharType="separate"/>
        </w:r>
        <w:r w:rsidR="009F12BA">
          <w:rPr>
            <w:webHidden/>
          </w:rPr>
          <w:t>70</w:t>
        </w:r>
        <w:r w:rsidR="00B36385">
          <w:rPr>
            <w:webHidden/>
          </w:rPr>
          <w:fldChar w:fldCharType="end"/>
        </w:r>
      </w:hyperlink>
    </w:p>
    <w:p w14:paraId="1D0AA5D2" w14:textId="77777777" w:rsidR="00B36385" w:rsidRDefault="00FD548C">
      <w:pPr>
        <w:pStyle w:val="TOC1"/>
        <w:rPr>
          <w:rFonts w:asciiTheme="minorHAnsi" w:eastAsiaTheme="minorEastAsia" w:hAnsiTheme="minorHAnsi" w:cstheme="minorBidi"/>
          <w:b w:val="0"/>
          <w:color w:val="auto"/>
          <w:sz w:val="22"/>
          <w:lang w:val="mk-MK" w:eastAsia="mk-MK"/>
        </w:rPr>
      </w:pPr>
      <w:hyperlink w:anchor="_Toc112852208" w:history="1">
        <w:r w:rsidR="00B36385" w:rsidRPr="001E7F57">
          <w:rPr>
            <w:rStyle w:val="Hyperlink"/>
          </w:rPr>
          <w:t>3.</w:t>
        </w:r>
        <w:r w:rsidR="00B36385">
          <w:rPr>
            <w:rFonts w:asciiTheme="minorHAnsi" w:eastAsiaTheme="minorEastAsia" w:hAnsiTheme="minorHAnsi" w:cstheme="minorBidi"/>
            <w:b w:val="0"/>
            <w:color w:val="auto"/>
            <w:sz w:val="22"/>
            <w:lang w:val="mk-MK" w:eastAsia="mk-MK"/>
          </w:rPr>
          <w:tab/>
        </w:r>
        <w:r w:rsidR="00B36385" w:rsidRPr="001E7F57">
          <w:rPr>
            <w:rStyle w:val="Hyperlink"/>
          </w:rPr>
          <w:t>Project Options</w:t>
        </w:r>
        <w:r w:rsidR="00B36385">
          <w:rPr>
            <w:webHidden/>
          </w:rPr>
          <w:tab/>
        </w:r>
        <w:r w:rsidR="00B36385">
          <w:rPr>
            <w:webHidden/>
          </w:rPr>
          <w:fldChar w:fldCharType="begin"/>
        </w:r>
        <w:r w:rsidR="00B36385">
          <w:rPr>
            <w:webHidden/>
          </w:rPr>
          <w:instrText xml:space="preserve"> PAGEREF _Toc112852208 \h </w:instrText>
        </w:r>
        <w:r w:rsidR="00B36385">
          <w:rPr>
            <w:webHidden/>
          </w:rPr>
        </w:r>
        <w:r w:rsidR="00B36385">
          <w:rPr>
            <w:webHidden/>
          </w:rPr>
          <w:fldChar w:fldCharType="separate"/>
        </w:r>
        <w:r w:rsidR="009F12BA">
          <w:rPr>
            <w:webHidden/>
          </w:rPr>
          <w:t>71</w:t>
        </w:r>
        <w:r w:rsidR="00B36385">
          <w:rPr>
            <w:webHidden/>
          </w:rPr>
          <w:fldChar w:fldCharType="end"/>
        </w:r>
      </w:hyperlink>
    </w:p>
    <w:p w14:paraId="3C88327F"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09" w:history="1">
        <w:r w:rsidR="00B36385" w:rsidRPr="001E7F57">
          <w:rPr>
            <w:rStyle w:val="Hyperlink"/>
            <w:rFonts w:cs="Tahoma"/>
          </w:rPr>
          <w:t>3.1</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Pr>
          <w:t>Identification and Assessment of Options</w:t>
        </w:r>
        <w:r w:rsidR="00B36385">
          <w:rPr>
            <w:webHidden/>
          </w:rPr>
          <w:tab/>
        </w:r>
        <w:r w:rsidR="00B36385">
          <w:rPr>
            <w:webHidden/>
          </w:rPr>
          <w:fldChar w:fldCharType="begin"/>
        </w:r>
        <w:r w:rsidR="00B36385">
          <w:rPr>
            <w:webHidden/>
          </w:rPr>
          <w:instrText xml:space="preserve"> PAGEREF _Toc112852209 \h </w:instrText>
        </w:r>
        <w:r w:rsidR="00B36385">
          <w:rPr>
            <w:webHidden/>
          </w:rPr>
        </w:r>
        <w:r w:rsidR="00B36385">
          <w:rPr>
            <w:webHidden/>
          </w:rPr>
          <w:fldChar w:fldCharType="separate"/>
        </w:r>
        <w:r w:rsidR="009F12BA">
          <w:rPr>
            <w:webHidden/>
          </w:rPr>
          <w:t>71</w:t>
        </w:r>
        <w:r w:rsidR="00B36385">
          <w:rPr>
            <w:webHidden/>
          </w:rPr>
          <w:fldChar w:fldCharType="end"/>
        </w:r>
      </w:hyperlink>
    </w:p>
    <w:p w14:paraId="5005F75F" w14:textId="77777777" w:rsidR="00B36385" w:rsidRDefault="00FD548C">
      <w:pPr>
        <w:pStyle w:val="TOC3"/>
        <w:rPr>
          <w:rFonts w:asciiTheme="minorHAnsi" w:eastAsiaTheme="minorEastAsia" w:hAnsiTheme="minorHAnsi" w:cstheme="minorBidi"/>
          <w:sz w:val="22"/>
          <w:szCs w:val="22"/>
          <w:lang w:val="mk-MK" w:eastAsia="mk-MK"/>
        </w:rPr>
      </w:pPr>
      <w:hyperlink w:anchor="_Toc112852210" w:history="1">
        <w:r w:rsidR="00B36385" w:rsidRPr="001E7F57">
          <w:rPr>
            <w:rStyle w:val="Hyperlink"/>
          </w:rPr>
          <w:t>3.1.1</w:t>
        </w:r>
        <w:r w:rsidR="00B36385">
          <w:rPr>
            <w:rFonts w:asciiTheme="minorHAnsi" w:eastAsiaTheme="minorEastAsia" w:hAnsiTheme="minorHAnsi" w:cstheme="minorBidi"/>
            <w:sz w:val="22"/>
            <w:szCs w:val="22"/>
            <w:lang w:val="mk-MK" w:eastAsia="mk-MK"/>
          </w:rPr>
          <w:tab/>
        </w:r>
        <w:r w:rsidR="00B36385" w:rsidRPr="001E7F57">
          <w:rPr>
            <w:rStyle w:val="Hyperlink"/>
          </w:rPr>
          <w:t>Methodological Approach</w:t>
        </w:r>
        <w:r w:rsidR="00B36385">
          <w:rPr>
            <w:webHidden/>
          </w:rPr>
          <w:tab/>
        </w:r>
        <w:r w:rsidR="00B36385">
          <w:rPr>
            <w:webHidden/>
          </w:rPr>
          <w:fldChar w:fldCharType="begin"/>
        </w:r>
        <w:r w:rsidR="00B36385">
          <w:rPr>
            <w:webHidden/>
          </w:rPr>
          <w:instrText xml:space="preserve"> PAGEREF _Toc112852210 \h </w:instrText>
        </w:r>
        <w:r w:rsidR="00B36385">
          <w:rPr>
            <w:webHidden/>
          </w:rPr>
        </w:r>
        <w:r w:rsidR="00B36385">
          <w:rPr>
            <w:webHidden/>
          </w:rPr>
          <w:fldChar w:fldCharType="separate"/>
        </w:r>
        <w:r w:rsidR="009F12BA">
          <w:rPr>
            <w:webHidden/>
          </w:rPr>
          <w:t>71</w:t>
        </w:r>
        <w:r w:rsidR="00B36385">
          <w:rPr>
            <w:webHidden/>
          </w:rPr>
          <w:fldChar w:fldCharType="end"/>
        </w:r>
      </w:hyperlink>
    </w:p>
    <w:p w14:paraId="0FEFCB0F" w14:textId="77777777" w:rsidR="00B36385" w:rsidRDefault="00FD548C">
      <w:pPr>
        <w:pStyle w:val="TOC3"/>
        <w:rPr>
          <w:rFonts w:asciiTheme="minorHAnsi" w:eastAsiaTheme="minorEastAsia" w:hAnsiTheme="minorHAnsi" w:cstheme="minorBidi"/>
          <w:sz w:val="22"/>
          <w:szCs w:val="22"/>
          <w:lang w:val="mk-MK" w:eastAsia="mk-MK"/>
        </w:rPr>
      </w:pPr>
      <w:hyperlink w:anchor="_Toc112852211" w:history="1">
        <w:r w:rsidR="00B36385" w:rsidRPr="001E7F57">
          <w:rPr>
            <w:rStyle w:val="Hyperlink"/>
          </w:rPr>
          <w:t>3.1.2</w:t>
        </w:r>
        <w:r w:rsidR="00B36385">
          <w:rPr>
            <w:rFonts w:asciiTheme="minorHAnsi" w:eastAsiaTheme="minorEastAsia" w:hAnsiTheme="minorHAnsi" w:cstheme="minorBidi"/>
            <w:sz w:val="22"/>
            <w:szCs w:val="22"/>
            <w:lang w:val="mk-MK" w:eastAsia="mk-MK"/>
          </w:rPr>
          <w:tab/>
        </w:r>
        <w:r w:rsidR="00B36385" w:rsidRPr="001E7F57">
          <w:rPr>
            <w:rStyle w:val="Hyperlink"/>
          </w:rPr>
          <w:t>No Project Option</w:t>
        </w:r>
        <w:r w:rsidR="00B36385">
          <w:rPr>
            <w:webHidden/>
          </w:rPr>
          <w:tab/>
        </w:r>
        <w:r w:rsidR="00B36385">
          <w:rPr>
            <w:webHidden/>
          </w:rPr>
          <w:fldChar w:fldCharType="begin"/>
        </w:r>
        <w:r w:rsidR="00B36385">
          <w:rPr>
            <w:webHidden/>
          </w:rPr>
          <w:instrText xml:space="preserve"> PAGEREF _Toc112852211 \h </w:instrText>
        </w:r>
        <w:r w:rsidR="00B36385">
          <w:rPr>
            <w:webHidden/>
          </w:rPr>
        </w:r>
        <w:r w:rsidR="00B36385">
          <w:rPr>
            <w:webHidden/>
          </w:rPr>
          <w:fldChar w:fldCharType="separate"/>
        </w:r>
        <w:r w:rsidR="009F12BA">
          <w:rPr>
            <w:webHidden/>
          </w:rPr>
          <w:t>72</w:t>
        </w:r>
        <w:r w:rsidR="00B36385">
          <w:rPr>
            <w:webHidden/>
          </w:rPr>
          <w:fldChar w:fldCharType="end"/>
        </w:r>
      </w:hyperlink>
    </w:p>
    <w:p w14:paraId="7D4DC63A" w14:textId="77777777" w:rsidR="00B36385" w:rsidRDefault="00FD548C">
      <w:pPr>
        <w:pStyle w:val="TOC3"/>
        <w:rPr>
          <w:rFonts w:asciiTheme="minorHAnsi" w:eastAsiaTheme="minorEastAsia" w:hAnsiTheme="minorHAnsi" w:cstheme="minorBidi"/>
          <w:sz w:val="22"/>
          <w:szCs w:val="22"/>
          <w:lang w:val="mk-MK" w:eastAsia="mk-MK"/>
        </w:rPr>
      </w:pPr>
      <w:hyperlink w:anchor="_Toc112852212" w:history="1">
        <w:r w:rsidR="00B36385" w:rsidRPr="001E7F57">
          <w:rPr>
            <w:rStyle w:val="Hyperlink"/>
          </w:rPr>
          <w:t>3.1.3</w:t>
        </w:r>
        <w:r w:rsidR="00B36385">
          <w:rPr>
            <w:rFonts w:asciiTheme="minorHAnsi" w:eastAsiaTheme="minorEastAsia" w:hAnsiTheme="minorHAnsi" w:cstheme="minorBidi"/>
            <w:sz w:val="22"/>
            <w:szCs w:val="22"/>
            <w:lang w:val="mk-MK" w:eastAsia="mk-MK"/>
          </w:rPr>
          <w:tab/>
        </w:r>
        <w:r w:rsidR="00B36385" w:rsidRPr="001E7F57">
          <w:rPr>
            <w:rStyle w:val="Hyperlink"/>
          </w:rPr>
          <w:t>Identified Options</w:t>
        </w:r>
        <w:r w:rsidR="00B36385">
          <w:rPr>
            <w:webHidden/>
          </w:rPr>
          <w:tab/>
        </w:r>
        <w:r w:rsidR="00B36385">
          <w:rPr>
            <w:webHidden/>
          </w:rPr>
          <w:fldChar w:fldCharType="begin"/>
        </w:r>
        <w:r w:rsidR="00B36385">
          <w:rPr>
            <w:webHidden/>
          </w:rPr>
          <w:instrText xml:space="preserve"> PAGEREF _Toc112852212 \h </w:instrText>
        </w:r>
        <w:r w:rsidR="00B36385">
          <w:rPr>
            <w:webHidden/>
          </w:rPr>
        </w:r>
        <w:r w:rsidR="00B36385">
          <w:rPr>
            <w:webHidden/>
          </w:rPr>
          <w:fldChar w:fldCharType="separate"/>
        </w:r>
        <w:r w:rsidR="009F12BA">
          <w:rPr>
            <w:webHidden/>
          </w:rPr>
          <w:t>73</w:t>
        </w:r>
        <w:r w:rsidR="00B36385">
          <w:rPr>
            <w:webHidden/>
          </w:rPr>
          <w:fldChar w:fldCharType="end"/>
        </w:r>
      </w:hyperlink>
    </w:p>
    <w:p w14:paraId="2BBA9FB9" w14:textId="77777777" w:rsidR="00B36385" w:rsidRDefault="00FD548C">
      <w:pPr>
        <w:pStyle w:val="TOC3"/>
        <w:rPr>
          <w:rFonts w:asciiTheme="minorHAnsi" w:eastAsiaTheme="minorEastAsia" w:hAnsiTheme="minorHAnsi" w:cstheme="minorBidi"/>
          <w:sz w:val="22"/>
          <w:szCs w:val="22"/>
          <w:lang w:val="mk-MK" w:eastAsia="mk-MK"/>
        </w:rPr>
      </w:pPr>
      <w:hyperlink w:anchor="_Toc112852213" w:history="1">
        <w:r w:rsidR="00B36385" w:rsidRPr="001E7F57">
          <w:rPr>
            <w:rStyle w:val="Hyperlink"/>
          </w:rPr>
          <w:t>3.1.4</w:t>
        </w:r>
        <w:r w:rsidR="00B36385">
          <w:rPr>
            <w:rFonts w:asciiTheme="minorHAnsi" w:eastAsiaTheme="minorEastAsia" w:hAnsiTheme="minorHAnsi" w:cstheme="minorBidi"/>
            <w:sz w:val="22"/>
            <w:szCs w:val="22"/>
            <w:lang w:val="mk-MK" w:eastAsia="mk-MK"/>
          </w:rPr>
          <w:tab/>
        </w:r>
        <w:r w:rsidR="00B36385" w:rsidRPr="001E7F57">
          <w:rPr>
            <w:rStyle w:val="Hyperlink"/>
          </w:rPr>
          <w:t>Description of Options</w:t>
        </w:r>
        <w:r w:rsidR="00B36385">
          <w:rPr>
            <w:webHidden/>
          </w:rPr>
          <w:tab/>
        </w:r>
        <w:r w:rsidR="00B36385">
          <w:rPr>
            <w:webHidden/>
          </w:rPr>
          <w:fldChar w:fldCharType="begin"/>
        </w:r>
        <w:r w:rsidR="00B36385">
          <w:rPr>
            <w:webHidden/>
          </w:rPr>
          <w:instrText xml:space="preserve"> PAGEREF _Toc112852213 \h </w:instrText>
        </w:r>
        <w:r w:rsidR="00B36385">
          <w:rPr>
            <w:webHidden/>
          </w:rPr>
        </w:r>
        <w:r w:rsidR="00B36385">
          <w:rPr>
            <w:webHidden/>
          </w:rPr>
          <w:fldChar w:fldCharType="separate"/>
        </w:r>
        <w:r w:rsidR="009F12BA">
          <w:rPr>
            <w:webHidden/>
          </w:rPr>
          <w:t>75</w:t>
        </w:r>
        <w:r w:rsidR="00B36385">
          <w:rPr>
            <w:webHidden/>
          </w:rPr>
          <w:fldChar w:fldCharType="end"/>
        </w:r>
      </w:hyperlink>
    </w:p>
    <w:p w14:paraId="318E5167" w14:textId="77777777" w:rsidR="00B36385" w:rsidRDefault="00FD548C">
      <w:pPr>
        <w:pStyle w:val="TOC3"/>
        <w:rPr>
          <w:rFonts w:asciiTheme="minorHAnsi" w:eastAsiaTheme="minorEastAsia" w:hAnsiTheme="minorHAnsi" w:cstheme="minorBidi"/>
          <w:sz w:val="22"/>
          <w:szCs w:val="22"/>
          <w:lang w:val="mk-MK" w:eastAsia="mk-MK"/>
        </w:rPr>
      </w:pPr>
      <w:hyperlink w:anchor="_Toc112852214" w:history="1">
        <w:r w:rsidR="00B36385" w:rsidRPr="001E7F57">
          <w:rPr>
            <w:rStyle w:val="Hyperlink"/>
          </w:rPr>
          <w:t>3.1.5</w:t>
        </w:r>
        <w:r w:rsidR="00B36385">
          <w:rPr>
            <w:rFonts w:asciiTheme="minorHAnsi" w:eastAsiaTheme="minorEastAsia" w:hAnsiTheme="minorHAnsi" w:cstheme="minorBidi"/>
            <w:sz w:val="22"/>
            <w:szCs w:val="22"/>
            <w:lang w:val="mk-MK" w:eastAsia="mk-MK"/>
          </w:rPr>
          <w:tab/>
        </w:r>
        <w:r w:rsidR="00B36385" w:rsidRPr="001E7F57">
          <w:rPr>
            <w:rStyle w:val="Hyperlink"/>
          </w:rPr>
          <w:t>Assessment of Options</w:t>
        </w:r>
        <w:r w:rsidR="00B36385">
          <w:rPr>
            <w:webHidden/>
          </w:rPr>
          <w:tab/>
        </w:r>
        <w:r w:rsidR="00B36385">
          <w:rPr>
            <w:webHidden/>
          </w:rPr>
          <w:fldChar w:fldCharType="begin"/>
        </w:r>
        <w:r w:rsidR="00B36385">
          <w:rPr>
            <w:webHidden/>
          </w:rPr>
          <w:instrText xml:space="preserve"> PAGEREF _Toc112852214 \h </w:instrText>
        </w:r>
        <w:r w:rsidR="00B36385">
          <w:rPr>
            <w:webHidden/>
          </w:rPr>
        </w:r>
        <w:r w:rsidR="00B36385">
          <w:rPr>
            <w:webHidden/>
          </w:rPr>
          <w:fldChar w:fldCharType="separate"/>
        </w:r>
        <w:r w:rsidR="009F12BA">
          <w:rPr>
            <w:webHidden/>
          </w:rPr>
          <w:t>79</w:t>
        </w:r>
        <w:r w:rsidR="00B36385">
          <w:rPr>
            <w:webHidden/>
          </w:rPr>
          <w:fldChar w:fldCharType="end"/>
        </w:r>
      </w:hyperlink>
    </w:p>
    <w:p w14:paraId="3BD5A40D"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15" w:history="1">
        <w:r w:rsidR="00B36385" w:rsidRPr="001E7F57">
          <w:rPr>
            <w:rStyle w:val="Hyperlink"/>
            <w:rFonts w:cs="Tahoma"/>
          </w:rPr>
          <w:t>3.2</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Pr>
          <w:t>Selection of Preferred Option</w:t>
        </w:r>
        <w:r w:rsidR="00B36385">
          <w:rPr>
            <w:webHidden/>
          </w:rPr>
          <w:tab/>
        </w:r>
        <w:r w:rsidR="00B36385">
          <w:rPr>
            <w:webHidden/>
          </w:rPr>
          <w:fldChar w:fldCharType="begin"/>
        </w:r>
        <w:r w:rsidR="00B36385">
          <w:rPr>
            <w:webHidden/>
          </w:rPr>
          <w:instrText xml:space="preserve"> PAGEREF _Toc112852215 \h </w:instrText>
        </w:r>
        <w:r w:rsidR="00B36385">
          <w:rPr>
            <w:webHidden/>
          </w:rPr>
        </w:r>
        <w:r w:rsidR="00B36385">
          <w:rPr>
            <w:webHidden/>
          </w:rPr>
          <w:fldChar w:fldCharType="separate"/>
        </w:r>
        <w:r w:rsidR="009F12BA">
          <w:rPr>
            <w:webHidden/>
          </w:rPr>
          <w:t>85</w:t>
        </w:r>
        <w:r w:rsidR="00B36385">
          <w:rPr>
            <w:webHidden/>
          </w:rPr>
          <w:fldChar w:fldCharType="end"/>
        </w:r>
      </w:hyperlink>
    </w:p>
    <w:p w14:paraId="0E035314" w14:textId="77777777" w:rsidR="00B36385" w:rsidRDefault="00FD548C">
      <w:pPr>
        <w:pStyle w:val="TOC3"/>
        <w:rPr>
          <w:rFonts w:asciiTheme="minorHAnsi" w:eastAsiaTheme="minorEastAsia" w:hAnsiTheme="minorHAnsi" w:cstheme="minorBidi"/>
          <w:sz w:val="22"/>
          <w:szCs w:val="22"/>
          <w:lang w:val="mk-MK" w:eastAsia="mk-MK"/>
        </w:rPr>
      </w:pPr>
      <w:hyperlink w:anchor="_Toc112852216" w:history="1">
        <w:r w:rsidR="00B36385" w:rsidRPr="001E7F57">
          <w:rPr>
            <w:rStyle w:val="Hyperlink"/>
          </w:rPr>
          <w:t>3.2.1</w:t>
        </w:r>
        <w:r w:rsidR="00B36385">
          <w:rPr>
            <w:rFonts w:asciiTheme="minorHAnsi" w:eastAsiaTheme="minorEastAsia" w:hAnsiTheme="minorHAnsi" w:cstheme="minorBidi"/>
            <w:sz w:val="22"/>
            <w:szCs w:val="22"/>
            <w:lang w:val="mk-MK" w:eastAsia="mk-MK"/>
          </w:rPr>
          <w:tab/>
        </w:r>
        <w:r w:rsidR="00B36385" w:rsidRPr="001E7F57">
          <w:rPr>
            <w:rStyle w:val="Hyperlink"/>
          </w:rPr>
          <w:t>Evaluation of Options - Multi-Criteria Analysis</w:t>
        </w:r>
        <w:r w:rsidR="00B36385">
          <w:rPr>
            <w:webHidden/>
          </w:rPr>
          <w:tab/>
        </w:r>
        <w:r w:rsidR="00B36385">
          <w:rPr>
            <w:webHidden/>
          </w:rPr>
          <w:fldChar w:fldCharType="begin"/>
        </w:r>
        <w:r w:rsidR="00B36385">
          <w:rPr>
            <w:webHidden/>
          </w:rPr>
          <w:instrText xml:space="preserve"> PAGEREF _Toc112852216 \h </w:instrText>
        </w:r>
        <w:r w:rsidR="00B36385">
          <w:rPr>
            <w:webHidden/>
          </w:rPr>
        </w:r>
        <w:r w:rsidR="00B36385">
          <w:rPr>
            <w:webHidden/>
          </w:rPr>
          <w:fldChar w:fldCharType="separate"/>
        </w:r>
        <w:r w:rsidR="009F12BA">
          <w:rPr>
            <w:webHidden/>
          </w:rPr>
          <w:t>85</w:t>
        </w:r>
        <w:r w:rsidR="00B36385">
          <w:rPr>
            <w:webHidden/>
          </w:rPr>
          <w:fldChar w:fldCharType="end"/>
        </w:r>
      </w:hyperlink>
    </w:p>
    <w:p w14:paraId="3096DD44" w14:textId="77777777" w:rsidR="00B36385" w:rsidRDefault="00FD548C">
      <w:pPr>
        <w:pStyle w:val="TOC3"/>
        <w:rPr>
          <w:rFonts w:asciiTheme="minorHAnsi" w:eastAsiaTheme="minorEastAsia" w:hAnsiTheme="minorHAnsi" w:cstheme="minorBidi"/>
          <w:sz w:val="22"/>
          <w:szCs w:val="22"/>
          <w:lang w:val="mk-MK" w:eastAsia="mk-MK"/>
        </w:rPr>
      </w:pPr>
      <w:hyperlink w:anchor="_Toc112852217" w:history="1">
        <w:r w:rsidR="00B36385" w:rsidRPr="001E7F57">
          <w:rPr>
            <w:rStyle w:val="Hyperlink"/>
          </w:rPr>
          <w:t>3.2.2</w:t>
        </w:r>
        <w:r w:rsidR="00B36385">
          <w:rPr>
            <w:rFonts w:asciiTheme="minorHAnsi" w:eastAsiaTheme="minorEastAsia" w:hAnsiTheme="minorHAnsi" w:cstheme="minorBidi"/>
            <w:sz w:val="22"/>
            <w:szCs w:val="22"/>
            <w:lang w:val="mk-MK" w:eastAsia="mk-MK"/>
          </w:rPr>
          <w:tab/>
        </w:r>
        <w:r w:rsidR="00B36385" w:rsidRPr="001E7F57">
          <w:rPr>
            <w:rStyle w:val="Hyperlink"/>
          </w:rPr>
          <w:t>Selection of Preferred Option</w:t>
        </w:r>
        <w:r w:rsidR="00B36385">
          <w:rPr>
            <w:webHidden/>
          </w:rPr>
          <w:tab/>
        </w:r>
        <w:r w:rsidR="00B36385">
          <w:rPr>
            <w:webHidden/>
          </w:rPr>
          <w:fldChar w:fldCharType="begin"/>
        </w:r>
        <w:r w:rsidR="00B36385">
          <w:rPr>
            <w:webHidden/>
          </w:rPr>
          <w:instrText xml:space="preserve"> PAGEREF _Toc112852217 \h </w:instrText>
        </w:r>
        <w:r w:rsidR="00B36385">
          <w:rPr>
            <w:webHidden/>
          </w:rPr>
        </w:r>
        <w:r w:rsidR="00B36385">
          <w:rPr>
            <w:webHidden/>
          </w:rPr>
          <w:fldChar w:fldCharType="separate"/>
        </w:r>
        <w:r w:rsidR="009F12BA">
          <w:rPr>
            <w:webHidden/>
          </w:rPr>
          <w:t>86</w:t>
        </w:r>
        <w:r w:rsidR="00B36385">
          <w:rPr>
            <w:webHidden/>
          </w:rPr>
          <w:fldChar w:fldCharType="end"/>
        </w:r>
      </w:hyperlink>
    </w:p>
    <w:p w14:paraId="26B3399E" w14:textId="77777777" w:rsidR="00B36385" w:rsidRDefault="00FD548C">
      <w:pPr>
        <w:pStyle w:val="TOC1"/>
        <w:rPr>
          <w:rFonts w:asciiTheme="minorHAnsi" w:eastAsiaTheme="minorEastAsia" w:hAnsiTheme="minorHAnsi" w:cstheme="minorBidi"/>
          <w:b w:val="0"/>
          <w:color w:val="auto"/>
          <w:sz w:val="22"/>
          <w:lang w:val="mk-MK" w:eastAsia="mk-MK"/>
        </w:rPr>
      </w:pPr>
      <w:hyperlink w:anchor="_Toc112852218" w:history="1">
        <w:r w:rsidR="00B36385" w:rsidRPr="001E7F57">
          <w:rPr>
            <w:rStyle w:val="Hyperlink"/>
          </w:rPr>
          <w:t>4.</w:t>
        </w:r>
        <w:r w:rsidR="00B36385">
          <w:rPr>
            <w:rFonts w:asciiTheme="minorHAnsi" w:eastAsiaTheme="minorEastAsia" w:hAnsiTheme="minorHAnsi" w:cstheme="minorBidi"/>
            <w:b w:val="0"/>
            <w:color w:val="auto"/>
            <w:sz w:val="22"/>
            <w:lang w:val="mk-MK" w:eastAsia="mk-MK"/>
          </w:rPr>
          <w:tab/>
        </w:r>
        <w:r w:rsidR="00B36385" w:rsidRPr="001E7F57">
          <w:rPr>
            <w:rStyle w:val="Hyperlink"/>
          </w:rPr>
          <w:t>Legal Requirements</w:t>
        </w:r>
        <w:r w:rsidR="00B36385">
          <w:rPr>
            <w:webHidden/>
          </w:rPr>
          <w:tab/>
        </w:r>
        <w:r w:rsidR="00B36385">
          <w:rPr>
            <w:webHidden/>
          </w:rPr>
          <w:fldChar w:fldCharType="begin"/>
        </w:r>
        <w:r w:rsidR="00B36385">
          <w:rPr>
            <w:webHidden/>
          </w:rPr>
          <w:instrText xml:space="preserve"> PAGEREF _Toc112852218 \h </w:instrText>
        </w:r>
        <w:r w:rsidR="00B36385">
          <w:rPr>
            <w:webHidden/>
          </w:rPr>
        </w:r>
        <w:r w:rsidR="00B36385">
          <w:rPr>
            <w:webHidden/>
          </w:rPr>
          <w:fldChar w:fldCharType="separate"/>
        </w:r>
        <w:r w:rsidR="009F12BA">
          <w:rPr>
            <w:webHidden/>
          </w:rPr>
          <w:t>88</w:t>
        </w:r>
        <w:r w:rsidR="00B36385">
          <w:rPr>
            <w:webHidden/>
          </w:rPr>
          <w:fldChar w:fldCharType="end"/>
        </w:r>
      </w:hyperlink>
    </w:p>
    <w:p w14:paraId="44B639EA"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19" w:history="1">
        <w:r w:rsidR="00B36385" w:rsidRPr="001E7F57">
          <w:rPr>
            <w:rStyle w:val="Hyperlink"/>
            <w:rFonts w:cs="Tahoma"/>
          </w:rPr>
          <w:t>4.1</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Pr>
          <w:t>Macedonian Requirements</w:t>
        </w:r>
        <w:r w:rsidR="00B36385">
          <w:rPr>
            <w:webHidden/>
          </w:rPr>
          <w:tab/>
        </w:r>
        <w:r w:rsidR="00B36385">
          <w:rPr>
            <w:webHidden/>
          </w:rPr>
          <w:fldChar w:fldCharType="begin"/>
        </w:r>
        <w:r w:rsidR="00B36385">
          <w:rPr>
            <w:webHidden/>
          </w:rPr>
          <w:instrText xml:space="preserve"> PAGEREF _Toc112852219 \h </w:instrText>
        </w:r>
        <w:r w:rsidR="00B36385">
          <w:rPr>
            <w:webHidden/>
          </w:rPr>
        </w:r>
        <w:r w:rsidR="00B36385">
          <w:rPr>
            <w:webHidden/>
          </w:rPr>
          <w:fldChar w:fldCharType="separate"/>
        </w:r>
        <w:r w:rsidR="009F12BA">
          <w:rPr>
            <w:webHidden/>
          </w:rPr>
          <w:t>88</w:t>
        </w:r>
        <w:r w:rsidR="00B36385">
          <w:rPr>
            <w:webHidden/>
          </w:rPr>
          <w:fldChar w:fldCharType="end"/>
        </w:r>
      </w:hyperlink>
    </w:p>
    <w:p w14:paraId="1DD8A5D8" w14:textId="77777777" w:rsidR="00B36385" w:rsidRDefault="00FD548C">
      <w:pPr>
        <w:pStyle w:val="TOC3"/>
        <w:rPr>
          <w:rFonts w:asciiTheme="minorHAnsi" w:eastAsiaTheme="minorEastAsia" w:hAnsiTheme="minorHAnsi" w:cstheme="minorBidi"/>
          <w:sz w:val="22"/>
          <w:szCs w:val="22"/>
          <w:lang w:val="mk-MK" w:eastAsia="mk-MK"/>
        </w:rPr>
      </w:pPr>
      <w:hyperlink w:anchor="_Toc112852220" w:history="1">
        <w:r w:rsidR="00B36385" w:rsidRPr="001E7F57">
          <w:rPr>
            <w:rStyle w:val="Hyperlink"/>
          </w:rPr>
          <w:t>4.1.1</w:t>
        </w:r>
        <w:r w:rsidR="00B36385">
          <w:rPr>
            <w:rFonts w:asciiTheme="minorHAnsi" w:eastAsiaTheme="minorEastAsia" w:hAnsiTheme="minorHAnsi" w:cstheme="minorBidi"/>
            <w:sz w:val="22"/>
            <w:szCs w:val="22"/>
            <w:lang w:val="mk-MK" w:eastAsia="mk-MK"/>
          </w:rPr>
          <w:tab/>
        </w:r>
        <w:r w:rsidR="00B36385" w:rsidRPr="001E7F57">
          <w:rPr>
            <w:rStyle w:val="Hyperlink"/>
          </w:rPr>
          <w:t>Environmental Appraisal of Projects</w:t>
        </w:r>
        <w:r w:rsidR="00B36385">
          <w:rPr>
            <w:webHidden/>
          </w:rPr>
          <w:tab/>
        </w:r>
        <w:r w:rsidR="00B36385">
          <w:rPr>
            <w:webHidden/>
          </w:rPr>
          <w:fldChar w:fldCharType="begin"/>
        </w:r>
        <w:r w:rsidR="00B36385">
          <w:rPr>
            <w:webHidden/>
          </w:rPr>
          <w:instrText xml:space="preserve"> PAGEREF _Toc112852220 \h </w:instrText>
        </w:r>
        <w:r w:rsidR="00B36385">
          <w:rPr>
            <w:webHidden/>
          </w:rPr>
        </w:r>
        <w:r w:rsidR="00B36385">
          <w:rPr>
            <w:webHidden/>
          </w:rPr>
          <w:fldChar w:fldCharType="separate"/>
        </w:r>
        <w:r w:rsidR="009F12BA">
          <w:rPr>
            <w:webHidden/>
          </w:rPr>
          <w:t>88</w:t>
        </w:r>
        <w:r w:rsidR="00B36385">
          <w:rPr>
            <w:webHidden/>
          </w:rPr>
          <w:fldChar w:fldCharType="end"/>
        </w:r>
      </w:hyperlink>
    </w:p>
    <w:p w14:paraId="1B5F0F29" w14:textId="77777777" w:rsidR="00B36385" w:rsidRDefault="00FD548C">
      <w:pPr>
        <w:pStyle w:val="TOC3"/>
        <w:rPr>
          <w:rFonts w:asciiTheme="minorHAnsi" w:eastAsiaTheme="minorEastAsia" w:hAnsiTheme="minorHAnsi" w:cstheme="minorBidi"/>
          <w:sz w:val="22"/>
          <w:szCs w:val="22"/>
          <w:lang w:val="mk-MK" w:eastAsia="mk-MK"/>
        </w:rPr>
      </w:pPr>
      <w:hyperlink w:anchor="_Toc112852221" w:history="1">
        <w:r w:rsidR="00B36385" w:rsidRPr="001E7F57">
          <w:rPr>
            <w:rStyle w:val="Hyperlink"/>
          </w:rPr>
          <w:t>4.1.2</w:t>
        </w:r>
        <w:r w:rsidR="00B36385">
          <w:rPr>
            <w:rFonts w:asciiTheme="minorHAnsi" w:eastAsiaTheme="minorEastAsia" w:hAnsiTheme="minorHAnsi" w:cstheme="minorBidi"/>
            <w:sz w:val="22"/>
            <w:szCs w:val="22"/>
            <w:lang w:val="mk-MK" w:eastAsia="mk-MK"/>
          </w:rPr>
          <w:tab/>
        </w:r>
        <w:r w:rsidR="00B36385" w:rsidRPr="001E7F57">
          <w:rPr>
            <w:rStyle w:val="Hyperlink"/>
          </w:rPr>
          <w:t>Key Environmental Legislation</w:t>
        </w:r>
        <w:r w:rsidR="00B36385">
          <w:rPr>
            <w:webHidden/>
          </w:rPr>
          <w:tab/>
        </w:r>
        <w:r w:rsidR="00B36385">
          <w:rPr>
            <w:webHidden/>
          </w:rPr>
          <w:fldChar w:fldCharType="begin"/>
        </w:r>
        <w:r w:rsidR="00B36385">
          <w:rPr>
            <w:webHidden/>
          </w:rPr>
          <w:instrText xml:space="preserve"> PAGEREF _Toc112852221 \h </w:instrText>
        </w:r>
        <w:r w:rsidR="00B36385">
          <w:rPr>
            <w:webHidden/>
          </w:rPr>
        </w:r>
        <w:r w:rsidR="00B36385">
          <w:rPr>
            <w:webHidden/>
          </w:rPr>
          <w:fldChar w:fldCharType="separate"/>
        </w:r>
        <w:r w:rsidR="009F12BA">
          <w:rPr>
            <w:webHidden/>
          </w:rPr>
          <w:t>91</w:t>
        </w:r>
        <w:r w:rsidR="00B36385">
          <w:rPr>
            <w:webHidden/>
          </w:rPr>
          <w:fldChar w:fldCharType="end"/>
        </w:r>
      </w:hyperlink>
    </w:p>
    <w:p w14:paraId="28D55A82" w14:textId="77777777" w:rsidR="00B36385" w:rsidRDefault="00FD548C">
      <w:pPr>
        <w:pStyle w:val="TOC3"/>
        <w:rPr>
          <w:rFonts w:asciiTheme="minorHAnsi" w:eastAsiaTheme="minorEastAsia" w:hAnsiTheme="minorHAnsi" w:cstheme="minorBidi"/>
          <w:sz w:val="22"/>
          <w:szCs w:val="22"/>
          <w:lang w:val="mk-MK" w:eastAsia="mk-MK"/>
        </w:rPr>
      </w:pPr>
      <w:hyperlink w:anchor="_Toc112852222" w:history="1">
        <w:r w:rsidR="00B36385" w:rsidRPr="001E7F57">
          <w:rPr>
            <w:rStyle w:val="Hyperlink"/>
          </w:rPr>
          <w:t>4.1.3</w:t>
        </w:r>
        <w:r w:rsidR="00B36385">
          <w:rPr>
            <w:rFonts w:asciiTheme="minorHAnsi" w:eastAsiaTheme="minorEastAsia" w:hAnsiTheme="minorHAnsi" w:cstheme="minorBidi"/>
            <w:sz w:val="22"/>
            <w:szCs w:val="22"/>
            <w:lang w:val="mk-MK" w:eastAsia="mk-MK"/>
          </w:rPr>
          <w:tab/>
        </w:r>
        <w:r w:rsidR="00B36385" w:rsidRPr="001E7F57">
          <w:rPr>
            <w:rStyle w:val="Hyperlink"/>
          </w:rPr>
          <w:t>Key Social Legislation</w:t>
        </w:r>
        <w:r w:rsidR="00B36385">
          <w:rPr>
            <w:webHidden/>
          </w:rPr>
          <w:tab/>
        </w:r>
        <w:r w:rsidR="00B36385">
          <w:rPr>
            <w:webHidden/>
          </w:rPr>
          <w:fldChar w:fldCharType="begin"/>
        </w:r>
        <w:r w:rsidR="00B36385">
          <w:rPr>
            <w:webHidden/>
          </w:rPr>
          <w:instrText xml:space="preserve"> PAGEREF _Toc112852222 \h </w:instrText>
        </w:r>
        <w:r w:rsidR="00B36385">
          <w:rPr>
            <w:webHidden/>
          </w:rPr>
        </w:r>
        <w:r w:rsidR="00B36385">
          <w:rPr>
            <w:webHidden/>
          </w:rPr>
          <w:fldChar w:fldCharType="separate"/>
        </w:r>
        <w:r w:rsidR="009F12BA">
          <w:rPr>
            <w:webHidden/>
          </w:rPr>
          <w:t>92</w:t>
        </w:r>
        <w:r w:rsidR="00B36385">
          <w:rPr>
            <w:webHidden/>
          </w:rPr>
          <w:fldChar w:fldCharType="end"/>
        </w:r>
      </w:hyperlink>
    </w:p>
    <w:p w14:paraId="1BFDF310"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23" w:history="1">
        <w:r w:rsidR="00B36385" w:rsidRPr="001E7F57">
          <w:rPr>
            <w:rStyle w:val="Hyperlink"/>
            <w:rFonts w:cs="Tahoma"/>
          </w:rPr>
          <w:t>4.2</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Pr>
          <w:t>International Requirements</w:t>
        </w:r>
        <w:r w:rsidR="00B36385">
          <w:rPr>
            <w:webHidden/>
          </w:rPr>
          <w:tab/>
        </w:r>
        <w:r w:rsidR="00B36385">
          <w:rPr>
            <w:webHidden/>
          </w:rPr>
          <w:fldChar w:fldCharType="begin"/>
        </w:r>
        <w:r w:rsidR="00B36385">
          <w:rPr>
            <w:webHidden/>
          </w:rPr>
          <w:instrText xml:space="preserve"> PAGEREF _Toc112852223 \h </w:instrText>
        </w:r>
        <w:r w:rsidR="00B36385">
          <w:rPr>
            <w:webHidden/>
          </w:rPr>
        </w:r>
        <w:r w:rsidR="00B36385">
          <w:rPr>
            <w:webHidden/>
          </w:rPr>
          <w:fldChar w:fldCharType="separate"/>
        </w:r>
        <w:r w:rsidR="009F12BA">
          <w:rPr>
            <w:webHidden/>
          </w:rPr>
          <w:t>94</w:t>
        </w:r>
        <w:r w:rsidR="00B36385">
          <w:rPr>
            <w:webHidden/>
          </w:rPr>
          <w:fldChar w:fldCharType="end"/>
        </w:r>
      </w:hyperlink>
    </w:p>
    <w:p w14:paraId="78626B60" w14:textId="77777777" w:rsidR="00B36385" w:rsidRDefault="00FD548C">
      <w:pPr>
        <w:pStyle w:val="TOC3"/>
        <w:rPr>
          <w:rFonts w:asciiTheme="minorHAnsi" w:eastAsiaTheme="minorEastAsia" w:hAnsiTheme="minorHAnsi" w:cstheme="minorBidi"/>
          <w:sz w:val="22"/>
          <w:szCs w:val="22"/>
          <w:lang w:val="mk-MK" w:eastAsia="mk-MK"/>
        </w:rPr>
      </w:pPr>
      <w:hyperlink w:anchor="_Toc112852224" w:history="1">
        <w:r w:rsidR="00B36385" w:rsidRPr="001E7F57">
          <w:rPr>
            <w:rStyle w:val="Hyperlink"/>
          </w:rPr>
          <w:t>4.2.1</w:t>
        </w:r>
        <w:r w:rsidR="00B36385">
          <w:rPr>
            <w:rFonts w:asciiTheme="minorHAnsi" w:eastAsiaTheme="minorEastAsia" w:hAnsiTheme="minorHAnsi" w:cstheme="minorBidi"/>
            <w:sz w:val="22"/>
            <w:szCs w:val="22"/>
            <w:lang w:val="mk-MK" w:eastAsia="mk-MK"/>
          </w:rPr>
          <w:tab/>
        </w:r>
        <w:r w:rsidR="00B36385" w:rsidRPr="001E7F57">
          <w:rPr>
            <w:rStyle w:val="Hyperlink"/>
          </w:rPr>
          <w:t>European Bank for Reconstruction and Development</w:t>
        </w:r>
        <w:r w:rsidR="00B36385">
          <w:rPr>
            <w:webHidden/>
          </w:rPr>
          <w:tab/>
        </w:r>
        <w:r w:rsidR="00B36385">
          <w:rPr>
            <w:webHidden/>
          </w:rPr>
          <w:fldChar w:fldCharType="begin"/>
        </w:r>
        <w:r w:rsidR="00B36385">
          <w:rPr>
            <w:webHidden/>
          </w:rPr>
          <w:instrText xml:space="preserve"> PAGEREF _Toc112852224 \h </w:instrText>
        </w:r>
        <w:r w:rsidR="00B36385">
          <w:rPr>
            <w:webHidden/>
          </w:rPr>
        </w:r>
        <w:r w:rsidR="00B36385">
          <w:rPr>
            <w:webHidden/>
          </w:rPr>
          <w:fldChar w:fldCharType="separate"/>
        </w:r>
        <w:r w:rsidR="009F12BA">
          <w:rPr>
            <w:webHidden/>
          </w:rPr>
          <w:t>94</w:t>
        </w:r>
        <w:r w:rsidR="00B36385">
          <w:rPr>
            <w:webHidden/>
          </w:rPr>
          <w:fldChar w:fldCharType="end"/>
        </w:r>
      </w:hyperlink>
    </w:p>
    <w:p w14:paraId="72BE3569" w14:textId="77777777" w:rsidR="00B36385" w:rsidRDefault="00FD548C">
      <w:pPr>
        <w:pStyle w:val="TOC3"/>
        <w:rPr>
          <w:rFonts w:asciiTheme="minorHAnsi" w:eastAsiaTheme="minorEastAsia" w:hAnsiTheme="minorHAnsi" w:cstheme="minorBidi"/>
          <w:sz w:val="22"/>
          <w:szCs w:val="22"/>
          <w:lang w:val="mk-MK" w:eastAsia="mk-MK"/>
        </w:rPr>
      </w:pPr>
      <w:hyperlink w:anchor="_Toc112852225" w:history="1">
        <w:r w:rsidR="00B36385" w:rsidRPr="001E7F57">
          <w:rPr>
            <w:rStyle w:val="Hyperlink"/>
          </w:rPr>
          <w:t>4.2.2</w:t>
        </w:r>
        <w:r w:rsidR="00B36385">
          <w:rPr>
            <w:rFonts w:asciiTheme="minorHAnsi" w:eastAsiaTheme="minorEastAsia" w:hAnsiTheme="minorHAnsi" w:cstheme="minorBidi"/>
            <w:sz w:val="22"/>
            <w:szCs w:val="22"/>
            <w:lang w:val="mk-MK" w:eastAsia="mk-MK"/>
          </w:rPr>
          <w:tab/>
        </w:r>
        <w:r w:rsidR="00B36385" w:rsidRPr="001E7F57">
          <w:rPr>
            <w:rStyle w:val="Hyperlink"/>
          </w:rPr>
          <w:t>Key EU Directives</w:t>
        </w:r>
        <w:r w:rsidR="00B36385">
          <w:rPr>
            <w:webHidden/>
          </w:rPr>
          <w:tab/>
        </w:r>
        <w:r w:rsidR="00B36385">
          <w:rPr>
            <w:webHidden/>
          </w:rPr>
          <w:fldChar w:fldCharType="begin"/>
        </w:r>
        <w:r w:rsidR="00B36385">
          <w:rPr>
            <w:webHidden/>
          </w:rPr>
          <w:instrText xml:space="preserve"> PAGEREF _Toc112852225 \h </w:instrText>
        </w:r>
        <w:r w:rsidR="00B36385">
          <w:rPr>
            <w:webHidden/>
          </w:rPr>
        </w:r>
        <w:r w:rsidR="00B36385">
          <w:rPr>
            <w:webHidden/>
          </w:rPr>
          <w:fldChar w:fldCharType="separate"/>
        </w:r>
        <w:r w:rsidR="009F12BA">
          <w:rPr>
            <w:webHidden/>
          </w:rPr>
          <w:t>95</w:t>
        </w:r>
        <w:r w:rsidR="00B36385">
          <w:rPr>
            <w:webHidden/>
          </w:rPr>
          <w:fldChar w:fldCharType="end"/>
        </w:r>
      </w:hyperlink>
    </w:p>
    <w:p w14:paraId="061400CC" w14:textId="77777777" w:rsidR="00B36385" w:rsidRDefault="00FD548C">
      <w:pPr>
        <w:pStyle w:val="TOC1"/>
        <w:rPr>
          <w:rFonts w:asciiTheme="minorHAnsi" w:eastAsiaTheme="minorEastAsia" w:hAnsiTheme="minorHAnsi" w:cstheme="minorBidi"/>
          <w:b w:val="0"/>
          <w:color w:val="auto"/>
          <w:sz w:val="22"/>
          <w:lang w:val="mk-MK" w:eastAsia="mk-MK"/>
        </w:rPr>
      </w:pPr>
      <w:hyperlink w:anchor="_Toc112852226" w:history="1">
        <w:r w:rsidR="00B36385" w:rsidRPr="001E7F57">
          <w:rPr>
            <w:rStyle w:val="Hyperlink"/>
          </w:rPr>
          <w:t>5.</w:t>
        </w:r>
        <w:r w:rsidR="00B36385">
          <w:rPr>
            <w:rFonts w:asciiTheme="minorHAnsi" w:eastAsiaTheme="minorEastAsia" w:hAnsiTheme="minorHAnsi" w:cstheme="minorBidi"/>
            <w:b w:val="0"/>
            <w:color w:val="auto"/>
            <w:sz w:val="22"/>
            <w:lang w:val="mk-MK" w:eastAsia="mk-MK"/>
          </w:rPr>
          <w:tab/>
        </w:r>
        <w:r w:rsidR="00B36385" w:rsidRPr="001E7F57">
          <w:rPr>
            <w:rStyle w:val="Hyperlink"/>
          </w:rPr>
          <w:t>Approach to Assessment</w:t>
        </w:r>
        <w:r w:rsidR="00B36385">
          <w:rPr>
            <w:webHidden/>
          </w:rPr>
          <w:tab/>
        </w:r>
        <w:r w:rsidR="00B36385">
          <w:rPr>
            <w:webHidden/>
          </w:rPr>
          <w:fldChar w:fldCharType="begin"/>
        </w:r>
        <w:r w:rsidR="00B36385">
          <w:rPr>
            <w:webHidden/>
          </w:rPr>
          <w:instrText xml:space="preserve"> PAGEREF _Toc112852226 \h </w:instrText>
        </w:r>
        <w:r w:rsidR="00B36385">
          <w:rPr>
            <w:webHidden/>
          </w:rPr>
        </w:r>
        <w:r w:rsidR="00B36385">
          <w:rPr>
            <w:webHidden/>
          </w:rPr>
          <w:fldChar w:fldCharType="separate"/>
        </w:r>
        <w:r w:rsidR="009F12BA">
          <w:rPr>
            <w:webHidden/>
          </w:rPr>
          <w:t>97</w:t>
        </w:r>
        <w:r w:rsidR="00B36385">
          <w:rPr>
            <w:webHidden/>
          </w:rPr>
          <w:fldChar w:fldCharType="end"/>
        </w:r>
      </w:hyperlink>
    </w:p>
    <w:p w14:paraId="486F4B21"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27" w:history="1">
        <w:r w:rsidR="00B36385" w:rsidRPr="001E7F57">
          <w:rPr>
            <w:rStyle w:val="Hyperlink"/>
            <w:rFonts w:cs="Tahoma"/>
          </w:rPr>
          <w:t>5.1</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Pr>
          <w:t>Source of Information</w:t>
        </w:r>
        <w:r w:rsidR="00B36385">
          <w:rPr>
            <w:webHidden/>
          </w:rPr>
          <w:tab/>
        </w:r>
        <w:r w:rsidR="00B36385">
          <w:rPr>
            <w:webHidden/>
          </w:rPr>
          <w:fldChar w:fldCharType="begin"/>
        </w:r>
        <w:r w:rsidR="00B36385">
          <w:rPr>
            <w:webHidden/>
          </w:rPr>
          <w:instrText xml:space="preserve"> PAGEREF _Toc112852227 \h </w:instrText>
        </w:r>
        <w:r w:rsidR="00B36385">
          <w:rPr>
            <w:webHidden/>
          </w:rPr>
        </w:r>
        <w:r w:rsidR="00B36385">
          <w:rPr>
            <w:webHidden/>
          </w:rPr>
          <w:fldChar w:fldCharType="separate"/>
        </w:r>
        <w:r w:rsidR="009F12BA">
          <w:rPr>
            <w:webHidden/>
          </w:rPr>
          <w:t>97</w:t>
        </w:r>
        <w:r w:rsidR="00B36385">
          <w:rPr>
            <w:webHidden/>
          </w:rPr>
          <w:fldChar w:fldCharType="end"/>
        </w:r>
      </w:hyperlink>
    </w:p>
    <w:p w14:paraId="70A21397"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28" w:history="1">
        <w:r w:rsidR="00B36385" w:rsidRPr="001E7F57">
          <w:rPr>
            <w:rStyle w:val="Hyperlink"/>
            <w:rFonts w:cs="Tahoma"/>
          </w:rPr>
          <w:t>5.2</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Tahoma"/>
          </w:rPr>
          <w:t xml:space="preserve">Project Design Status and </w:t>
        </w:r>
        <w:r w:rsidR="00B36385" w:rsidRPr="001E7F57">
          <w:rPr>
            <w:rStyle w:val="Hyperlink"/>
          </w:rPr>
          <w:t>Level of Details of the Assessment</w:t>
        </w:r>
        <w:r w:rsidR="00B36385">
          <w:rPr>
            <w:webHidden/>
          </w:rPr>
          <w:tab/>
        </w:r>
        <w:r w:rsidR="00B36385">
          <w:rPr>
            <w:webHidden/>
          </w:rPr>
          <w:fldChar w:fldCharType="begin"/>
        </w:r>
        <w:r w:rsidR="00B36385">
          <w:rPr>
            <w:webHidden/>
          </w:rPr>
          <w:instrText xml:space="preserve"> PAGEREF _Toc112852228 \h </w:instrText>
        </w:r>
        <w:r w:rsidR="00B36385">
          <w:rPr>
            <w:webHidden/>
          </w:rPr>
        </w:r>
        <w:r w:rsidR="00B36385">
          <w:rPr>
            <w:webHidden/>
          </w:rPr>
          <w:fldChar w:fldCharType="separate"/>
        </w:r>
        <w:r w:rsidR="009F12BA">
          <w:rPr>
            <w:webHidden/>
          </w:rPr>
          <w:t>97</w:t>
        </w:r>
        <w:r w:rsidR="00B36385">
          <w:rPr>
            <w:webHidden/>
          </w:rPr>
          <w:fldChar w:fldCharType="end"/>
        </w:r>
      </w:hyperlink>
    </w:p>
    <w:p w14:paraId="14D6898F"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29" w:history="1">
        <w:r w:rsidR="00B36385" w:rsidRPr="001E7F57">
          <w:rPr>
            <w:rStyle w:val="Hyperlink"/>
            <w:rFonts w:cs="Tahoma"/>
          </w:rPr>
          <w:t>5.3</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Tahoma"/>
          </w:rPr>
          <w:t>Managing Changes to Design</w:t>
        </w:r>
        <w:r w:rsidR="00B36385">
          <w:rPr>
            <w:webHidden/>
          </w:rPr>
          <w:tab/>
        </w:r>
        <w:r w:rsidR="00B36385">
          <w:rPr>
            <w:webHidden/>
          </w:rPr>
          <w:fldChar w:fldCharType="begin"/>
        </w:r>
        <w:r w:rsidR="00B36385">
          <w:rPr>
            <w:webHidden/>
          </w:rPr>
          <w:instrText xml:space="preserve"> PAGEREF _Toc112852229 \h </w:instrText>
        </w:r>
        <w:r w:rsidR="00B36385">
          <w:rPr>
            <w:webHidden/>
          </w:rPr>
        </w:r>
        <w:r w:rsidR="00B36385">
          <w:rPr>
            <w:webHidden/>
          </w:rPr>
          <w:fldChar w:fldCharType="separate"/>
        </w:r>
        <w:r w:rsidR="009F12BA">
          <w:rPr>
            <w:webHidden/>
          </w:rPr>
          <w:t>98</w:t>
        </w:r>
        <w:r w:rsidR="00B36385">
          <w:rPr>
            <w:webHidden/>
          </w:rPr>
          <w:fldChar w:fldCharType="end"/>
        </w:r>
      </w:hyperlink>
    </w:p>
    <w:p w14:paraId="0567F69D"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30" w:history="1">
        <w:r w:rsidR="00B36385" w:rsidRPr="001E7F57">
          <w:rPr>
            <w:rStyle w:val="Hyperlink"/>
            <w:rFonts w:cs="Tahoma"/>
          </w:rPr>
          <w:t>5.4</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Pr>
          <w:t>Approach to the Assessment</w:t>
        </w:r>
        <w:r w:rsidR="00B36385">
          <w:rPr>
            <w:webHidden/>
          </w:rPr>
          <w:tab/>
        </w:r>
        <w:r w:rsidR="00B36385">
          <w:rPr>
            <w:webHidden/>
          </w:rPr>
          <w:fldChar w:fldCharType="begin"/>
        </w:r>
        <w:r w:rsidR="00B36385">
          <w:rPr>
            <w:webHidden/>
          </w:rPr>
          <w:instrText xml:space="preserve"> PAGEREF _Toc112852230 \h </w:instrText>
        </w:r>
        <w:r w:rsidR="00B36385">
          <w:rPr>
            <w:webHidden/>
          </w:rPr>
        </w:r>
        <w:r w:rsidR="00B36385">
          <w:rPr>
            <w:webHidden/>
          </w:rPr>
          <w:fldChar w:fldCharType="separate"/>
        </w:r>
        <w:r w:rsidR="009F12BA">
          <w:rPr>
            <w:webHidden/>
          </w:rPr>
          <w:t>98</w:t>
        </w:r>
        <w:r w:rsidR="00B36385">
          <w:rPr>
            <w:webHidden/>
          </w:rPr>
          <w:fldChar w:fldCharType="end"/>
        </w:r>
      </w:hyperlink>
    </w:p>
    <w:p w14:paraId="006C9957"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31" w:history="1">
        <w:r w:rsidR="00B36385" w:rsidRPr="001E7F57">
          <w:rPr>
            <w:rStyle w:val="Hyperlink"/>
            <w:rFonts w:cs="Tahoma"/>
          </w:rPr>
          <w:t>5.5</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Arial"/>
          </w:rPr>
          <w:t>Interaction with the Technical Design</w:t>
        </w:r>
        <w:r w:rsidR="00B36385">
          <w:rPr>
            <w:webHidden/>
          </w:rPr>
          <w:tab/>
        </w:r>
        <w:r w:rsidR="00B36385">
          <w:rPr>
            <w:webHidden/>
          </w:rPr>
          <w:fldChar w:fldCharType="begin"/>
        </w:r>
        <w:r w:rsidR="00B36385">
          <w:rPr>
            <w:webHidden/>
          </w:rPr>
          <w:instrText xml:space="preserve"> PAGEREF _Toc112852231 \h </w:instrText>
        </w:r>
        <w:r w:rsidR="00B36385">
          <w:rPr>
            <w:webHidden/>
          </w:rPr>
        </w:r>
        <w:r w:rsidR="00B36385">
          <w:rPr>
            <w:webHidden/>
          </w:rPr>
          <w:fldChar w:fldCharType="separate"/>
        </w:r>
        <w:r w:rsidR="009F12BA">
          <w:rPr>
            <w:webHidden/>
          </w:rPr>
          <w:t>99</w:t>
        </w:r>
        <w:r w:rsidR="00B36385">
          <w:rPr>
            <w:webHidden/>
          </w:rPr>
          <w:fldChar w:fldCharType="end"/>
        </w:r>
      </w:hyperlink>
    </w:p>
    <w:p w14:paraId="614349D6"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32" w:history="1">
        <w:r w:rsidR="00B36385" w:rsidRPr="001E7F57">
          <w:rPr>
            <w:rStyle w:val="Hyperlink"/>
            <w:rFonts w:cs="Tahoma"/>
          </w:rPr>
          <w:t>5.6</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Arial"/>
          </w:rPr>
          <w:t>Study Area</w:t>
        </w:r>
        <w:r w:rsidR="00B36385">
          <w:rPr>
            <w:webHidden/>
          </w:rPr>
          <w:tab/>
        </w:r>
        <w:r w:rsidR="00B36385">
          <w:rPr>
            <w:webHidden/>
          </w:rPr>
          <w:fldChar w:fldCharType="begin"/>
        </w:r>
        <w:r w:rsidR="00B36385">
          <w:rPr>
            <w:webHidden/>
          </w:rPr>
          <w:instrText xml:space="preserve"> PAGEREF _Toc112852232 \h </w:instrText>
        </w:r>
        <w:r w:rsidR="00B36385">
          <w:rPr>
            <w:webHidden/>
          </w:rPr>
        </w:r>
        <w:r w:rsidR="00B36385">
          <w:rPr>
            <w:webHidden/>
          </w:rPr>
          <w:fldChar w:fldCharType="separate"/>
        </w:r>
        <w:r w:rsidR="009F12BA">
          <w:rPr>
            <w:webHidden/>
          </w:rPr>
          <w:t>99</w:t>
        </w:r>
        <w:r w:rsidR="00B36385">
          <w:rPr>
            <w:webHidden/>
          </w:rPr>
          <w:fldChar w:fldCharType="end"/>
        </w:r>
      </w:hyperlink>
    </w:p>
    <w:p w14:paraId="6D748F86"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33" w:history="1">
        <w:r w:rsidR="00B36385" w:rsidRPr="001E7F57">
          <w:rPr>
            <w:rStyle w:val="Hyperlink"/>
            <w:rFonts w:cs="Tahoma"/>
          </w:rPr>
          <w:t>5.7</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Arial"/>
          </w:rPr>
          <w:t>Existing Baseline</w:t>
        </w:r>
        <w:r w:rsidR="00B36385">
          <w:rPr>
            <w:webHidden/>
          </w:rPr>
          <w:tab/>
        </w:r>
        <w:r w:rsidR="00B36385">
          <w:rPr>
            <w:webHidden/>
          </w:rPr>
          <w:fldChar w:fldCharType="begin"/>
        </w:r>
        <w:r w:rsidR="00B36385">
          <w:rPr>
            <w:webHidden/>
          </w:rPr>
          <w:instrText xml:space="preserve"> PAGEREF _Toc112852233 \h </w:instrText>
        </w:r>
        <w:r w:rsidR="00B36385">
          <w:rPr>
            <w:webHidden/>
          </w:rPr>
        </w:r>
        <w:r w:rsidR="00B36385">
          <w:rPr>
            <w:webHidden/>
          </w:rPr>
          <w:fldChar w:fldCharType="separate"/>
        </w:r>
        <w:r w:rsidR="009F12BA">
          <w:rPr>
            <w:webHidden/>
          </w:rPr>
          <w:t>99</w:t>
        </w:r>
        <w:r w:rsidR="00B36385">
          <w:rPr>
            <w:webHidden/>
          </w:rPr>
          <w:fldChar w:fldCharType="end"/>
        </w:r>
      </w:hyperlink>
    </w:p>
    <w:p w14:paraId="2BB30BDB" w14:textId="77777777" w:rsidR="00B36385" w:rsidRDefault="00FD548C">
      <w:pPr>
        <w:pStyle w:val="TOC3"/>
        <w:rPr>
          <w:rFonts w:asciiTheme="minorHAnsi" w:eastAsiaTheme="minorEastAsia" w:hAnsiTheme="minorHAnsi" w:cstheme="minorBidi"/>
          <w:sz w:val="22"/>
          <w:szCs w:val="22"/>
          <w:lang w:val="mk-MK" w:eastAsia="mk-MK"/>
        </w:rPr>
      </w:pPr>
      <w:hyperlink w:anchor="_Toc112852234" w:history="1">
        <w:r w:rsidR="00B36385" w:rsidRPr="001E7F57">
          <w:rPr>
            <w:rStyle w:val="Hyperlink"/>
            <w:rFonts w:cs="Arial"/>
          </w:rPr>
          <w:t>5.7.1</w:t>
        </w:r>
        <w:r w:rsidR="00B36385">
          <w:rPr>
            <w:rFonts w:asciiTheme="minorHAnsi" w:eastAsiaTheme="minorEastAsia" w:hAnsiTheme="minorHAnsi" w:cstheme="minorBidi"/>
            <w:sz w:val="22"/>
            <w:szCs w:val="22"/>
            <w:lang w:val="mk-MK" w:eastAsia="mk-MK"/>
          </w:rPr>
          <w:tab/>
        </w:r>
        <w:r w:rsidR="00B36385" w:rsidRPr="001E7F57">
          <w:rPr>
            <w:rStyle w:val="Hyperlink"/>
            <w:rFonts w:cs="Arial"/>
          </w:rPr>
          <w:t>Introduction</w:t>
        </w:r>
        <w:r w:rsidR="00B36385">
          <w:rPr>
            <w:webHidden/>
          </w:rPr>
          <w:tab/>
        </w:r>
        <w:r w:rsidR="00B36385">
          <w:rPr>
            <w:webHidden/>
          </w:rPr>
          <w:fldChar w:fldCharType="begin"/>
        </w:r>
        <w:r w:rsidR="00B36385">
          <w:rPr>
            <w:webHidden/>
          </w:rPr>
          <w:instrText xml:space="preserve"> PAGEREF _Toc112852234 \h </w:instrText>
        </w:r>
        <w:r w:rsidR="00B36385">
          <w:rPr>
            <w:webHidden/>
          </w:rPr>
        </w:r>
        <w:r w:rsidR="00B36385">
          <w:rPr>
            <w:webHidden/>
          </w:rPr>
          <w:fldChar w:fldCharType="separate"/>
        </w:r>
        <w:r w:rsidR="009F12BA">
          <w:rPr>
            <w:webHidden/>
          </w:rPr>
          <w:t>99</w:t>
        </w:r>
        <w:r w:rsidR="00B36385">
          <w:rPr>
            <w:webHidden/>
          </w:rPr>
          <w:fldChar w:fldCharType="end"/>
        </w:r>
      </w:hyperlink>
    </w:p>
    <w:p w14:paraId="0EDA93EC" w14:textId="77777777" w:rsidR="00B36385" w:rsidRDefault="00FD548C">
      <w:pPr>
        <w:pStyle w:val="TOC3"/>
        <w:rPr>
          <w:rFonts w:asciiTheme="minorHAnsi" w:eastAsiaTheme="minorEastAsia" w:hAnsiTheme="minorHAnsi" w:cstheme="minorBidi"/>
          <w:sz w:val="22"/>
          <w:szCs w:val="22"/>
          <w:lang w:val="mk-MK" w:eastAsia="mk-MK"/>
        </w:rPr>
      </w:pPr>
      <w:hyperlink w:anchor="_Toc112852235" w:history="1">
        <w:r w:rsidR="00B36385" w:rsidRPr="001E7F57">
          <w:rPr>
            <w:rStyle w:val="Hyperlink"/>
            <w:rFonts w:cs="Arial"/>
          </w:rPr>
          <w:t>5.7.2</w:t>
        </w:r>
        <w:r w:rsidR="00B36385">
          <w:rPr>
            <w:rFonts w:asciiTheme="minorHAnsi" w:eastAsiaTheme="minorEastAsia" w:hAnsiTheme="minorHAnsi" w:cstheme="minorBidi"/>
            <w:sz w:val="22"/>
            <w:szCs w:val="22"/>
            <w:lang w:val="mk-MK" w:eastAsia="mk-MK"/>
          </w:rPr>
          <w:tab/>
        </w:r>
        <w:r w:rsidR="00B36385" w:rsidRPr="001E7F57">
          <w:rPr>
            <w:rStyle w:val="Hyperlink"/>
            <w:rFonts w:cs="Arial"/>
          </w:rPr>
          <w:t>Summary of Baseline Surveys</w:t>
        </w:r>
        <w:r w:rsidR="00B36385">
          <w:rPr>
            <w:webHidden/>
          </w:rPr>
          <w:tab/>
        </w:r>
        <w:r w:rsidR="00B36385">
          <w:rPr>
            <w:webHidden/>
          </w:rPr>
          <w:fldChar w:fldCharType="begin"/>
        </w:r>
        <w:r w:rsidR="00B36385">
          <w:rPr>
            <w:webHidden/>
          </w:rPr>
          <w:instrText xml:space="preserve"> PAGEREF _Toc112852235 \h </w:instrText>
        </w:r>
        <w:r w:rsidR="00B36385">
          <w:rPr>
            <w:webHidden/>
          </w:rPr>
        </w:r>
        <w:r w:rsidR="00B36385">
          <w:rPr>
            <w:webHidden/>
          </w:rPr>
          <w:fldChar w:fldCharType="separate"/>
        </w:r>
        <w:r w:rsidR="009F12BA">
          <w:rPr>
            <w:webHidden/>
          </w:rPr>
          <w:t>99</w:t>
        </w:r>
        <w:r w:rsidR="00B36385">
          <w:rPr>
            <w:webHidden/>
          </w:rPr>
          <w:fldChar w:fldCharType="end"/>
        </w:r>
      </w:hyperlink>
    </w:p>
    <w:p w14:paraId="72698386"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36" w:history="1">
        <w:r w:rsidR="00B36385" w:rsidRPr="001E7F57">
          <w:rPr>
            <w:rStyle w:val="Hyperlink"/>
            <w:rFonts w:cs="Tahoma"/>
          </w:rPr>
          <w:t>5.8</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Arial"/>
          </w:rPr>
          <w:t>Potential Significant Effects and Mitigation</w:t>
        </w:r>
        <w:r w:rsidR="00B36385">
          <w:rPr>
            <w:webHidden/>
          </w:rPr>
          <w:tab/>
        </w:r>
        <w:r w:rsidR="00B36385">
          <w:rPr>
            <w:webHidden/>
          </w:rPr>
          <w:fldChar w:fldCharType="begin"/>
        </w:r>
        <w:r w:rsidR="00B36385">
          <w:rPr>
            <w:webHidden/>
          </w:rPr>
          <w:instrText xml:space="preserve"> PAGEREF _Toc112852236 \h </w:instrText>
        </w:r>
        <w:r w:rsidR="00B36385">
          <w:rPr>
            <w:webHidden/>
          </w:rPr>
        </w:r>
        <w:r w:rsidR="00B36385">
          <w:rPr>
            <w:webHidden/>
          </w:rPr>
          <w:fldChar w:fldCharType="separate"/>
        </w:r>
        <w:r w:rsidR="009F12BA">
          <w:rPr>
            <w:webHidden/>
          </w:rPr>
          <w:t>101</w:t>
        </w:r>
        <w:r w:rsidR="00B36385">
          <w:rPr>
            <w:webHidden/>
          </w:rPr>
          <w:fldChar w:fldCharType="end"/>
        </w:r>
      </w:hyperlink>
    </w:p>
    <w:p w14:paraId="54E78DC3" w14:textId="77777777" w:rsidR="00B36385" w:rsidRDefault="00FD548C">
      <w:pPr>
        <w:pStyle w:val="TOC3"/>
        <w:rPr>
          <w:rFonts w:asciiTheme="minorHAnsi" w:eastAsiaTheme="minorEastAsia" w:hAnsiTheme="minorHAnsi" w:cstheme="minorBidi"/>
          <w:sz w:val="22"/>
          <w:szCs w:val="22"/>
          <w:lang w:val="mk-MK" w:eastAsia="mk-MK"/>
        </w:rPr>
      </w:pPr>
      <w:hyperlink w:anchor="_Toc112852237" w:history="1">
        <w:r w:rsidR="00B36385" w:rsidRPr="001E7F57">
          <w:rPr>
            <w:rStyle w:val="Hyperlink"/>
            <w:rFonts w:cs="Arial"/>
          </w:rPr>
          <w:t>5.8.1</w:t>
        </w:r>
        <w:r w:rsidR="00B36385">
          <w:rPr>
            <w:rFonts w:asciiTheme="minorHAnsi" w:eastAsiaTheme="minorEastAsia" w:hAnsiTheme="minorHAnsi" w:cstheme="minorBidi"/>
            <w:sz w:val="22"/>
            <w:szCs w:val="22"/>
            <w:lang w:val="mk-MK" w:eastAsia="mk-MK"/>
          </w:rPr>
          <w:tab/>
        </w:r>
        <w:r w:rsidR="00B36385" w:rsidRPr="001E7F57">
          <w:rPr>
            <w:rStyle w:val="Hyperlink"/>
            <w:rFonts w:cs="Arial"/>
          </w:rPr>
          <w:t>Significance of Impacts – Generic Approach</w:t>
        </w:r>
        <w:r w:rsidR="00B36385">
          <w:rPr>
            <w:webHidden/>
          </w:rPr>
          <w:tab/>
        </w:r>
        <w:r w:rsidR="00B36385">
          <w:rPr>
            <w:webHidden/>
          </w:rPr>
          <w:fldChar w:fldCharType="begin"/>
        </w:r>
        <w:r w:rsidR="00B36385">
          <w:rPr>
            <w:webHidden/>
          </w:rPr>
          <w:instrText xml:space="preserve"> PAGEREF _Toc112852237 \h </w:instrText>
        </w:r>
        <w:r w:rsidR="00B36385">
          <w:rPr>
            <w:webHidden/>
          </w:rPr>
        </w:r>
        <w:r w:rsidR="00B36385">
          <w:rPr>
            <w:webHidden/>
          </w:rPr>
          <w:fldChar w:fldCharType="separate"/>
        </w:r>
        <w:r w:rsidR="009F12BA">
          <w:rPr>
            <w:webHidden/>
          </w:rPr>
          <w:t>101</w:t>
        </w:r>
        <w:r w:rsidR="00B36385">
          <w:rPr>
            <w:webHidden/>
          </w:rPr>
          <w:fldChar w:fldCharType="end"/>
        </w:r>
      </w:hyperlink>
    </w:p>
    <w:p w14:paraId="523642D6" w14:textId="77777777" w:rsidR="00B36385" w:rsidRDefault="00FD548C">
      <w:pPr>
        <w:pStyle w:val="TOC3"/>
        <w:rPr>
          <w:rFonts w:asciiTheme="minorHAnsi" w:eastAsiaTheme="minorEastAsia" w:hAnsiTheme="minorHAnsi" w:cstheme="minorBidi"/>
          <w:sz w:val="22"/>
          <w:szCs w:val="22"/>
          <w:lang w:val="mk-MK" w:eastAsia="mk-MK"/>
        </w:rPr>
      </w:pPr>
      <w:hyperlink w:anchor="_Toc112852238" w:history="1">
        <w:r w:rsidR="00B36385" w:rsidRPr="001E7F57">
          <w:rPr>
            <w:rStyle w:val="Hyperlink"/>
            <w:rFonts w:cs="Arial"/>
          </w:rPr>
          <w:t>5.8.2</w:t>
        </w:r>
        <w:r w:rsidR="00B36385">
          <w:rPr>
            <w:rFonts w:asciiTheme="minorHAnsi" w:eastAsiaTheme="minorEastAsia" w:hAnsiTheme="minorHAnsi" w:cstheme="minorBidi"/>
            <w:sz w:val="22"/>
            <w:szCs w:val="22"/>
            <w:lang w:val="mk-MK" w:eastAsia="mk-MK"/>
          </w:rPr>
          <w:tab/>
        </w:r>
        <w:r w:rsidR="00B36385" w:rsidRPr="001E7F57">
          <w:rPr>
            <w:rStyle w:val="Hyperlink"/>
            <w:rFonts w:cs="Arial"/>
          </w:rPr>
          <w:t>Impact Mitigation Measures, Enhancement and Residual Effects</w:t>
        </w:r>
        <w:r w:rsidR="00B36385">
          <w:rPr>
            <w:webHidden/>
          </w:rPr>
          <w:tab/>
        </w:r>
        <w:r w:rsidR="00B36385">
          <w:rPr>
            <w:webHidden/>
          </w:rPr>
          <w:fldChar w:fldCharType="begin"/>
        </w:r>
        <w:r w:rsidR="00B36385">
          <w:rPr>
            <w:webHidden/>
          </w:rPr>
          <w:instrText xml:space="preserve"> PAGEREF _Toc112852238 \h </w:instrText>
        </w:r>
        <w:r w:rsidR="00B36385">
          <w:rPr>
            <w:webHidden/>
          </w:rPr>
        </w:r>
        <w:r w:rsidR="00B36385">
          <w:rPr>
            <w:webHidden/>
          </w:rPr>
          <w:fldChar w:fldCharType="separate"/>
        </w:r>
        <w:r w:rsidR="009F12BA">
          <w:rPr>
            <w:webHidden/>
          </w:rPr>
          <w:t>105</w:t>
        </w:r>
        <w:r w:rsidR="00B36385">
          <w:rPr>
            <w:webHidden/>
          </w:rPr>
          <w:fldChar w:fldCharType="end"/>
        </w:r>
      </w:hyperlink>
    </w:p>
    <w:p w14:paraId="06AEF326"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39" w:history="1">
        <w:r w:rsidR="00B36385" w:rsidRPr="001E7F57">
          <w:rPr>
            <w:rStyle w:val="Hyperlink"/>
            <w:rFonts w:cs="Tahoma"/>
          </w:rPr>
          <w:t>5.9</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Arial"/>
          </w:rPr>
          <w:t>Assumptions and Limitations</w:t>
        </w:r>
        <w:r w:rsidR="00B36385">
          <w:rPr>
            <w:webHidden/>
          </w:rPr>
          <w:tab/>
        </w:r>
        <w:r w:rsidR="00B36385">
          <w:rPr>
            <w:webHidden/>
          </w:rPr>
          <w:fldChar w:fldCharType="begin"/>
        </w:r>
        <w:r w:rsidR="00B36385">
          <w:rPr>
            <w:webHidden/>
          </w:rPr>
          <w:instrText xml:space="preserve"> PAGEREF _Toc112852239 \h </w:instrText>
        </w:r>
        <w:r w:rsidR="00B36385">
          <w:rPr>
            <w:webHidden/>
          </w:rPr>
        </w:r>
        <w:r w:rsidR="00B36385">
          <w:rPr>
            <w:webHidden/>
          </w:rPr>
          <w:fldChar w:fldCharType="separate"/>
        </w:r>
        <w:r w:rsidR="009F12BA">
          <w:rPr>
            <w:webHidden/>
          </w:rPr>
          <w:t>106</w:t>
        </w:r>
        <w:r w:rsidR="00B36385">
          <w:rPr>
            <w:webHidden/>
          </w:rPr>
          <w:fldChar w:fldCharType="end"/>
        </w:r>
      </w:hyperlink>
    </w:p>
    <w:p w14:paraId="00B29F66" w14:textId="77777777" w:rsidR="00B36385" w:rsidRDefault="00FD548C">
      <w:pPr>
        <w:pStyle w:val="TOC1"/>
        <w:rPr>
          <w:rFonts w:asciiTheme="minorHAnsi" w:eastAsiaTheme="minorEastAsia" w:hAnsiTheme="minorHAnsi" w:cstheme="minorBidi"/>
          <w:b w:val="0"/>
          <w:color w:val="auto"/>
          <w:sz w:val="22"/>
          <w:lang w:val="mk-MK" w:eastAsia="mk-MK"/>
        </w:rPr>
      </w:pPr>
      <w:hyperlink w:anchor="_Toc112852240" w:history="1">
        <w:r w:rsidR="00B36385" w:rsidRPr="001E7F57">
          <w:rPr>
            <w:rStyle w:val="Hyperlink"/>
            <w:lang w:bidi="en-US"/>
          </w:rPr>
          <w:t>6.</w:t>
        </w:r>
        <w:r w:rsidR="00B36385">
          <w:rPr>
            <w:rFonts w:asciiTheme="minorHAnsi" w:eastAsiaTheme="minorEastAsia" w:hAnsiTheme="minorHAnsi" w:cstheme="minorBidi"/>
            <w:b w:val="0"/>
            <w:color w:val="auto"/>
            <w:sz w:val="22"/>
            <w:lang w:val="mk-MK" w:eastAsia="mk-MK"/>
          </w:rPr>
          <w:tab/>
        </w:r>
        <w:r w:rsidR="00B36385" w:rsidRPr="001E7F57">
          <w:rPr>
            <w:rStyle w:val="Hyperlink"/>
          </w:rPr>
          <w:t>Consultation and Participation Arrangements</w:t>
        </w:r>
        <w:r w:rsidR="00B36385">
          <w:rPr>
            <w:webHidden/>
          </w:rPr>
          <w:tab/>
        </w:r>
        <w:r w:rsidR="00B36385">
          <w:rPr>
            <w:webHidden/>
          </w:rPr>
          <w:fldChar w:fldCharType="begin"/>
        </w:r>
        <w:r w:rsidR="00B36385">
          <w:rPr>
            <w:webHidden/>
          </w:rPr>
          <w:instrText xml:space="preserve"> PAGEREF _Toc112852240 \h </w:instrText>
        </w:r>
        <w:r w:rsidR="00B36385">
          <w:rPr>
            <w:webHidden/>
          </w:rPr>
        </w:r>
        <w:r w:rsidR="00B36385">
          <w:rPr>
            <w:webHidden/>
          </w:rPr>
          <w:fldChar w:fldCharType="separate"/>
        </w:r>
        <w:r w:rsidR="009F12BA">
          <w:rPr>
            <w:webHidden/>
          </w:rPr>
          <w:t>107</w:t>
        </w:r>
        <w:r w:rsidR="00B36385">
          <w:rPr>
            <w:webHidden/>
          </w:rPr>
          <w:fldChar w:fldCharType="end"/>
        </w:r>
      </w:hyperlink>
    </w:p>
    <w:p w14:paraId="5F99AE12"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41" w:history="1">
        <w:r w:rsidR="00B36385" w:rsidRPr="001E7F57">
          <w:rPr>
            <w:rStyle w:val="Hyperlink"/>
            <w:rFonts w:cs="Tahoma"/>
          </w:rPr>
          <w:t>6.1</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Pr>
          <w:t>Context</w:t>
        </w:r>
        <w:r w:rsidR="00B36385">
          <w:rPr>
            <w:webHidden/>
          </w:rPr>
          <w:tab/>
        </w:r>
        <w:r w:rsidR="00B36385">
          <w:rPr>
            <w:webHidden/>
          </w:rPr>
          <w:fldChar w:fldCharType="begin"/>
        </w:r>
        <w:r w:rsidR="00B36385">
          <w:rPr>
            <w:webHidden/>
          </w:rPr>
          <w:instrText xml:space="preserve"> PAGEREF _Toc112852241 \h </w:instrText>
        </w:r>
        <w:r w:rsidR="00B36385">
          <w:rPr>
            <w:webHidden/>
          </w:rPr>
        </w:r>
        <w:r w:rsidR="00B36385">
          <w:rPr>
            <w:webHidden/>
          </w:rPr>
          <w:fldChar w:fldCharType="separate"/>
        </w:r>
        <w:r w:rsidR="009F12BA">
          <w:rPr>
            <w:webHidden/>
          </w:rPr>
          <w:t>107</w:t>
        </w:r>
        <w:r w:rsidR="00B36385">
          <w:rPr>
            <w:webHidden/>
          </w:rPr>
          <w:fldChar w:fldCharType="end"/>
        </w:r>
      </w:hyperlink>
    </w:p>
    <w:p w14:paraId="25B7D437"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42" w:history="1">
        <w:r w:rsidR="00B36385" w:rsidRPr="001E7F57">
          <w:rPr>
            <w:rStyle w:val="Hyperlink"/>
            <w:rFonts w:cs="Tahoma"/>
          </w:rPr>
          <w:t>6.2</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Arial"/>
          </w:rPr>
          <w:t>Consultations to Date</w:t>
        </w:r>
        <w:r w:rsidR="00B36385">
          <w:rPr>
            <w:webHidden/>
          </w:rPr>
          <w:tab/>
        </w:r>
        <w:r w:rsidR="00B36385">
          <w:rPr>
            <w:webHidden/>
          </w:rPr>
          <w:fldChar w:fldCharType="begin"/>
        </w:r>
        <w:r w:rsidR="00B36385">
          <w:rPr>
            <w:webHidden/>
          </w:rPr>
          <w:instrText xml:space="preserve"> PAGEREF _Toc112852242 \h </w:instrText>
        </w:r>
        <w:r w:rsidR="00B36385">
          <w:rPr>
            <w:webHidden/>
          </w:rPr>
        </w:r>
        <w:r w:rsidR="00B36385">
          <w:rPr>
            <w:webHidden/>
          </w:rPr>
          <w:fldChar w:fldCharType="separate"/>
        </w:r>
        <w:r w:rsidR="009F12BA">
          <w:rPr>
            <w:webHidden/>
          </w:rPr>
          <w:t>108</w:t>
        </w:r>
        <w:r w:rsidR="00B36385">
          <w:rPr>
            <w:webHidden/>
          </w:rPr>
          <w:fldChar w:fldCharType="end"/>
        </w:r>
      </w:hyperlink>
    </w:p>
    <w:p w14:paraId="18550199" w14:textId="77777777" w:rsidR="00B36385" w:rsidRDefault="00FD548C">
      <w:pPr>
        <w:pStyle w:val="TOC1"/>
        <w:rPr>
          <w:rFonts w:asciiTheme="minorHAnsi" w:eastAsiaTheme="minorEastAsia" w:hAnsiTheme="minorHAnsi" w:cstheme="minorBidi"/>
          <w:b w:val="0"/>
          <w:color w:val="auto"/>
          <w:sz w:val="22"/>
          <w:lang w:val="mk-MK" w:eastAsia="mk-MK"/>
        </w:rPr>
      </w:pPr>
      <w:hyperlink w:anchor="_Toc112852243" w:history="1">
        <w:r w:rsidR="00B36385" w:rsidRPr="001E7F57">
          <w:rPr>
            <w:rStyle w:val="Hyperlink"/>
          </w:rPr>
          <w:t>7.</w:t>
        </w:r>
        <w:r w:rsidR="00B36385">
          <w:rPr>
            <w:rFonts w:asciiTheme="minorHAnsi" w:eastAsiaTheme="minorEastAsia" w:hAnsiTheme="minorHAnsi" w:cstheme="minorBidi"/>
            <w:b w:val="0"/>
            <w:color w:val="auto"/>
            <w:sz w:val="22"/>
            <w:lang w:val="mk-MK" w:eastAsia="mk-MK"/>
          </w:rPr>
          <w:tab/>
        </w:r>
        <w:r w:rsidR="00B36385" w:rsidRPr="001E7F57">
          <w:rPr>
            <w:rStyle w:val="Hyperlink"/>
          </w:rPr>
          <w:t>Baseline Conditions</w:t>
        </w:r>
        <w:r w:rsidR="00B36385">
          <w:rPr>
            <w:webHidden/>
          </w:rPr>
          <w:tab/>
        </w:r>
        <w:r w:rsidR="00B36385">
          <w:rPr>
            <w:webHidden/>
          </w:rPr>
          <w:fldChar w:fldCharType="begin"/>
        </w:r>
        <w:r w:rsidR="00B36385">
          <w:rPr>
            <w:webHidden/>
          </w:rPr>
          <w:instrText xml:space="preserve"> PAGEREF _Toc112852243 \h </w:instrText>
        </w:r>
        <w:r w:rsidR="00B36385">
          <w:rPr>
            <w:webHidden/>
          </w:rPr>
        </w:r>
        <w:r w:rsidR="00B36385">
          <w:rPr>
            <w:webHidden/>
          </w:rPr>
          <w:fldChar w:fldCharType="separate"/>
        </w:r>
        <w:r w:rsidR="009F12BA">
          <w:rPr>
            <w:webHidden/>
          </w:rPr>
          <w:t>109</w:t>
        </w:r>
        <w:r w:rsidR="00B36385">
          <w:rPr>
            <w:webHidden/>
          </w:rPr>
          <w:fldChar w:fldCharType="end"/>
        </w:r>
      </w:hyperlink>
    </w:p>
    <w:p w14:paraId="102B063A"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44" w:history="1">
        <w:r w:rsidR="00B36385" w:rsidRPr="001E7F57">
          <w:rPr>
            <w:rStyle w:val="Hyperlink"/>
            <w:rFonts w:cs="Tahoma"/>
          </w:rPr>
          <w:t>7.1</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Arial"/>
          </w:rPr>
          <w:t>Physical and Natural Environment</w:t>
        </w:r>
        <w:r w:rsidR="00B36385">
          <w:rPr>
            <w:webHidden/>
          </w:rPr>
          <w:tab/>
        </w:r>
        <w:r w:rsidR="00B36385">
          <w:rPr>
            <w:webHidden/>
          </w:rPr>
          <w:fldChar w:fldCharType="begin"/>
        </w:r>
        <w:r w:rsidR="00B36385">
          <w:rPr>
            <w:webHidden/>
          </w:rPr>
          <w:instrText xml:space="preserve"> PAGEREF _Toc112852244 \h </w:instrText>
        </w:r>
        <w:r w:rsidR="00B36385">
          <w:rPr>
            <w:webHidden/>
          </w:rPr>
        </w:r>
        <w:r w:rsidR="00B36385">
          <w:rPr>
            <w:webHidden/>
          </w:rPr>
          <w:fldChar w:fldCharType="separate"/>
        </w:r>
        <w:r w:rsidR="009F12BA">
          <w:rPr>
            <w:webHidden/>
          </w:rPr>
          <w:t>109</w:t>
        </w:r>
        <w:r w:rsidR="00B36385">
          <w:rPr>
            <w:webHidden/>
          </w:rPr>
          <w:fldChar w:fldCharType="end"/>
        </w:r>
      </w:hyperlink>
    </w:p>
    <w:p w14:paraId="5D9AA906" w14:textId="77777777" w:rsidR="00B36385" w:rsidRDefault="00FD548C">
      <w:pPr>
        <w:pStyle w:val="TOC3"/>
        <w:rPr>
          <w:rFonts w:asciiTheme="minorHAnsi" w:eastAsiaTheme="minorEastAsia" w:hAnsiTheme="minorHAnsi" w:cstheme="minorBidi"/>
          <w:sz w:val="22"/>
          <w:szCs w:val="22"/>
          <w:lang w:val="mk-MK" w:eastAsia="mk-MK"/>
        </w:rPr>
      </w:pPr>
      <w:hyperlink w:anchor="_Toc112852245" w:history="1">
        <w:r w:rsidR="00B36385" w:rsidRPr="001E7F57">
          <w:rPr>
            <w:rStyle w:val="Hyperlink"/>
          </w:rPr>
          <w:t>7.1.1</w:t>
        </w:r>
        <w:r w:rsidR="00B36385">
          <w:rPr>
            <w:rFonts w:asciiTheme="minorHAnsi" w:eastAsiaTheme="minorEastAsia" w:hAnsiTheme="minorHAnsi" w:cstheme="minorBidi"/>
            <w:sz w:val="22"/>
            <w:szCs w:val="22"/>
            <w:lang w:val="mk-MK" w:eastAsia="mk-MK"/>
          </w:rPr>
          <w:tab/>
        </w:r>
        <w:r w:rsidR="00B36385" w:rsidRPr="001E7F57">
          <w:rPr>
            <w:rStyle w:val="Hyperlink"/>
          </w:rPr>
          <w:t>Climate</w:t>
        </w:r>
        <w:r w:rsidR="00B36385">
          <w:rPr>
            <w:webHidden/>
          </w:rPr>
          <w:tab/>
        </w:r>
        <w:r w:rsidR="00B36385">
          <w:rPr>
            <w:webHidden/>
          </w:rPr>
          <w:fldChar w:fldCharType="begin"/>
        </w:r>
        <w:r w:rsidR="00B36385">
          <w:rPr>
            <w:webHidden/>
          </w:rPr>
          <w:instrText xml:space="preserve"> PAGEREF _Toc112852245 \h </w:instrText>
        </w:r>
        <w:r w:rsidR="00B36385">
          <w:rPr>
            <w:webHidden/>
          </w:rPr>
        </w:r>
        <w:r w:rsidR="00B36385">
          <w:rPr>
            <w:webHidden/>
          </w:rPr>
          <w:fldChar w:fldCharType="separate"/>
        </w:r>
        <w:r w:rsidR="009F12BA">
          <w:rPr>
            <w:webHidden/>
          </w:rPr>
          <w:t>109</w:t>
        </w:r>
        <w:r w:rsidR="00B36385">
          <w:rPr>
            <w:webHidden/>
          </w:rPr>
          <w:fldChar w:fldCharType="end"/>
        </w:r>
      </w:hyperlink>
    </w:p>
    <w:p w14:paraId="11532FBD" w14:textId="77777777" w:rsidR="00B36385" w:rsidRDefault="00FD548C">
      <w:pPr>
        <w:pStyle w:val="TOC3"/>
        <w:rPr>
          <w:rFonts w:asciiTheme="minorHAnsi" w:eastAsiaTheme="minorEastAsia" w:hAnsiTheme="minorHAnsi" w:cstheme="minorBidi"/>
          <w:sz w:val="22"/>
          <w:szCs w:val="22"/>
          <w:lang w:val="mk-MK" w:eastAsia="mk-MK"/>
        </w:rPr>
      </w:pPr>
      <w:hyperlink w:anchor="_Toc112852246" w:history="1">
        <w:r w:rsidR="00B36385" w:rsidRPr="001E7F57">
          <w:rPr>
            <w:rStyle w:val="Hyperlink"/>
          </w:rPr>
          <w:t>7.1.2</w:t>
        </w:r>
        <w:r w:rsidR="00B36385">
          <w:rPr>
            <w:rFonts w:asciiTheme="minorHAnsi" w:eastAsiaTheme="minorEastAsia" w:hAnsiTheme="minorHAnsi" w:cstheme="minorBidi"/>
            <w:sz w:val="22"/>
            <w:szCs w:val="22"/>
            <w:lang w:val="mk-MK" w:eastAsia="mk-MK"/>
          </w:rPr>
          <w:tab/>
        </w:r>
        <w:r w:rsidR="00B36385" w:rsidRPr="001E7F57">
          <w:rPr>
            <w:rStyle w:val="Hyperlink"/>
          </w:rPr>
          <w:t>Geological Environment</w:t>
        </w:r>
        <w:r w:rsidR="00B36385">
          <w:rPr>
            <w:webHidden/>
          </w:rPr>
          <w:tab/>
        </w:r>
        <w:r w:rsidR="00B36385">
          <w:rPr>
            <w:webHidden/>
          </w:rPr>
          <w:fldChar w:fldCharType="begin"/>
        </w:r>
        <w:r w:rsidR="00B36385">
          <w:rPr>
            <w:webHidden/>
          </w:rPr>
          <w:instrText xml:space="preserve"> PAGEREF _Toc112852246 \h </w:instrText>
        </w:r>
        <w:r w:rsidR="00B36385">
          <w:rPr>
            <w:webHidden/>
          </w:rPr>
        </w:r>
        <w:r w:rsidR="00B36385">
          <w:rPr>
            <w:webHidden/>
          </w:rPr>
          <w:fldChar w:fldCharType="separate"/>
        </w:r>
        <w:r w:rsidR="009F12BA">
          <w:rPr>
            <w:webHidden/>
          </w:rPr>
          <w:t>119</w:t>
        </w:r>
        <w:r w:rsidR="00B36385">
          <w:rPr>
            <w:webHidden/>
          </w:rPr>
          <w:fldChar w:fldCharType="end"/>
        </w:r>
      </w:hyperlink>
    </w:p>
    <w:p w14:paraId="3F5B0FFF" w14:textId="77777777" w:rsidR="00B36385" w:rsidRDefault="00FD548C">
      <w:pPr>
        <w:pStyle w:val="TOC3"/>
        <w:rPr>
          <w:rFonts w:asciiTheme="minorHAnsi" w:eastAsiaTheme="minorEastAsia" w:hAnsiTheme="minorHAnsi" w:cstheme="minorBidi"/>
          <w:sz w:val="22"/>
          <w:szCs w:val="22"/>
          <w:lang w:val="mk-MK" w:eastAsia="mk-MK"/>
        </w:rPr>
      </w:pPr>
      <w:hyperlink w:anchor="_Toc112852247" w:history="1">
        <w:r w:rsidR="00B36385" w:rsidRPr="001E7F57">
          <w:rPr>
            <w:rStyle w:val="Hyperlink"/>
          </w:rPr>
          <w:t>7.1.3</w:t>
        </w:r>
        <w:r w:rsidR="00B36385">
          <w:rPr>
            <w:rFonts w:asciiTheme="minorHAnsi" w:eastAsiaTheme="minorEastAsia" w:hAnsiTheme="minorHAnsi" w:cstheme="minorBidi"/>
            <w:sz w:val="22"/>
            <w:szCs w:val="22"/>
            <w:lang w:val="mk-MK" w:eastAsia="mk-MK"/>
          </w:rPr>
          <w:tab/>
        </w:r>
        <w:r w:rsidR="00B36385" w:rsidRPr="001E7F57">
          <w:rPr>
            <w:rStyle w:val="Hyperlink"/>
          </w:rPr>
          <w:t>Water Environment</w:t>
        </w:r>
        <w:r w:rsidR="00B36385">
          <w:rPr>
            <w:webHidden/>
          </w:rPr>
          <w:tab/>
        </w:r>
        <w:r w:rsidR="00B36385">
          <w:rPr>
            <w:webHidden/>
          </w:rPr>
          <w:fldChar w:fldCharType="begin"/>
        </w:r>
        <w:r w:rsidR="00B36385">
          <w:rPr>
            <w:webHidden/>
          </w:rPr>
          <w:instrText xml:space="preserve"> PAGEREF _Toc112852247 \h </w:instrText>
        </w:r>
        <w:r w:rsidR="00B36385">
          <w:rPr>
            <w:webHidden/>
          </w:rPr>
        </w:r>
        <w:r w:rsidR="00B36385">
          <w:rPr>
            <w:webHidden/>
          </w:rPr>
          <w:fldChar w:fldCharType="separate"/>
        </w:r>
        <w:r w:rsidR="009F12BA">
          <w:rPr>
            <w:webHidden/>
          </w:rPr>
          <w:t>120</w:t>
        </w:r>
        <w:r w:rsidR="00B36385">
          <w:rPr>
            <w:webHidden/>
          </w:rPr>
          <w:fldChar w:fldCharType="end"/>
        </w:r>
      </w:hyperlink>
    </w:p>
    <w:p w14:paraId="2381752B" w14:textId="77777777" w:rsidR="00B36385" w:rsidRDefault="00FD548C">
      <w:pPr>
        <w:pStyle w:val="TOC3"/>
        <w:rPr>
          <w:rFonts w:asciiTheme="minorHAnsi" w:eastAsiaTheme="minorEastAsia" w:hAnsiTheme="minorHAnsi" w:cstheme="minorBidi"/>
          <w:sz w:val="22"/>
          <w:szCs w:val="22"/>
          <w:lang w:val="mk-MK" w:eastAsia="mk-MK"/>
        </w:rPr>
      </w:pPr>
      <w:hyperlink w:anchor="_Toc112852248" w:history="1">
        <w:r w:rsidR="00B36385" w:rsidRPr="001E7F57">
          <w:rPr>
            <w:rStyle w:val="Hyperlink"/>
          </w:rPr>
          <w:t>7.1.4</w:t>
        </w:r>
        <w:r w:rsidR="00B36385">
          <w:rPr>
            <w:rFonts w:asciiTheme="minorHAnsi" w:eastAsiaTheme="minorEastAsia" w:hAnsiTheme="minorHAnsi" w:cstheme="minorBidi"/>
            <w:sz w:val="22"/>
            <w:szCs w:val="22"/>
            <w:lang w:val="mk-MK" w:eastAsia="mk-MK"/>
          </w:rPr>
          <w:tab/>
        </w:r>
        <w:r w:rsidR="00B36385" w:rsidRPr="001E7F57">
          <w:rPr>
            <w:rStyle w:val="Hyperlink"/>
          </w:rPr>
          <w:t>Noise</w:t>
        </w:r>
        <w:r w:rsidR="00B36385">
          <w:rPr>
            <w:webHidden/>
          </w:rPr>
          <w:tab/>
        </w:r>
        <w:r w:rsidR="00B36385">
          <w:rPr>
            <w:webHidden/>
          </w:rPr>
          <w:fldChar w:fldCharType="begin"/>
        </w:r>
        <w:r w:rsidR="00B36385">
          <w:rPr>
            <w:webHidden/>
          </w:rPr>
          <w:instrText xml:space="preserve"> PAGEREF _Toc112852248 \h </w:instrText>
        </w:r>
        <w:r w:rsidR="00B36385">
          <w:rPr>
            <w:webHidden/>
          </w:rPr>
        </w:r>
        <w:r w:rsidR="00B36385">
          <w:rPr>
            <w:webHidden/>
          </w:rPr>
          <w:fldChar w:fldCharType="separate"/>
        </w:r>
        <w:r w:rsidR="009F12BA">
          <w:rPr>
            <w:webHidden/>
          </w:rPr>
          <w:t>122</w:t>
        </w:r>
        <w:r w:rsidR="00B36385">
          <w:rPr>
            <w:webHidden/>
          </w:rPr>
          <w:fldChar w:fldCharType="end"/>
        </w:r>
      </w:hyperlink>
    </w:p>
    <w:p w14:paraId="3878A9B2" w14:textId="77777777" w:rsidR="00B36385" w:rsidRDefault="00FD548C">
      <w:pPr>
        <w:pStyle w:val="TOC3"/>
        <w:rPr>
          <w:rFonts w:asciiTheme="minorHAnsi" w:eastAsiaTheme="minorEastAsia" w:hAnsiTheme="minorHAnsi" w:cstheme="minorBidi"/>
          <w:sz w:val="22"/>
          <w:szCs w:val="22"/>
          <w:lang w:val="mk-MK" w:eastAsia="mk-MK"/>
        </w:rPr>
      </w:pPr>
      <w:hyperlink w:anchor="_Toc112852249" w:history="1">
        <w:r w:rsidR="00B36385" w:rsidRPr="001E7F57">
          <w:rPr>
            <w:rStyle w:val="Hyperlink"/>
          </w:rPr>
          <w:t>7.1.5</w:t>
        </w:r>
        <w:r w:rsidR="00B36385">
          <w:rPr>
            <w:rFonts w:asciiTheme="minorHAnsi" w:eastAsiaTheme="minorEastAsia" w:hAnsiTheme="minorHAnsi" w:cstheme="minorBidi"/>
            <w:sz w:val="22"/>
            <w:szCs w:val="22"/>
            <w:lang w:val="mk-MK" w:eastAsia="mk-MK"/>
          </w:rPr>
          <w:tab/>
        </w:r>
        <w:r w:rsidR="00B36385" w:rsidRPr="001E7F57">
          <w:rPr>
            <w:rStyle w:val="Hyperlink"/>
          </w:rPr>
          <w:t>Land Cover</w:t>
        </w:r>
        <w:r w:rsidR="00B36385">
          <w:rPr>
            <w:webHidden/>
          </w:rPr>
          <w:tab/>
        </w:r>
        <w:r w:rsidR="00B36385">
          <w:rPr>
            <w:webHidden/>
          </w:rPr>
          <w:fldChar w:fldCharType="begin"/>
        </w:r>
        <w:r w:rsidR="00B36385">
          <w:rPr>
            <w:webHidden/>
          </w:rPr>
          <w:instrText xml:space="preserve"> PAGEREF _Toc112852249 \h </w:instrText>
        </w:r>
        <w:r w:rsidR="00B36385">
          <w:rPr>
            <w:webHidden/>
          </w:rPr>
        </w:r>
        <w:r w:rsidR="00B36385">
          <w:rPr>
            <w:webHidden/>
          </w:rPr>
          <w:fldChar w:fldCharType="separate"/>
        </w:r>
        <w:r w:rsidR="009F12BA">
          <w:rPr>
            <w:webHidden/>
          </w:rPr>
          <w:t>123</w:t>
        </w:r>
        <w:r w:rsidR="00B36385">
          <w:rPr>
            <w:webHidden/>
          </w:rPr>
          <w:fldChar w:fldCharType="end"/>
        </w:r>
      </w:hyperlink>
    </w:p>
    <w:p w14:paraId="0812D88D"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50" w:history="1">
        <w:r w:rsidR="00B36385" w:rsidRPr="001E7F57">
          <w:rPr>
            <w:rStyle w:val="Hyperlink"/>
            <w:rFonts w:cs="Tahoma"/>
          </w:rPr>
          <w:t>7.2</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Tahoma"/>
          </w:rPr>
          <w:t>Natural Environment</w:t>
        </w:r>
        <w:r w:rsidR="00B36385">
          <w:rPr>
            <w:webHidden/>
          </w:rPr>
          <w:tab/>
        </w:r>
        <w:r w:rsidR="00B36385">
          <w:rPr>
            <w:webHidden/>
          </w:rPr>
          <w:fldChar w:fldCharType="begin"/>
        </w:r>
        <w:r w:rsidR="00B36385">
          <w:rPr>
            <w:webHidden/>
          </w:rPr>
          <w:instrText xml:space="preserve"> PAGEREF _Toc112852250 \h </w:instrText>
        </w:r>
        <w:r w:rsidR="00B36385">
          <w:rPr>
            <w:webHidden/>
          </w:rPr>
        </w:r>
        <w:r w:rsidR="00B36385">
          <w:rPr>
            <w:webHidden/>
          </w:rPr>
          <w:fldChar w:fldCharType="separate"/>
        </w:r>
        <w:r w:rsidR="009F12BA">
          <w:rPr>
            <w:webHidden/>
          </w:rPr>
          <w:t>125</w:t>
        </w:r>
        <w:r w:rsidR="00B36385">
          <w:rPr>
            <w:webHidden/>
          </w:rPr>
          <w:fldChar w:fldCharType="end"/>
        </w:r>
      </w:hyperlink>
    </w:p>
    <w:p w14:paraId="560A4641" w14:textId="77777777" w:rsidR="00B36385" w:rsidRDefault="00FD548C">
      <w:pPr>
        <w:pStyle w:val="TOC3"/>
        <w:rPr>
          <w:rFonts w:asciiTheme="minorHAnsi" w:eastAsiaTheme="minorEastAsia" w:hAnsiTheme="minorHAnsi" w:cstheme="minorBidi"/>
          <w:sz w:val="22"/>
          <w:szCs w:val="22"/>
          <w:lang w:val="mk-MK" w:eastAsia="mk-MK"/>
        </w:rPr>
      </w:pPr>
      <w:hyperlink w:anchor="_Toc112852251" w:history="1">
        <w:r w:rsidR="00B36385" w:rsidRPr="001E7F57">
          <w:rPr>
            <w:rStyle w:val="Hyperlink"/>
          </w:rPr>
          <w:t>7.2.1</w:t>
        </w:r>
        <w:r w:rsidR="00B36385">
          <w:rPr>
            <w:rFonts w:asciiTheme="minorHAnsi" w:eastAsiaTheme="minorEastAsia" w:hAnsiTheme="minorHAnsi" w:cstheme="minorBidi"/>
            <w:sz w:val="22"/>
            <w:szCs w:val="22"/>
            <w:lang w:val="mk-MK" w:eastAsia="mk-MK"/>
          </w:rPr>
          <w:tab/>
        </w:r>
        <w:r w:rsidR="00B36385" w:rsidRPr="001E7F57">
          <w:rPr>
            <w:rStyle w:val="Hyperlink"/>
          </w:rPr>
          <w:t>Biodiversity and Natural Heritage</w:t>
        </w:r>
        <w:r w:rsidR="00B36385">
          <w:rPr>
            <w:webHidden/>
          </w:rPr>
          <w:tab/>
        </w:r>
        <w:r w:rsidR="00B36385">
          <w:rPr>
            <w:webHidden/>
          </w:rPr>
          <w:fldChar w:fldCharType="begin"/>
        </w:r>
        <w:r w:rsidR="00B36385">
          <w:rPr>
            <w:webHidden/>
          </w:rPr>
          <w:instrText xml:space="preserve"> PAGEREF _Toc112852251 \h </w:instrText>
        </w:r>
        <w:r w:rsidR="00B36385">
          <w:rPr>
            <w:webHidden/>
          </w:rPr>
        </w:r>
        <w:r w:rsidR="00B36385">
          <w:rPr>
            <w:webHidden/>
          </w:rPr>
          <w:fldChar w:fldCharType="separate"/>
        </w:r>
        <w:r w:rsidR="009F12BA">
          <w:rPr>
            <w:webHidden/>
          </w:rPr>
          <w:t>125</w:t>
        </w:r>
        <w:r w:rsidR="00B36385">
          <w:rPr>
            <w:webHidden/>
          </w:rPr>
          <w:fldChar w:fldCharType="end"/>
        </w:r>
      </w:hyperlink>
    </w:p>
    <w:p w14:paraId="63360BD2"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52" w:history="1">
        <w:r w:rsidR="00B36385" w:rsidRPr="001E7F57">
          <w:rPr>
            <w:rStyle w:val="Hyperlink"/>
            <w:rFonts w:cs="Tahoma"/>
          </w:rPr>
          <w:t>7.3</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Tahoma"/>
          </w:rPr>
          <w:t>Key Social Aspects</w:t>
        </w:r>
        <w:r w:rsidR="00B36385">
          <w:rPr>
            <w:webHidden/>
          </w:rPr>
          <w:tab/>
        </w:r>
        <w:r w:rsidR="00B36385">
          <w:rPr>
            <w:webHidden/>
          </w:rPr>
          <w:fldChar w:fldCharType="begin"/>
        </w:r>
        <w:r w:rsidR="00B36385">
          <w:rPr>
            <w:webHidden/>
          </w:rPr>
          <w:instrText xml:space="preserve"> PAGEREF _Toc112852252 \h </w:instrText>
        </w:r>
        <w:r w:rsidR="00B36385">
          <w:rPr>
            <w:webHidden/>
          </w:rPr>
        </w:r>
        <w:r w:rsidR="00B36385">
          <w:rPr>
            <w:webHidden/>
          </w:rPr>
          <w:fldChar w:fldCharType="separate"/>
        </w:r>
        <w:r w:rsidR="009F12BA">
          <w:rPr>
            <w:webHidden/>
          </w:rPr>
          <w:t>147</w:t>
        </w:r>
        <w:r w:rsidR="00B36385">
          <w:rPr>
            <w:webHidden/>
          </w:rPr>
          <w:fldChar w:fldCharType="end"/>
        </w:r>
      </w:hyperlink>
    </w:p>
    <w:p w14:paraId="2B7059D2" w14:textId="77777777" w:rsidR="00B36385" w:rsidRDefault="00FD548C">
      <w:pPr>
        <w:pStyle w:val="TOC3"/>
        <w:rPr>
          <w:rFonts w:asciiTheme="minorHAnsi" w:eastAsiaTheme="minorEastAsia" w:hAnsiTheme="minorHAnsi" w:cstheme="minorBidi"/>
          <w:sz w:val="22"/>
          <w:szCs w:val="22"/>
          <w:lang w:val="mk-MK" w:eastAsia="mk-MK"/>
        </w:rPr>
      </w:pPr>
      <w:hyperlink w:anchor="_Toc112852253" w:history="1">
        <w:r w:rsidR="00B36385" w:rsidRPr="001E7F57">
          <w:rPr>
            <w:rStyle w:val="Hyperlink"/>
            <w:rFonts w:cs="Arial"/>
          </w:rPr>
          <w:t>7.3.1</w:t>
        </w:r>
        <w:r w:rsidR="00B36385">
          <w:rPr>
            <w:rFonts w:asciiTheme="minorHAnsi" w:eastAsiaTheme="minorEastAsia" w:hAnsiTheme="minorHAnsi" w:cstheme="minorBidi"/>
            <w:sz w:val="22"/>
            <w:szCs w:val="22"/>
            <w:lang w:val="mk-MK" w:eastAsia="mk-MK"/>
          </w:rPr>
          <w:tab/>
        </w:r>
        <w:r w:rsidR="00B36385" w:rsidRPr="001E7F57">
          <w:rPr>
            <w:rStyle w:val="Hyperlink"/>
            <w:rFonts w:cs="Arial"/>
          </w:rPr>
          <w:t>Study Area</w:t>
        </w:r>
        <w:r w:rsidR="00B36385">
          <w:rPr>
            <w:webHidden/>
          </w:rPr>
          <w:tab/>
        </w:r>
        <w:r w:rsidR="00B36385">
          <w:rPr>
            <w:webHidden/>
          </w:rPr>
          <w:fldChar w:fldCharType="begin"/>
        </w:r>
        <w:r w:rsidR="00B36385">
          <w:rPr>
            <w:webHidden/>
          </w:rPr>
          <w:instrText xml:space="preserve"> PAGEREF _Toc112852253 \h </w:instrText>
        </w:r>
        <w:r w:rsidR="00B36385">
          <w:rPr>
            <w:webHidden/>
          </w:rPr>
        </w:r>
        <w:r w:rsidR="00B36385">
          <w:rPr>
            <w:webHidden/>
          </w:rPr>
          <w:fldChar w:fldCharType="separate"/>
        </w:r>
        <w:r w:rsidR="009F12BA">
          <w:rPr>
            <w:webHidden/>
          </w:rPr>
          <w:t>147</w:t>
        </w:r>
        <w:r w:rsidR="00B36385">
          <w:rPr>
            <w:webHidden/>
          </w:rPr>
          <w:fldChar w:fldCharType="end"/>
        </w:r>
      </w:hyperlink>
    </w:p>
    <w:p w14:paraId="1032A1A9" w14:textId="77777777" w:rsidR="00B36385" w:rsidRDefault="00FD548C">
      <w:pPr>
        <w:pStyle w:val="TOC3"/>
        <w:rPr>
          <w:rFonts w:asciiTheme="minorHAnsi" w:eastAsiaTheme="minorEastAsia" w:hAnsiTheme="minorHAnsi" w:cstheme="minorBidi"/>
          <w:sz w:val="22"/>
          <w:szCs w:val="22"/>
          <w:lang w:val="mk-MK" w:eastAsia="mk-MK"/>
        </w:rPr>
      </w:pPr>
      <w:hyperlink w:anchor="_Toc112852254" w:history="1">
        <w:r w:rsidR="00B36385" w:rsidRPr="001E7F57">
          <w:rPr>
            <w:rStyle w:val="Hyperlink"/>
            <w:rFonts w:cs="Arial"/>
          </w:rPr>
          <w:t>7.3.2</w:t>
        </w:r>
        <w:r w:rsidR="00B36385">
          <w:rPr>
            <w:rFonts w:asciiTheme="minorHAnsi" w:eastAsiaTheme="minorEastAsia" w:hAnsiTheme="minorHAnsi" w:cstheme="minorBidi"/>
            <w:sz w:val="22"/>
            <w:szCs w:val="22"/>
            <w:lang w:val="mk-MK" w:eastAsia="mk-MK"/>
          </w:rPr>
          <w:tab/>
        </w:r>
        <w:r w:rsidR="00B36385" w:rsidRPr="001E7F57">
          <w:rPr>
            <w:rStyle w:val="Hyperlink"/>
            <w:rFonts w:cs="Arial"/>
          </w:rPr>
          <w:t>Baseline Conditions</w:t>
        </w:r>
        <w:r w:rsidR="00B36385">
          <w:rPr>
            <w:webHidden/>
          </w:rPr>
          <w:tab/>
        </w:r>
        <w:r w:rsidR="00B36385">
          <w:rPr>
            <w:webHidden/>
          </w:rPr>
          <w:fldChar w:fldCharType="begin"/>
        </w:r>
        <w:r w:rsidR="00B36385">
          <w:rPr>
            <w:webHidden/>
          </w:rPr>
          <w:instrText xml:space="preserve"> PAGEREF _Toc112852254 \h </w:instrText>
        </w:r>
        <w:r w:rsidR="00B36385">
          <w:rPr>
            <w:webHidden/>
          </w:rPr>
        </w:r>
        <w:r w:rsidR="00B36385">
          <w:rPr>
            <w:webHidden/>
          </w:rPr>
          <w:fldChar w:fldCharType="separate"/>
        </w:r>
        <w:r w:rsidR="009F12BA">
          <w:rPr>
            <w:webHidden/>
          </w:rPr>
          <w:t>148</w:t>
        </w:r>
        <w:r w:rsidR="00B36385">
          <w:rPr>
            <w:webHidden/>
          </w:rPr>
          <w:fldChar w:fldCharType="end"/>
        </w:r>
      </w:hyperlink>
    </w:p>
    <w:p w14:paraId="0170981B"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55" w:history="1">
        <w:r w:rsidR="00B36385" w:rsidRPr="001E7F57">
          <w:rPr>
            <w:rStyle w:val="Hyperlink"/>
            <w:rFonts w:cs="Tahoma"/>
          </w:rPr>
          <w:t>7.4</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Tahoma"/>
          </w:rPr>
          <w:t>Cultural Heritage</w:t>
        </w:r>
        <w:r w:rsidR="00B36385">
          <w:rPr>
            <w:webHidden/>
          </w:rPr>
          <w:tab/>
        </w:r>
        <w:r w:rsidR="00B36385">
          <w:rPr>
            <w:webHidden/>
          </w:rPr>
          <w:fldChar w:fldCharType="begin"/>
        </w:r>
        <w:r w:rsidR="00B36385">
          <w:rPr>
            <w:webHidden/>
          </w:rPr>
          <w:instrText xml:space="preserve"> PAGEREF _Toc112852255 \h </w:instrText>
        </w:r>
        <w:r w:rsidR="00B36385">
          <w:rPr>
            <w:webHidden/>
          </w:rPr>
        </w:r>
        <w:r w:rsidR="00B36385">
          <w:rPr>
            <w:webHidden/>
          </w:rPr>
          <w:fldChar w:fldCharType="separate"/>
        </w:r>
        <w:r w:rsidR="009F12BA">
          <w:rPr>
            <w:webHidden/>
          </w:rPr>
          <w:t>149</w:t>
        </w:r>
        <w:r w:rsidR="00B36385">
          <w:rPr>
            <w:webHidden/>
          </w:rPr>
          <w:fldChar w:fldCharType="end"/>
        </w:r>
      </w:hyperlink>
    </w:p>
    <w:p w14:paraId="5787F0C4" w14:textId="77777777" w:rsidR="00B36385" w:rsidRDefault="00FD548C">
      <w:pPr>
        <w:pStyle w:val="TOC3"/>
        <w:rPr>
          <w:rFonts w:asciiTheme="minorHAnsi" w:eastAsiaTheme="minorEastAsia" w:hAnsiTheme="minorHAnsi" w:cstheme="minorBidi"/>
          <w:sz w:val="22"/>
          <w:szCs w:val="22"/>
          <w:lang w:val="mk-MK" w:eastAsia="mk-MK"/>
        </w:rPr>
      </w:pPr>
      <w:hyperlink w:anchor="_Toc112852256" w:history="1">
        <w:r w:rsidR="00B36385" w:rsidRPr="001E7F57">
          <w:rPr>
            <w:rStyle w:val="Hyperlink"/>
            <w:rFonts w:cs="Arial"/>
          </w:rPr>
          <w:t>7.4.1</w:t>
        </w:r>
        <w:r w:rsidR="00B36385">
          <w:rPr>
            <w:rFonts w:asciiTheme="minorHAnsi" w:eastAsiaTheme="minorEastAsia" w:hAnsiTheme="minorHAnsi" w:cstheme="minorBidi"/>
            <w:sz w:val="22"/>
            <w:szCs w:val="22"/>
            <w:lang w:val="mk-MK" w:eastAsia="mk-MK"/>
          </w:rPr>
          <w:tab/>
        </w:r>
        <w:r w:rsidR="00B36385" w:rsidRPr="001E7F57">
          <w:rPr>
            <w:rStyle w:val="Hyperlink"/>
            <w:rFonts w:cs="Arial"/>
          </w:rPr>
          <w:t>Study Area</w:t>
        </w:r>
        <w:r w:rsidR="00B36385">
          <w:rPr>
            <w:webHidden/>
          </w:rPr>
          <w:tab/>
        </w:r>
        <w:r w:rsidR="00B36385">
          <w:rPr>
            <w:webHidden/>
          </w:rPr>
          <w:fldChar w:fldCharType="begin"/>
        </w:r>
        <w:r w:rsidR="00B36385">
          <w:rPr>
            <w:webHidden/>
          </w:rPr>
          <w:instrText xml:space="preserve"> PAGEREF _Toc112852256 \h </w:instrText>
        </w:r>
        <w:r w:rsidR="00B36385">
          <w:rPr>
            <w:webHidden/>
          </w:rPr>
        </w:r>
        <w:r w:rsidR="00B36385">
          <w:rPr>
            <w:webHidden/>
          </w:rPr>
          <w:fldChar w:fldCharType="separate"/>
        </w:r>
        <w:r w:rsidR="009F12BA">
          <w:rPr>
            <w:webHidden/>
          </w:rPr>
          <w:t>149</w:t>
        </w:r>
        <w:r w:rsidR="00B36385">
          <w:rPr>
            <w:webHidden/>
          </w:rPr>
          <w:fldChar w:fldCharType="end"/>
        </w:r>
      </w:hyperlink>
    </w:p>
    <w:p w14:paraId="152C6872" w14:textId="77777777" w:rsidR="00B36385" w:rsidRDefault="00FD548C">
      <w:pPr>
        <w:pStyle w:val="TOC3"/>
        <w:rPr>
          <w:rFonts w:asciiTheme="minorHAnsi" w:eastAsiaTheme="minorEastAsia" w:hAnsiTheme="minorHAnsi" w:cstheme="minorBidi"/>
          <w:sz w:val="22"/>
          <w:szCs w:val="22"/>
          <w:lang w:val="mk-MK" w:eastAsia="mk-MK"/>
        </w:rPr>
      </w:pPr>
      <w:hyperlink w:anchor="_Toc112852257" w:history="1">
        <w:r w:rsidR="00B36385" w:rsidRPr="001E7F57">
          <w:rPr>
            <w:rStyle w:val="Hyperlink"/>
            <w:rFonts w:cs="Arial"/>
          </w:rPr>
          <w:t>7.4.2</w:t>
        </w:r>
        <w:r w:rsidR="00B36385">
          <w:rPr>
            <w:rFonts w:asciiTheme="minorHAnsi" w:eastAsiaTheme="minorEastAsia" w:hAnsiTheme="minorHAnsi" w:cstheme="minorBidi"/>
            <w:sz w:val="22"/>
            <w:szCs w:val="22"/>
            <w:lang w:val="mk-MK" w:eastAsia="mk-MK"/>
          </w:rPr>
          <w:tab/>
        </w:r>
        <w:r w:rsidR="00B36385" w:rsidRPr="001E7F57">
          <w:rPr>
            <w:rStyle w:val="Hyperlink"/>
            <w:rFonts w:cs="Arial"/>
          </w:rPr>
          <w:t>Baseline Conditions</w:t>
        </w:r>
        <w:r w:rsidR="00B36385">
          <w:rPr>
            <w:webHidden/>
          </w:rPr>
          <w:tab/>
        </w:r>
        <w:r w:rsidR="00B36385">
          <w:rPr>
            <w:webHidden/>
          </w:rPr>
          <w:fldChar w:fldCharType="begin"/>
        </w:r>
        <w:r w:rsidR="00B36385">
          <w:rPr>
            <w:webHidden/>
          </w:rPr>
          <w:instrText xml:space="preserve"> PAGEREF _Toc112852257 \h </w:instrText>
        </w:r>
        <w:r w:rsidR="00B36385">
          <w:rPr>
            <w:webHidden/>
          </w:rPr>
        </w:r>
        <w:r w:rsidR="00B36385">
          <w:rPr>
            <w:webHidden/>
          </w:rPr>
          <w:fldChar w:fldCharType="separate"/>
        </w:r>
        <w:r w:rsidR="009F12BA">
          <w:rPr>
            <w:webHidden/>
          </w:rPr>
          <w:t>150</w:t>
        </w:r>
        <w:r w:rsidR="00B36385">
          <w:rPr>
            <w:webHidden/>
          </w:rPr>
          <w:fldChar w:fldCharType="end"/>
        </w:r>
      </w:hyperlink>
    </w:p>
    <w:p w14:paraId="63AFA92A" w14:textId="77777777" w:rsidR="00B36385" w:rsidRDefault="00FD548C">
      <w:pPr>
        <w:pStyle w:val="TOC1"/>
        <w:rPr>
          <w:rFonts w:asciiTheme="minorHAnsi" w:eastAsiaTheme="minorEastAsia" w:hAnsiTheme="minorHAnsi" w:cstheme="minorBidi"/>
          <w:b w:val="0"/>
          <w:color w:val="auto"/>
          <w:sz w:val="22"/>
          <w:lang w:val="mk-MK" w:eastAsia="mk-MK"/>
        </w:rPr>
      </w:pPr>
      <w:hyperlink w:anchor="_Toc112852258" w:history="1">
        <w:r w:rsidR="00B36385" w:rsidRPr="001E7F57">
          <w:rPr>
            <w:rStyle w:val="Hyperlink"/>
          </w:rPr>
          <w:t>8.</w:t>
        </w:r>
        <w:r w:rsidR="00B36385">
          <w:rPr>
            <w:rFonts w:asciiTheme="minorHAnsi" w:eastAsiaTheme="minorEastAsia" w:hAnsiTheme="minorHAnsi" w:cstheme="minorBidi"/>
            <w:b w:val="0"/>
            <w:color w:val="auto"/>
            <w:sz w:val="22"/>
            <w:lang w:val="mk-MK" w:eastAsia="mk-MK"/>
          </w:rPr>
          <w:tab/>
        </w:r>
        <w:r w:rsidR="00B36385" w:rsidRPr="001E7F57">
          <w:rPr>
            <w:rStyle w:val="Hyperlink"/>
          </w:rPr>
          <w:t>Environmental Impacts and Mitigation</w:t>
        </w:r>
        <w:r w:rsidR="00B36385">
          <w:rPr>
            <w:webHidden/>
          </w:rPr>
          <w:tab/>
        </w:r>
        <w:r w:rsidR="00B36385">
          <w:rPr>
            <w:webHidden/>
          </w:rPr>
          <w:fldChar w:fldCharType="begin"/>
        </w:r>
        <w:r w:rsidR="00B36385">
          <w:rPr>
            <w:webHidden/>
          </w:rPr>
          <w:instrText xml:space="preserve"> PAGEREF _Toc112852258 \h </w:instrText>
        </w:r>
        <w:r w:rsidR="00B36385">
          <w:rPr>
            <w:webHidden/>
          </w:rPr>
        </w:r>
        <w:r w:rsidR="00B36385">
          <w:rPr>
            <w:webHidden/>
          </w:rPr>
          <w:fldChar w:fldCharType="separate"/>
        </w:r>
        <w:r w:rsidR="009F12BA">
          <w:rPr>
            <w:webHidden/>
          </w:rPr>
          <w:t>152</w:t>
        </w:r>
        <w:r w:rsidR="00B36385">
          <w:rPr>
            <w:webHidden/>
          </w:rPr>
          <w:fldChar w:fldCharType="end"/>
        </w:r>
      </w:hyperlink>
    </w:p>
    <w:p w14:paraId="64F9A299"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59" w:history="1">
        <w:r w:rsidR="00B36385" w:rsidRPr="001E7F57">
          <w:rPr>
            <w:rStyle w:val="Hyperlink"/>
            <w:rFonts w:cs="Tahoma"/>
          </w:rPr>
          <w:t>8.1</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Arial"/>
          </w:rPr>
          <w:t>Climate Resilience</w:t>
        </w:r>
        <w:r w:rsidR="00B36385">
          <w:rPr>
            <w:webHidden/>
          </w:rPr>
          <w:tab/>
        </w:r>
        <w:r w:rsidR="00B36385">
          <w:rPr>
            <w:webHidden/>
          </w:rPr>
          <w:fldChar w:fldCharType="begin"/>
        </w:r>
        <w:r w:rsidR="00B36385">
          <w:rPr>
            <w:webHidden/>
          </w:rPr>
          <w:instrText xml:space="preserve"> PAGEREF _Toc112852259 \h </w:instrText>
        </w:r>
        <w:r w:rsidR="00B36385">
          <w:rPr>
            <w:webHidden/>
          </w:rPr>
        </w:r>
        <w:r w:rsidR="00B36385">
          <w:rPr>
            <w:webHidden/>
          </w:rPr>
          <w:fldChar w:fldCharType="separate"/>
        </w:r>
        <w:r w:rsidR="009F12BA">
          <w:rPr>
            <w:webHidden/>
          </w:rPr>
          <w:t>152</w:t>
        </w:r>
        <w:r w:rsidR="00B36385">
          <w:rPr>
            <w:webHidden/>
          </w:rPr>
          <w:fldChar w:fldCharType="end"/>
        </w:r>
      </w:hyperlink>
    </w:p>
    <w:p w14:paraId="57DFA877" w14:textId="77777777" w:rsidR="00B36385" w:rsidRDefault="00FD548C">
      <w:pPr>
        <w:pStyle w:val="TOC3"/>
        <w:rPr>
          <w:rFonts w:asciiTheme="minorHAnsi" w:eastAsiaTheme="minorEastAsia" w:hAnsiTheme="minorHAnsi" w:cstheme="minorBidi"/>
          <w:sz w:val="22"/>
          <w:szCs w:val="22"/>
          <w:lang w:val="mk-MK" w:eastAsia="mk-MK"/>
        </w:rPr>
      </w:pPr>
      <w:hyperlink w:anchor="_Toc112852260" w:history="1">
        <w:r w:rsidR="00B36385" w:rsidRPr="001E7F57">
          <w:rPr>
            <w:rStyle w:val="Hyperlink"/>
          </w:rPr>
          <w:t>8.1.1</w:t>
        </w:r>
        <w:r w:rsidR="00B36385">
          <w:rPr>
            <w:rFonts w:asciiTheme="minorHAnsi" w:eastAsiaTheme="minorEastAsia" w:hAnsiTheme="minorHAnsi" w:cstheme="minorBidi"/>
            <w:sz w:val="22"/>
            <w:szCs w:val="22"/>
            <w:lang w:val="mk-MK" w:eastAsia="mk-MK"/>
          </w:rPr>
          <w:tab/>
        </w:r>
        <w:r w:rsidR="00B36385" w:rsidRPr="001E7F57">
          <w:rPr>
            <w:rStyle w:val="Hyperlink"/>
          </w:rPr>
          <w:t>Study Area</w:t>
        </w:r>
        <w:r w:rsidR="00B36385">
          <w:rPr>
            <w:webHidden/>
          </w:rPr>
          <w:tab/>
        </w:r>
        <w:r w:rsidR="00B36385">
          <w:rPr>
            <w:webHidden/>
          </w:rPr>
          <w:fldChar w:fldCharType="begin"/>
        </w:r>
        <w:r w:rsidR="00B36385">
          <w:rPr>
            <w:webHidden/>
          </w:rPr>
          <w:instrText xml:space="preserve"> PAGEREF _Toc112852260 \h </w:instrText>
        </w:r>
        <w:r w:rsidR="00B36385">
          <w:rPr>
            <w:webHidden/>
          </w:rPr>
        </w:r>
        <w:r w:rsidR="00B36385">
          <w:rPr>
            <w:webHidden/>
          </w:rPr>
          <w:fldChar w:fldCharType="separate"/>
        </w:r>
        <w:r w:rsidR="009F12BA">
          <w:rPr>
            <w:webHidden/>
          </w:rPr>
          <w:t>152</w:t>
        </w:r>
        <w:r w:rsidR="00B36385">
          <w:rPr>
            <w:webHidden/>
          </w:rPr>
          <w:fldChar w:fldCharType="end"/>
        </w:r>
      </w:hyperlink>
    </w:p>
    <w:p w14:paraId="3A4EB1C0" w14:textId="77777777" w:rsidR="00B36385" w:rsidRDefault="00FD548C">
      <w:pPr>
        <w:pStyle w:val="TOC3"/>
        <w:rPr>
          <w:rFonts w:asciiTheme="minorHAnsi" w:eastAsiaTheme="minorEastAsia" w:hAnsiTheme="minorHAnsi" w:cstheme="minorBidi"/>
          <w:sz w:val="22"/>
          <w:szCs w:val="22"/>
          <w:lang w:val="mk-MK" w:eastAsia="mk-MK"/>
        </w:rPr>
      </w:pPr>
      <w:hyperlink w:anchor="_Toc112852261" w:history="1">
        <w:r w:rsidR="00B36385" w:rsidRPr="001E7F57">
          <w:rPr>
            <w:rStyle w:val="Hyperlink"/>
            <w:rFonts w:cs="Tahoma"/>
          </w:rPr>
          <w:t>8.1.2</w:t>
        </w:r>
        <w:r w:rsidR="00B36385">
          <w:rPr>
            <w:rFonts w:asciiTheme="minorHAnsi" w:eastAsiaTheme="minorEastAsia" w:hAnsiTheme="minorHAnsi" w:cstheme="minorBidi"/>
            <w:sz w:val="22"/>
            <w:szCs w:val="22"/>
            <w:lang w:val="mk-MK" w:eastAsia="mk-MK"/>
          </w:rPr>
          <w:tab/>
        </w:r>
        <w:r w:rsidR="00B36385" w:rsidRPr="001E7F57">
          <w:rPr>
            <w:rStyle w:val="Hyperlink"/>
            <w:rFonts w:cs="Tahoma"/>
          </w:rPr>
          <w:t>Assessment Methodology</w:t>
        </w:r>
        <w:r w:rsidR="00B36385">
          <w:rPr>
            <w:webHidden/>
          </w:rPr>
          <w:tab/>
        </w:r>
        <w:r w:rsidR="00B36385">
          <w:rPr>
            <w:webHidden/>
          </w:rPr>
          <w:fldChar w:fldCharType="begin"/>
        </w:r>
        <w:r w:rsidR="00B36385">
          <w:rPr>
            <w:webHidden/>
          </w:rPr>
          <w:instrText xml:space="preserve"> PAGEREF _Toc112852261 \h </w:instrText>
        </w:r>
        <w:r w:rsidR="00B36385">
          <w:rPr>
            <w:webHidden/>
          </w:rPr>
        </w:r>
        <w:r w:rsidR="00B36385">
          <w:rPr>
            <w:webHidden/>
          </w:rPr>
          <w:fldChar w:fldCharType="separate"/>
        </w:r>
        <w:r w:rsidR="009F12BA">
          <w:rPr>
            <w:webHidden/>
          </w:rPr>
          <w:t>152</w:t>
        </w:r>
        <w:r w:rsidR="00B36385">
          <w:rPr>
            <w:webHidden/>
          </w:rPr>
          <w:fldChar w:fldCharType="end"/>
        </w:r>
      </w:hyperlink>
    </w:p>
    <w:p w14:paraId="7805E864" w14:textId="77777777" w:rsidR="00B36385" w:rsidRDefault="00FD548C">
      <w:pPr>
        <w:pStyle w:val="TOC3"/>
        <w:rPr>
          <w:rFonts w:asciiTheme="minorHAnsi" w:eastAsiaTheme="minorEastAsia" w:hAnsiTheme="minorHAnsi" w:cstheme="minorBidi"/>
          <w:sz w:val="22"/>
          <w:szCs w:val="22"/>
          <w:lang w:val="mk-MK" w:eastAsia="mk-MK"/>
        </w:rPr>
      </w:pPr>
      <w:hyperlink w:anchor="_Toc112852262" w:history="1">
        <w:r w:rsidR="00B36385" w:rsidRPr="001E7F57">
          <w:rPr>
            <w:rStyle w:val="Hyperlink"/>
          </w:rPr>
          <w:t>8.1.3</w:t>
        </w:r>
        <w:r w:rsidR="00B36385">
          <w:rPr>
            <w:rFonts w:asciiTheme="minorHAnsi" w:eastAsiaTheme="minorEastAsia" w:hAnsiTheme="minorHAnsi" w:cstheme="minorBidi"/>
            <w:sz w:val="22"/>
            <w:szCs w:val="22"/>
            <w:lang w:val="mk-MK" w:eastAsia="mk-MK"/>
          </w:rPr>
          <w:tab/>
        </w:r>
        <w:r w:rsidR="00B36385" w:rsidRPr="001E7F57">
          <w:rPr>
            <w:rStyle w:val="Hyperlink"/>
          </w:rPr>
          <w:t>Potential Impacts</w:t>
        </w:r>
        <w:r w:rsidR="00B36385">
          <w:rPr>
            <w:webHidden/>
          </w:rPr>
          <w:tab/>
        </w:r>
        <w:r w:rsidR="00B36385">
          <w:rPr>
            <w:webHidden/>
          </w:rPr>
          <w:fldChar w:fldCharType="begin"/>
        </w:r>
        <w:r w:rsidR="00B36385">
          <w:rPr>
            <w:webHidden/>
          </w:rPr>
          <w:instrText xml:space="preserve"> PAGEREF _Toc112852262 \h </w:instrText>
        </w:r>
        <w:r w:rsidR="00B36385">
          <w:rPr>
            <w:webHidden/>
          </w:rPr>
        </w:r>
        <w:r w:rsidR="00B36385">
          <w:rPr>
            <w:webHidden/>
          </w:rPr>
          <w:fldChar w:fldCharType="separate"/>
        </w:r>
        <w:r w:rsidR="009F12BA">
          <w:rPr>
            <w:webHidden/>
          </w:rPr>
          <w:t>154</w:t>
        </w:r>
        <w:r w:rsidR="00B36385">
          <w:rPr>
            <w:webHidden/>
          </w:rPr>
          <w:fldChar w:fldCharType="end"/>
        </w:r>
      </w:hyperlink>
    </w:p>
    <w:p w14:paraId="15B135C6" w14:textId="77777777" w:rsidR="00B36385" w:rsidRDefault="00FD548C">
      <w:pPr>
        <w:pStyle w:val="TOC3"/>
        <w:rPr>
          <w:rFonts w:asciiTheme="minorHAnsi" w:eastAsiaTheme="minorEastAsia" w:hAnsiTheme="minorHAnsi" w:cstheme="minorBidi"/>
          <w:sz w:val="22"/>
          <w:szCs w:val="22"/>
          <w:lang w:val="mk-MK" w:eastAsia="mk-MK"/>
        </w:rPr>
      </w:pPr>
      <w:hyperlink w:anchor="_Toc112852263" w:history="1">
        <w:r w:rsidR="00B36385" w:rsidRPr="001E7F57">
          <w:rPr>
            <w:rStyle w:val="Hyperlink"/>
          </w:rPr>
          <w:t>8.1.4</w:t>
        </w:r>
        <w:r w:rsidR="00B36385">
          <w:rPr>
            <w:rFonts w:asciiTheme="minorHAnsi" w:eastAsiaTheme="minorEastAsia" w:hAnsiTheme="minorHAnsi" w:cstheme="minorBidi"/>
            <w:sz w:val="22"/>
            <w:szCs w:val="22"/>
            <w:lang w:val="mk-MK" w:eastAsia="mk-MK"/>
          </w:rPr>
          <w:tab/>
        </w:r>
        <w:r w:rsidR="00B36385" w:rsidRPr="001E7F57">
          <w:rPr>
            <w:rStyle w:val="Hyperlink"/>
          </w:rPr>
          <w:t>Mitigation</w:t>
        </w:r>
        <w:r w:rsidR="00B36385">
          <w:rPr>
            <w:webHidden/>
          </w:rPr>
          <w:tab/>
        </w:r>
        <w:r w:rsidR="00B36385">
          <w:rPr>
            <w:webHidden/>
          </w:rPr>
          <w:fldChar w:fldCharType="begin"/>
        </w:r>
        <w:r w:rsidR="00B36385">
          <w:rPr>
            <w:webHidden/>
          </w:rPr>
          <w:instrText xml:space="preserve"> PAGEREF _Toc112852263 \h </w:instrText>
        </w:r>
        <w:r w:rsidR="00B36385">
          <w:rPr>
            <w:webHidden/>
          </w:rPr>
        </w:r>
        <w:r w:rsidR="00B36385">
          <w:rPr>
            <w:webHidden/>
          </w:rPr>
          <w:fldChar w:fldCharType="separate"/>
        </w:r>
        <w:r w:rsidR="009F12BA">
          <w:rPr>
            <w:webHidden/>
          </w:rPr>
          <w:t>156</w:t>
        </w:r>
        <w:r w:rsidR="00B36385">
          <w:rPr>
            <w:webHidden/>
          </w:rPr>
          <w:fldChar w:fldCharType="end"/>
        </w:r>
      </w:hyperlink>
    </w:p>
    <w:p w14:paraId="4A68A08E"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64" w:history="1">
        <w:r w:rsidR="00B36385" w:rsidRPr="001E7F57">
          <w:rPr>
            <w:rStyle w:val="Hyperlink"/>
            <w:rFonts w:cs="Tahoma"/>
          </w:rPr>
          <w:t>8.2</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Arial"/>
          </w:rPr>
          <w:t>Construction Noise</w:t>
        </w:r>
        <w:r w:rsidR="00B36385">
          <w:rPr>
            <w:webHidden/>
          </w:rPr>
          <w:tab/>
        </w:r>
        <w:r w:rsidR="00B36385">
          <w:rPr>
            <w:webHidden/>
          </w:rPr>
          <w:fldChar w:fldCharType="begin"/>
        </w:r>
        <w:r w:rsidR="00B36385">
          <w:rPr>
            <w:webHidden/>
          </w:rPr>
          <w:instrText xml:space="preserve"> PAGEREF _Toc112852264 \h </w:instrText>
        </w:r>
        <w:r w:rsidR="00B36385">
          <w:rPr>
            <w:webHidden/>
          </w:rPr>
        </w:r>
        <w:r w:rsidR="00B36385">
          <w:rPr>
            <w:webHidden/>
          </w:rPr>
          <w:fldChar w:fldCharType="separate"/>
        </w:r>
        <w:r w:rsidR="009F12BA">
          <w:rPr>
            <w:webHidden/>
          </w:rPr>
          <w:t>161</w:t>
        </w:r>
        <w:r w:rsidR="00B36385">
          <w:rPr>
            <w:webHidden/>
          </w:rPr>
          <w:fldChar w:fldCharType="end"/>
        </w:r>
      </w:hyperlink>
    </w:p>
    <w:p w14:paraId="2AE44732" w14:textId="77777777" w:rsidR="00B36385" w:rsidRDefault="00FD548C">
      <w:pPr>
        <w:pStyle w:val="TOC3"/>
        <w:rPr>
          <w:rFonts w:asciiTheme="minorHAnsi" w:eastAsiaTheme="minorEastAsia" w:hAnsiTheme="minorHAnsi" w:cstheme="minorBidi"/>
          <w:sz w:val="22"/>
          <w:szCs w:val="22"/>
          <w:lang w:val="mk-MK" w:eastAsia="mk-MK"/>
        </w:rPr>
      </w:pPr>
      <w:hyperlink w:anchor="_Toc112852265" w:history="1">
        <w:r w:rsidR="00B36385" w:rsidRPr="001E7F57">
          <w:rPr>
            <w:rStyle w:val="Hyperlink"/>
          </w:rPr>
          <w:t>8.2.1</w:t>
        </w:r>
        <w:r w:rsidR="00B36385">
          <w:rPr>
            <w:rFonts w:asciiTheme="minorHAnsi" w:eastAsiaTheme="minorEastAsia" w:hAnsiTheme="minorHAnsi" w:cstheme="minorBidi"/>
            <w:sz w:val="22"/>
            <w:szCs w:val="22"/>
            <w:lang w:val="mk-MK" w:eastAsia="mk-MK"/>
          </w:rPr>
          <w:tab/>
        </w:r>
        <w:r w:rsidR="00B36385" w:rsidRPr="001E7F57">
          <w:rPr>
            <w:rStyle w:val="Hyperlink"/>
          </w:rPr>
          <w:t>Noise Limit Standards</w:t>
        </w:r>
        <w:r w:rsidR="00B36385">
          <w:rPr>
            <w:webHidden/>
          </w:rPr>
          <w:tab/>
        </w:r>
        <w:r w:rsidR="00B36385">
          <w:rPr>
            <w:webHidden/>
          </w:rPr>
          <w:fldChar w:fldCharType="begin"/>
        </w:r>
        <w:r w:rsidR="00B36385">
          <w:rPr>
            <w:webHidden/>
          </w:rPr>
          <w:instrText xml:space="preserve"> PAGEREF _Toc112852265 \h </w:instrText>
        </w:r>
        <w:r w:rsidR="00B36385">
          <w:rPr>
            <w:webHidden/>
          </w:rPr>
        </w:r>
        <w:r w:rsidR="00B36385">
          <w:rPr>
            <w:webHidden/>
          </w:rPr>
          <w:fldChar w:fldCharType="separate"/>
        </w:r>
        <w:r w:rsidR="009F12BA">
          <w:rPr>
            <w:webHidden/>
          </w:rPr>
          <w:t>161</w:t>
        </w:r>
        <w:r w:rsidR="00B36385">
          <w:rPr>
            <w:webHidden/>
          </w:rPr>
          <w:fldChar w:fldCharType="end"/>
        </w:r>
      </w:hyperlink>
    </w:p>
    <w:p w14:paraId="128C1A51" w14:textId="77777777" w:rsidR="00B36385" w:rsidRDefault="00FD548C">
      <w:pPr>
        <w:pStyle w:val="TOC3"/>
        <w:rPr>
          <w:rFonts w:asciiTheme="minorHAnsi" w:eastAsiaTheme="minorEastAsia" w:hAnsiTheme="minorHAnsi" w:cstheme="minorBidi"/>
          <w:sz w:val="22"/>
          <w:szCs w:val="22"/>
          <w:lang w:val="mk-MK" w:eastAsia="mk-MK"/>
        </w:rPr>
      </w:pPr>
      <w:hyperlink w:anchor="_Toc112852266" w:history="1">
        <w:r w:rsidR="00B36385" w:rsidRPr="001E7F57">
          <w:rPr>
            <w:rStyle w:val="Hyperlink"/>
          </w:rPr>
          <w:t>8.2.2</w:t>
        </w:r>
        <w:r w:rsidR="00B36385">
          <w:rPr>
            <w:rFonts w:asciiTheme="minorHAnsi" w:eastAsiaTheme="minorEastAsia" w:hAnsiTheme="minorHAnsi" w:cstheme="minorBidi"/>
            <w:sz w:val="22"/>
            <w:szCs w:val="22"/>
            <w:lang w:val="mk-MK" w:eastAsia="mk-MK"/>
          </w:rPr>
          <w:tab/>
        </w:r>
        <w:r w:rsidR="00B36385" w:rsidRPr="001E7F57">
          <w:rPr>
            <w:rStyle w:val="Hyperlink"/>
          </w:rPr>
          <w:t>Construction Noise Emissions</w:t>
        </w:r>
        <w:r w:rsidR="00B36385">
          <w:rPr>
            <w:webHidden/>
          </w:rPr>
          <w:tab/>
        </w:r>
        <w:r w:rsidR="00B36385">
          <w:rPr>
            <w:webHidden/>
          </w:rPr>
          <w:fldChar w:fldCharType="begin"/>
        </w:r>
        <w:r w:rsidR="00B36385">
          <w:rPr>
            <w:webHidden/>
          </w:rPr>
          <w:instrText xml:space="preserve"> PAGEREF _Toc112852266 \h </w:instrText>
        </w:r>
        <w:r w:rsidR="00B36385">
          <w:rPr>
            <w:webHidden/>
          </w:rPr>
        </w:r>
        <w:r w:rsidR="00B36385">
          <w:rPr>
            <w:webHidden/>
          </w:rPr>
          <w:fldChar w:fldCharType="separate"/>
        </w:r>
        <w:r w:rsidR="009F12BA">
          <w:rPr>
            <w:webHidden/>
          </w:rPr>
          <w:t>163</w:t>
        </w:r>
        <w:r w:rsidR="00B36385">
          <w:rPr>
            <w:webHidden/>
          </w:rPr>
          <w:fldChar w:fldCharType="end"/>
        </w:r>
      </w:hyperlink>
    </w:p>
    <w:p w14:paraId="23DA3E0A" w14:textId="77777777" w:rsidR="00B36385" w:rsidRDefault="00FD548C">
      <w:pPr>
        <w:pStyle w:val="TOC3"/>
        <w:rPr>
          <w:rFonts w:asciiTheme="minorHAnsi" w:eastAsiaTheme="minorEastAsia" w:hAnsiTheme="minorHAnsi" w:cstheme="minorBidi"/>
          <w:sz w:val="22"/>
          <w:szCs w:val="22"/>
          <w:lang w:val="mk-MK" w:eastAsia="mk-MK"/>
        </w:rPr>
      </w:pPr>
      <w:hyperlink w:anchor="_Toc112852267" w:history="1">
        <w:r w:rsidR="00B36385" w:rsidRPr="001E7F57">
          <w:rPr>
            <w:rStyle w:val="Hyperlink"/>
          </w:rPr>
          <w:t>8.2.3</w:t>
        </w:r>
        <w:r w:rsidR="00B36385">
          <w:rPr>
            <w:rFonts w:asciiTheme="minorHAnsi" w:eastAsiaTheme="minorEastAsia" w:hAnsiTheme="minorHAnsi" w:cstheme="minorBidi"/>
            <w:sz w:val="22"/>
            <w:szCs w:val="22"/>
            <w:lang w:val="mk-MK" w:eastAsia="mk-MK"/>
          </w:rPr>
          <w:tab/>
        </w:r>
        <w:r w:rsidR="00B36385" w:rsidRPr="001E7F57">
          <w:rPr>
            <w:rStyle w:val="Hyperlink"/>
          </w:rPr>
          <w:t>Construction Vibration</w:t>
        </w:r>
        <w:r w:rsidR="00B36385">
          <w:rPr>
            <w:webHidden/>
          </w:rPr>
          <w:tab/>
        </w:r>
        <w:r w:rsidR="00B36385">
          <w:rPr>
            <w:webHidden/>
          </w:rPr>
          <w:fldChar w:fldCharType="begin"/>
        </w:r>
        <w:r w:rsidR="00B36385">
          <w:rPr>
            <w:webHidden/>
          </w:rPr>
          <w:instrText xml:space="preserve"> PAGEREF _Toc112852267 \h </w:instrText>
        </w:r>
        <w:r w:rsidR="00B36385">
          <w:rPr>
            <w:webHidden/>
          </w:rPr>
        </w:r>
        <w:r w:rsidR="00B36385">
          <w:rPr>
            <w:webHidden/>
          </w:rPr>
          <w:fldChar w:fldCharType="separate"/>
        </w:r>
        <w:r w:rsidR="009F12BA">
          <w:rPr>
            <w:webHidden/>
          </w:rPr>
          <w:t>164</w:t>
        </w:r>
        <w:r w:rsidR="00B36385">
          <w:rPr>
            <w:webHidden/>
          </w:rPr>
          <w:fldChar w:fldCharType="end"/>
        </w:r>
      </w:hyperlink>
    </w:p>
    <w:p w14:paraId="068ACA59" w14:textId="77777777" w:rsidR="00B36385" w:rsidRDefault="00FD548C">
      <w:pPr>
        <w:pStyle w:val="TOC3"/>
        <w:rPr>
          <w:rFonts w:asciiTheme="minorHAnsi" w:eastAsiaTheme="minorEastAsia" w:hAnsiTheme="minorHAnsi" w:cstheme="minorBidi"/>
          <w:sz w:val="22"/>
          <w:szCs w:val="22"/>
          <w:lang w:val="mk-MK" w:eastAsia="mk-MK"/>
        </w:rPr>
      </w:pPr>
      <w:hyperlink w:anchor="_Toc112852268" w:history="1">
        <w:r w:rsidR="00B36385" w:rsidRPr="001E7F57">
          <w:rPr>
            <w:rStyle w:val="Hyperlink"/>
          </w:rPr>
          <w:t>8.2.4</w:t>
        </w:r>
        <w:r w:rsidR="00B36385">
          <w:rPr>
            <w:rFonts w:asciiTheme="minorHAnsi" w:eastAsiaTheme="minorEastAsia" w:hAnsiTheme="minorHAnsi" w:cstheme="minorBidi"/>
            <w:sz w:val="22"/>
            <w:szCs w:val="22"/>
            <w:lang w:val="mk-MK" w:eastAsia="mk-MK"/>
          </w:rPr>
          <w:tab/>
        </w:r>
        <w:r w:rsidR="00B36385" w:rsidRPr="001E7F57">
          <w:rPr>
            <w:rStyle w:val="Hyperlink"/>
          </w:rPr>
          <w:t>Summary of Impacts</w:t>
        </w:r>
        <w:r w:rsidR="00B36385">
          <w:rPr>
            <w:webHidden/>
          </w:rPr>
          <w:tab/>
        </w:r>
        <w:r w:rsidR="00B36385">
          <w:rPr>
            <w:webHidden/>
          </w:rPr>
          <w:fldChar w:fldCharType="begin"/>
        </w:r>
        <w:r w:rsidR="00B36385">
          <w:rPr>
            <w:webHidden/>
          </w:rPr>
          <w:instrText xml:space="preserve"> PAGEREF _Toc112852268 \h </w:instrText>
        </w:r>
        <w:r w:rsidR="00B36385">
          <w:rPr>
            <w:webHidden/>
          </w:rPr>
        </w:r>
        <w:r w:rsidR="00B36385">
          <w:rPr>
            <w:webHidden/>
          </w:rPr>
          <w:fldChar w:fldCharType="separate"/>
        </w:r>
        <w:r w:rsidR="009F12BA">
          <w:rPr>
            <w:webHidden/>
          </w:rPr>
          <w:t>165</w:t>
        </w:r>
        <w:r w:rsidR="00B36385">
          <w:rPr>
            <w:webHidden/>
          </w:rPr>
          <w:fldChar w:fldCharType="end"/>
        </w:r>
      </w:hyperlink>
    </w:p>
    <w:p w14:paraId="15815B1A" w14:textId="77777777" w:rsidR="00B36385" w:rsidRDefault="00FD548C">
      <w:pPr>
        <w:pStyle w:val="TOC3"/>
        <w:rPr>
          <w:rFonts w:asciiTheme="minorHAnsi" w:eastAsiaTheme="minorEastAsia" w:hAnsiTheme="minorHAnsi" w:cstheme="minorBidi"/>
          <w:sz w:val="22"/>
          <w:szCs w:val="22"/>
          <w:lang w:val="mk-MK" w:eastAsia="mk-MK"/>
        </w:rPr>
      </w:pPr>
      <w:hyperlink w:anchor="_Toc112852269" w:history="1">
        <w:r w:rsidR="00B36385" w:rsidRPr="001E7F57">
          <w:rPr>
            <w:rStyle w:val="Hyperlink"/>
          </w:rPr>
          <w:t>8.2.5</w:t>
        </w:r>
        <w:r w:rsidR="00B36385">
          <w:rPr>
            <w:rFonts w:asciiTheme="minorHAnsi" w:eastAsiaTheme="minorEastAsia" w:hAnsiTheme="minorHAnsi" w:cstheme="minorBidi"/>
            <w:sz w:val="22"/>
            <w:szCs w:val="22"/>
            <w:lang w:val="mk-MK" w:eastAsia="mk-MK"/>
          </w:rPr>
          <w:tab/>
        </w:r>
        <w:r w:rsidR="00B36385" w:rsidRPr="001E7F57">
          <w:rPr>
            <w:rStyle w:val="Hyperlink"/>
          </w:rPr>
          <w:t>Mitigation</w:t>
        </w:r>
        <w:r w:rsidR="00B36385">
          <w:rPr>
            <w:webHidden/>
          </w:rPr>
          <w:tab/>
        </w:r>
        <w:r w:rsidR="00B36385">
          <w:rPr>
            <w:webHidden/>
          </w:rPr>
          <w:fldChar w:fldCharType="begin"/>
        </w:r>
        <w:r w:rsidR="00B36385">
          <w:rPr>
            <w:webHidden/>
          </w:rPr>
          <w:instrText xml:space="preserve"> PAGEREF _Toc112852269 \h </w:instrText>
        </w:r>
        <w:r w:rsidR="00B36385">
          <w:rPr>
            <w:webHidden/>
          </w:rPr>
        </w:r>
        <w:r w:rsidR="00B36385">
          <w:rPr>
            <w:webHidden/>
          </w:rPr>
          <w:fldChar w:fldCharType="separate"/>
        </w:r>
        <w:r w:rsidR="009F12BA">
          <w:rPr>
            <w:webHidden/>
          </w:rPr>
          <w:t>165</w:t>
        </w:r>
        <w:r w:rsidR="00B36385">
          <w:rPr>
            <w:webHidden/>
          </w:rPr>
          <w:fldChar w:fldCharType="end"/>
        </w:r>
      </w:hyperlink>
    </w:p>
    <w:p w14:paraId="1E90B2B7" w14:textId="77777777" w:rsidR="00B36385" w:rsidRDefault="00FD548C">
      <w:pPr>
        <w:pStyle w:val="TOC3"/>
        <w:rPr>
          <w:rFonts w:asciiTheme="minorHAnsi" w:eastAsiaTheme="minorEastAsia" w:hAnsiTheme="minorHAnsi" w:cstheme="minorBidi"/>
          <w:sz w:val="22"/>
          <w:szCs w:val="22"/>
          <w:lang w:val="mk-MK" w:eastAsia="mk-MK"/>
        </w:rPr>
      </w:pPr>
      <w:hyperlink w:anchor="_Toc112852270" w:history="1">
        <w:r w:rsidR="00B36385" w:rsidRPr="001E7F57">
          <w:rPr>
            <w:rStyle w:val="Hyperlink"/>
          </w:rPr>
          <w:t>8.2.6</w:t>
        </w:r>
        <w:r w:rsidR="00B36385">
          <w:rPr>
            <w:rFonts w:asciiTheme="minorHAnsi" w:eastAsiaTheme="minorEastAsia" w:hAnsiTheme="minorHAnsi" w:cstheme="minorBidi"/>
            <w:sz w:val="22"/>
            <w:szCs w:val="22"/>
            <w:lang w:val="mk-MK" w:eastAsia="mk-MK"/>
          </w:rPr>
          <w:tab/>
        </w:r>
        <w:r w:rsidR="00B36385" w:rsidRPr="001E7F57">
          <w:rPr>
            <w:rStyle w:val="Hyperlink"/>
          </w:rPr>
          <w:t>Residual Impact</w:t>
        </w:r>
        <w:r w:rsidR="00B36385">
          <w:rPr>
            <w:webHidden/>
          </w:rPr>
          <w:tab/>
        </w:r>
        <w:r w:rsidR="00B36385">
          <w:rPr>
            <w:webHidden/>
          </w:rPr>
          <w:fldChar w:fldCharType="begin"/>
        </w:r>
        <w:r w:rsidR="00B36385">
          <w:rPr>
            <w:webHidden/>
          </w:rPr>
          <w:instrText xml:space="preserve"> PAGEREF _Toc112852270 \h </w:instrText>
        </w:r>
        <w:r w:rsidR="00B36385">
          <w:rPr>
            <w:webHidden/>
          </w:rPr>
        </w:r>
        <w:r w:rsidR="00B36385">
          <w:rPr>
            <w:webHidden/>
          </w:rPr>
          <w:fldChar w:fldCharType="separate"/>
        </w:r>
        <w:r w:rsidR="009F12BA">
          <w:rPr>
            <w:webHidden/>
          </w:rPr>
          <w:t>166</w:t>
        </w:r>
        <w:r w:rsidR="00B36385">
          <w:rPr>
            <w:webHidden/>
          </w:rPr>
          <w:fldChar w:fldCharType="end"/>
        </w:r>
      </w:hyperlink>
    </w:p>
    <w:p w14:paraId="3024C7C9"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71" w:history="1">
        <w:r w:rsidR="00B36385" w:rsidRPr="001E7F57">
          <w:rPr>
            <w:rStyle w:val="Hyperlink"/>
            <w:rFonts w:cs="Tahoma"/>
          </w:rPr>
          <w:t>8.3</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Arial"/>
          </w:rPr>
          <w:t>Operational Noise</w:t>
        </w:r>
        <w:r w:rsidR="00B36385">
          <w:rPr>
            <w:webHidden/>
          </w:rPr>
          <w:tab/>
        </w:r>
        <w:r w:rsidR="00B36385">
          <w:rPr>
            <w:webHidden/>
          </w:rPr>
          <w:fldChar w:fldCharType="begin"/>
        </w:r>
        <w:r w:rsidR="00B36385">
          <w:rPr>
            <w:webHidden/>
          </w:rPr>
          <w:instrText xml:space="preserve"> PAGEREF _Toc112852271 \h </w:instrText>
        </w:r>
        <w:r w:rsidR="00B36385">
          <w:rPr>
            <w:webHidden/>
          </w:rPr>
        </w:r>
        <w:r w:rsidR="00B36385">
          <w:rPr>
            <w:webHidden/>
          </w:rPr>
          <w:fldChar w:fldCharType="separate"/>
        </w:r>
        <w:r w:rsidR="009F12BA">
          <w:rPr>
            <w:webHidden/>
          </w:rPr>
          <w:t>166</w:t>
        </w:r>
        <w:r w:rsidR="00B36385">
          <w:rPr>
            <w:webHidden/>
          </w:rPr>
          <w:fldChar w:fldCharType="end"/>
        </w:r>
      </w:hyperlink>
    </w:p>
    <w:p w14:paraId="0E11316E" w14:textId="77777777" w:rsidR="00B36385" w:rsidRDefault="00FD548C">
      <w:pPr>
        <w:pStyle w:val="TOC3"/>
        <w:rPr>
          <w:rFonts w:asciiTheme="minorHAnsi" w:eastAsiaTheme="minorEastAsia" w:hAnsiTheme="minorHAnsi" w:cstheme="minorBidi"/>
          <w:sz w:val="22"/>
          <w:szCs w:val="22"/>
          <w:lang w:val="mk-MK" w:eastAsia="mk-MK"/>
        </w:rPr>
      </w:pPr>
      <w:hyperlink w:anchor="_Toc112852272" w:history="1">
        <w:r w:rsidR="00B36385" w:rsidRPr="001E7F57">
          <w:rPr>
            <w:rStyle w:val="Hyperlink"/>
          </w:rPr>
          <w:t>8.3.1</w:t>
        </w:r>
        <w:r w:rsidR="00B36385">
          <w:rPr>
            <w:rFonts w:asciiTheme="minorHAnsi" w:eastAsiaTheme="minorEastAsia" w:hAnsiTheme="minorHAnsi" w:cstheme="minorBidi"/>
            <w:sz w:val="22"/>
            <w:szCs w:val="22"/>
            <w:lang w:val="mk-MK" w:eastAsia="mk-MK"/>
          </w:rPr>
          <w:tab/>
        </w:r>
        <w:r w:rsidR="00B36385" w:rsidRPr="001E7F57">
          <w:rPr>
            <w:rStyle w:val="Hyperlink"/>
          </w:rPr>
          <w:t>Transmission Line Audible Noise</w:t>
        </w:r>
        <w:r w:rsidR="00B36385">
          <w:rPr>
            <w:webHidden/>
          </w:rPr>
          <w:tab/>
        </w:r>
        <w:r w:rsidR="00B36385">
          <w:rPr>
            <w:webHidden/>
          </w:rPr>
          <w:fldChar w:fldCharType="begin"/>
        </w:r>
        <w:r w:rsidR="00B36385">
          <w:rPr>
            <w:webHidden/>
          </w:rPr>
          <w:instrText xml:space="preserve"> PAGEREF _Toc112852272 \h </w:instrText>
        </w:r>
        <w:r w:rsidR="00B36385">
          <w:rPr>
            <w:webHidden/>
          </w:rPr>
        </w:r>
        <w:r w:rsidR="00B36385">
          <w:rPr>
            <w:webHidden/>
          </w:rPr>
          <w:fldChar w:fldCharType="separate"/>
        </w:r>
        <w:r w:rsidR="009F12BA">
          <w:rPr>
            <w:webHidden/>
          </w:rPr>
          <w:t>166</w:t>
        </w:r>
        <w:r w:rsidR="00B36385">
          <w:rPr>
            <w:webHidden/>
          </w:rPr>
          <w:fldChar w:fldCharType="end"/>
        </w:r>
      </w:hyperlink>
    </w:p>
    <w:p w14:paraId="44A20068" w14:textId="77777777" w:rsidR="00B36385" w:rsidRDefault="00FD548C">
      <w:pPr>
        <w:pStyle w:val="TOC3"/>
        <w:rPr>
          <w:rFonts w:asciiTheme="minorHAnsi" w:eastAsiaTheme="minorEastAsia" w:hAnsiTheme="minorHAnsi" w:cstheme="minorBidi"/>
          <w:sz w:val="22"/>
          <w:szCs w:val="22"/>
          <w:lang w:val="mk-MK" w:eastAsia="mk-MK"/>
        </w:rPr>
      </w:pPr>
      <w:hyperlink w:anchor="_Toc112852273" w:history="1">
        <w:r w:rsidR="00B36385" w:rsidRPr="001E7F57">
          <w:rPr>
            <w:rStyle w:val="Hyperlink"/>
          </w:rPr>
          <w:t>8.3.2</w:t>
        </w:r>
        <w:r w:rsidR="00B36385">
          <w:rPr>
            <w:rFonts w:asciiTheme="minorHAnsi" w:eastAsiaTheme="minorEastAsia" w:hAnsiTheme="minorHAnsi" w:cstheme="minorBidi"/>
            <w:sz w:val="22"/>
            <w:szCs w:val="22"/>
            <w:lang w:val="mk-MK" w:eastAsia="mk-MK"/>
          </w:rPr>
          <w:tab/>
        </w:r>
        <w:r w:rsidR="00B36385" w:rsidRPr="001E7F57">
          <w:rPr>
            <w:rStyle w:val="Hyperlink"/>
          </w:rPr>
          <w:t>Substation Audible Nosie</w:t>
        </w:r>
        <w:r w:rsidR="00B36385">
          <w:rPr>
            <w:webHidden/>
          </w:rPr>
          <w:tab/>
        </w:r>
        <w:r w:rsidR="00B36385">
          <w:rPr>
            <w:webHidden/>
          </w:rPr>
          <w:fldChar w:fldCharType="begin"/>
        </w:r>
        <w:r w:rsidR="00B36385">
          <w:rPr>
            <w:webHidden/>
          </w:rPr>
          <w:instrText xml:space="preserve"> PAGEREF _Toc112852273 \h </w:instrText>
        </w:r>
        <w:r w:rsidR="00B36385">
          <w:rPr>
            <w:webHidden/>
          </w:rPr>
        </w:r>
        <w:r w:rsidR="00B36385">
          <w:rPr>
            <w:webHidden/>
          </w:rPr>
          <w:fldChar w:fldCharType="separate"/>
        </w:r>
        <w:r w:rsidR="009F12BA">
          <w:rPr>
            <w:webHidden/>
          </w:rPr>
          <w:t>168</w:t>
        </w:r>
        <w:r w:rsidR="00B36385">
          <w:rPr>
            <w:webHidden/>
          </w:rPr>
          <w:fldChar w:fldCharType="end"/>
        </w:r>
      </w:hyperlink>
    </w:p>
    <w:p w14:paraId="15F67F82" w14:textId="77777777" w:rsidR="00B36385" w:rsidRDefault="00FD548C">
      <w:pPr>
        <w:pStyle w:val="TOC3"/>
        <w:rPr>
          <w:rFonts w:asciiTheme="minorHAnsi" w:eastAsiaTheme="minorEastAsia" w:hAnsiTheme="minorHAnsi" w:cstheme="minorBidi"/>
          <w:sz w:val="22"/>
          <w:szCs w:val="22"/>
          <w:lang w:val="mk-MK" w:eastAsia="mk-MK"/>
        </w:rPr>
      </w:pPr>
      <w:hyperlink w:anchor="_Toc112852274" w:history="1">
        <w:r w:rsidR="00B36385" w:rsidRPr="001E7F57">
          <w:rPr>
            <w:rStyle w:val="Hyperlink"/>
          </w:rPr>
          <w:t>8.3.3</w:t>
        </w:r>
        <w:r w:rsidR="00B36385">
          <w:rPr>
            <w:rFonts w:asciiTheme="minorHAnsi" w:eastAsiaTheme="minorEastAsia" w:hAnsiTheme="minorHAnsi" w:cstheme="minorBidi"/>
            <w:sz w:val="22"/>
            <w:szCs w:val="22"/>
            <w:lang w:val="mk-MK" w:eastAsia="mk-MK"/>
          </w:rPr>
          <w:tab/>
        </w:r>
        <w:r w:rsidR="00B36385" w:rsidRPr="001E7F57">
          <w:rPr>
            <w:rStyle w:val="Hyperlink"/>
          </w:rPr>
          <w:t>Summary of Impacts</w:t>
        </w:r>
        <w:r w:rsidR="00B36385">
          <w:rPr>
            <w:webHidden/>
          </w:rPr>
          <w:tab/>
        </w:r>
        <w:r w:rsidR="00B36385">
          <w:rPr>
            <w:webHidden/>
          </w:rPr>
          <w:fldChar w:fldCharType="begin"/>
        </w:r>
        <w:r w:rsidR="00B36385">
          <w:rPr>
            <w:webHidden/>
          </w:rPr>
          <w:instrText xml:space="preserve"> PAGEREF _Toc112852274 \h </w:instrText>
        </w:r>
        <w:r w:rsidR="00B36385">
          <w:rPr>
            <w:webHidden/>
          </w:rPr>
        </w:r>
        <w:r w:rsidR="00B36385">
          <w:rPr>
            <w:webHidden/>
          </w:rPr>
          <w:fldChar w:fldCharType="separate"/>
        </w:r>
        <w:r w:rsidR="009F12BA">
          <w:rPr>
            <w:webHidden/>
          </w:rPr>
          <w:t>168</w:t>
        </w:r>
        <w:r w:rsidR="00B36385">
          <w:rPr>
            <w:webHidden/>
          </w:rPr>
          <w:fldChar w:fldCharType="end"/>
        </w:r>
      </w:hyperlink>
    </w:p>
    <w:p w14:paraId="2C865D05" w14:textId="77777777" w:rsidR="00B36385" w:rsidRDefault="00FD548C">
      <w:pPr>
        <w:pStyle w:val="TOC3"/>
        <w:rPr>
          <w:rFonts w:asciiTheme="minorHAnsi" w:eastAsiaTheme="minorEastAsia" w:hAnsiTheme="minorHAnsi" w:cstheme="minorBidi"/>
          <w:sz w:val="22"/>
          <w:szCs w:val="22"/>
          <w:lang w:val="mk-MK" w:eastAsia="mk-MK"/>
        </w:rPr>
      </w:pPr>
      <w:hyperlink w:anchor="_Toc112852275" w:history="1">
        <w:r w:rsidR="00B36385" w:rsidRPr="001E7F57">
          <w:rPr>
            <w:rStyle w:val="Hyperlink"/>
          </w:rPr>
          <w:t>8.3.4</w:t>
        </w:r>
        <w:r w:rsidR="00B36385">
          <w:rPr>
            <w:rFonts w:asciiTheme="minorHAnsi" w:eastAsiaTheme="minorEastAsia" w:hAnsiTheme="minorHAnsi" w:cstheme="minorBidi"/>
            <w:sz w:val="22"/>
            <w:szCs w:val="22"/>
            <w:lang w:val="mk-MK" w:eastAsia="mk-MK"/>
          </w:rPr>
          <w:tab/>
        </w:r>
        <w:r w:rsidR="00B36385" w:rsidRPr="001E7F57">
          <w:rPr>
            <w:rStyle w:val="Hyperlink"/>
          </w:rPr>
          <w:t>Mitigation</w:t>
        </w:r>
        <w:r w:rsidR="00B36385">
          <w:rPr>
            <w:webHidden/>
          </w:rPr>
          <w:tab/>
        </w:r>
        <w:r w:rsidR="00B36385">
          <w:rPr>
            <w:webHidden/>
          </w:rPr>
          <w:fldChar w:fldCharType="begin"/>
        </w:r>
        <w:r w:rsidR="00B36385">
          <w:rPr>
            <w:webHidden/>
          </w:rPr>
          <w:instrText xml:space="preserve"> PAGEREF _Toc112852275 \h </w:instrText>
        </w:r>
        <w:r w:rsidR="00B36385">
          <w:rPr>
            <w:webHidden/>
          </w:rPr>
        </w:r>
        <w:r w:rsidR="00B36385">
          <w:rPr>
            <w:webHidden/>
          </w:rPr>
          <w:fldChar w:fldCharType="separate"/>
        </w:r>
        <w:r w:rsidR="009F12BA">
          <w:rPr>
            <w:webHidden/>
          </w:rPr>
          <w:t>169</w:t>
        </w:r>
        <w:r w:rsidR="00B36385">
          <w:rPr>
            <w:webHidden/>
          </w:rPr>
          <w:fldChar w:fldCharType="end"/>
        </w:r>
      </w:hyperlink>
    </w:p>
    <w:p w14:paraId="39AB4489" w14:textId="77777777" w:rsidR="00B36385" w:rsidRDefault="00FD548C">
      <w:pPr>
        <w:pStyle w:val="TOC3"/>
        <w:rPr>
          <w:rFonts w:asciiTheme="minorHAnsi" w:eastAsiaTheme="minorEastAsia" w:hAnsiTheme="minorHAnsi" w:cstheme="minorBidi"/>
          <w:sz w:val="22"/>
          <w:szCs w:val="22"/>
          <w:lang w:val="mk-MK" w:eastAsia="mk-MK"/>
        </w:rPr>
      </w:pPr>
      <w:hyperlink w:anchor="_Toc112852276" w:history="1">
        <w:r w:rsidR="00B36385" w:rsidRPr="001E7F57">
          <w:rPr>
            <w:rStyle w:val="Hyperlink"/>
          </w:rPr>
          <w:t>8.3.5</w:t>
        </w:r>
        <w:r w:rsidR="00B36385">
          <w:rPr>
            <w:rFonts w:asciiTheme="minorHAnsi" w:eastAsiaTheme="minorEastAsia" w:hAnsiTheme="minorHAnsi" w:cstheme="minorBidi"/>
            <w:sz w:val="22"/>
            <w:szCs w:val="22"/>
            <w:lang w:val="mk-MK" w:eastAsia="mk-MK"/>
          </w:rPr>
          <w:tab/>
        </w:r>
        <w:r w:rsidR="00B36385" w:rsidRPr="001E7F57">
          <w:rPr>
            <w:rStyle w:val="Hyperlink"/>
          </w:rPr>
          <w:t>Residual Impact</w:t>
        </w:r>
        <w:r w:rsidR="00B36385">
          <w:rPr>
            <w:webHidden/>
          </w:rPr>
          <w:tab/>
        </w:r>
        <w:r w:rsidR="00B36385">
          <w:rPr>
            <w:webHidden/>
          </w:rPr>
          <w:fldChar w:fldCharType="begin"/>
        </w:r>
        <w:r w:rsidR="00B36385">
          <w:rPr>
            <w:webHidden/>
          </w:rPr>
          <w:instrText xml:space="preserve"> PAGEREF _Toc112852276 \h </w:instrText>
        </w:r>
        <w:r w:rsidR="00B36385">
          <w:rPr>
            <w:webHidden/>
          </w:rPr>
        </w:r>
        <w:r w:rsidR="00B36385">
          <w:rPr>
            <w:webHidden/>
          </w:rPr>
          <w:fldChar w:fldCharType="separate"/>
        </w:r>
        <w:r w:rsidR="009F12BA">
          <w:rPr>
            <w:webHidden/>
          </w:rPr>
          <w:t>170</w:t>
        </w:r>
        <w:r w:rsidR="00B36385">
          <w:rPr>
            <w:webHidden/>
          </w:rPr>
          <w:fldChar w:fldCharType="end"/>
        </w:r>
      </w:hyperlink>
    </w:p>
    <w:p w14:paraId="7A710CB0"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77" w:history="1">
        <w:r w:rsidR="00B36385" w:rsidRPr="001E7F57">
          <w:rPr>
            <w:rStyle w:val="Hyperlink"/>
            <w:rFonts w:cs="Tahoma"/>
          </w:rPr>
          <w:t>8.4</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Arial"/>
          </w:rPr>
          <w:t>Geology and Soils</w:t>
        </w:r>
        <w:r w:rsidR="00B36385">
          <w:rPr>
            <w:webHidden/>
          </w:rPr>
          <w:tab/>
        </w:r>
        <w:r w:rsidR="00B36385">
          <w:rPr>
            <w:webHidden/>
          </w:rPr>
          <w:fldChar w:fldCharType="begin"/>
        </w:r>
        <w:r w:rsidR="00B36385">
          <w:rPr>
            <w:webHidden/>
          </w:rPr>
          <w:instrText xml:space="preserve"> PAGEREF _Toc112852277 \h </w:instrText>
        </w:r>
        <w:r w:rsidR="00B36385">
          <w:rPr>
            <w:webHidden/>
          </w:rPr>
        </w:r>
        <w:r w:rsidR="00B36385">
          <w:rPr>
            <w:webHidden/>
          </w:rPr>
          <w:fldChar w:fldCharType="separate"/>
        </w:r>
        <w:r w:rsidR="009F12BA">
          <w:rPr>
            <w:webHidden/>
          </w:rPr>
          <w:t>170</w:t>
        </w:r>
        <w:r w:rsidR="00B36385">
          <w:rPr>
            <w:webHidden/>
          </w:rPr>
          <w:fldChar w:fldCharType="end"/>
        </w:r>
      </w:hyperlink>
    </w:p>
    <w:p w14:paraId="5E00C2BB" w14:textId="77777777" w:rsidR="00B36385" w:rsidRDefault="00FD548C">
      <w:pPr>
        <w:pStyle w:val="TOC3"/>
        <w:rPr>
          <w:rFonts w:asciiTheme="minorHAnsi" w:eastAsiaTheme="minorEastAsia" w:hAnsiTheme="minorHAnsi" w:cstheme="minorBidi"/>
          <w:sz w:val="22"/>
          <w:szCs w:val="22"/>
          <w:lang w:val="mk-MK" w:eastAsia="mk-MK"/>
        </w:rPr>
      </w:pPr>
      <w:hyperlink w:anchor="_Toc112852278" w:history="1">
        <w:r w:rsidR="00B36385" w:rsidRPr="001E7F57">
          <w:rPr>
            <w:rStyle w:val="Hyperlink"/>
          </w:rPr>
          <w:t>8.4.1</w:t>
        </w:r>
        <w:r w:rsidR="00B36385">
          <w:rPr>
            <w:rFonts w:asciiTheme="minorHAnsi" w:eastAsiaTheme="minorEastAsia" w:hAnsiTheme="minorHAnsi" w:cstheme="minorBidi"/>
            <w:sz w:val="22"/>
            <w:szCs w:val="22"/>
            <w:lang w:val="mk-MK" w:eastAsia="mk-MK"/>
          </w:rPr>
          <w:tab/>
        </w:r>
        <w:r w:rsidR="00B36385" w:rsidRPr="001E7F57">
          <w:rPr>
            <w:rStyle w:val="Hyperlink"/>
          </w:rPr>
          <w:t>Assessment Methodology</w:t>
        </w:r>
        <w:r w:rsidR="00B36385">
          <w:rPr>
            <w:webHidden/>
          </w:rPr>
          <w:tab/>
        </w:r>
        <w:r w:rsidR="00B36385">
          <w:rPr>
            <w:webHidden/>
          </w:rPr>
          <w:fldChar w:fldCharType="begin"/>
        </w:r>
        <w:r w:rsidR="00B36385">
          <w:rPr>
            <w:webHidden/>
          </w:rPr>
          <w:instrText xml:space="preserve"> PAGEREF _Toc112852278 \h </w:instrText>
        </w:r>
        <w:r w:rsidR="00B36385">
          <w:rPr>
            <w:webHidden/>
          </w:rPr>
        </w:r>
        <w:r w:rsidR="00B36385">
          <w:rPr>
            <w:webHidden/>
          </w:rPr>
          <w:fldChar w:fldCharType="separate"/>
        </w:r>
        <w:r w:rsidR="009F12BA">
          <w:rPr>
            <w:webHidden/>
          </w:rPr>
          <w:t>170</w:t>
        </w:r>
        <w:r w:rsidR="00B36385">
          <w:rPr>
            <w:webHidden/>
          </w:rPr>
          <w:fldChar w:fldCharType="end"/>
        </w:r>
      </w:hyperlink>
    </w:p>
    <w:p w14:paraId="5E3B7771" w14:textId="77777777" w:rsidR="00B36385" w:rsidRDefault="00FD548C">
      <w:pPr>
        <w:pStyle w:val="TOC3"/>
        <w:rPr>
          <w:rFonts w:asciiTheme="minorHAnsi" w:eastAsiaTheme="minorEastAsia" w:hAnsiTheme="minorHAnsi" w:cstheme="minorBidi"/>
          <w:sz w:val="22"/>
          <w:szCs w:val="22"/>
          <w:lang w:val="mk-MK" w:eastAsia="mk-MK"/>
        </w:rPr>
      </w:pPr>
      <w:hyperlink w:anchor="_Toc112852279" w:history="1">
        <w:r w:rsidR="00B36385" w:rsidRPr="001E7F57">
          <w:rPr>
            <w:rStyle w:val="Hyperlink"/>
          </w:rPr>
          <w:t>8.4.2</w:t>
        </w:r>
        <w:r w:rsidR="00B36385">
          <w:rPr>
            <w:rFonts w:asciiTheme="minorHAnsi" w:eastAsiaTheme="minorEastAsia" w:hAnsiTheme="minorHAnsi" w:cstheme="minorBidi"/>
            <w:sz w:val="22"/>
            <w:szCs w:val="22"/>
            <w:lang w:val="mk-MK" w:eastAsia="mk-MK"/>
          </w:rPr>
          <w:tab/>
        </w:r>
        <w:r w:rsidR="00B36385" w:rsidRPr="001E7F57">
          <w:rPr>
            <w:rStyle w:val="Hyperlink"/>
          </w:rPr>
          <w:t>Potential Impacts</w:t>
        </w:r>
        <w:r w:rsidR="00B36385">
          <w:rPr>
            <w:webHidden/>
          </w:rPr>
          <w:tab/>
        </w:r>
        <w:r w:rsidR="00B36385">
          <w:rPr>
            <w:webHidden/>
          </w:rPr>
          <w:fldChar w:fldCharType="begin"/>
        </w:r>
        <w:r w:rsidR="00B36385">
          <w:rPr>
            <w:webHidden/>
          </w:rPr>
          <w:instrText xml:space="preserve"> PAGEREF _Toc112852279 \h </w:instrText>
        </w:r>
        <w:r w:rsidR="00B36385">
          <w:rPr>
            <w:webHidden/>
          </w:rPr>
        </w:r>
        <w:r w:rsidR="00B36385">
          <w:rPr>
            <w:webHidden/>
          </w:rPr>
          <w:fldChar w:fldCharType="separate"/>
        </w:r>
        <w:r w:rsidR="009F12BA">
          <w:rPr>
            <w:webHidden/>
          </w:rPr>
          <w:t>172</w:t>
        </w:r>
        <w:r w:rsidR="00B36385">
          <w:rPr>
            <w:webHidden/>
          </w:rPr>
          <w:fldChar w:fldCharType="end"/>
        </w:r>
      </w:hyperlink>
    </w:p>
    <w:p w14:paraId="2A621F64" w14:textId="77777777" w:rsidR="00B36385" w:rsidRDefault="00FD548C">
      <w:pPr>
        <w:pStyle w:val="TOC3"/>
        <w:rPr>
          <w:rFonts w:asciiTheme="minorHAnsi" w:eastAsiaTheme="minorEastAsia" w:hAnsiTheme="minorHAnsi" w:cstheme="minorBidi"/>
          <w:sz w:val="22"/>
          <w:szCs w:val="22"/>
          <w:lang w:val="mk-MK" w:eastAsia="mk-MK"/>
        </w:rPr>
      </w:pPr>
      <w:hyperlink w:anchor="_Toc112852280" w:history="1">
        <w:r w:rsidR="00B36385" w:rsidRPr="001E7F57">
          <w:rPr>
            <w:rStyle w:val="Hyperlink"/>
          </w:rPr>
          <w:t>8.4.3</w:t>
        </w:r>
        <w:r w:rsidR="00B36385">
          <w:rPr>
            <w:rFonts w:asciiTheme="minorHAnsi" w:eastAsiaTheme="minorEastAsia" w:hAnsiTheme="minorHAnsi" w:cstheme="minorBidi"/>
            <w:sz w:val="22"/>
            <w:szCs w:val="22"/>
            <w:lang w:val="mk-MK" w:eastAsia="mk-MK"/>
          </w:rPr>
          <w:tab/>
        </w:r>
        <w:r w:rsidR="00B36385" w:rsidRPr="001E7F57">
          <w:rPr>
            <w:rStyle w:val="Hyperlink"/>
          </w:rPr>
          <w:t>Assessment of Impacts</w:t>
        </w:r>
        <w:r w:rsidR="00B36385">
          <w:rPr>
            <w:webHidden/>
          </w:rPr>
          <w:tab/>
        </w:r>
        <w:r w:rsidR="00B36385">
          <w:rPr>
            <w:webHidden/>
          </w:rPr>
          <w:fldChar w:fldCharType="begin"/>
        </w:r>
        <w:r w:rsidR="00B36385">
          <w:rPr>
            <w:webHidden/>
          </w:rPr>
          <w:instrText xml:space="preserve"> PAGEREF _Toc112852280 \h </w:instrText>
        </w:r>
        <w:r w:rsidR="00B36385">
          <w:rPr>
            <w:webHidden/>
          </w:rPr>
        </w:r>
        <w:r w:rsidR="00B36385">
          <w:rPr>
            <w:webHidden/>
          </w:rPr>
          <w:fldChar w:fldCharType="separate"/>
        </w:r>
        <w:r w:rsidR="009F12BA">
          <w:rPr>
            <w:webHidden/>
          </w:rPr>
          <w:t>172</w:t>
        </w:r>
        <w:r w:rsidR="00B36385">
          <w:rPr>
            <w:webHidden/>
          </w:rPr>
          <w:fldChar w:fldCharType="end"/>
        </w:r>
      </w:hyperlink>
    </w:p>
    <w:p w14:paraId="115B040A" w14:textId="77777777" w:rsidR="00B36385" w:rsidRDefault="00FD548C">
      <w:pPr>
        <w:pStyle w:val="TOC3"/>
        <w:rPr>
          <w:rFonts w:asciiTheme="minorHAnsi" w:eastAsiaTheme="minorEastAsia" w:hAnsiTheme="minorHAnsi" w:cstheme="minorBidi"/>
          <w:sz w:val="22"/>
          <w:szCs w:val="22"/>
          <w:lang w:val="mk-MK" w:eastAsia="mk-MK"/>
        </w:rPr>
      </w:pPr>
      <w:hyperlink w:anchor="_Toc112852281" w:history="1">
        <w:r w:rsidR="00B36385" w:rsidRPr="001E7F57">
          <w:rPr>
            <w:rStyle w:val="Hyperlink"/>
          </w:rPr>
          <w:t>8.4.4</w:t>
        </w:r>
        <w:r w:rsidR="00B36385">
          <w:rPr>
            <w:rFonts w:asciiTheme="minorHAnsi" w:eastAsiaTheme="minorEastAsia" w:hAnsiTheme="minorHAnsi" w:cstheme="minorBidi"/>
            <w:sz w:val="22"/>
            <w:szCs w:val="22"/>
            <w:lang w:val="mk-MK" w:eastAsia="mk-MK"/>
          </w:rPr>
          <w:tab/>
        </w:r>
        <w:r w:rsidR="00B36385" w:rsidRPr="001E7F57">
          <w:rPr>
            <w:rStyle w:val="Hyperlink"/>
          </w:rPr>
          <w:t>Mitigation</w:t>
        </w:r>
        <w:r w:rsidR="00B36385">
          <w:rPr>
            <w:webHidden/>
          </w:rPr>
          <w:tab/>
        </w:r>
        <w:r w:rsidR="00B36385">
          <w:rPr>
            <w:webHidden/>
          </w:rPr>
          <w:fldChar w:fldCharType="begin"/>
        </w:r>
        <w:r w:rsidR="00B36385">
          <w:rPr>
            <w:webHidden/>
          </w:rPr>
          <w:instrText xml:space="preserve"> PAGEREF _Toc112852281 \h </w:instrText>
        </w:r>
        <w:r w:rsidR="00B36385">
          <w:rPr>
            <w:webHidden/>
          </w:rPr>
        </w:r>
        <w:r w:rsidR="00B36385">
          <w:rPr>
            <w:webHidden/>
          </w:rPr>
          <w:fldChar w:fldCharType="separate"/>
        </w:r>
        <w:r w:rsidR="009F12BA">
          <w:rPr>
            <w:webHidden/>
          </w:rPr>
          <w:t>173</w:t>
        </w:r>
        <w:r w:rsidR="00B36385">
          <w:rPr>
            <w:webHidden/>
          </w:rPr>
          <w:fldChar w:fldCharType="end"/>
        </w:r>
      </w:hyperlink>
    </w:p>
    <w:p w14:paraId="6BB6BCC3" w14:textId="77777777" w:rsidR="00B36385" w:rsidRDefault="00FD548C">
      <w:pPr>
        <w:pStyle w:val="TOC3"/>
        <w:rPr>
          <w:rFonts w:asciiTheme="minorHAnsi" w:eastAsiaTheme="minorEastAsia" w:hAnsiTheme="minorHAnsi" w:cstheme="minorBidi"/>
          <w:sz w:val="22"/>
          <w:szCs w:val="22"/>
          <w:lang w:val="mk-MK" w:eastAsia="mk-MK"/>
        </w:rPr>
      </w:pPr>
      <w:hyperlink w:anchor="_Toc112852282" w:history="1">
        <w:r w:rsidR="00B36385" w:rsidRPr="001E7F57">
          <w:rPr>
            <w:rStyle w:val="Hyperlink"/>
          </w:rPr>
          <w:t>8.4.5</w:t>
        </w:r>
        <w:r w:rsidR="00B36385">
          <w:rPr>
            <w:rFonts w:asciiTheme="minorHAnsi" w:eastAsiaTheme="minorEastAsia" w:hAnsiTheme="minorHAnsi" w:cstheme="minorBidi"/>
            <w:sz w:val="22"/>
            <w:szCs w:val="22"/>
            <w:lang w:val="mk-MK" w:eastAsia="mk-MK"/>
          </w:rPr>
          <w:tab/>
        </w:r>
        <w:r w:rsidR="00B36385" w:rsidRPr="001E7F57">
          <w:rPr>
            <w:rStyle w:val="Hyperlink"/>
          </w:rPr>
          <w:t>Residual Impacts</w:t>
        </w:r>
        <w:r w:rsidR="00B36385">
          <w:rPr>
            <w:webHidden/>
          </w:rPr>
          <w:tab/>
        </w:r>
        <w:r w:rsidR="00B36385">
          <w:rPr>
            <w:webHidden/>
          </w:rPr>
          <w:fldChar w:fldCharType="begin"/>
        </w:r>
        <w:r w:rsidR="00B36385">
          <w:rPr>
            <w:webHidden/>
          </w:rPr>
          <w:instrText xml:space="preserve"> PAGEREF _Toc112852282 \h </w:instrText>
        </w:r>
        <w:r w:rsidR="00B36385">
          <w:rPr>
            <w:webHidden/>
          </w:rPr>
        </w:r>
        <w:r w:rsidR="00B36385">
          <w:rPr>
            <w:webHidden/>
          </w:rPr>
          <w:fldChar w:fldCharType="separate"/>
        </w:r>
        <w:r w:rsidR="009F12BA">
          <w:rPr>
            <w:webHidden/>
          </w:rPr>
          <w:t>175</w:t>
        </w:r>
        <w:r w:rsidR="00B36385">
          <w:rPr>
            <w:webHidden/>
          </w:rPr>
          <w:fldChar w:fldCharType="end"/>
        </w:r>
      </w:hyperlink>
    </w:p>
    <w:p w14:paraId="5C746978"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83" w:history="1">
        <w:r w:rsidR="00B36385" w:rsidRPr="001E7F57">
          <w:rPr>
            <w:rStyle w:val="Hyperlink"/>
            <w:rFonts w:cs="Tahoma"/>
          </w:rPr>
          <w:t>8.5</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Arial"/>
          </w:rPr>
          <w:t>Water Environment</w:t>
        </w:r>
        <w:r w:rsidR="00B36385">
          <w:rPr>
            <w:webHidden/>
          </w:rPr>
          <w:tab/>
        </w:r>
        <w:r w:rsidR="00B36385">
          <w:rPr>
            <w:webHidden/>
          </w:rPr>
          <w:fldChar w:fldCharType="begin"/>
        </w:r>
        <w:r w:rsidR="00B36385">
          <w:rPr>
            <w:webHidden/>
          </w:rPr>
          <w:instrText xml:space="preserve"> PAGEREF _Toc112852283 \h </w:instrText>
        </w:r>
        <w:r w:rsidR="00B36385">
          <w:rPr>
            <w:webHidden/>
          </w:rPr>
        </w:r>
        <w:r w:rsidR="00B36385">
          <w:rPr>
            <w:webHidden/>
          </w:rPr>
          <w:fldChar w:fldCharType="separate"/>
        </w:r>
        <w:r w:rsidR="009F12BA">
          <w:rPr>
            <w:webHidden/>
          </w:rPr>
          <w:t>175</w:t>
        </w:r>
        <w:r w:rsidR="00B36385">
          <w:rPr>
            <w:webHidden/>
          </w:rPr>
          <w:fldChar w:fldCharType="end"/>
        </w:r>
      </w:hyperlink>
    </w:p>
    <w:p w14:paraId="78FEF855" w14:textId="77777777" w:rsidR="00B36385" w:rsidRDefault="00FD548C">
      <w:pPr>
        <w:pStyle w:val="TOC3"/>
        <w:rPr>
          <w:rFonts w:asciiTheme="minorHAnsi" w:eastAsiaTheme="minorEastAsia" w:hAnsiTheme="minorHAnsi" w:cstheme="minorBidi"/>
          <w:sz w:val="22"/>
          <w:szCs w:val="22"/>
          <w:lang w:val="mk-MK" w:eastAsia="mk-MK"/>
        </w:rPr>
      </w:pPr>
      <w:hyperlink w:anchor="_Toc112852284" w:history="1">
        <w:r w:rsidR="00B36385" w:rsidRPr="001E7F57">
          <w:rPr>
            <w:rStyle w:val="Hyperlink"/>
          </w:rPr>
          <w:t>8.5.1</w:t>
        </w:r>
        <w:r w:rsidR="00B36385">
          <w:rPr>
            <w:rFonts w:asciiTheme="minorHAnsi" w:eastAsiaTheme="minorEastAsia" w:hAnsiTheme="minorHAnsi" w:cstheme="minorBidi"/>
            <w:sz w:val="22"/>
            <w:szCs w:val="22"/>
            <w:lang w:val="mk-MK" w:eastAsia="mk-MK"/>
          </w:rPr>
          <w:tab/>
        </w:r>
        <w:r w:rsidR="00B36385" w:rsidRPr="001E7F57">
          <w:rPr>
            <w:rStyle w:val="Hyperlink"/>
          </w:rPr>
          <w:t>Assessment Methodology</w:t>
        </w:r>
        <w:r w:rsidR="00B36385">
          <w:rPr>
            <w:webHidden/>
          </w:rPr>
          <w:tab/>
        </w:r>
        <w:r w:rsidR="00B36385">
          <w:rPr>
            <w:webHidden/>
          </w:rPr>
          <w:fldChar w:fldCharType="begin"/>
        </w:r>
        <w:r w:rsidR="00B36385">
          <w:rPr>
            <w:webHidden/>
          </w:rPr>
          <w:instrText xml:space="preserve"> PAGEREF _Toc112852284 \h </w:instrText>
        </w:r>
        <w:r w:rsidR="00B36385">
          <w:rPr>
            <w:webHidden/>
          </w:rPr>
        </w:r>
        <w:r w:rsidR="00B36385">
          <w:rPr>
            <w:webHidden/>
          </w:rPr>
          <w:fldChar w:fldCharType="separate"/>
        </w:r>
        <w:r w:rsidR="009F12BA">
          <w:rPr>
            <w:webHidden/>
          </w:rPr>
          <w:t>175</w:t>
        </w:r>
        <w:r w:rsidR="00B36385">
          <w:rPr>
            <w:webHidden/>
          </w:rPr>
          <w:fldChar w:fldCharType="end"/>
        </w:r>
      </w:hyperlink>
    </w:p>
    <w:p w14:paraId="6889C99D" w14:textId="77777777" w:rsidR="00B36385" w:rsidRDefault="00FD548C">
      <w:pPr>
        <w:pStyle w:val="TOC3"/>
        <w:rPr>
          <w:rFonts w:asciiTheme="minorHAnsi" w:eastAsiaTheme="minorEastAsia" w:hAnsiTheme="minorHAnsi" w:cstheme="minorBidi"/>
          <w:sz w:val="22"/>
          <w:szCs w:val="22"/>
          <w:lang w:val="mk-MK" w:eastAsia="mk-MK"/>
        </w:rPr>
      </w:pPr>
      <w:hyperlink w:anchor="_Toc112852285" w:history="1">
        <w:r w:rsidR="00B36385" w:rsidRPr="001E7F57">
          <w:rPr>
            <w:rStyle w:val="Hyperlink"/>
          </w:rPr>
          <w:t>8.5.2</w:t>
        </w:r>
        <w:r w:rsidR="00B36385">
          <w:rPr>
            <w:rFonts w:asciiTheme="minorHAnsi" w:eastAsiaTheme="minorEastAsia" w:hAnsiTheme="minorHAnsi" w:cstheme="minorBidi"/>
            <w:sz w:val="22"/>
            <w:szCs w:val="22"/>
            <w:lang w:val="mk-MK" w:eastAsia="mk-MK"/>
          </w:rPr>
          <w:tab/>
        </w:r>
        <w:r w:rsidR="00B36385" w:rsidRPr="001E7F57">
          <w:rPr>
            <w:rStyle w:val="Hyperlink"/>
          </w:rPr>
          <w:t>Potential Impacts</w:t>
        </w:r>
        <w:r w:rsidR="00B36385">
          <w:rPr>
            <w:webHidden/>
          </w:rPr>
          <w:tab/>
        </w:r>
        <w:r w:rsidR="00B36385">
          <w:rPr>
            <w:webHidden/>
          </w:rPr>
          <w:fldChar w:fldCharType="begin"/>
        </w:r>
        <w:r w:rsidR="00B36385">
          <w:rPr>
            <w:webHidden/>
          </w:rPr>
          <w:instrText xml:space="preserve"> PAGEREF _Toc112852285 \h </w:instrText>
        </w:r>
        <w:r w:rsidR="00B36385">
          <w:rPr>
            <w:webHidden/>
          </w:rPr>
        </w:r>
        <w:r w:rsidR="00B36385">
          <w:rPr>
            <w:webHidden/>
          </w:rPr>
          <w:fldChar w:fldCharType="separate"/>
        </w:r>
        <w:r w:rsidR="009F12BA">
          <w:rPr>
            <w:webHidden/>
          </w:rPr>
          <w:t>177</w:t>
        </w:r>
        <w:r w:rsidR="00B36385">
          <w:rPr>
            <w:webHidden/>
          </w:rPr>
          <w:fldChar w:fldCharType="end"/>
        </w:r>
      </w:hyperlink>
    </w:p>
    <w:p w14:paraId="09088C17" w14:textId="77777777" w:rsidR="00B36385" w:rsidRDefault="00FD548C">
      <w:pPr>
        <w:pStyle w:val="TOC3"/>
        <w:rPr>
          <w:rFonts w:asciiTheme="minorHAnsi" w:eastAsiaTheme="minorEastAsia" w:hAnsiTheme="minorHAnsi" w:cstheme="minorBidi"/>
          <w:sz w:val="22"/>
          <w:szCs w:val="22"/>
          <w:lang w:val="mk-MK" w:eastAsia="mk-MK"/>
        </w:rPr>
      </w:pPr>
      <w:hyperlink w:anchor="_Toc112852286" w:history="1">
        <w:r w:rsidR="00B36385" w:rsidRPr="001E7F57">
          <w:rPr>
            <w:rStyle w:val="Hyperlink"/>
          </w:rPr>
          <w:t>8.5.3</w:t>
        </w:r>
        <w:r w:rsidR="00B36385">
          <w:rPr>
            <w:rFonts w:asciiTheme="minorHAnsi" w:eastAsiaTheme="minorEastAsia" w:hAnsiTheme="minorHAnsi" w:cstheme="minorBidi"/>
            <w:sz w:val="22"/>
            <w:szCs w:val="22"/>
            <w:lang w:val="mk-MK" w:eastAsia="mk-MK"/>
          </w:rPr>
          <w:tab/>
        </w:r>
        <w:r w:rsidR="00B36385" w:rsidRPr="001E7F57">
          <w:rPr>
            <w:rStyle w:val="Hyperlink"/>
          </w:rPr>
          <w:t>Assessment of Impacts</w:t>
        </w:r>
        <w:r w:rsidR="00B36385">
          <w:rPr>
            <w:webHidden/>
          </w:rPr>
          <w:tab/>
        </w:r>
        <w:r w:rsidR="00B36385">
          <w:rPr>
            <w:webHidden/>
          </w:rPr>
          <w:fldChar w:fldCharType="begin"/>
        </w:r>
        <w:r w:rsidR="00B36385">
          <w:rPr>
            <w:webHidden/>
          </w:rPr>
          <w:instrText xml:space="preserve"> PAGEREF _Toc112852286 \h </w:instrText>
        </w:r>
        <w:r w:rsidR="00B36385">
          <w:rPr>
            <w:webHidden/>
          </w:rPr>
        </w:r>
        <w:r w:rsidR="00B36385">
          <w:rPr>
            <w:webHidden/>
          </w:rPr>
          <w:fldChar w:fldCharType="separate"/>
        </w:r>
        <w:r w:rsidR="009F12BA">
          <w:rPr>
            <w:webHidden/>
          </w:rPr>
          <w:t>177</w:t>
        </w:r>
        <w:r w:rsidR="00B36385">
          <w:rPr>
            <w:webHidden/>
          </w:rPr>
          <w:fldChar w:fldCharType="end"/>
        </w:r>
      </w:hyperlink>
    </w:p>
    <w:p w14:paraId="27F31218" w14:textId="77777777" w:rsidR="00B36385" w:rsidRDefault="00FD548C">
      <w:pPr>
        <w:pStyle w:val="TOC3"/>
        <w:rPr>
          <w:rFonts w:asciiTheme="minorHAnsi" w:eastAsiaTheme="minorEastAsia" w:hAnsiTheme="minorHAnsi" w:cstheme="minorBidi"/>
          <w:sz w:val="22"/>
          <w:szCs w:val="22"/>
          <w:lang w:val="mk-MK" w:eastAsia="mk-MK"/>
        </w:rPr>
      </w:pPr>
      <w:hyperlink w:anchor="_Toc112852287" w:history="1">
        <w:r w:rsidR="00B36385" w:rsidRPr="001E7F57">
          <w:rPr>
            <w:rStyle w:val="Hyperlink"/>
          </w:rPr>
          <w:t>8.5.4</w:t>
        </w:r>
        <w:r w:rsidR="00B36385">
          <w:rPr>
            <w:rFonts w:asciiTheme="minorHAnsi" w:eastAsiaTheme="minorEastAsia" w:hAnsiTheme="minorHAnsi" w:cstheme="minorBidi"/>
            <w:sz w:val="22"/>
            <w:szCs w:val="22"/>
            <w:lang w:val="mk-MK" w:eastAsia="mk-MK"/>
          </w:rPr>
          <w:tab/>
        </w:r>
        <w:r w:rsidR="00B36385" w:rsidRPr="001E7F57">
          <w:rPr>
            <w:rStyle w:val="Hyperlink"/>
          </w:rPr>
          <w:t>Mitigation</w:t>
        </w:r>
        <w:r w:rsidR="00B36385">
          <w:rPr>
            <w:webHidden/>
          </w:rPr>
          <w:tab/>
        </w:r>
        <w:r w:rsidR="00B36385">
          <w:rPr>
            <w:webHidden/>
          </w:rPr>
          <w:fldChar w:fldCharType="begin"/>
        </w:r>
        <w:r w:rsidR="00B36385">
          <w:rPr>
            <w:webHidden/>
          </w:rPr>
          <w:instrText xml:space="preserve"> PAGEREF _Toc112852287 \h </w:instrText>
        </w:r>
        <w:r w:rsidR="00B36385">
          <w:rPr>
            <w:webHidden/>
          </w:rPr>
        </w:r>
        <w:r w:rsidR="00B36385">
          <w:rPr>
            <w:webHidden/>
          </w:rPr>
          <w:fldChar w:fldCharType="separate"/>
        </w:r>
        <w:r w:rsidR="009F12BA">
          <w:rPr>
            <w:webHidden/>
          </w:rPr>
          <w:t>178</w:t>
        </w:r>
        <w:r w:rsidR="00B36385">
          <w:rPr>
            <w:webHidden/>
          </w:rPr>
          <w:fldChar w:fldCharType="end"/>
        </w:r>
      </w:hyperlink>
    </w:p>
    <w:p w14:paraId="3309DDFD" w14:textId="77777777" w:rsidR="00B36385" w:rsidRDefault="00FD548C">
      <w:pPr>
        <w:pStyle w:val="TOC3"/>
        <w:rPr>
          <w:rFonts w:asciiTheme="minorHAnsi" w:eastAsiaTheme="minorEastAsia" w:hAnsiTheme="minorHAnsi" w:cstheme="minorBidi"/>
          <w:sz w:val="22"/>
          <w:szCs w:val="22"/>
          <w:lang w:val="mk-MK" w:eastAsia="mk-MK"/>
        </w:rPr>
      </w:pPr>
      <w:hyperlink w:anchor="_Toc112852288" w:history="1">
        <w:r w:rsidR="00B36385" w:rsidRPr="001E7F57">
          <w:rPr>
            <w:rStyle w:val="Hyperlink"/>
          </w:rPr>
          <w:t>8.5.5</w:t>
        </w:r>
        <w:r w:rsidR="00B36385">
          <w:rPr>
            <w:rFonts w:asciiTheme="minorHAnsi" w:eastAsiaTheme="minorEastAsia" w:hAnsiTheme="minorHAnsi" w:cstheme="minorBidi"/>
            <w:sz w:val="22"/>
            <w:szCs w:val="22"/>
            <w:lang w:val="mk-MK" w:eastAsia="mk-MK"/>
          </w:rPr>
          <w:tab/>
        </w:r>
        <w:r w:rsidR="00B36385" w:rsidRPr="001E7F57">
          <w:rPr>
            <w:rStyle w:val="Hyperlink"/>
          </w:rPr>
          <w:t>Residual Impacts</w:t>
        </w:r>
        <w:r w:rsidR="00B36385">
          <w:rPr>
            <w:webHidden/>
          </w:rPr>
          <w:tab/>
        </w:r>
        <w:r w:rsidR="00B36385">
          <w:rPr>
            <w:webHidden/>
          </w:rPr>
          <w:fldChar w:fldCharType="begin"/>
        </w:r>
        <w:r w:rsidR="00B36385">
          <w:rPr>
            <w:webHidden/>
          </w:rPr>
          <w:instrText xml:space="preserve"> PAGEREF _Toc112852288 \h </w:instrText>
        </w:r>
        <w:r w:rsidR="00B36385">
          <w:rPr>
            <w:webHidden/>
          </w:rPr>
        </w:r>
        <w:r w:rsidR="00B36385">
          <w:rPr>
            <w:webHidden/>
          </w:rPr>
          <w:fldChar w:fldCharType="separate"/>
        </w:r>
        <w:r w:rsidR="009F12BA">
          <w:rPr>
            <w:webHidden/>
          </w:rPr>
          <w:t>179</w:t>
        </w:r>
        <w:r w:rsidR="00B36385">
          <w:rPr>
            <w:webHidden/>
          </w:rPr>
          <w:fldChar w:fldCharType="end"/>
        </w:r>
      </w:hyperlink>
    </w:p>
    <w:p w14:paraId="1C960063"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89" w:history="1">
        <w:r w:rsidR="00B36385" w:rsidRPr="001E7F57">
          <w:rPr>
            <w:rStyle w:val="Hyperlink"/>
            <w:rFonts w:cs="Tahoma"/>
          </w:rPr>
          <w:t>8.6</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Tahoma"/>
          </w:rPr>
          <w:t>Biodiversity</w:t>
        </w:r>
        <w:r w:rsidR="00B36385">
          <w:rPr>
            <w:webHidden/>
          </w:rPr>
          <w:tab/>
        </w:r>
        <w:r w:rsidR="00B36385">
          <w:rPr>
            <w:webHidden/>
          </w:rPr>
          <w:fldChar w:fldCharType="begin"/>
        </w:r>
        <w:r w:rsidR="00B36385">
          <w:rPr>
            <w:webHidden/>
          </w:rPr>
          <w:instrText xml:space="preserve"> PAGEREF _Toc112852289 \h </w:instrText>
        </w:r>
        <w:r w:rsidR="00B36385">
          <w:rPr>
            <w:webHidden/>
          </w:rPr>
        </w:r>
        <w:r w:rsidR="00B36385">
          <w:rPr>
            <w:webHidden/>
          </w:rPr>
          <w:fldChar w:fldCharType="separate"/>
        </w:r>
        <w:r w:rsidR="009F12BA">
          <w:rPr>
            <w:webHidden/>
          </w:rPr>
          <w:t>180</w:t>
        </w:r>
        <w:r w:rsidR="00B36385">
          <w:rPr>
            <w:webHidden/>
          </w:rPr>
          <w:fldChar w:fldCharType="end"/>
        </w:r>
      </w:hyperlink>
    </w:p>
    <w:p w14:paraId="4199A8C3" w14:textId="77777777" w:rsidR="00B36385" w:rsidRDefault="00FD548C">
      <w:pPr>
        <w:pStyle w:val="TOC3"/>
        <w:rPr>
          <w:rFonts w:asciiTheme="minorHAnsi" w:eastAsiaTheme="minorEastAsia" w:hAnsiTheme="minorHAnsi" w:cstheme="minorBidi"/>
          <w:sz w:val="22"/>
          <w:szCs w:val="22"/>
          <w:lang w:val="mk-MK" w:eastAsia="mk-MK"/>
        </w:rPr>
      </w:pPr>
      <w:hyperlink w:anchor="_Toc112852290" w:history="1">
        <w:r w:rsidR="00B36385" w:rsidRPr="001E7F57">
          <w:rPr>
            <w:rStyle w:val="Hyperlink"/>
          </w:rPr>
          <w:t>8.6.1</w:t>
        </w:r>
        <w:r w:rsidR="00B36385">
          <w:rPr>
            <w:rFonts w:asciiTheme="minorHAnsi" w:eastAsiaTheme="minorEastAsia" w:hAnsiTheme="minorHAnsi" w:cstheme="minorBidi"/>
            <w:sz w:val="22"/>
            <w:szCs w:val="22"/>
            <w:lang w:val="mk-MK" w:eastAsia="mk-MK"/>
          </w:rPr>
          <w:tab/>
        </w:r>
        <w:r w:rsidR="00B36385" w:rsidRPr="001E7F57">
          <w:rPr>
            <w:rStyle w:val="Hyperlink"/>
          </w:rPr>
          <w:t>Impact Methodology</w:t>
        </w:r>
        <w:r w:rsidR="00B36385">
          <w:rPr>
            <w:webHidden/>
          </w:rPr>
          <w:tab/>
        </w:r>
        <w:r w:rsidR="00B36385">
          <w:rPr>
            <w:webHidden/>
          </w:rPr>
          <w:fldChar w:fldCharType="begin"/>
        </w:r>
        <w:r w:rsidR="00B36385">
          <w:rPr>
            <w:webHidden/>
          </w:rPr>
          <w:instrText xml:space="preserve"> PAGEREF _Toc112852290 \h </w:instrText>
        </w:r>
        <w:r w:rsidR="00B36385">
          <w:rPr>
            <w:webHidden/>
          </w:rPr>
        </w:r>
        <w:r w:rsidR="00B36385">
          <w:rPr>
            <w:webHidden/>
          </w:rPr>
          <w:fldChar w:fldCharType="separate"/>
        </w:r>
        <w:r w:rsidR="009F12BA">
          <w:rPr>
            <w:webHidden/>
          </w:rPr>
          <w:t>180</w:t>
        </w:r>
        <w:r w:rsidR="00B36385">
          <w:rPr>
            <w:webHidden/>
          </w:rPr>
          <w:fldChar w:fldCharType="end"/>
        </w:r>
      </w:hyperlink>
    </w:p>
    <w:p w14:paraId="3EEC0FAA" w14:textId="77777777" w:rsidR="00B36385" w:rsidRDefault="00FD548C">
      <w:pPr>
        <w:pStyle w:val="TOC3"/>
        <w:rPr>
          <w:rFonts w:asciiTheme="minorHAnsi" w:eastAsiaTheme="minorEastAsia" w:hAnsiTheme="minorHAnsi" w:cstheme="minorBidi"/>
          <w:sz w:val="22"/>
          <w:szCs w:val="22"/>
          <w:lang w:val="mk-MK" w:eastAsia="mk-MK"/>
        </w:rPr>
      </w:pPr>
      <w:hyperlink w:anchor="_Toc112852291" w:history="1">
        <w:r w:rsidR="00B36385" w:rsidRPr="001E7F57">
          <w:rPr>
            <w:rStyle w:val="Hyperlink"/>
          </w:rPr>
          <w:t>8.6.2</w:t>
        </w:r>
        <w:r w:rsidR="00B36385">
          <w:rPr>
            <w:rFonts w:asciiTheme="minorHAnsi" w:eastAsiaTheme="minorEastAsia" w:hAnsiTheme="minorHAnsi" w:cstheme="minorBidi"/>
            <w:sz w:val="22"/>
            <w:szCs w:val="22"/>
            <w:lang w:val="mk-MK" w:eastAsia="mk-MK"/>
          </w:rPr>
          <w:tab/>
        </w:r>
        <w:r w:rsidR="00B36385" w:rsidRPr="001E7F57">
          <w:rPr>
            <w:rStyle w:val="Hyperlink"/>
          </w:rPr>
          <w:t>Potential Impacts</w:t>
        </w:r>
        <w:r w:rsidR="00B36385">
          <w:rPr>
            <w:webHidden/>
          </w:rPr>
          <w:tab/>
        </w:r>
        <w:r w:rsidR="00B36385">
          <w:rPr>
            <w:webHidden/>
          </w:rPr>
          <w:fldChar w:fldCharType="begin"/>
        </w:r>
        <w:r w:rsidR="00B36385">
          <w:rPr>
            <w:webHidden/>
          </w:rPr>
          <w:instrText xml:space="preserve"> PAGEREF _Toc112852291 \h </w:instrText>
        </w:r>
        <w:r w:rsidR="00B36385">
          <w:rPr>
            <w:webHidden/>
          </w:rPr>
        </w:r>
        <w:r w:rsidR="00B36385">
          <w:rPr>
            <w:webHidden/>
          </w:rPr>
          <w:fldChar w:fldCharType="separate"/>
        </w:r>
        <w:r w:rsidR="009F12BA">
          <w:rPr>
            <w:webHidden/>
          </w:rPr>
          <w:t>182</w:t>
        </w:r>
        <w:r w:rsidR="00B36385">
          <w:rPr>
            <w:webHidden/>
          </w:rPr>
          <w:fldChar w:fldCharType="end"/>
        </w:r>
      </w:hyperlink>
    </w:p>
    <w:p w14:paraId="0121C9E6" w14:textId="77777777" w:rsidR="00B36385" w:rsidRDefault="00FD548C">
      <w:pPr>
        <w:pStyle w:val="TOC3"/>
        <w:rPr>
          <w:rFonts w:asciiTheme="minorHAnsi" w:eastAsiaTheme="minorEastAsia" w:hAnsiTheme="minorHAnsi" w:cstheme="minorBidi"/>
          <w:sz w:val="22"/>
          <w:szCs w:val="22"/>
          <w:lang w:val="mk-MK" w:eastAsia="mk-MK"/>
        </w:rPr>
      </w:pPr>
      <w:hyperlink w:anchor="_Toc112852292" w:history="1">
        <w:r w:rsidR="00B36385" w:rsidRPr="001E7F57">
          <w:rPr>
            <w:rStyle w:val="Hyperlink"/>
          </w:rPr>
          <w:t>8.6.3</w:t>
        </w:r>
        <w:r w:rsidR="00B36385">
          <w:rPr>
            <w:rFonts w:asciiTheme="minorHAnsi" w:eastAsiaTheme="minorEastAsia" w:hAnsiTheme="minorHAnsi" w:cstheme="minorBidi"/>
            <w:sz w:val="22"/>
            <w:szCs w:val="22"/>
            <w:lang w:val="mk-MK" w:eastAsia="mk-MK"/>
          </w:rPr>
          <w:tab/>
        </w:r>
        <w:r w:rsidR="00B36385" w:rsidRPr="001E7F57">
          <w:rPr>
            <w:rStyle w:val="Hyperlink"/>
          </w:rPr>
          <w:t>Mitigation</w:t>
        </w:r>
        <w:r w:rsidR="00B36385">
          <w:rPr>
            <w:webHidden/>
          </w:rPr>
          <w:tab/>
        </w:r>
        <w:r w:rsidR="00B36385">
          <w:rPr>
            <w:webHidden/>
          </w:rPr>
          <w:fldChar w:fldCharType="begin"/>
        </w:r>
        <w:r w:rsidR="00B36385">
          <w:rPr>
            <w:webHidden/>
          </w:rPr>
          <w:instrText xml:space="preserve"> PAGEREF _Toc112852292 \h </w:instrText>
        </w:r>
        <w:r w:rsidR="00B36385">
          <w:rPr>
            <w:webHidden/>
          </w:rPr>
        </w:r>
        <w:r w:rsidR="00B36385">
          <w:rPr>
            <w:webHidden/>
          </w:rPr>
          <w:fldChar w:fldCharType="separate"/>
        </w:r>
        <w:r w:rsidR="009F12BA">
          <w:rPr>
            <w:webHidden/>
          </w:rPr>
          <w:t>189</w:t>
        </w:r>
        <w:r w:rsidR="00B36385">
          <w:rPr>
            <w:webHidden/>
          </w:rPr>
          <w:fldChar w:fldCharType="end"/>
        </w:r>
      </w:hyperlink>
    </w:p>
    <w:p w14:paraId="084B2791" w14:textId="77777777" w:rsidR="00B36385" w:rsidRDefault="00FD548C">
      <w:pPr>
        <w:pStyle w:val="TOC3"/>
        <w:rPr>
          <w:rFonts w:asciiTheme="minorHAnsi" w:eastAsiaTheme="minorEastAsia" w:hAnsiTheme="minorHAnsi" w:cstheme="minorBidi"/>
          <w:sz w:val="22"/>
          <w:szCs w:val="22"/>
          <w:lang w:val="mk-MK" w:eastAsia="mk-MK"/>
        </w:rPr>
      </w:pPr>
      <w:hyperlink w:anchor="_Toc112852293" w:history="1">
        <w:r w:rsidR="00B36385" w:rsidRPr="001E7F57">
          <w:rPr>
            <w:rStyle w:val="Hyperlink"/>
          </w:rPr>
          <w:t>8.6.4</w:t>
        </w:r>
        <w:r w:rsidR="00B36385">
          <w:rPr>
            <w:rFonts w:asciiTheme="minorHAnsi" w:eastAsiaTheme="minorEastAsia" w:hAnsiTheme="minorHAnsi" w:cstheme="minorBidi"/>
            <w:sz w:val="22"/>
            <w:szCs w:val="22"/>
            <w:lang w:val="mk-MK" w:eastAsia="mk-MK"/>
          </w:rPr>
          <w:tab/>
        </w:r>
        <w:r w:rsidR="00B36385" w:rsidRPr="001E7F57">
          <w:rPr>
            <w:rStyle w:val="Hyperlink"/>
          </w:rPr>
          <w:t>Residual Impacts</w:t>
        </w:r>
        <w:r w:rsidR="00B36385">
          <w:rPr>
            <w:webHidden/>
          </w:rPr>
          <w:tab/>
        </w:r>
        <w:r w:rsidR="00B36385">
          <w:rPr>
            <w:webHidden/>
          </w:rPr>
          <w:fldChar w:fldCharType="begin"/>
        </w:r>
        <w:r w:rsidR="00B36385">
          <w:rPr>
            <w:webHidden/>
          </w:rPr>
          <w:instrText xml:space="preserve"> PAGEREF _Toc112852293 \h </w:instrText>
        </w:r>
        <w:r w:rsidR="00B36385">
          <w:rPr>
            <w:webHidden/>
          </w:rPr>
        </w:r>
        <w:r w:rsidR="00B36385">
          <w:rPr>
            <w:webHidden/>
          </w:rPr>
          <w:fldChar w:fldCharType="separate"/>
        </w:r>
        <w:r w:rsidR="009F12BA">
          <w:rPr>
            <w:webHidden/>
          </w:rPr>
          <w:t>193</w:t>
        </w:r>
        <w:r w:rsidR="00B36385">
          <w:rPr>
            <w:webHidden/>
          </w:rPr>
          <w:fldChar w:fldCharType="end"/>
        </w:r>
      </w:hyperlink>
    </w:p>
    <w:p w14:paraId="4639A331"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294" w:history="1">
        <w:r w:rsidR="00B36385" w:rsidRPr="001E7F57">
          <w:rPr>
            <w:rStyle w:val="Hyperlink"/>
            <w:rFonts w:cs="Tahoma"/>
          </w:rPr>
          <w:t>8.7</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Tahoma"/>
          </w:rPr>
          <w:t>Waste</w:t>
        </w:r>
        <w:r w:rsidR="00B36385">
          <w:rPr>
            <w:webHidden/>
          </w:rPr>
          <w:tab/>
        </w:r>
        <w:r w:rsidR="00B36385">
          <w:rPr>
            <w:webHidden/>
          </w:rPr>
          <w:fldChar w:fldCharType="begin"/>
        </w:r>
        <w:r w:rsidR="00B36385">
          <w:rPr>
            <w:webHidden/>
          </w:rPr>
          <w:instrText xml:space="preserve"> PAGEREF _Toc112852294 \h </w:instrText>
        </w:r>
        <w:r w:rsidR="00B36385">
          <w:rPr>
            <w:webHidden/>
          </w:rPr>
        </w:r>
        <w:r w:rsidR="00B36385">
          <w:rPr>
            <w:webHidden/>
          </w:rPr>
          <w:fldChar w:fldCharType="separate"/>
        </w:r>
        <w:r w:rsidR="009F12BA">
          <w:rPr>
            <w:webHidden/>
          </w:rPr>
          <w:t>193</w:t>
        </w:r>
        <w:r w:rsidR="00B36385">
          <w:rPr>
            <w:webHidden/>
          </w:rPr>
          <w:fldChar w:fldCharType="end"/>
        </w:r>
      </w:hyperlink>
    </w:p>
    <w:p w14:paraId="2C367903" w14:textId="77777777" w:rsidR="00B36385" w:rsidRDefault="00FD548C">
      <w:pPr>
        <w:pStyle w:val="TOC3"/>
        <w:rPr>
          <w:rFonts w:asciiTheme="minorHAnsi" w:eastAsiaTheme="minorEastAsia" w:hAnsiTheme="minorHAnsi" w:cstheme="minorBidi"/>
          <w:sz w:val="22"/>
          <w:szCs w:val="22"/>
          <w:lang w:val="mk-MK" w:eastAsia="mk-MK"/>
        </w:rPr>
      </w:pPr>
      <w:hyperlink w:anchor="_Toc112852295" w:history="1">
        <w:r w:rsidR="00B36385" w:rsidRPr="001E7F57">
          <w:rPr>
            <w:rStyle w:val="Hyperlink"/>
            <w:rFonts w:cs="Arial"/>
          </w:rPr>
          <w:t>8.7.1</w:t>
        </w:r>
        <w:r w:rsidR="00B36385">
          <w:rPr>
            <w:rFonts w:asciiTheme="minorHAnsi" w:eastAsiaTheme="minorEastAsia" w:hAnsiTheme="minorHAnsi" w:cstheme="minorBidi"/>
            <w:sz w:val="22"/>
            <w:szCs w:val="22"/>
            <w:lang w:val="mk-MK" w:eastAsia="mk-MK"/>
          </w:rPr>
          <w:tab/>
        </w:r>
        <w:r w:rsidR="00B36385" w:rsidRPr="001E7F57">
          <w:rPr>
            <w:rStyle w:val="Hyperlink"/>
            <w:rFonts w:cs="Arial"/>
          </w:rPr>
          <w:t>Construction and Dismantling Waste</w:t>
        </w:r>
        <w:r w:rsidR="00B36385">
          <w:rPr>
            <w:webHidden/>
          </w:rPr>
          <w:tab/>
        </w:r>
        <w:r w:rsidR="00B36385">
          <w:rPr>
            <w:webHidden/>
          </w:rPr>
          <w:fldChar w:fldCharType="begin"/>
        </w:r>
        <w:r w:rsidR="00B36385">
          <w:rPr>
            <w:webHidden/>
          </w:rPr>
          <w:instrText xml:space="preserve"> PAGEREF _Toc112852295 \h </w:instrText>
        </w:r>
        <w:r w:rsidR="00B36385">
          <w:rPr>
            <w:webHidden/>
          </w:rPr>
        </w:r>
        <w:r w:rsidR="00B36385">
          <w:rPr>
            <w:webHidden/>
          </w:rPr>
          <w:fldChar w:fldCharType="separate"/>
        </w:r>
        <w:r w:rsidR="009F12BA">
          <w:rPr>
            <w:webHidden/>
          </w:rPr>
          <w:t>193</w:t>
        </w:r>
        <w:r w:rsidR="00B36385">
          <w:rPr>
            <w:webHidden/>
          </w:rPr>
          <w:fldChar w:fldCharType="end"/>
        </w:r>
      </w:hyperlink>
    </w:p>
    <w:p w14:paraId="40CD4108" w14:textId="77777777" w:rsidR="00B36385" w:rsidRDefault="00FD548C">
      <w:pPr>
        <w:pStyle w:val="TOC3"/>
        <w:rPr>
          <w:rFonts w:asciiTheme="minorHAnsi" w:eastAsiaTheme="minorEastAsia" w:hAnsiTheme="minorHAnsi" w:cstheme="minorBidi"/>
          <w:sz w:val="22"/>
          <w:szCs w:val="22"/>
          <w:lang w:val="mk-MK" w:eastAsia="mk-MK"/>
        </w:rPr>
      </w:pPr>
      <w:hyperlink w:anchor="_Toc112852296" w:history="1">
        <w:r w:rsidR="00B36385" w:rsidRPr="001E7F57">
          <w:rPr>
            <w:rStyle w:val="Hyperlink"/>
            <w:rFonts w:cs="Arial"/>
          </w:rPr>
          <w:t>8.7.2</w:t>
        </w:r>
        <w:r w:rsidR="00B36385">
          <w:rPr>
            <w:rFonts w:asciiTheme="minorHAnsi" w:eastAsiaTheme="minorEastAsia" w:hAnsiTheme="minorHAnsi" w:cstheme="minorBidi"/>
            <w:sz w:val="22"/>
            <w:szCs w:val="22"/>
            <w:lang w:val="mk-MK" w:eastAsia="mk-MK"/>
          </w:rPr>
          <w:tab/>
        </w:r>
        <w:r w:rsidR="00B36385" w:rsidRPr="001E7F57">
          <w:rPr>
            <w:rStyle w:val="Hyperlink"/>
            <w:rFonts w:cs="Arial"/>
          </w:rPr>
          <w:t>Operational Waste</w:t>
        </w:r>
        <w:r w:rsidR="00B36385">
          <w:rPr>
            <w:webHidden/>
          </w:rPr>
          <w:tab/>
        </w:r>
        <w:r w:rsidR="00B36385">
          <w:rPr>
            <w:webHidden/>
          </w:rPr>
          <w:fldChar w:fldCharType="begin"/>
        </w:r>
        <w:r w:rsidR="00B36385">
          <w:rPr>
            <w:webHidden/>
          </w:rPr>
          <w:instrText xml:space="preserve"> PAGEREF _Toc112852296 \h </w:instrText>
        </w:r>
        <w:r w:rsidR="00B36385">
          <w:rPr>
            <w:webHidden/>
          </w:rPr>
        </w:r>
        <w:r w:rsidR="00B36385">
          <w:rPr>
            <w:webHidden/>
          </w:rPr>
          <w:fldChar w:fldCharType="separate"/>
        </w:r>
        <w:r w:rsidR="009F12BA">
          <w:rPr>
            <w:webHidden/>
          </w:rPr>
          <w:t>194</w:t>
        </w:r>
        <w:r w:rsidR="00B36385">
          <w:rPr>
            <w:webHidden/>
          </w:rPr>
          <w:fldChar w:fldCharType="end"/>
        </w:r>
      </w:hyperlink>
    </w:p>
    <w:p w14:paraId="1D449AB0" w14:textId="77777777" w:rsidR="00B36385" w:rsidRDefault="00FD548C">
      <w:pPr>
        <w:pStyle w:val="TOC3"/>
        <w:rPr>
          <w:rFonts w:asciiTheme="minorHAnsi" w:eastAsiaTheme="minorEastAsia" w:hAnsiTheme="minorHAnsi" w:cstheme="minorBidi"/>
          <w:sz w:val="22"/>
          <w:szCs w:val="22"/>
          <w:lang w:val="mk-MK" w:eastAsia="mk-MK"/>
        </w:rPr>
      </w:pPr>
      <w:hyperlink w:anchor="_Toc112852297" w:history="1">
        <w:r w:rsidR="00B36385" w:rsidRPr="001E7F57">
          <w:rPr>
            <w:rStyle w:val="Hyperlink"/>
            <w:rFonts w:cs="Arial"/>
          </w:rPr>
          <w:t>8.7.3</w:t>
        </w:r>
        <w:r w:rsidR="00B36385">
          <w:rPr>
            <w:rFonts w:asciiTheme="minorHAnsi" w:eastAsiaTheme="minorEastAsia" w:hAnsiTheme="minorHAnsi" w:cstheme="minorBidi"/>
            <w:sz w:val="22"/>
            <w:szCs w:val="22"/>
            <w:lang w:val="mk-MK" w:eastAsia="mk-MK"/>
          </w:rPr>
          <w:tab/>
        </w:r>
        <w:r w:rsidR="00B36385" w:rsidRPr="001E7F57">
          <w:rPr>
            <w:rStyle w:val="Hyperlink"/>
            <w:rFonts w:cs="Arial"/>
          </w:rPr>
          <w:t>Mitigation</w:t>
        </w:r>
        <w:r w:rsidR="00B36385">
          <w:rPr>
            <w:webHidden/>
          </w:rPr>
          <w:tab/>
        </w:r>
        <w:r w:rsidR="00B36385">
          <w:rPr>
            <w:webHidden/>
          </w:rPr>
          <w:fldChar w:fldCharType="begin"/>
        </w:r>
        <w:r w:rsidR="00B36385">
          <w:rPr>
            <w:webHidden/>
          </w:rPr>
          <w:instrText xml:space="preserve"> PAGEREF _Toc112852297 \h </w:instrText>
        </w:r>
        <w:r w:rsidR="00B36385">
          <w:rPr>
            <w:webHidden/>
          </w:rPr>
        </w:r>
        <w:r w:rsidR="00B36385">
          <w:rPr>
            <w:webHidden/>
          </w:rPr>
          <w:fldChar w:fldCharType="separate"/>
        </w:r>
        <w:r w:rsidR="009F12BA">
          <w:rPr>
            <w:webHidden/>
          </w:rPr>
          <w:t>195</w:t>
        </w:r>
        <w:r w:rsidR="00B36385">
          <w:rPr>
            <w:webHidden/>
          </w:rPr>
          <w:fldChar w:fldCharType="end"/>
        </w:r>
      </w:hyperlink>
    </w:p>
    <w:p w14:paraId="6BEF100D" w14:textId="77777777" w:rsidR="00B36385" w:rsidRDefault="00FD548C">
      <w:pPr>
        <w:pStyle w:val="TOC3"/>
        <w:rPr>
          <w:rFonts w:asciiTheme="minorHAnsi" w:eastAsiaTheme="minorEastAsia" w:hAnsiTheme="minorHAnsi" w:cstheme="minorBidi"/>
          <w:sz w:val="22"/>
          <w:szCs w:val="22"/>
          <w:lang w:val="mk-MK" w:eastAsia="mk-MK"/>
        </w:rPr>
      </w:pPr>
      <w:hyperlink w:anchor="_Toc112852298" w:history="1">
        <w:r w:rsidR="00B36385" w:rsidRPr="001E7F57">
          <w:rPr>
            <w:rStyle w:val="Hyperlink"/>
          </w:rPr>
          <w:t>8.7.4</w:t>
        </w:r>
        <w:r w:rsidR="00B36385">
          <w:rPr>
            <w:rFonts w:asciiTheme="minorHAnsi" w:eastAsiaTheme="minorEastAsia" w:hAnsiTheme="minorHAnsi" w:cstheme="minorBidi"/>
            <w:sz w:val="22"/>
            <w:szCs w:val="22"/>
            <w:lang w:val="mk-MK" w:eastAsia="mk-MK"/>
          </w:rPr>
          <w:tab/>
        </w:r>
        <w:r w:rsidR="00B36385" w:rsidRPr="001E7F57">
          <w:rPr>
            <w:rStyle w:val="Hyperlink"/>
          </w:rPr>
          <w:t>Residual Impact</w:t>
        </w:r>
        <w:r w:rsidR="00B36385">
          <w:rPr>
            <w:webHidden/>
          </w:rPr>
          <w:tab/>
        </w:r>
        <w:r w:rsidR="00B36385">
          <w:rPr>
            <w:webHidden/>
          </w:rPr>
          <w:fldChar w:fldCharType="begin"/>
        </w:r>
        <w:r w:rsidR="00B36385">
          <w:rPr>
            <w:webHidden/>
          </w:rPr>
          <w:instrText xml:space="preserve"> PAGEREF _Toc112852298 \h </w:instrText>
        </w:r>
        <w:r w:rsidR="00B36385">
          <w:rPr>
            <w:webHidden/>
          </w:rPr>
        </w:r>
        <w:r w:rsidR="00B36385">
          <w:rPr>
            <w:webHidden/>
          </w:rPr>
          <w:fldChar w:fldCharType="separate"/>
        </w:r>
        <w:r w:rsidR="009F12BA">
          <w:rPr>
            <w:webHidden/>
          </w:rPr>
          <w:t>196</w:t>
        </w:r>
        <w:r w:rsidR="00B36385">
          <w:rPr>
            <w:webHidden/>
          </w:rPr>
          <w:fldChar w:fldCharType="end"/>
        </w:r>
      </w:hyperlink>
    </w:p>
    <w:p w14:paraId="4D47B2D1" w14:textId="77777777" w:rsidR="00B36385" w:rsidRDefault="00FD548C">
      <w:pPr>
        <w:pStyle w:val="TOC1"/>
        <w:rPr>
          <w:rFonts w:asciiTheme="minorHAnsi" w:eastAsiaTheme="minorEastAsia" w:hAnsiTheme="minorHAnsi" w:cstheme="minorBidi"/>
          <w:b w:val="0"/>
          <w:color w:val="auto"/>
          <w:sz w:val="22"/>
          <w:lang w:val="mk-MK" w:eastAsia="mk-MK"/>
        </w:rPr>
      </w:pPr>
      <w:hyperlink w:anchor="_Toc112852299" w:history="1">
        <w:r w:rsidR="00B36385" w:rsidRPr="001E7F57">
          <w:rPr>
            <w:rStyle w:val="Hyperlink"/>
          </w:rPr>
          <w:t>9.</w:t>
        </w:r>
        <w:r w:rsidR="00B36385">
          <w:rPr>
            <w:rFonts w:asciiTheme="minorHAnsi" w:eastAsiaTheme="minorEastAsia" w:hAnsiTheme="minorHAnsi" w:cstheme="minorBidi"/>
            <w:b w:val="0"/>
            <w:color w:val="auto"/>
            <w:sz w:val="22"/>
            <w:lang w:val="mk-MK" w:eastAsia="mk-MK"/>
          </w:rPr>
          <w:tab/>
        </w:r>
        <w:r w:rsidR="00B36385" w:rsidRPr="001E7F57">
          <w:rPr>
            <w:rStyle w:val="Hyperlink"/>
          </w:rPr>
          <w:t>Social Impacts and Mitigation</w:t>
        </w:r>
        <w:r w:rsidR="00B36385">
          <w:rPr>
            <w:webHidden/>
          </w:rPr>
          <w:tab/>
        </w:r>
        <w:r w:rsidR="00B36385">
          <w:rPr>
            <w:webHidden/>
          </w:rPr>
          <w:fldChar w:fldCharType="begin"/>
        </w:r>
        <w:r w:rsidR="00B36385">
          <w:rPr>
            <w:webHidden/>
          </w:rPr>
          <w:instrText xml:space="preserve"> PAGEREF _Toc112852299 \h </w:instrText>
        </w:r>
        <w:r w:rsidR="00B36385">
          <w:rPr>
            <w:webHidden/>
          </w:rPr>
        </w:r>
        <w:r w:rsidR="00B36385">
          <w:rPr>
            <w:webHidden/>
          </w:rPr>
          <w:fldChar w:fldCharType="separate"/>
        </w:r>
        <w:r w:rsidR="009F12BA">
          <w:rPr>
            <w:webHidden/>
          </w:rPr>
          <w:t>197</w:t>
        </w:r>
        <w:r w:rsidR="00B36385">
          <w:rPr>
            <w:webHidden/>
          </w:rPr>
          <w:fldChar w:fldCharType="end"/>
        </w:r>
      </w:hyperlink>
    </w:p>
    <w:p w14:paraId="52A3CB93"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300" w:history="1">
        <w:r w:rsidR="00B36385" w:rsidRPr="001E7F57">
          <w:rPr>
            <w:rStyle w:val="Hyperlink"/>
            <w:rFonts w:cs="Tahoma"/>
          </w:rPr>
          <w:t>9.1</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Tahoma"/>
          </w:rPr>
          <w:t>Information Disclosure and Stakeholder Engagement</w:t>
        </w:r>
        <w:r w:rsidR="00B36385">
          <w:rPr>
            <w:webHidden/>
          </w:rPr>
          <w:tab/>
        </w:r>
        <w:r w:rsidR="00B36385">
          <w:rPr>
            <w:webHidden/>
          </w:rPr>
          <w:fldChar w:fldCharType="begin"/>
        </w:r>
        <w:r w:rsidR="00B36385">
          <w:rPr>
            <w:webHidden/>
          </w:rPr>
          <w:instrText xml:space="preserve"> PAGEREF _Toc112852300 \h </w:instrText>
        </w:r>
        <w:r w:rsidR="00B36385">
          <w:rPr>
            <w:webHidden/>
          </w:rPr>
        </w:r>
        <w:r w:rsidR="00B36385">
          <w:rPr>
            <w:webHidden/>
          </w:rPr>
          <w:fldChar w:fldCharType="separate"/>
        </w:r>
        <w:r w:rsidR="009F12BA">
          <w:rPr>
            <w:webHidden/>
          </w:rPr>
          <w:t>197</w:t>
        </w:r>
        <w:r w:rsidR="00B36385">
          <w:rPr>
            <w:webHidden/>
          </w:rPr>
          <w:fldChar w:fldCharType="end"/>
        </w:r>
      </w:hyperlink>
    </w:p>
    <w:p w14:paraId="70C5A376"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301" w:history="1">
        <w:r w:rsidR="00B36385" w:rsidRPr="001E7F57">
          <w:rPr>
            <w:rStyle w:val="Hyperlink"/>
            <w:rFonts w:cs="Tahoma"/>
          </w:rPr>
          <w:t>9.2</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Tahoma"/>
            <w:lang w:val="en-US"/>
          </w:rPr>
          <w:t>Beneficial</w:t>
        </w:r>
        <w:r w:rsidR="00B36385" w:rsidRPr="001E7F57">
          <w:rPr>
            <w:rStyle w:val="Hyperlink"/>
            <w:rFonts w:cs="Tahoma"/>
          </w:rPr>
          <w:t xml:space="preserve"> Social Impacts</w:t>
        </w:r>
        <w:r w:rsidR="00B36385">
          <w:rPr>
            <w:webHidden/>
          </w:rPr>
          <w:tab/>
        </w:r>
        <w:r w:rsidR="00B36385">
          <w:rPr>
            <w:webHidden/>
          </w:rPr>
          <w:fldChar w:fldCharType="begin"/>
        </w:r>
        <w:r w:rsidR="00B36385">
          <w:rPr>
            <w:webHidden/>
          </w:rPr>
          <w:instrText xml:space="preserve"> PAGEREF _Toc112852301 \h </w:instrText>
        </w:r>
        <w:r w:rsidR="00B36385">
          <w:rPr>
            <w:webHidden/>
          </w:rPr>
        </w:r>
        <w:r w:rsidR="00B36385">
          <w:rPr>
            <w:webHidden/>
          </w:rPr>
          <w:fldChar w:fldCharType="separate"/>
        </w:r>
        <w:r w:rsidR="009F12BA">
          <w:rPr>
            <w:webHidden/>
          </w:rPr>
          <w:t>197</w:t>
        </w:r>
        <w:r w:rsidR="00B36385">
          <w:rPr>
            <w:webHidden/>
          </w:rPr>
          <w:fldChar w:fldCharType="end"/>
        </w:r>
      </w:hyperlink>
    </w:p>
    <w:p w14:paraId="691CD6A2"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302" w:history="1">
        <w:r w:rsidR="00B36385" w:rsidRPr="001E7F57">
          <w:rPr>
            <w:rStyle w:val="Hyperlink"/>
            <w:rFonts w:cs="Tahoma"/>
          </w:rPr>
          <w:t>9.3</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Tahoma"/>
          </w:rPr>
          <w:t>Labour and Working Conditions</w:t>
        </w:r>
        <w:r w:rsidR="00B36385">
          <w:rPr>
            <w:webHidden/>
          </w:rPr>
          <w:tab/>
        </w:r>
        <w:r w:rsidR="00B36385">
          <w:rPr>
            <w:webHidden/>
          </w:rPr>
          <w:fldChar w:fldCharType="begin"/>
        </w:r>
        <w:r w:rsidR="00B36385">
          <w:rPr>
            <w:webHidden/>
          </w:rPr>
          <w:instrText xml:space="preserve"> PAGEREF _Toc112852302 \h </w:instrText>
        </w:r>
        <w:r w:rsidR="00B36385">
          <w:rPr>
            <w:webHidden/>
          </w:rPr>
        </w:r>
        <w:r w:rsidR="00B36385">
          <w:rPr>
            <w:webHidden/>
          </w:rPr>
          <w:fldChar w:fldCharType="separate"/>
        </w:r>
        <w:r w:rsidR="009F12BA">
          <w:rPr>
            <w:webHidden/>
          </w:rPr>
          <w:t>198</w:t>
        </w:r>
        <w:r w:rsidR="00B36385">
          <w:rPr>
            <w:webHidden/>
          </w:rPr>
          <w:fldChar w:fldCharType="end"/>
        </w:r>
      </w:hyperlink>
    </w:p>
    <w:p w14:paraId="1262ECEE"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303" w:history="1">
        <w:r w:rsidR="00B36385" w:rsidRPr="001E7F57">
          <w:rPr>
            <w:rStyle w:val="Hyperlink"/>
            <w:rFonts w:cs="Tahoma"/>
          </w:rPr>
          <w:t>9.4</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Tahoma"/>
          </w:rPr>
          <w:t>Community Health and Safety</w:t>
        </w:r>
        <w:r w:rsidR="00B36385">
          <w:rPr>
            <w:webHidden/>
          </w:rPr>
          <w:tab/>
        </w:r>
        <w:r w:rsidR="00B36385">
          <w:rPr>
            <w:webHidden/>
          </w:rPr>
          <w:fldChar w:fldCharType="begin"/>
        </w:r>
        <w:r w:rsidR="00B36385">
          <w:rPr>
            <w:webHidden/>
          </w:rPr>
          <w:instrText xml:space="preserve"> PAGEREF _Toc112852303 \h </w:instrText>
        </w:r>
        <w:r w:rsidR="00B36385">
          <w:rPr>
            <w:webHidden/>
          </w:rPr>
        </w:r>
        <w:r w:rsidR="00B36385">
          <w:rPr>
            <w:webHidden/>
          </w:rPr>
          <w:fldChar w:fldCharType="separate"/>
        </w:r>
        <w:r w:rsidR="009F12BA">
          <w:rPr>
            <w:webHidden/>
          </w:rPr>
          <w:t>199</w:t>
        </w:r>
        <w:r w:rsidR="00B36385">
          <w:rPr>
            <w:webHidden/>
          </w:rPr>
          <w:fldChar w:fldCharType="end"/>
        </w:r>
      </w:hyperlink>
    </w:p>
    <w:p w14:paraId="78282566" w14:textId="77777777" w:rsidR="00B36385" w:rsidRDefault="00FD548C">
      <w:pPr>
        <w:pStyle w:val="TOC3"/>
        <w:rPr>
          <w:rFonts w:asciiTheme="minorHAnsi" w:eastAsiaTheme="minorEastAsia" w:hAnsiTheme="minorHAnsi" w:cstheme="minorBidi"/>
          <w:sz w:val="22"/>
          <w:szCs w:val="22"/>
          <w:lang w:val="mk-MK" w:eastAsia="mk-MK"/>
        </w:rPr>
      </w:pPr>
      <w:hyperlink w:anchor="_Toc112852304" w:history="1">
        <w:r w:rsidR="00B36385" w:rsidRPr="001E7F57">
          <w:rPr>
            <w:rStyle w:val="Hyperlink"/>
          </w:rPr>
          <w:t>9.4.1</w:t>
        </w:r>
        <w:r w:rsidR="00B36385">
          <w:rPr>
            <w:rFonts w:asciiTheme="minorHAnsi" w:eastAsiaTheme="minorEastAsia" w:hAnsiTheme="minorHAnsi" w:cstheme="minorBidi"/>
            <w:sz w:val="22"/>
            <w:szCs w:val="22"/>
            <w:lang w:val="mk-MK" w:eastAsia="mk-MK"/>
          </w:rPr>
          <w:tab/>
        </w:r>
        <w:r w:rsidR="00B36385" w:rsidRPr="001E7F57">
          <w:rPr>
            <w:rStyle w:val="Hyperlink"/>
          </w:rPr>
          <w:t>Construction Traffic</w:t>
        </w:r>
        <w:r w:rsidR="00B36385">
          <w:rPr>
            <w:webHidden/>
          </w:rPr>
          <w:tab/>
        </w:r>
        <w:r w:rsidR="00B36385">
          <w:rPr>
            <w:webHidden/>
          </w:rPr>
          <w:fldChar w:fldCharType="begin"/>
        </w:r>
        <w:r w:rsidR="00B36385">
          <w:rPr>
            <w:webHidden/>
          </w:rPr>
          <w:instrText xml:space="preserve"> PAGEREF _Toc112852304 \h </w:instrText>
        </w:r>
        <w:r w:rsidR="00B36385">
          <w:rPr>
            <w:webHidden/>
          </w:rPr>
        </w:r>
        <w:r w:rsidR="00B36385">
          <w:rPr>
            <w:webHidden/>
          </w:rPr>
          <w:fldChar w:fldCharType="separate"/>
        </w:r>
        <w:r w:rsidR="009F12BA">
          <w:rPr>
            <w:webHidden/>
          </w:rPr>
          <w:t>199</w:t>
        </w:r>
        <w:r w:rsidR="00B36385">
          <w:rPr>
            <w:webHidden/>
          </w:rPr>
          <w:fldChar w:fldCharType="end"/>
        </w:r>
      </w:hyperlink>
    </w:p>
    <w:p w14:paraId="372FAA13" w14:textId="77777777" w:rsidR="00B36385" w:rsidRDefault="00FD548C">
      <w:pPr>
        <w:pStyle w:val="TOC3"/>
        <w:rPr>
          <w:rFonts w:asciiTheme="minorHAnsi" w:eastAsiaTheme="minorEastAsia" w:hAnsiTheme="minorHAnsi" w:cstheme="minorBidi"/>
          <w:sz w:val="22"/>
          <w:szCs w:val="22"/>
          <w:lang w:val="mk-MK" w:eastAsia="mk-MK"/>
        </w:rPr>
      </w:pPr>
      <w:hyperlink w:anchor="_Toc112852305" w:history="1">
        <w:r w:rsidR="00B36385" w:rsidRPr="001E7F57">
          <w:rPr>
            <w:rStyle w:val="Hyperlink"/>
          </w:rPr>
          <w:t>9.4.2</w:t>
        </w:r>
        <w:r w:rsidR="00B36385">
          <w:rPr>
            <w:rFonts w:asciiTheme="minorHAnsi" w:eastAsiaTheme="minorEastAsia" w:hAnsiTheme="minorHAnsi" w:cstheme="minorBidi"/>
            <w:sz w:val="22"/>
            <w:szCs w:val="22"/>
            <w:lang w:val="mk-MK" w:eastAsia="mk-MK"/>
          </w:rPr>
          <w:tab/>
        </w:r>
        <w:r w:rsidR="00B36385" w:rsidRPr="001E7F57">
          <w:rPr>
            <w:rStyle w:val="Hyperlink"/>
          </w:rPr>
          <w:t>Public Exposure to Electro-Magnetic Radiation</w:t>
        </w:r>
        <w:r w:rsidR="00B36385">
          <w:rPr>
            <w:webHidden/>
          </w:rPr>
          <w:tab/>
        </w:r>
        <w:r w:rsidR="00B36385">
          <w:rPr>
            <w:webHidden/>
          </w:rPr>
          <w:fldChar w:fldCharType="begin"/>
        </w:r>
        <w:r w:rsidR="00B36385">
          <w:rPr>
            <w:webHidden/>
          </w:rPr>
          <w:instrText xml:space="preserve"> PAGEREF _Toc112852305 \h </w:instrText>
        </w:r>
        <w:r w:rsidR="00B36385">
          <w:rPr>
            <w:webHidden/>
          </w:rPr>
        </w:r>
        <w:r w:rsidR="00B36385">
          <w:rPr>
            <w:webHidden/>
          </w:rPr>
          <w:fldChar w:fldCharType="separate"/>
        </w:r>
        <w:r w:rsidR="009F12BA">
          <w:rPr>
            <w:webHidden/>
          </w:rPr>
          <w:t>201</w:t>
        </w:r>
        <w:r w:rsidR="00B36385">
          <w:rPr>
            <w:webHidden/>
          </w:rPr>
          <w:fldChar w:fldCharType="end"/>
        </w:r>
      </w:hyperlink>
    </w:p>
    <w:p w14:paraId="3A9C63A9" w14:textId="77777777" w:rsidR="00B36385" w:rsidRDefault="00FD548C">
      <w:pPr>
        <w:pStyle w:val="TOC3"/>
        <w:rPr>
          <w:rFonts w:asciiTheme="minorHAnsi" w:eastAsiaTheme="minorEastAsia" w:hAnsiTheme="minorHAnsi" w:cstheme="minorBidi"/>
          <w:sz w:val="22"/>
          <w:szCs w:val="22"/>
          <w:lang w:val="mk-MK" w:eastAsia="mk-MK"/>
        </w:rPr>
      </w:pPr>
      <w:hyperlink w:anchor="_Toc112852306" w:history="1">
        <w:r w:rsidR="00B36385" w:rsidRPr="001E7F57">
          <w:rPr>
            <w:rStyle w:val="Hyperlink"/>
          </w:rPr>
          <w:t>9.4.3</w:t>
        </w:r>
        <w:r w:rsidR="00B36385">
          <w:rPr>
            <w:rFonts w:asciiTheme="minorHAnsi" w:eastAsiaTheme="minorEastAsia" w:hAnsiTheme="minorHAnsi" w:cstheme="minorBidi"/>
            <w:sz w:val="22"/>
            <w:szCs w:val="22"/>
            <w:lang w:val="mk-MK" w:eastAsia="mk-MK"/>
          </w:rPr>
          <w:tab/>
        </w:r>
        <w:r w:rsidR="00B36385" w:rsidRPr="001E7F57">
          <w:rPr>
            <w:rStyle w:val="Hyperlink"/>
          </w:rPr>
          <w:t>Community Risks</w:t>
        </w:r>
        <w:r w:rsidR="00B36385">
          <w:rPr>
            <w:webHidden/>
          </w:rPr>
          <w:tab/>
        </w:r>
        <w:r w:rsidR="00B36385">
          <w:rPr>
            <w:webHidden/>
          </w:rPr>
          <w:fldChar w:fldCharType="begin"/>
        </w:r>
        <w:r w:rsidR="00B36385">
          <w:rPr>
            <w:webHidden/>
          </w:rPr>
          <w:instrText xml:space="preserve"> PAGEREF _Toc112852306 \h </w:instrText>
        </w:r>
        <w:r w:rsidR="00B36385">
          <w:rPr>
            <w:webHidden/>
          </w:rPr>
        </w:r>
        <w:r w:rsidR="00B36385">
          <w:rPr>
            <w:webHidden/>
          </w:rPr>
          <w:fldChar w:fldCharType="separate"/>
        </w:r>
        <w:r w:rsidR="009F12BA">
          <w:rPr>
            <w:webHidden/>
          </w:rPr>
          <w:t>204</w:t>
        </w:r>
        <w:r w:rsidR="00B36385">
          <w:rPr>
            <w:webHidden/>
          </w:rPr>
          <w:fldChar w:fldCharType="end"/>
        </w:r>
      </w:hyperlink>
    </w:p>
    <w:p w14:paraId="1CA80C2F"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307" w:history="1">
        <w:r w:rsidR="00B36385" w:rsidRPr="001E7F57">
          <w:rPr>
            <w:rStyle w:val="Hyperlink"/>
            <w:rFonts w:cs="Tahoma"/>
          </w:rPr>
          <w:t>9.5</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Arial"/>
          </w:rPr>
          <w:t>Land Use Change</w:t>
        </w:r>
        <w:r w:rsidR="00B36385">
          <w:rPr>
            <w:webHidden/>
          </w:rPr>
          <w:tab/>
        </w:r>
        <w:r w:rsidR="00B36385">
          <w:rPr>
            <w:webHidden/>
          </w:rPr>
          <w:fldChar w:fldCharType="begin"/>
        </w:r>
        <w:r w:rsidR="00B36385">
          <w:rPr>
            <w:webHidden/>
          </w:rPr>
          <w:instrText xml:space="preserve"> PAGEREF _Toc112852307 \h </w:instrText>
        </w:r>
        <w:r w:rsidR="00B36385">
          <w:rPr>
            <w:webHidden/>
          </w:rPr>
        </w:r>
        <w:r w:rsidR="00B36385">
          <w:rPr>
            <w:webHidden/>
          </w:rPr>
          <w:fldChar w:fldCharType="separate"/>
        </w:r>
        <w:r w:rsidR="009F12BA">
          <w:rPr>
            <w:webHidden/>
          </w:rPr>
          <w:t>205</w:t>
        </w:r>
        <w:r w:rsidR="00B36385">
          <w:rPr>
            <w:webHidden/>
          </w:rPr>
          <w:fldChar w:fldCharType="end"/>
        </w:r>
      </w:hyperlink>
    </w:p>
    <w:p w14:paraId="75E82CFB"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308" w:history="1">
        <w:r w:rsidR="00B36385" w:rsidRPr="001E7F57">
          <w:rPr>
            <w:rStyle w:val="Hyperlink"/>
            <w:rFonts w:cs="Tahoma"/>
          </w:rPr>
          <w:t>9.6</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Pr>
          <w:t>Land Acquisition</w:t>
        </w:r>
        <w:r w:rsidR="00B36385">
          <w:rPr>
            <w:webHidden/>
          </w:rPr>
          <w:tab/>
        </w:r>
        <w:r w:rsidR="00B36385">
          <w:rPr>
            <w:webHidden/>
          </w:rPr>
          <w:fldChar w:fldCharType="begin"/>
        </w:r>
        <w:r w:rsidR="00B36385">
          <w:rPr>
            <w:webHidden/>
          </w:rPr>
          <w:instrText xml:space="preserve"> PAGEREF _Toc112852308 \h </w:instrText>
        </w:r>
        <w:r w:rsidR="00B36385">
          <w:rPr>
            <w:webHidden/>
          </w:rPr>
        </w:r>
        <w:r w:rsidR="00B36385">
          <w:rPr>
            <w:webHidden/>
          </w:rPr>
          <w:fldChar w:fldCharType="separate"/>
        </w:r>
        <w:r w:rsidR="009F12BA">
          <w:rPr>
            <w:webHidden/>
          </w:rPr>
          <w:t>206</w:t>
        </w:r>
        <w:r w:rsidR="00B36385">
          <w:rPr>
            <w:webHidden/>
          </w:rPr>
          <w:fldChar w:fldCharType="end"/>
        </w:r>
      </w:hyperlink>
    </w:p>
    <w:p w14:paraId="67128514"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309" w:history="1">
        <w:r w:rsidR="00B36385" w:rsidRPr="001E7F57">
          <w:rPr>
            <w:rStyle w:val="Hyperlink"/>
            <w:rFonts w:cs="Tahoma"/>
          </w:rPr>
          <w:t>9.7</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Tahoma"/>
          </w:rPr>
          <w:t>Cultural Heritage</w:t>
        </w:r>
        <w:r w:rsidR="00B36385">
          <w:rPr>
            <w:webHidden/>
          </w:rPr>
          <w:tab/>
        </w:r>
        <w:r w:rsidR="00B36385">
          <w:rPr>
            <w:webHidden/>
          </w:rPr>
          <w:fldChar w:fldCharType="begin"/>
        </w:r>
        <w:r w:rsidR="00B36385">
          <w:rPr>
            <w:webHidden/>
          </w:rPr>
          <w:instrText xml:space="preserve"> PAGEREF _Toc112852309 \h </w:instrText>
        </w:r>
        <w:r w:rsidR="00B36385">
          <w:rPr>
            <w:webHidden/>
          </w:rPr>
        </w:r>
        <w:r w:rsidR="00B36385">
          <w:rPr>
            <w:webHidden/>
          </w:rPr>
          <w:fldChar w:fldCharType="separate"/>
        </w:r>
        <w:r w:rsidR="009F12BA">
          <w:rPr>
            <w:webHidden/>
          </w:rPr>
          <w:t>207</w:t>
        </w:r>
        <w:r w:rsidR="00B36385">
          <w:rPr>
            <w:webHidden/>
          </w:rPr>
          <w:fldChar w:fldCharType="end"/>
        </w:r>
      </w:hyperlink>
    </w:p>
    <w:p w14:paraId="4C883FAF" w14:textId="77777777" w:rsidR="00B36385" w:rsidRDefault="00FD548C">
      <w:pPr>
        <w:pStyle w:val="TOC1"/>
        <w:rPr>
          <w:rFonts w:asciiTheme="minorHAnsi" w:eastAsiaTheme="minorEastAsia" w:hAnsiTheme="minorHAnsi" w:cstheme="minorBidi"/>
          <w:b w:val="0"/>
          <w:color w:val="auto"/>
          <w:sz w:val="22"/>
          <w:lang w:val="mk-MK" w:eastAsia="mk-MK"/>
        </w:rPr>
      </w:pPr>
      <w:hyperlink w:anchor="_Toc112852310" w:history="1">
        <w:r w:rsidR="00B36385" w:rsidRPr="001E7F57">
          <w:rPr>
            <w:rStyle w:val="Hyperlink"/>
          </w:rPr>
          <w:t>10.</w:t>
        </w:r>
        <w:r w:rsidR="00B36385">
          <w:rPr>
            <w:rFonts w:asciiTheme="minorHAnsi" w:eastAsiaTheme="minorEastAsia" w:hAnsiTheme="minorHAnsi" w:cstheme="minorBidi"/>
            <w:b w:val="0"/>
            <w:color w:val="auto"/>
            <w:sz w:val="22"/>
            <w:lang w:val="mk-MK" w:eastAsia="mk-MK"/>
          </w:rPr>
          <w:tab/>
        </w:r>
        <w:r w:rsidR="00B36385" w:rsidRPr="001E7F57">
          <w:rPr>
            <w:rStyle w:val="Hyperlink"/>
          </w:rPr>
          <w:t>Cumulative Effects</w:t>
        </w:r>
        <w:r w:rsidR="00B36385">
          <w:rPr>
            <w:webHidden/>
          </w:rPr>
          <w:tab/>
        </w:r>
        <w:r w:rsidR="00B36385">
          <w:rPr>
            <w:webHidden/>
          </w:rPr>
          <w:fldChar w:fldCharType="begin"/>
        </w:r>
        <w:r w:rsidR="00B36385">
          <w:rPr>
            <w:webHidden/>
          </w:rPr>
          <w:instrText xml:space="preserve"> PAGEREF _Toc112852310 \h </w:instrText>
        </w:r>
        <w:r w:rsidR="00B36385">
          <w:rPr>
            <w:webHidden/>
          </w:rPr>
        </w:r>
        <w:r w:rsidR="00B36385">
          <w:rPr>
            <w:webHidden/>
          </w:rPr>
          <w:fldChar w:fldCharType="separate"/>
        </w:r>
        <w:r w:rsidR="009F12BA">
          <w:rPr>
            <w:webHidden/>
          </w:rPr>
          <w:t>208</w:t>
        </w:r>
        <w:r w:rsidR="00B36385">
          <w:rPr>
            <w:webHidden/>
          </w:rPr>
          <w:fldChar w:fldCharType="end"/>
        </w:r>
      </w:hyperlink>
    </w:p>
    <w:p w14:paraId="21FFFA3D" w14:textId="77777777" w:rsidR="00B36385" w:rsidRDefault="00FD548C">
      <w:pPr>
        <w:pStyle w:val="TOC1"/>
        <w:rPr>
          <w:rFonts w:asciiTheme="minorHAnsi" w:eastAsiaTheme="minorEastAsia" w:hAnsiTheme="minorHAnsi" w:cstheme="minorBidi"/>
          <w:b w:val="0"/>
          <w:color w:val="auto"/>
          <w:sz w:val="22"/>
          <w:lang w:val="mk-MK" w:eastAsia="mk-MK"/>
        </w:rPr>
      </w:pPr>
      <w:hyperlink w:anchor="_Toc112852311" w:history="1">
        <w:r w:rsidR="00B36385" w:rsidRPr="001E7F57">
          <w:rPr>
            <w:rStyle w:val="Hyperlink"/>
          </w:rPr>
          <w:t>11.</w:t>
        </w:r>
        <w:r w:rsidR="00B36385">
          <w:rPr>
            <w:rFonts w:asciiTheme="minorHAnsi" w:eastAsiaTheme="minorEastAsia" w:hAnsiTheme="minorHAnsi" w:cstheme="minorBidi"/>
            <w:b w:val="0"/>
            <w:color w:val="auto"/>
            <w:sz w:val="22"/>
            <w:lang w:val="mk-MK" w:eastAsia="mk-MK"/>
          </w:rPr>
          <w:tab/>
        </w:r>
        <w:r w:rsidR="00B36385" w:rsidRPr="001E7F57">
          <w:rPr>
            <w:rStyle w:val="Hyperlink"/>
          </w:rPr>
          <w:t>Emergency Response Planning</w:t>
        </w:r>
        <w:r w:rsidR="00B36385">
          <w:rPr>
            <w:webHidden/>
          </w:rPr>
          <w:tab/>
        </w:r>
        <w:r w:rsidR="00B36385">
          <w:rPr>
            <w:webHidden/>
          </w:rPr>
          <w:fldChar w:fldCharType="begin"/>
        </w:r>
        <w:r w:rsidR="00B36385">
          <w:rPr>
            <w:webHidden/>
          </w:rPr>
          <w:instrText xml:space="preserve"> PAGEREF _Toc112852311 \h </w:instrText>
        </w:r>
        <w:r w:rsidR="00B36385">
          <w:rPr>
            <w:webHidden/>
          </w:rPr>
        </w:r>
        <w:r w:rsidR="00B36385">
          <w:rPr>
            <w:webHidden/>
          </w:rPr>
          <w:fldChar w:fldCharType="separate"/>
        </w:r>
        <w:r w:rsidR="009F12BA">
          <w:rPr>
            <w:webHidden/>
          </w:rPr>
          <w:t>209</w:t>
        </w:r>
        <w:r w:rsidR="00B36385">
          <w:rPr>
            <w:webHidden/>
          </w:rPr>
          <w:fldChar w:fldCharType="end"/>
        </w:r>
      </w:hyperlink>
    </w:p>
    <w:p w14:paraId="742FAB95"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312" w:history="1">
        <w:r w:rsidR="00B36385" w:rsidRPr="001E7F57">
          <w:rPr>
            <w:rStyle w:val="Hyperlink"/>
            <w:rFonts w:cs="Tahoma"/>
          </w:rPr>
          <w:t>11.1</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Tahoma"/>
          </w:rPr>
          <w:t>Potential Emergency Situations</w:t>
        </w:r>
        <w:r w:rsidR="00B36385">
          <w:rPr>
            <w:webHidden/>
          </w:rPr>
          <w:tab/>
        </w:r>
        <w:r w:rsidR="00B36385">
          <w:rPr>
            <w:webHidden/>
          </w:rPr>
          <w:fldChar w:fldCharType="begin"/>
        </w:r>
        <w:r w:rsidR="00B36385">
          <w:rPr>
            <w:webHidden/>
          </w:rPr>
          <w:instrText xml:space="preserve"> PAGEREF _Toc112852312 \h </w:instrText>
        </w:r>
        <w:r w:rsidR="00B36385">
          <w:rPr>
            <w:webHidden/>
          </w:rPr>
        </w:r>
        <w:r w:rsidR="00B36385">
          <w:rPr>
            <w:webHidden/>
          </w:rPr>
          <w:fldChar w:fldCharType="separate"/>
        </w:r>
        <w:r w:rsidR="009F12BA">
          <w:rPr>
            <w:webHidden/>
          </w:rPr>
          <w:t>209</w:t>
        </w:r>
        <w:r w:rsidR="00B36385">
          <w:rPr>
            <w:webHidden/>
          </w:rPr>
          <w:fldChar w:fldCharType="end"/>
        </w:r>
      </w:hyperlink>
    </w:p>
    <w:p w14:paraId="63D66086"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313" w:history="1">
        <w:r w:rsidR="00B36385" w:rsidRPr="001E7F57">
          <w:rPr>
            <w:rStyle w:val="Hyperlink"/>
            <w:rFonts w:cs="Tahoma"/>
          </w:rPr>
          <w:t>11.2</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Tahoma"/>
          </w:rPr>
          <w:t>Emergency Management</w:t>
        </w:r>
        <w:r w:rsidR="00B36385">
          <w:rPr>
            <w:webHidden/>
          </w:rPr>
          <w:tab/>
        </w:r>
        <w:r w:rsidR="00B36385">
          <w:rPr>
            <w:webHidden/>
          </w:rPr>
          <w:fldChar w:fldCharType="begin"/>
        </w:r>
        <w:r w:rsidR="00B36385">
          <w:rPr>
            <w:webHidden/>
          </w:rPr>
          <w:instrText xml:space="preserve"> PAGEREF _Toc112852313 \h </w:instrText>
        </w:r>
        <w:r w:rsidR="00B36385">
          <w:rPr>
            <w:webHidden/>
          </w:rPr>
        </w:r>
        <w:r w:rsidR="00B36385">
          <w:rPr>
            <w:webHidden/>
          </w:rPr>
          <w:fldChar w:fldCharType="separate"/>
        </w:r>
        <w:r w:rsidR="009F12BA">
          <w:rPr>
            <w:webHidden/>
          </w:rPr>
          <w:t>209</w:t>
        </w:r>
        <w:r w:rsidR="00B36385">
          <w:rPr>
            <w:webHidden/>
          </w:rPr>
          <w:fldChar w:fldCharType="end"/>
        </w:r>
      </w:hyperlink>
    </w:p>
    <w:p w14:paraId="3241D603" w14:textId="77777777" w:rsidR="00B36385" w:rsidRDefault="00FD548C">
      <w:pPr>
        <w:pStyle w:val="TOC3"/>
        <w:rPr>
          <w:rFonts w:asciiTheme="minorHAnsi" w:eastAsiaTheme="minorEastAsia" w:hAnsiTheme="minorHAnsi" w:cstheme="minorBidi"/>
          <w:sz w:val="22"/>
          <w:szCs w:val="22"/>
          <w:lang w:val="mk-MK" w:eastAsia="mk-MK"/>
        </w:rPr>
      </w:pPr>
      <w:hyperlink w:anchor="_Toc112852314" w:history="1">
        <w:r w:rsidR="00B36385" w:rsidRPr="001E7F57">
          <w:rPr>
            <w:rStyle w:val="Hyperlink"/>
          </w:rPr>
          <w:t>11.2.1</w:t>
        </w:r>
        <w:r w:rsidR="00B36385">
          <w:rPr>
            <w:rFonts w:asciiTheme="minorHAnsi" w:eastAsiaTheme="minorEastAsia" w:hAnsiTheme="minorHAnsi" w:cstheme="minorBidi"/>
            <w:sz w:val="22"/>
            <w:szCs w:val="22"/>
            <w:lang w:val="mk-MK" w:eastAsia="mk-MK"/>
          </w:rPr>
          <w:tab/>
        </w:r>
        <w:r w:rsidR="00B36385" w:rsidRPr="001E7F57">
          <w:rPr>
            <w:rStyle w:val="Hyperlink"/>
          </w:rPr>
          <w:t>Construction</w:t>
        </w:r>
        <w:r w:rsidR="00B36385">
          <w:rPr>
            <w:webHidden/>
          </w:rPr>
          <w:tab/>
        </w:r>
        <w:r w:rsidR="00B36385">
          <w:rPr>
            <w:webHidden/>
          </w:rPr>
          <w:fldChar w:fldCharType="begin"/>
        </w:r>
        <w:r w:rsidR="00B36385">
          <w:rPr>
            <w:webHidden/>
          </w:rPr>
          <w:instrText xml:space="preserve"> PAGEREF _Toc112852314 \h </w:instrText>
        </w:r>
        <w:r w:rsidR="00B36385">
          <w:rPr>
            <w:webHidden/>
          </w:rPr>
        </w:r>
        <w:r w:rsidR="00B36385">
          <w:rPr>
            <w:webHidden/>
          </w:rPr>
          <w:fldChar w:fldCharType="separate"/>
        </w:r>
        <w:r w:rsidR="009F12BA">
          <w:rPr>
            <w:webHidden/>
          </w:rPr>
          <w:t>209</w:t>
        </w:r>
        <w:r w:rsidR="00B36385">
          <w:rPr>
            <w:webHidden/>
          </w:rPr>
          <w:fldChar w:fldCharType="end"/>
        </w:r>
      </w:hyperlink>
    </w:p>
    <w:p w14:paraId="22BC090F" w14:textId="77777777" w:rsidR="00B36385" w:rsidRDefault="00FD548C">
      <w:pPr>
        <w:pStyle w:val="TOC3"/>
        <w:rPr>
          <w:rFonts w:asciiTheme="minorHAnsi" w:eastAsiaTheme="minorEastAsia" w:hAnsiTheme="minorHAnsi" w:cstheme="minorBidi"/>
          <w:sz w:val="22"/>
          <w:szCs w:val="22"/>
          <w:lang w:val="mk-MK" w:eastAsia="mk-MK"/>
        </w:rPr>
      </w:pPr>
      <w:hyperlink w:anchor="_Toc112852315" w:history="1">
        <w:r w:rsidR="00B36385" w:rsidRPr="001E7F57">
          <w:rPr>
            <w:rStyle w:val="Hyperlink"/>
          </w:rPr>
          <w:t>11.2.2</w:t>
        </w:r>
        <w:r w:rsidR="00B36385">
          <w:rPr>
            <w:rFonts w:asciiTheme="minorHAnsi" w:eastAsiaTheme="minorEastAsia" w:hAnsiTheme="minorHAnsi" w:cstheme="minorBidi"/>
            <w:sz w:val="22"/>
            <w:szCs w:val="22"/>
            <w:lang w:val="mk-MK" w:eastAsia="mk-MK"/>
          </w:rPr>
          <w:tab/>
        </w:r>
        <w:r w:rsidR="00B36385" w:rsidRPr="001E7F57">
          <w:rPr>
            <w:rStyle w:val="Hyperlink"/>
          </w:rPr>
          <w:t>Operation</w:t>
        </w:r>
        <w:r w:rsidR="00B36385">
          <w:rPr>
            <w:webHidden/>
          </w:rPr>
          <w:tab/>
        </w:r>
        <w:r w:rsidR="00B36385">
          <w:rPr>
            <w:webHidden/>
          </w:rPr>
          <w:fldChar w:fldCharType="begin"/>
        </w:r>
        <w:r w:rsidR="00B36385">
          <w:rPr>
            <w:webHidden/>
          </w:rPr>
          <w:instrText xml:space="preserve"> PAGEREF _Toc112852315 \h </w:instrText>
        </w:r>
        <w:r w:rsidR="00B36385">
          <w:rPr>
            <w:webHidden/>
          </w:rPr>
        </w:r>
        <w:r w:rsidR="00B36385">
          <w:rPr>
            <w:webHidden/>
          </w:rPr>
          <w:fldChar w:fldCharType="separate"/>
        </w:r>
        <w:r w:rsidR="009F12BA">
          <w:rPr>
            <w:webHidden/>
          </w:rPr>
          <w:t>210</w:t>
        </w:r>
        <w:r w:rsidR="00B36385">
          <w:rPr>
            <w:webHidden/>
          </w:rPr>
          <w:fldChar w:fldCharType="end"/>
        </w:r>
      </w:hyperlink>
    </w:p>
    <w:p w14:paraId="22B4415E" w14:textId="77777777" w:rsidR="00B36385" w:rsidRDefault="00FD548C">
      <w:pPr>
        <w:pStyle w:val="TOC1"/>
        <w:rPr>
          <w:rFonts w:asciiTheme="minorHAnsi" w:eastAsiaTheme="minorEastAsia" w:hAnsiTheme="minorHAnsi" w:cstheme="minorBidi"/>
          <w:b w:val="0"/>
          <w:color w:val="auto"/>
          <w:sz w:val="22"/>
          <w:lang w:val="mk-MK" w:eastAsia="mk-MK"/>
        </w:rPr>
      </w:pPr>
      <w:hyperlink w:anchor="_Toc112852316" w:history="1">
        <w:r w:rsidR="00B36385" w:rsidRPr="001E7F57">
          <w:rPr>
            <w:rStyle w:val="Hyperlink"/>
          </w:rPr>
          <w:t>12.</w:t>
        </w:r>
        <w:r w:rsidR="00B36385">
          <w:rPr>
            <w:rFonts w:asciiTheme="minorHAnsi" w:eastAsiaTheme="minorEastAsia" w:hAnsiTheme="minorHAnsi" w:cstheme="minorBidi"/>
            <w:b w:val="0"/>
            <w:color w:val="auto"/>
            <w:sz w:val="22"/>
            <w:lang w:val="mk-MK" w:eastAsia="mk-MK"/>
          </w:rPr>
          <w:tab/>
        </w:r>
        <w:r w:rsidR="00B36385" w:rsidRPr="001E7F57">
          <w:rPr>
            <w:rStyle w:val="Hyperlink"/>
          </w:rPr>
          <w:t>Environmental and Social Management</w:t>
        </w:r>
        <w:r w:rsidR="00B36385">
          <w:rPr>
            <w:webHidden/>
          </w:rPr>
          <w:tab/>
        </w:r>
        <w:r w:rsidR="00B36385">
          <w:rPr>
            <w:webHidden/>
          </w:rPr>
          <w:fldChar w:fldCharType="begin"/>
        </w:r>
        <w:r w:rsidR="00B36385">
          <w:rPr>
            <w:webHidden/>
          </w:rPr>
          <w:instrText xml:space="preserve"> PAGEREF _Toc112852316 \h </w:instrText>
        </w:r>
        <w:r w:rsidR="00B36385">
          <w:rPr>
            <w:webHidden/>
          </w:rPr>
        </w:r>
        <w:r w:rsidR="00B36385">
          <w:rPr>
            <w:webHidden/>
          </w:rPr>
          <w:fldChar w:fldCharType="separate"/>
        </w:r>
        <w:r w:rsidR="009F12BA">
          <w:rPr>
            <w:webHidden/>
          </w:rPr>
          <w:t>211</w:t>
        </w:r>
        <w:r w:rsidR="00B36385">
          <w:rPr>
            <w:webHidden/>
          </w:rPr>
          <w:fldChar w:fldCharType="end"/>
        </w:r>
      </w:hyperlink>
    </w:p>
    <w:p w14:paraId="783C8079"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317" w:history="1">
        <w:r w:rsidR="00B36385" w:rsidRPr="001E7F57">
          <w:rPr>
            <w:rStyle w:val="Hyperlink"/>
            <w:rFonts w:cs="Tahoma"/>
          </w:rPr>
          <w:t>12.1</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Tahoma"/>
          </w:rPr>
          <w:t>Introduction</w:t>
        </w:r>
        <w:r w:rsidR="00B36385">
          <w:rPr>
            <w:webHidden/>
          </w:rPr>
          <w:tab/>
        </w:r>
        <w:r w:rsidR="00B36385">
          <w:rPr>
            <w:webHidden/>
          </w:rPr>
          <w:fldChar w:fldCharType="begin"/>
        </w:r>
        <w:r w:rsidR="00B36385">
          <w:rPr>
            <w:webHidden/>
          </w:rPr>
          <w:instrText xml:space="preserve"> PAGEREF _Toc112852317 \h </w:instrText>
        </w:r>
        <w:r w:rsidR="00B36385">
          <w:rPr>
            <w:webHidden/>
          </w:rPr>
        </w:r>
        <w:r w:rsidR="00B36385">
          <w:rPr>
            <w:webHidden/>
          </w:rPr>
          <w:fldChar w:fldCharType="separate"/>
        </w:r>
        <w:r w:rsidR="009F12BA">
          <w:rPr>
            <w:webHidden/>
          </w:rPr>
          <w:t>211</w:t>
        </w:r>
        <w:r w:rsidR="00B36385">
          <w:rPr>
            <w:webHidden/>
          </w:rPr>
          <w:fldChar w:fldCharType="end"/>
        </w:r>
      </w:hyperlink>
    </w:p>
    <w:p w14:paraId="44198D2E"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318" w:history="1">
        <w:r w:rsidR="00B36385" w:rsidRPr="001E7F57">
          <w:rPr>
            <w:rStyle w:val="Hyperlink"/>
            <w:rFonts w:cs="Tahoma"/>
          </w:rPr>
          <w:t>12.2</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Tahoma"/>
          </w:rPr>
          <w:t>Objectives of Environmental and Social Management</w:t>
        </w:r>
        <w:r w:rsidR="00B36385">
          <w:rPr>
            <w:webHidden/>
          </w:rPr>
          <w:tab/>
        </w:r>
        <w:r w:rsidR="00B36385">
          <w:rPr>
            <w:webHidden/>
          </w:rPr>
          <w:fldChar w:fldCharType="begin"/>
        </w:r>
        <w:r w:rsidR="00B36385">
          <w:rPr>
            <w:webHidden/>
          </w:rPr>
          <w:instrText xml:space="preserve"> PAGEREF _Toc112852318 \h </w:instrText>
        </w:r>
        <w:r w:rsidR="00B36385">
          <w:rPr>
            <w:webHidden/>
          </w:rPr>
        </w:r>
        <w:r w:rsidR="00B36385">
          <w:rPr>
            <w:webHidden/>
          </w:rPr>
          <w:fldChar w:fldCharType="separate"/>
        </w:r>
        <w:r w:rsidR="009F12BA">
          <w:rPr>
            <w:webHidden/>
          </w:rPr>
          <w:t>211</w:t>
        </w:r>
        <w:r w:rsidR="00B36385">
          <w:rPr>
            <w:webHidden/>
          </w:rPr>
          <w:fldChar w:fldCharType="end"/>
        </w:r>
      </w:hyperlink>
    </w:p>
    <w:p w14:paraId="2349F4DB"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319" w:history="1">
        <w:r w:rsidR="00B36385" w:rsidRPr="001E7F57">
          <w:rPr>
            <w:rStyle w:val="Hyperlink"/>
            <w:rFonts w:cs="Tahoma"/>
          </w:rPr>
          <w:t>12.3</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Tahoma"/>
          </w:rPr>
          <w:t>Principles of Environmental and Social Management</w:t>
        </w:r>
        <w:r w:rsidR="00B36385">
          <w:rPr>
            <w:webHidden/>
          </w:rPr>
          <w:tab/>
        </w:r>
        <w:r w:rsidR="00B36385">
          <w:rPr>
            <w:webHidden/>
          </w:rPr>
          <w:fldChar w:fldCharType="begin"/>
        </w:r>
        <w:r w:rsidR="00B36385">
          <w:rPr>
            <w:webHidden/>
          </w:rPr>
          <w:instrText xml:space="preserve"> PAGEREF _Toc112852319 \h </w:instrText>
        </w:r>
        <w:r w:rsidR="00B36385">
          <w:rPr>
            <w:webHidden/>
          </w:rPr>
        </w:r>
        <w:r w:rsidR="00B36385">
          <w:rPr>
            <w:webHidden/>
          </w:rPr>
          <w:fldChar w:fldCharType="separate"/>
        </w:r>
        <w:r w:rsidR="009F12BA">
          <w:rPr>
            <w:webHidden/>
          </w:rPr>
          <w:t>211</w:t>
        </w:r>
        <w:r w:rsidR="00B36385">
          <w:rPr>
            <w:webHidden/>
          </w:rPr>
          <w:fldChar w:fldCharType="end"/>
        </w:r>
      </w:hyperlink>
    </w:p>
    <w:p w14:paraId="6743328C" w14:textId="77777777" w:rsidR="00B36385" w:rsidRDefault="00FD548C">
      <w:pPr>
        <w:pStyle w:val="TOC3"/>
        <w:rPr>
          <w:rFonts w:asciiTheme="minorHAnsi" w:eastAsiaTheme="minorEastAsia" w:hAnsiTheme="minorHAnsi" w:cstheme="minorBidi"/>
          <w:sz w:val="22"/>
          <w:szCs w:val="22"/>
          <w:lang w:val="mk-MK" w:eastAsia="mk-MK"/>
        </w:rPr>
      </w:pPr>
      <w:hyperlink w:anchor="_Toc112852320" w:history="1">
        <w:r w:rsidR="00B36385" w:rsidRPr="001E7F57">
          <w:rPr>
            <w:rStyle w:val="Hyperlink"/>
          </w:rPr>
          <w:t>12.3.1</w:t>
        </w:r>
        <w:r w:rsidR="00B36385">
          <w:rPr>
            <w:rFonts w:asciiTheme="minorHAnsi" w:eastAsiaTheme="minorEastAsia" w:hAnsiTheme="minorHAnsi" w:cstheme="minorBidi"/>
            <w:sz w:val="22"/>
            <w:szCs w:val="22"/>
            <w:lang w:val="mk-MK" w:eastAsia="mk-MK"/>
          </w:rPr>
          <w:tab/>
        </w:r>
        <w:r w:rsidR="00B36385" w:rsidRPr="001E7F57">
          <w:rPr>
            <w:rStyle w:val="Hyperlink"/>
          </w:rPr>
          <w:t>Pre-construction Phase</w:t>
        </w:r>
        <w:r w:rsidR="00B36385">
          <w:rPr>
            <w:webHidden/>
          </w:rPr>
          <w:tab/>
        </w:r>
        <w:r w:rsidR="00B36385">
          <w:rPr>
            <w:webHidden/>
          </w:rPr>
          <w:fldChar w:fldCharType="begin"/>
        </w:r>
        <w:r w:rsidR="00B36385">
          <w:rPr>
            <w:webHidden/>
          </w:rPr>
          <w:instrText xml:space="preserve"> PAGEREF _Toc112852320 \h </w:instrText>
        </w:r>
        <w:r w:rsidR="00B36385">
          <w:rPr>
            <w:webHidden/>
          </w:rPr>
        </w:r>
        <w:r w:rsidR="00B36385">
          <w:rPr>
            <w:webHidden/>
          </w:rPr>
          <w:fldChar w:fldCharType="separate"/>
        </w:r>
        <w:r w:rsidR="009F12BA">
          <w:rPr>
            <w:webHidden/>
          </w:rPr>
          <w:t>212</w:t>
        </w:r>
        <w:r w:rsidR="00B36385">
          <w:rPr>
            <w:webHidden/>
          </w:rPr>
          <w:fldChar w:fldCharType="end"/>
        </w:r>
      </w:hyperlink>
    </w:p>
    <w:p w14:paraId="17F71F85" w14:textId="77777777" w:rsidR="00B36385" w:rsidRDefault="00FD548C">
      <w:pPr>
        <w:pStyle w:val="TOC3"/>
        <w:rPr>
          <w:rFonts w:asciiTheme="minorHAnsi" w:eastAsiaTheme="minorEastAsia" w:hAnsiTheme="minorHAnsi" w:cstheme="minorBidi"/>
          <w:sz w:val="22"/>
          <w:szCs w:val="22"/>
          <w:lang w:val="mk-MK" w:eastAsia="mk-MK"/>
        </w:rPr>
      </w:pPr>
      <w:hyperlink w:anchor="_Toc112852321" w:history="1">
        <w:r w:rsidR="00B36385" w:rsidRPr="001E7F57">
          <w:rPr>
            <w:rStyle w:val="Hyperlink"/>
          </w:rPr>
          <w:t>12.3.2</w:t>
        </w:r>
        <w:r w:rsidR="00B36385">
          <w:rPr>
            <w:rFonts w:asciiTheme="minorHAnsi" w:eastAsiaTheme="minorEastAsia" w:hAnsiTheme="minorHAnsi" w:cstheme="minorBidi"/>
            <w:sz w:val="22"/>
            <w:szCs w:val="22"/>
            <w:lang w:val="mk-MK" w:eastAsia="mk-MK"/>
          </w:rPr>
          <w:tab/>
        </w:r>
        <w:r w:rsidR="00B36385" w:rsidRPr="001E7F57">
          <w:rPr>
            <w:rStyle w:val="Hyperlink"/>
          </w:rPr>
          <w:t>Construction Phase</w:t>
        </w:r>
        <w:r w:rsidR="00B36385">
          <w:rPr>
            <w:webHidden/>
          </w:rPr>
          <w:tab/>
        </w:r>
        <w:r w:rsidR="00B36385">
          <w:rPr>
            <w:webHidden/>
          </w:rPr>
          <w:fldChar w:fldCharType="begin"/>
        </w:r>
        <w:r w:rsidR="00B36385">
          <w:rPr>
            <w:webHidden/>
          </w:rPr>
          <w:instrText xml:space="preserve"> PAGEREF _Toc112852321 \h </w:instrText>
        </w:r>
        <w:r w:rsidR="00B36385">
          <w:rPr>
            <w:webHidden/>
          </w:rPr>
        </w:r>
        <w:r w:rsidR="00B36385">
          <w:rPr>
            <w:webHidden/>
          </w:rPr>
          <w:fldChar w:fldCharType="separate"/>
        </w:r>
        <w:r w:rsidR="009F12BA">
          <w:rPr>
            <w:webHidden/>
          </w:rPr>
          <w:t>212</w:t>
        </w:r>
        <w:r w:rsidR="00B36385">
          <w:rPr>
            <w:webHidden/>
          </w:rPr>
          <w:fldChar w:fldCharType="end"/>
        </w:r>
      </w:hyperlink>
    </w:p>
    <w:p w14:paraId="7E80F20D" w14:textId="77777777" w:rsidR="00B36385" w:rsidRDefault="00FD548C">
      <w:pPr>
        <w:pStyle w:val="TOC3"/>
        <w:rPr>
          <w:rFonts w:asciiTheme="minorHAnsi" w:eastAsiaTheme="minorEastAsia" w:hAnsiTheme="minorHAnsi" w:cstheme="minorBidi"/>
          <w:sz w:val="22"/>
          <w:szCs w:val="22"/>
          <w:lang w:val="mk-MK" w:eastAsia="mk-MK"/>
        </w:rPr>
      </w:pPr>
      <w:hyperlink w:anchor="_Toc112852322" w:history="1">
        <w:r w:rsidR="00B36385" w:rsidRPr="001E7F57">
          <w:rPr>
            <w:rStyle w:val="Hyperlink"/>
          </w:rPr>
          <w:t>12.3.3</w:t>
        </w:r>
        <w:r w:rsidR="00B36385">
          <w:rPr>
            <w:rFonts w:asciiTheme="minorHAnsi" w:eastAsiaTheme="minorEastAsia" w:hAnsiTheme="minorHAnsi" w:cstheme="minorBidi"/>
            <w:sz w:val="22"/>
            <w:szCs w:val="22"/>
            <w:lang w:val="mk-MK" w:eastAsia="mk-MK"/>
          </w:rPr>
          <w:tab/>
        </w:r>
        <w:r w:rsidR="00B36385" w:rsidRPr="001E7F57">
          <w:rPr>
            <w:rStyle w:val="Hyperlink"/>
          </w:rPr>
          <w:t>Operational Phase</w:t>
        </w:r>
        <w:r w:rsidR="00B36385">
          <w:rPr>
            <w:webHidden/>
          </w:rPr>
          <w:tab/>
        </w:r>
        <w:r w:rsidR="00B36385">
          <w:rPr>
            <w:webHidden/>
          </w:rPr>
          <w:fldChar w:fldCharType="begin"/>
        </w:r>
        <w:r w:rsidR="00B36385">
          <w:rPr>
            <w:webHidden/>
          </w:rPr>
          <w:instrText xml:space="preserve"> PAGEREF _Toc112852322 \h </w:instrText>
        </w:r>
        <w:r w:rsidR="00B36385">
          <w:rPr>
            <w:webHidden/>
          </w:rPr>
        </w:r>
        <w:r w:rsidR="00B36385">
          <w:rPr>
            <w:webHidden/>
          </w:rPr>
          <w:fldChar w:fldCharType="separate"/>
        </w:r>
        <w:r w:rsidR="009F12BA">
          <w:rPr>
            <w:webHidden/>
          </w:rPr>
          <w:t>212</w:t>
        </w:r>
        <w:r w:rsidR="00B36385">
          <w:rPr>
            <w:webHidden/>
          </w:rPr>
          <w:fldChar w:fldCharType="end"/>
        </w:r>
      </w:hyperlink>
    </w:p>
    <w:p w14:paraId="33D2DA87"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323" w:history="1">
        <w:r w:rsidR="00B36385" w:rsidRPr="001E7F57">
          <w:rPr>
            <w:rStyle w:val="Hyperlink"/>
            <w:rFonts w:cs="Tahoma"/>
          </w:rPr>
          <w:t>12.4</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Tahoma"/>
          </w:rPr>
          <w:t>Organisation of Environmental and Social Management</w:t>
        </w:r>
        <w:r w:rsidR="00B36385">
          <w:rPr>
            <w:webHidden/>
          </w:rPr>
          <w:tab/>
        </w:r>
        <w:r w:rsidR="00B36385">
          <w:rPr>
            <w:webHidden/>
          </w:rPr>
          <w:fldChar w:fldCharType="begin"/>
        </w:r>
        <w:r w:rsidR="00B36385">
          <w:rPr>
            <w:webHidden/>
          </w:rPr>
          <w:instrText xml:space="preserve"> PAGEREF _Toc112852323 \h </w:instrText>
        </w:r>
        <w:r w:rsidR="00B36385">
          <w:rPr>
            <w:webHidden/>
          </w:rPr>
        </w:r>
        <w:r w:rsidR="00B36385">
          <w:rPr>
            <w:webHidden/>
          </w:rPr>
          <w:fldChar w:fldCharType="separate"/>
        </w:r>
        <w:r w:rsidR="009F12BA">
          <w:rPr>
            <w:webHidden/>
          </w:rPr>
          <w:t>212</w:t>
        </w:r>
        <w:r w:rsidR="00B36385">
          <w:rPr>
            <w:webHidden/>
          </w:rPr>
          <w:fldChar w:fldCharType="end"/>
        </w:r>
      </w:hyperlink>
    </w:p>
    <w:p w14:paraId="3B1645FC"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324" w:history="1">
        <w:r w:rsidR="00B36385" w:rsidRPr="001E7F57">
          <w:rPr>
            <w:rStyle w:val="Hyperlink"/>
            <w:rFonts w:cs="Tahoma"/>
          </w:rPr>
          <w:t>12.5</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Tahoma"/>
          </w:rPr>
          <w:t>Contractor Construction Environmental and Social Management Plan</w:t>
        </w:r>
        <w:r w:rsidR="00B36385">
          <w:rPr>
            <w:webHidden/>
          </w:rPr>
          <w:tab/>
        </w:r>
        <w:r w:rsidR="00B36385">
          <w:rPr>
            <w:webHidden/>
          </w:rPr>
          <w:fldChar w:fldCharType="begin"/>
        </w:r>
        <w:r w:rsidR="00B36385">
          <w:rPr>
            <w:webHidden/>
          </w:rPr>
          <w:instrText xml:space="preserve"> PAGEREF _Toc112852324 \h </w:instrText>
        </w:r>
        <w:r w:rsidR="00B36385">
          <w:rPr>
            <w:webHidden/>
          </w:rPr>
        </w:r>
        <w:r w:rsidR="00B36385">
          <w:rPr>
            <w:webHidden/>
          </w:rPr>
          <w:fldChar w:fldCharType="separate"/>
        </w:r>
        <w:r w:rsidR="009F12BA">
          <w:rPr>
            <w:webHidden/>
          </w:rPr>
          <w:t>213</w:t>
        </w:r>
        <w:r w:rsidR="00B36385">
          <w:rPr>
            <w:webHidden/>
          </w:rPr>
          <w:fldChar w:fldCharType="end"/>
        </w:r>
      </w:hyperlink>
    </w:p>
    <w:p w14:paraId="60879F53"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325" w:history="1">
        <w:r w:rsidR="00B36385" w:rsidRPr="001E7F57">
          <w:rPr>
            <w:rStyle w:val="Hyperlink"/>
            <w:rFonts w:cs="Tahoma"/>
          </w:rPr>
          <w:t>12.6</w:t>
        </w:r>
        <w:r w:rsidR="00B36385">
          <w:rPr>
            <w:rFonts w:asciiTheme="minorHAnsi" w:eastAsiaTheme="minorEastAsia" w:hAnsiTheme="minorHAnsi" w:cstheme="minorBidi"/>
            <w:b w:val="0"/>
            <w:color w:val="auto"/>
            <w:kern w:val="0"/>
            <w:sz w:val="22"/>
            <w:lang w:val="mk-MK" w:eastAsia="mk-MK"/>
          </w:rPr>
          <w:tab/>
        </w:r>
        <w:r w:rsidR="00B36385" w:rsidRPr="001E7F57">
          <w:rPr>
            <w:rStyle w:val="Hyperlink"/>
            <w:rFonts w:cs="Tahoma"/>
          </w:rPr>
          <w:t>Project Developer / Operator Environmental and Social Management System</w:t>
        </w:r>
        <w:r w:rsidR="00B36385">
          <w:rPr>
            <w:webHidden/>
          </w:rPr>
          <w:tab/>
        </w:r>
        <w:r w:rsidR="00B36385">
          <w:rPr>
            <w:webHidden/>
          </w:rPr>
          <w:fldChar w:fldCharType="begin"/>
        </w:r>
        <w:r w:rsidR="00B36385">
          <w:rPr>
            <w:webHidden/>
          </w:rPr>
          <w:instrText xml:space="preserve"> PAGEREF _Toc112852325 \h </w:instrText>
        </w:r>
        <w:r w:rsidR="00B36385">
          <w:rPr>
            <w:webHidden/>
          </w:rPr>
        </w:r>
        <w:r w:rsidR="00B36385">
          <w:rPr>
            <w:webHidden/>
          </w:rPr>
          <w:fldChar w:fldCharType="separate"/>
        </w:r>
        <w:r w:rsidR="009F12BA">
          <w:rPr>
            <w:webHidden/>
          </w:rPr>
          <w:t>213</w:t>
        </w:r>
        <w:r w:rsidR="00B36385">
          <w:rPr>
            <w:webHidden/>
          </w:rPr>
          <w:fldChar w:fldCharType="end"/>
        </w:r>
      </w:hyperlink>
    </w:p>
    <w:p w14:paraId="4DF817A1" w14:textId="77777777" w:rsidR="00B36385" w:rsidRDefault="00FD548C">
      <w:pPr>
        <w:pStyle w:val="TOC1"/>
        <w:rPr>
          <w:rFonts w:asciiTheme="minorHAnsi" w:eastAsiaTheme="minorEastAsia" w:hAnsiTheme="minorHAnsi" w:cstheme="minorBidi"/>
          <w:b w:val="0"/>
          <w:color w:val="auto"/>
          <w:sz w:val="22"/>
          <w:lang w:val="mk-MK" w:eastAsia="mk-MK"/>
        </w:rPr>
      </w:pPr>
      <w:hyperlink w:anchor="_Toc112852326" w:history="1">
        <w:r w:rsidR="00B36385" w:rsidRPr="001E7F57">
          <w:rPr>
            <w:rStyle w:val="Hyperlink"/>
          </w:rPr>
          <w:t>13.</w:t>
        </w:r>
        <w:r w:rsidR="00B36385">
          <w:rPr>
            <w:rFonts w:asciiTheme="minorHAnsi" w:eastAsiaTheme="minorEastAsia" w:hAnsiTheme="minorHAnsi" w:cstheme="minorBidi"/>
            <w:b w:val="0"/>
            <w:color w:val="auto"/>
            <w:sz w:val="22"/>
            <w:lang w:val="mk-MK" w:eastAsia="mk-MK"/>
          </w:rPr>
          <w:tab/>
        </w:r>
        <w:r w:rsidR="00B36385" w:rsidRPr="001E7F57">
          <w:rPr>
            <w:rStyle w:val="Hyperlink"/>
          </w:rPr>
          <w:t>Conclusion</w:t>
        </w:r>
        <w:r w:rsidR="00B36385">
          <w:rPr>
            <w:webHidden/>
          </w:rPr>
          <w:tab/>
        </w:r>
        <w:r w:rsidR="00B36385">
          <w:rPr>
            <w:webHidden/>
          </w:rPr>
          <w:fldChar w:fldCharType="begin"/>
        </w:r>
        <w:r w:rsidR="00B36385">
          <w:rPr>
            <w:webHidden/>
          </w:rPr>
          <w:instrText xml:space="preserve"> PAGEREF _Toc112852326 \h </w:instrText>
        </w:r>
        <w:r w:rsidR="00B36385">
          <w:rPr>
            <w:webHidden/>
          </w:rPr>
        </w:r>
        <w:r w:rsidR="00B36385">
          <w:rPr>
            <w:webHidden/>
          </w:rPr>
          <w:fldChar w:fldCharType="separate"/>
        </w:r>
        <w:r w:rsidR="009F12BA">
          <w:rPr>
            <w:webHidden/>
          </w:rPr>
          <w:t>215</w:t>
        </w:r>
        <w:r w:rsidR="00B36385">
          <w:rPr>
            <w:webHidden/>
          </w:rPr>
          <w:fldChar w:fldCharType="end"/>
        </w:r>
      </w:hyperlink>
    </w:p>
    <w:p w14:paraId="41AF6B95" w14:textId="77777777" w:rsidR="00B36385" w:rsidRDefault="00FD548C">
      <w:pPr>
        <w:pStyle w:val="TOC1"/>
        <w:rPr>
          <w:rFonts w:asciiTheme="minorHAnsi" w:eastAsiaTheme="minorEastAsia" w:hAnsiTheme="minorHAnsi" w:cstheme="minorBidi"/>
          <w:b w:val="0"/>
          <w:color w:val="auto"/>
          <w:sz w:val="22"/>
          <w:lang w:val="mk-MK" w:eastAsia="mk-MK"/>
        </w:rPr>
      </w:pPr>
      <w:hyperlink w:anchor="_Toc112852327" w:history="1">
        <w:r w:rsidR="00B36385" w:rsidRPr="001E7F57">
          <w:rPr>
            <w:rStyle w:val="Hyperlink"/>
          </w:rPr>
          <w:t>14.</w:t>
        </w:r>
        <w:r w:rsidR="00B36385">
          <w:rPr>
            <w:rFonts w:asciiTheme="minorHAnsi" w:eastAsiaTheme="minorEastAsia" w:hAnsiTheme="minorHAnsi" w:cstheme="minorBidi"/>
            <w:b w:val="0"/>
            <w:color w:val="auto"/>
            <w:sz w:val="22"/>
            <w:lang w:val="mk-MK" w:eastAsia="mk-MK"/>
          </w:rPr>
          <w:tab/>
        </w:r>
        <w:r w:rsidR="00B36385" w:rsidRPr="001E7F57">
          <w:rPr>
            <w:rStyle w:val="Hyperlink"/>
          </w:rPr>
          <w:t>References and Literature</w:t>
        </w:r>
        <w:r w:rsidR="00B36385">
          <w:rPr>
            <w:webHidden/>
          </w:rPr>
          <w:tab/>
        </w:r>
        <w:r w:rsidR="00B36385">
          <w:rPr>
            <w:webHidden/>
          </w:rPr>
          <w:fldChar w:fldCharType="begin"/>
        </w:r>
        <w:r w:rsidR="00B36385">
          <w:rPr>
            <w:webHidden/>
          </w:rPr>
          <w:instrText xml:space="preserve"> PAGEREF _Toc112852327 \h </w:instrText>
        </w:r>
        <w:r w:rsidR="00B36385">
          <w:rPr>
            <w:webHidden/>
          </w:rPr>
        </w:r>
        <w:r w:rsidR="00B36385">
          <w:rPr>
            <w:webHidden/>
          </w:rPr>
          <w:fldChar w:fldCharType="separate"/>
        </w:r>
        <w:r w:rsidR="009F12BA">
          <w:rPr>
            <w:webHidden/>
          </w:rPr>
          <w:t>216</w:t>
        </w:r>
        <w:r w:rsidR="00B36385">
          <w:rPr>
            <w:webHidden/>
          </w:rPr>
          <w:fldChar w:fldCharType="end"/>
        </w:r>
      </w:hyperlink>
    </w:p>
    <w:p w14:paraId="01BF02C8" w14:textId="77777777" w:rsidR="00B36385" w:rsidRDefault="00FD548C">
      <w:pPr>
        <w:pStyle w:val="TOC1"/>
        <w:rPr>
          <w:rFonts w:asciiTheme="minorHAnsi" w:eastAsiaTheme="minorEastAsia" w:hAnsiTheme="minorHAnsi" w:cstheme="minorBidi"/>
          <w:b w:val="0"/>
          <w:color w:val="auto"/>
          <w:sz w:val="22"/>
          <w:lang w:val="mk-MK" w:eastAsia="mk-MK"/>
        </w:rPr>
      </w:pPr>
      <w:hyperlink w:anchor="_Toc112852328" w:history="1">
        <w:r w:rsidR="00B36385" w:rsidRPr="001E7F57">
          <w:rPr>
            <w:rStyle w:val="Hyperlink"/>
          </w:rPr>
          <w:t>15.</w:t>
        </w:r>
        <w:r w:rsidR="00B36385">
          <w:rPr>
            <w:rFonts w:asciiTheme="minorHAnsi" w:eastAsiaTheme="minorEastAsia" w:hAnsiTheme="minorHAnsi" w:cstheme="minorBidi"/>
            <w:b w:val="0"/>
            <w:color w:val="auto"/>
            <w:sz w:val="22"/>
            <w:lang w:val="mk-MK" w:eastAsia="mk-MK"/>
          </w:rPr>
          <w:tab/>
        </w:r>
        <w:r w:rsidR="00B36385" w:rsidRPr="001E7F57">
          <w:rPr>
            <w:rStyle w:val="Hyperlink"/>
          </w:rPr>
          <w:t>Annexes</w:t>
        </w:r>
        <w:r w:rsidR="00B36385">
          <w:rPr>
            <w:webHidden/>
          </w:rPr>
          <w:tab/>
        </w:r>
        <w:r w:rsidR="00B36385">
          <w:rPr>
            <w:webHidden/>
          </w:rPr>
          <w:fldChar w:fldCharType="begin"/>
        </w:r>
        <w:r w:rsidR="00B36385">
          <w:rPr>
            <w:webHidden/>
          </w:rPr>
          <w:instrText xml:space="preserve"> PAGEREF _Toc112852328 \h </w:instrText>
        </w:r>
        <w:r w:rsidR="00B36385">
          <w:rPr>
            <w:webHidden/>
          </w:rPr>
        </w:r>
        <w:r w:rsidR="00B36385">
          <w:rPr>
            <w:webHidden/>
          </w:rPr>
          <w:fldChar w:fldCharType="separate"/>
        </w:r>
        <w:r w:rsidR="009F12BA">
          <w:rPr>
            <w:webHidden/>
          </w:rPr>
          <w:t>218</w:t>
        </w:r>
        <w:r w:rsidR="00B36385">
          <w:rPr>
            <w:webHidden/>
          </w:rPr>
          <w:fldChar w:fldCharType="end"/>
        </w:r>
      </w:hyperlink>
    </w:p>
    <w:p w14:paraId="17DA695B"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329" w:history="1">
        <w:r w:rsidR="00B36385" w:rsidRPr="001E7F57">
          <w:rPr>
            <w:rStyle w:val="Hyperlink"/>
          </w:rPr>
          <w:t>Annex 1: Project Map</w:t>
        </w:r>
        <w:r w:rsidR="00B36385">
          <w:rPr>
            <w:webHidden/>
          </w:rPr>
          <w:tab/>
        </w:r>
        <w:r w:rsidR="00B36385">
          <w:rPr>
            <w:webHidden/>
          </w:rPr>
          <w:fldChar w:fldCharType="begin"/>
        </w:r>
        <w:r w:rsidR="00B36385">
          <w:rPr>
            <w:webHidden/>
          </w:rPr>
          <w:instrText xml:space="preserve"> PAGEREF _Toc112852329 \h </w:instrText>
        </w:r>
        <w:r w:rsidR="00B36385">
          <w:rPr>
            <w:webHidden/>
          </w:rPr>
        </w:r>
        <w:r w:rsidR="00B36385">
          <w:rPr>
            <w:webHidden/>
          </w:rPr>
          <w:fldChar w:fldCharType="separate"/>
        </w:r>
        <w:r w:rsidR="009F12BA">
          <w:rPr>
            <w:webHidden/>
          </w:rPr>
          <w:t>219</w:t>
        </w:r>
        <w:r w:rsidR="00B36385">
          <w:rPr>
            <w:webHidden/>
          </w:rPr>
          <w:fldChar w:fldCharType="end"/>
        </w:r>
      </w:hyperlink>
    </w:p>
    <w:p w14:paraId="31089277"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330" w:history="1">
        <w:r w:rsidR="00B36385" w:rsidRPr="001E7F57">
          <w:rPr>
            <w:rStyle w:val="Hyperlink"/>
          </w:rPr>
          <w:t>Annex 2: Project Options and Alternatives with High-level Environmental Constraints</w:t>
        </w:r>
        <w:r w:rsidR="00B36385">
          <w:rPr>
            <w:webHidden/>
          </w:rPr>
          <w:tab/>
        </w:r>
        <w:r w:rsidR="00B36385">
          <w:rPr>
            <w:webHidden/>
          </w:rPr>
          <w:fldChar w:fldCharType="begin"/>
        </w:r>
        <w:r w:rsidR="00B36385">
          <w:rPr>
            <w:webHidden/>
          </w:rPr>
          <w:instrText xml:space="preserve"> PAGEREF _Toc112852330 \h </w:instrText>
        </w:r>
        <w:r w:rsidR="00B36385">
          <w:rPr>
            <w:webHidden/>
          </w:rPr>
        </w:r>
        <w:r w:rsidR="00B36385">
          <w:rPr>
            <w:webHidden/>
          </w:rPr>
          <w:fldChar w:fldCharType="separate"/>
        </w:r>
        <w:r w:rsidR="009F12BA">
          <w:rPr>
            <w:webHidden/>
          </w:rPr>
          <w:t>219</w:t>
        </w:r>
        <w:r w:rsidR="00B36385">
          <w:rPr>
            <w:webHidden/>
          </w:rPr>
          <w:fldChar w:fldCharType="end"/>
        </w:r>
      </w:hyperlink>
    </w:p>
    <w:p w14:paraId="30E7B7DF"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331" w:history="1">
        <w:r w:rsidR="00B36385" w:rsidRPr="001E7F57">
          <w:rPr>
            <w:rStyle w:val="Hyperlink"/>
          </w:rPr>
          <w:t>Annex 3: Key Social Sensitivities associated with the Project</w:t>
        </w:r>
        <w:r w:rsidR="00B36385">
          <w:rPr>
            <w:webHidden/>
          </w:rPr>
          <w:tab/>
        </w:r>
        <w:r w:rsidR="00B36385">
          <w:rPr>
            <w:webHidden/>
          </w:rPr>
          <w:fldChar w:fldCharType="begin"/>
        </w:r>
        <w:r w:rsidR="00B36385">
          <w:rPr>
            <w:webHidden/>
          </w:rPr>
          <w:instrText xml:space="preserve"> PAGEREF _Toc112852331 \h </w:instrText>
        </w:r>
        <w:r w:rsidR="00B36385">
          <w:rPr>
            <w:webHidden/>
          </w:rPr>
        </w:r>
        <w:r w:rsidR="00B36385">
          <w:rPr>
            <w:webHidden/>
          </w:rPr>
          <w:fldChar w:fldCharType="separate"/>
        </w:r>
        <w:r w:rsidR="009F12BA">
          <w:rPr>
            <w:webHidden/>
          </w:rPr>
          <w:t>219</w:t>
        </w:r>
        <w:r w:rsidR="00B36385">
          <w:rPr>
            <w:webHidden/>
          </w:rPr>
          <w:fldChar w:fldCharType="end"/>
        </w:r>
      </w:hyperlink>
    </w:p>
    <w:p w14:paraId="4485BB48"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332" w:history="1">
        <w:r w:rsidR="00B36385" w:rsidRPr="001E7F57">
          <w:rPr>
            <w:rStyle w:val="Hyperlink"/>
          </w:rPr>
          <w:t>Annex 4: Geological Map</w:t>
        </w:r>
        <w:r w:rsidR="00B36385">
          <w:rPr>
            <w:webHidden/>
          </w:rPr>
          <w:tab/>
        </w:r>
        <w:r w:rsidR="00B36385">
          <w:rPr>
            <w:webHidden/>
          </w:rPr>
          <w:fldChar w:fldCharType="begin"/>
        </w:r>
        <w:r w:rsidR="00B36385">
          <w:rPr>
            <w:webHidden/>
          </w:rPr>
          <w:instrText xml:space="preserve"> PAGEREF _Toc112852332 \h </w:instrText>
        </w:r>
        <w:r w:rsidR="00B36385">
          <w:rPr>
            <w:webHidden/>
          </w:rPr>
        </w:r>
        <w:r w:rsidR="00B36385">
          <w:rPr>
            <w:webHidden/>
          </w:rPr>
          <w:fldChar w:fldCharType="separate"/>
        </w:r>
        <w:r w:rsidR="009F12BA">
          <w:rPr>
            <w:webHidden/>
          </w:rPr>
          <w:t>219</w:t>
        </w:r>
        <w:r w:rsidR="00B36385">
          <w:rPr>
            <w:webHidden/>
          </w:rPr>
          <w:fldChar w:fldCharType="end"/>
        </w:r>
      </w:hyperlink>
    </w:p>
    <w:p w14:paraId="596E87C1"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333" w:history="1">
        <w:r w:rsidR="00B36385" w:rsidRPr="001E7F57">
          <w:rPr>
            <w:rStyle w:val="Hyperlink"/>
          </w:rPr>
          <w:t>Annex 5: Summary of Stakeholder Engagement Activities to date</w:t>
        </w:r>
        <w:r w:rsidR="00B36385">
          <w:rPr>
            <w:webHidden/>
          </w:rPr>
          <w:tab/>
        </w:r>
        <w:r w:rsidR="00B36385">
          <w:rPr>
            <w:webHidden/>
          </w:rPr>
          <w:fldChar w:fldCharType="begin"/>
        </w:r>
        <w:r w:rsidR="00B36385">
          <w:rPr>
            <w:webHidden/>
          </w:rPr>
          <w:instrText xml:space="preserve"> PAGEREF _Toc112852333 \h </w:instrText>
        </w:r>
        <w:r w:rsidR="00B36385">
          <w:rPr>
            <w:webHidden/>
          </w:rPr>
        </w:r>
        <w:r w:rsidR="00B36385">
          <w:rPr>
            <w:webHidden/>
          </w:rPr>
          <w:fldChar w:fldCharType="separate"/>
        </w:r>
        <w:r w:rsidR="009F12BA">
          <w:rPr>
            <w:webHidden/>
          </w:rPr>
          <w:t>219</w:t>
        </w:r>
        <w:r w:rsidR="00B36385">
          <w:rPr>
            <w:webHidden/>
          </w:rPr>
          <w:fldChar w:fldCharType="end"/>
        </w:r>
      </w:hyperlink>
    </w:p>
    <w:p w14:paraId="005AE5B6" w14:textId="77777777" w:rsidR="00B36385" w:rsidRDefault="00FD548C">
      <w:pPr>
        <w:pStyle w:val="TOC2"/>
        <w:rPr>
          <w:rFonts w:asciiTheme="minorHAnsi" w:eastAsiaTheme="minorEastAsia" w:hAnsiTheme="minorHAnsi" w:cstheme="minorBidi"/>
          <w:b w:val="0"/>
          <w:color w:val="auto"/>
          <w:kern w:val="0"/>
          <w:sz w:val="22"/>
          <w:lang w:val="mk-MK" w:eastAsia="mk-MK"/>
        </w:rPr>
      </w:pPr>
      <w:hyperlink w:anchor="_Toc112852334" w:history="1">
        <w:r w:rsidR="00B36385" w:rsidRPr="001E7F57">
          <w:rPr>
            <w:rStyle w:val="Hyperlink"/>
          </w:rPr>
          <w:t xml:space="preserve">Annex 6: </w:t>
        </w:r>
        <w:r w:rsidR="00B36385" w:rsidRPr="001E7F57">
          <w:rPr>
            <w:rStyle w:val="Hyperlink"/>
            <w:rFonts w:cs="Tahoma"/>
          </w:rPr>
          <w:t>Names of those Responsible for Preparing the Environmental and Social Assessment</w:t>
        </w:r>
        <w:r w:rsidR="00B36385">
          <w:rPr>
            <w:webHidden/>
          </w:rPr>
          <w:tab/>
        </w:r>
        <w:r w:rsidR="00B36385">
          <w:rPr>
            <w:webHidden/>
          </w:rPr>
          <w:fldChar w:fldCharType="begin"/>
        </w:r>
        <w:r w:rsidR="00B36385">
          <w:rPr>
            <w:webHidden/>
          </w:rPr>
          <w:instrText xml:space="preserve"> PAGEREF _Toc112852334 \h </w:instrText>
        </w:r>
        <w:r w:rsidR="00B36385">
          <w:rPr>
            <w:webHidden/>
          </w:rPr>
        </w:r>
        <w:r w:rsidR="00B36385">
          <w:rPr>
            <w:webHidden/>
          </w:rPr>
          <w:fldChar w:fldCharType="separate"/>
        </w:r>
        <w:r w:rsidR="009F12BA">
          <w:rPr>
            <w:webHidden/>
          </w:rPr>
          <w:t>220</w:t>
        </w:r>
        <w:r w:rsidR="00B36385">
          <w:rPr>
            <w:webHidden/>
          </w:rPr>
          <w:fldChar w:fldCharType="end"/>
        </w:r>
      </w:hyperlink>
    </w:p>
    <w:p w14:paraId="28572F3E" w14:textId="4346BFED" w:rsidR="001E5DDD" w:rsidRPr="0068236B" w:rsidRDefault="00623F2E" w:rsidP="00623F2E">
      <w:pPr>
        <w:pStyle w:val="TOC1"/>
        <w:rPr>
          <w:szCs w:val="24"/>
        </w:rPr>
      </w:pPr>
      <w:r w:rsidRPr="0068236B">
        <w:rPr>
          <w:noProof w:val="0"/>
        </w:rPr>
        <w:fldChar w:fldCharType="end"/>
      </w:r>
    </w:p>
    <w:p w14:paraId="55A7C7D6" w14:textId="77777777" w:rsidR="00FF2533" w:rsidRPr="0068236B" w:rsidRDefault="00FF2533" w:rsidP="00FF2533">
      <w:pPr>
        <w:spacing w:before="0"/>
        <w:jc w:val="center"/>
        <w:rPr>
          <w:b/>
          <w:color w:val="44697D"/>
          <w:sz w:val="32"/>
          <w:szCs w:val="32"/>
        </w:rPr>
      </w:pPr>
      <w:r w:rsidRPr="0068236B">
        <w:rPr>
          <w:b/>
          <w:color w:val="44697D"/>
          <w:sz w:val="32"/>
          <w:szCs w:val="32"/>
        </w:rPr>
        <w:t>List of Tables</w:t>
      </w:r>
    </w:p>
    <w:p w14:paraId="7D9D91D6" w14:textId="77777777" w:rsidR="00305D32" w:rsidRDefault="00377E43"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r w:rsidRPr="0068236B">
        <w:rPr>
          <w:szCs w:val="20"/>
        </w:rPr>
        <w:fldChar w:fldCharType="begin"/>
      </w:r>
      <w:r w:rsidR="00F03630" w:rsidRPr="0068236B">
        <w:rPr>
          <w:szCs w:val="20"/>
        </w:rPr>
        <w:instrText xml:space="preserve"> TOC \h \z \c "Table" </w:instrText>
      </w:r>
      <w:r w:rsidRPr="0068236B">
        <w:rPr>
          <w:szCs w:val="20"/>
        </w:rPr>
        <w:fldChar w:fldCharType="separate"/>
      </w:r>
      <w:hyperlink w:anchor="_Toc113018160" w:history="1">
        <w:r w:rsidR="00305D32" w:rsidRPr="006C6367">
          <w:rPr>
            <w:rStyle w:val="Hyperlink"/>
            <w:rFonts w:cs="Arial"/>
            <w:bCs/>
            <w:iCs/>
            <w:noProof/>
          </w:rPr>
          <w:t>Table 1.1: Criteria categories for Multi-Criteria Analysis, with their weighting factors</w:t>
        </w:r>
        <w:r w:rsidR="00305D32">
          <w:rPr>
            <w:noProof/>
            <w:webHidden/>
          </w:rPr>
          <w:tab/>
        </w:r>
        <w:r w:rsidR="00305D32">
          <w:rPr>
            <w:noProof/>
            <w:webHidden/>
          </w:rPr>
          <w:fldChar w:fldCharType="begin"/>
        </w:r>
        <w:r w:rsidR="00305D32">
          <w:rPr>
            <w:noProof/>
            <w:webHidden/>
          </w:rPr>
          <w:instrText xml:space="preserve"> PAGEREF _Toc113018160 \h </w:instrText>
        </w:r>
        <w:r w:rsidR="00305D32">
          <w:rPr>
            <w:noProof/>
            <w:webHidden/>
          </w:rPr>
        </w:r>
        <w:r w:rsidR="00305D32">
          <w:rPr>
            <w:noProof/>
            <w:webHidden/>
          </w:rPr>
          <w:fldChar w:fldCharType="separate"/>
        </w:r>
        <w:r w:rsidR="00305D32">
          <w:rPr>
            <w:noProof/>
            <w:webHidden/>
          </w:rPr>
          <w:t>32</w:t>
        </w:r>
        <w:r w:rsidR="00305D32">
          <w:rPr>
            <w:noProof/>
            <w:webHidden/>
          </w:rPr>
          <w:fldChar w:fldCharType="end"/>
        </w:r>
      </w:hyperlink>
    </w:p>
    <w:p w14:paraId="20F0C072"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61" w:history="1">
        <w:r w:rsidR="00305D32" w:rsidRPr="006C6367">
          <w:rPr>
            <w:rStyle w:val="Hyperlink"/>
            <w:noProof/>
          </w:rPr>
          <w:t>Table 1.2: Summary of the Project categorisation against the applicable standards</w:t>
        </w:r>
        <w:r w:rsidR="00305D32">
          <w:rPr>
            <w:noProof/>
            <w:webHidden/>
          </w:rPr>
          <w:tab/>
        </w:r>
        <w:r w:rsidR="00305D32">
          <w:rPr>
            <w:noProof/>
            <w:webHidden/>
          </w:rPr>
          <w:fldChar w:fldCharType="begin"/>
        </w:r>
        <w:r w:rsidR="00305D32">
          <w:rPr>
            <w:noProof/>
            <w:webHidden/>
          </w:rPr>
          <w:instrText xml:space="preserve"> PAGEREF _Toc113018161 \h </w:instrText>
        </w:r>
        <w:r w:rsidR="00305D32">
          <w:rPr>
            <w:noProof/>
            <w:webHidden/>
          </w:rPr>
        </w:r>
        <w:r w:rsidR="00305D32">
          <w:rPr>
            <w:noProof/>
            <w:webHidden/>
          </w:rPr>
          <w:fldChar w:fldCharType="separate"/>
        </w:r>
        <w:r w:rsidR="00305D32">
          <w:rPr>
            <w:noProof/>
            <w:webHidden/>
          </w:rPr>
          <w:t>34</w:t>
        </w:r>
        <w:r w:rsidR="00305D32">
          <w:rPr>
            <w:noProof/>
            <w:webHidden/>
          </w:rPr>
          <w:fldChar w:fldCharType="end"/>
        </w:r>
      </w:hyperlink>
    </w:p>
    <w:p w14:paraId="4F139913"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62" w:history="1">
        <w:r w:rsidR="00305D32" w:rsidRPr="006C6367">
          <w:rPr>
            <w:rStyle w:val="Hyperlink"/>
            <w:noProof/>
          </w:rPr>
          <w:t xml:space="preserve">Table 1.3: </w:t>
        </w:r>
        <w:r w:rsidR="00305D32" w:rsidRPr="006C6367">
          <w:rPr>
            <w:rStyle w:val="Hyperlink"/>
            <w:rFonts w:cs="Tahoma"/>
            <w:noProof/>
            <w:lang w:eastAsia="en-US"/>
          </w:rPr>
          <w:t>Summary of assessment of likely significant environmental and social impacts and key mitigation</w:t>
        </w:r>
        <w:r w:rsidR="00305D32">
          <w:rPr>
            <w:noProof/>
            <w:webHidden/>
          </w:rPr>
          <w:tab/>
        </w:r>
        <w:r w:rsidR="00305D32">
          <w:rPr>
            <w:noProof/>
            <w:webHidden/>
          </w:rPr>
          <w:fldChar w:fldCharType="begin"/>
        </w:r>
        <w:r w:rsidR="00305D32">
          <w:rPr>
            <w:noProof/>
            <w:webHidden/>
          </w:rPr>
          <w:instrText xml:space="preserve"> PAGEREF _Toc113018162 \h </w:instrText>
        </w:r>
        <w:r w:rsidR="00305D32">
          <w:rPr>
            <w:noProof/>
            <w:webHidden/>
          </w:rPr>
        </w:r>
        <w:r w:rsidR="00305D32">
          <w:rPr>
            <w:noProof/>
            <w:webHidden/>
          </w:rPr>
          <w:fldChar w:fldCharType="separate"/>
        </w:r>
        <w:r w:rsidR="00305D32">
          <w:rPr>
            <w:noProof/>
            <w:webHidden/>
          </w:rPr>
          <w:t>36</w:t>
        </w:r>
        <w:r w:rsidR="00305D32">
          <w:rPr>
            <w:noProof/>
            <w:webHidden/>
          </w:rPr>
          <w:fldChar w:fldCharType="end"/>
        </w:r>
      </w:hyperlink>
    </w:p>
    <w:p w14:paraId="3DE44891"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63" w:history="1">
        <w:r w:rsidR="00305D32" w:rsidRPr="006C6367">
          <w:rPr>
            <w:rStyle w:val="Hyperlink"/>
            <w:noProof/>
          </w:rPr>
          <w:t>Table 3.1: Overview of Project costs per identified option</w:t>
        </w:r>
        <w:r w:rsidR="00305D32">
          <w:rPr>
            <w:noProof/>
            <w:webHidden/>
          </w:rPr>
          <w:tab/>
        </w:r>
        <w:r w:rsidR="00305D32">
          <w:rPr>
            <w:noProof/>
            <w:webHidden/>
          </w:rPr>
          <w:fldChar w:fldCharType="begin"/>
        </w:r>
        <w:r w:rsidR="00305D32">
          <w:rPr>
            <w:noProof/>
            <w:webHidden/>
          </w:rPr>
          <w:instrText xml:space="preserve"> PAGEREF _Toc113018163 \h </w:instrText>
        </w:r>
        <w:r w:rsidR="00305D32">
          <w:rPr>
            <w:noProof/>
            <w:webHidden/>
          </w:rPr>
        </w:r>
        <w:r w:rsidR="00305D32">
          <w:rPr>
            <w:noProof/>
            <w:webHidden/>
          </w:rPr>
          <w:fldChar w:fldCharType="separate"/>
        </w:r>
        <w:r w:rsidR="00305D32">
          <w:rPr>
            <w:noProof/>
            <w:webHidden/>
          </w:rPr>
          <w:t>84</w:t>
        </w:r>
        <w:r w:rsidR="00305D32">
          <w:rPr>
            <w:noProof/>
            <w:webHidden/>
          </w:rPr>
          <w:fldChar w:fldCharType="end"/>
        </w:r>
      </w:hyperlink>
    </w:p>
    <w:p w14:paraId="79C0B445"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64" w:history="1">
        <w:r w:rsidR="00305D32" w:rsidRPr="006C6367">
          <w:rPr>
            <w:rStyle w:val="Hyperlink"/>
            <w:noProof/>
          </w:rPr>
          <w:t>Table 3.2: Project economic indicators</w:t>
        </w:r>
        <w:r w:rsidR="00305D32">
          <w:rPr>
            <w:noProof/>
            <w:webHidden/>
          </w:rPr>
          <w:tab/>
        </w:r>
        <w:r w:rsidR="00305D32">
          <w:rPr>
            <w:noProof/>
            <w:webHidden/>
          </w:rPr>
          <w:fldChar w:fldCharType="begin"/>
        </w:r>
        <w:r w:rsidR="00305D32">
          <w:rPr>
            <w:noProof/>
            <w:webHidden/>
          </w:rPr>
          <w:instrText xml:space="preserve"> PAGEREF _Toc113018164 \h </w:instrText>
        </w:r>
        <w:r w:rsidR="00305D32">
          <w:rPr>
            <w:noProof/>
            <w:webHidden/>
          </w:rPr>
        </w:r>
        <w:r w:rsidR="00305D32">
          <w:rPr>
            <w:noProof/>
            <w:webHidden/>
          </w:rPr>
          <w:fldChar w:fldCharType="separate"/>
        </w:r>
        <w:r w:rsidR="00305D32">
          <w:rPr>
            <w:noProof/>
            <w:webHidden/>
          </w:rPr>
          <w:t>85</w:t>
        </w:r>
        <w:r w:rsidR="00305D32">
          <w:rPr>
            <w:noProof/>
            <w:webHidden/>
          </w:rPr>
          <w:fldChar w:fldCharType="end"/>
        </w:r>
      </w:hyperlink>
    </w:p>
    <w:p w14:paraId="70D0B3D9"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65" w:history="1">
        <w:r w:rsidR="00305D32" w:rsidRPr="006C6367">
          <w:rPr>
            <w:rStyle w:val="Hyperlink"/>
            <w:rFonts w:cs="Arial"/>
            <w:bCs/>
            <w:iCs/>
            <w:noProof/>
          </w:rPr>
          <w:t xml:space="preserve">Table 4.1: </w:t>
        </w:r>
        <w:r w:rsidR="00305D32" w:rsidRPr="006C6367">
          <w:rPr>
            <w:rStyle w:val="Hyperlink"/>
            <w:noProof/>
          </w:rPr>
          <w:t>Performance Requirements of the European Bank for Reconstruction and Development</w:t>
        </w:r>
        <w:r w:rsidR="00305D32">
          <w:rPr>
            <w:noProof/>
            <w:webHidden/>
          </w:rPr>
          <w:tab/>
        </w:r>
        <w:r w:rsidR="00305D32">
          <w:rPr>
            <w:noProof/>
            <w:webHidden/>
          </w:rPr>
          <w:fldChar w:fldCharType="begin"/>
        </w:r>
        <w:r w:rsidR="00305D32">
          <w:rPr>
            <w:noProof/>
            <w:webHidden/>
          </w:rPr>
          <w:instrText xml:space="preserve"> PAGEREF _Toc113018165 \h </w:instrText>
        </w:r>
        <w:r w:rsidR="00305D32">
          <w:rPr>
            <w:noProof/>
            <w:webHidden/>
          </w:rPr>
        </w:r>
        <w:r w:rsidR="00305D32">
          <w:rPr>
            <w:noProof/>
            <w:webHidden/>
          </w:rPr>
          <w:fldChar w:fldCharType="separate"/>
        </w:r>
        <w:r w:rsidR="00305D32">
          <w:rPr>
            <w:noProof/>
            <w:webHidden/>
          </w:rPr>
          <w:t>95</w:t>
        </w:r>
        <w:r w:rsidR="00305D32">
          <w:rPr>
            <w:noProof/>
            <w:webHidden/>
          </w:rPr>
          <w:fldChar w:fldCharType="end"/>
        </w:r>
      </w:hyperlink>
    </w:p>
    <w:p w14:paraId="1190848B"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66" w:history="1">
        <w:r w:rsidR="00305D32" w:rsidRPr="006C6367">
          <w:rPr>
            <w:rStyle w:val="Hyperlink"/>
            <w:rFonts w:cs="Arial"/>
            <w:bCs/>
            <w:iCs/>
            <w:noProof/>
          </w:rPr>
          <w:t>Table 5.1: Baseline surveys overtaken in the course of the environmental and social assessment</w:t>
        </w:r>
        <w:r w:rsidR="00305D32">
          <w:rPr>
            <w:noProof/>
            <w:webHidden/>
          </w:rPr>
          <w:tab/>
        </w:r>
        <w:r w:rsidR="00305D32">
          <w:rPr>
            <w:noProof/>
            <w:webHidden/>
          </w:rPr>
          <w:fldChar w:fldCharType="begin"/>
        </w:r>
        <w:r w:rsidR="00305D32">
          <w:rPr>
            <w:noProof/>
            <w:webHidden/>
          </w:rPr>
          <w:instrText xml:space="preserve"> PAGEREF _Toc113018166 \h </w:instrText>
        </w:r>
        <w:r w:rsidR="00305D32">
          <w:rPr>
            <w:noProof/>
            <w:webHidden/>
          </w:rPr>
        </w:r>
        <w:r w:rsidR="00305D32">
          <w:rPr>
            <w:noProof/>
            <w:webHidden/>
          </w:rPr>
          <w:fldChar w:fldCharType="separate"/>
        </w:r>
        <w:r w:rsidR="00305D32">
          <w:rPr>
            <w:noProof/>
            <w:webHidden/>
          </w:rPr>
          <w:t>101</w:t>
        </w:r>
        <w:r w:rsidR="00305D32">
          <w:rPr>
            <w:noProof/>
            <w:webHidden/>
          </w:rPr>
          <w:fldChar w:fldCharType="end"/>
        </w:r>
      </w:hyperlink>
    </w:p>
    <w:p w14:paraId="703993F2"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67" w:history="1">
        <w:r w:rsidR="00305D32" w:rsidRPr="006C6367">
          <w:rPr>
            <w:rStyle w:val="Hyperlink"/>
            <w:rFonts w:cs="Arial"/>
            <w:bCs/>
            <w:iCs/>
            <w:noProof/>
          </w:rPr>
          <w:t xml:space="preserve">Table 5.2: </w:t>
        </w:r>
        <w:r w:rsidR="00305D32" w:rsidRPr="006C6367">
          <w:rPr>
            <w:rStyle w:val="Hyperlink"/>
            <w:rFonts w:cs="Arial"/>
            <w:noProof/>
          </w:rPr>
          <w:t>Generic criteria and typical descriptors for assigning receptor sensitivity</w:t>
        </w:r>
        <w:r w:rsidR="00305D32" w:rsidRPr="006C6367">
          <w:rPr>
            <w:rStyle w:val="Hyperlink"/>
            <w:noProof/>
          </w:rPr>
          <w:t xml:space="preserve"> / value</w:t>
        </w:r>
        <w:r w:rsidR="00305D32">
          <w:rPr>
            <w:noProof/>
            <w:webHidden/>
          </w:rPr>
          <w:tab/>
        </w:r>
        <w:r w:rsidR="00305D32">
          <w:rPr>
            <w:noProof/>
            <w:webHidden/>
          </w:rPr>
          <w:fldChar w:fldCharType="begin"/>
        </w:r>
        <w:r w:rsidR="00305D32">
          <w:rPr>
            <w:noProof/>
            <w:webHidden/>
          </w:rPr>
          <w:instrText xml:space="preserve"> PAGEREF _Toc113018167 \h </w:instrText>
        </w:r>
        <w:r w:rsidR="00305D32">
          <w:rPr>
            <w:noProof/>
            <w:webHidden/>
          </w:rPr>
        </w:r>
        <w:r w:rsidR="00305D32">
          <w:rPr>
            <w:noProof/>
            <w:webHidden/>
          </w:rPr>
          <w:fldChar w:fldCharType="separate"/>
        </w:r>
        <w:r w:rsidR="00305D32">
          <w:rPr>
            <w:noProof/>
            <w:webHidden/>
          </w:rPr>
          <w:t>102</w:t>
        </w:r>
        <w:r w:rsidR="00305D32">
          <w:rPr>
            <w:noProof/>
            <w:webHidden/>
          </w:rPr>
          <w:fldChar w:fldCharType="end"/>
        </w:r>
      </w:hyperlink>
    </w:p>
    <w:p w14:paraId="6BEDA7BE"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68" w:history="1">
        <w:r w:rsidR="00305D32" w:rsidRPr="006C6367">
          <w:rPr>
            <w:rStyle w:val="Hyperlink"/>
            <w:rFonts w:cs="Arial"/>
            <w:bCs/>
            <w:iCs/>
            <w:noProof/>
          </w:rPr>
          <w:t xml:space="preserve">Table 5.3: </w:t>
        </w:r>
        <w:r w:rsidR="00305D32" w:rsidRPr="006C6367">
          <w:rPr>
            <w:rStyle w:val="Hyperlink"/>
            <w:rFonts w:cs="Arial"/>
            <w:noProof/>
          </w:rPr>
          <w:t>Typical impact appraisal matrix</w:t>
        </w:r>
        <w:r w:rsidR="00305D32">
          <w:rPr>
            <w:noProof/>
            <w:webHidden/>
          </w:rPr>
          <w:tab/>
        </w:r>
        <w:r w:rsidR="00305D32">
          <w:rPr>
            <w:noProof/>
            <w:webHidden/>
          </w:rPr>
          <w:fldChar w:fldCharType="begin"/>
        </w:r>
        <w:r w:rsidR="00305D32">
          <w:rPr>
            <w:noProof/>
            <w:webHidden/>
          </w:rPr>
          <w:instrText xml:space="preserve"> PAGEREF _Toc113018168 \h </w:instrText>
        </w:r>
        <w:r w:rsidR="00305D32">
          <w:rPr>
            <w:noProof/>
            <w:webHidden/>
          </w:rPr>
        </w:r>
        <w:r w:rsidR="00305D32">
          <w:rPr>
            <w:noProof/>
            <w:webHidden/>
          </w:rPr>
          <w:fldChar w:fldCharType="separate"/>
        </w:r>
        <w:r w:rsidR="00305D32">
          <w:rPr>
            <w:noProof/>
            <w:webHidden/>
          </w:rPr>
          <w:t>102</w:t>
        </w:r>
        <w:r w:rsidR="00305D32">
          <w:rPr>
            <w:noProof/>
            <w:webHidden/>
          </w:rPr>
          <w:fldChar w:fldCharType="end"/>
        </w:r>
      </w:hyperlink>
    </w:p>
    <w:p w14:paraId="1749158B"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69" w:history="1">
        <w:r w:rsidR="00305D32" w:rsidRPr="006C6367">
          <w:rPr>
            <w:rStyle w:val="Hyperlink"/>
            <w:rFonts w:cs="Arial"/>
            <w:bCs/>
            <w:iCs/>
            <w:noProof/>
          </w:rPr>
          <w:t xml:space="preserve">Table 5.4: </w:t>
        </w:r>
        <w:r w:rsidR="00305D32" w:rsidRPr="006C6367">
          <w:rPr>
            <w:rStyle w:val="Hyperlink"/>
            <w:rFonts w:cs="Arial"/>
            <w:noProof/>
          </w:rPr>
          <w:t>Generic criteria and typical descriptors for determining impact magnitude / scale</w:t>
        </w:r>
        <w:r w:rsidR="00305D32">
          <w:rPr>
            <w:noProof/>
            <w:webHidden/>
          </w:rPr>
          <w:tab/>
        </w:r>
        <w:r w:rsidR="00305D32">
          <w:rPr>
            <w:noProof/>
            <w:webHidden/>
          </w:rPr>
          <w:fldChar w:fldCharType="begin"/>
        </w:r>
        <w:r w:rsidR="00305D32">
          <w:rPr>
            <w:noProof/>
            <w:webHidden/>
          </w:rPr>
          <w:instrText xml:space="preserve"> PAGEREF _Toc113018169 \h </w:instrText>
        </w:r>
        <w:r w:rsidR="00305D32">
          <w:rPr>
            <w:noProof/>
            <w:webHidden/>
          </w:rPr>
        </w:r>
        <w:r w:rsidR="00305D32">
          <w:rPr>
            <w:noProof/>
            <w:webHidden/>
          </w:rPr>
          <w:fldChar w:fldCharType="separate"/>
        </w:r>
        <w:r w:rsidR="00305D32">
          <w:rPr>
            <w:noProof/>
            <w:webHidden/>
          </w:rPr>
          <w:t>103</w:t>
        </w:r>
        <w:r w:rsidR="00305D32">
          <w:rPr>
            <w:noProof/>
            <w:webHidden/>
          </w:rPr>
          <w:fldChar w:fldCharType="end"/>
        </w:r>
      </w:hyperlink>
    </w:p>
    <w:p w14:paraId="69CC302A"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70" w:history="1">
        <w:r w:rsidR="00305D32" w:rsidRPr="006C6367">
          <w:rPr>
            <w:rStyle w:val="Hyperlink"/>
            <w:rFonts w:cs="Arial"/>
            <w:bCs/>
            <w:iCs/>
            <w:noProof/>
          </w:rPr>
          <w:t xml:space="preserve">Table 5.5: </w:t>
        </w:r>
        <w:r w:rsidR="00305D32" w:rsidRPr="006C6367">
          <w:rPr>
            <w:rStyle w:val="Hyperlink"/>
            <w:rFonts w:cs="Arial"/>
            <w:noProof/>
          </w:rPr>
          <w:t>Typical impact significance matrix</w:t>
        </w:r>
        <w:r w:rsidR="00305D32">
          <w:rPr>
            <w:noProof/>
            <w:webHidden/>
          </w:rPr>
          <w:tab/>
        </w:r>
        <w:r w:rsidR="00305D32">
          <w:rPr>
            <w:noProof/>
            <w:webHidden/>
          </w:rPr>
          <w:fldChar w:fldCharType="begin"/>
        </w:r>
        <w:r w:rsidR="00305D32">
          <w:rPr>
            <w:noProof/>
            <w:webHidden/>
          </w:rPr>
          <w:instrText xml:space="preserve"> PAGEREF _Toc113018170 \h </w:instrText>
        </w:r>
        <w:r w:rsidR="00305D32">
          <w:rPr>
            <w:noProof/>
            <w:webHidden/>
          </w:rPr>
        </w:r>
        <w:r w:rsidR="00305D32">
          <w:rPr>
            <w:noProof/>
            <w:webHidden/>
          </w:rPr>
          <w:fldChar w:fldCharType="separate"/>
        </w:r>
        <w:r w:rsidR="00305D32">
          <w:rPr>
            <w:noProof/>
            <w:webHidden/>
          </w:rPr>
          <w:t>104</w:t>
        </w:r>
        <w:r w:rsidR="00305D32">
          <w:rPr>
            <w:noProof/>
            <w:webHidden/>
          </w:rPr>
          <w:fldChar w:fldCharType="end"/>
        </w:r>
      </w:hyperlink>
    </w:p>
    <w:p w14:paraId="59609DB6"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71" w:history="1">
        <w:r w:rsidR="00305D32" w:rsidRPr="006C6367">
          <w:rPr>
            <w:rStyle w:val="Hyperlink"/>
            <w:rFonts w:cs="Arial"/>
            <w:bCs/>
            <w:iCs/>
            <w:noProof/>
          </w:rPr>
          <w:t xml:space="preserve">Table 5.6: </w:t>
        </w:r>
        <w:r w:rsidR="00305D32" w:rsidRPr="006C6367">
          <w:rPr>
            <w:rStyle w:val="Hyperlink"/>
            <w:rFonts w:cs="Arial"/>
            <w:noProof/>
          </w:rPr>
          <w:t>Typical impact significance categories and their decision-making aspects</w:t>
        </w:r>
        <w:r w:rsidR="00305D32">
          <w:rPr>
            <w:noProof/>
            <w:webHidden/>
          </w:rPr>
          <w:tab/>
        </w:r>
        <w:r w:rsidR="00305D32">
          <w:rPr>
            <w:noProof/>
            <w:webHidden/>
          </w:rPr>
          <w:fldChar w:fldCharType="begin"/>
        </w:r>
        <w:r w:rsidR="00305D32">
          <w:rPr>
            <w:noProof/>
            <w:webHidden/>
          </w:rPr>
          <w:instrText xml:space="preserve"> PAGEREF _Toc113018171 \h </w:instrText>
        </w:r>
        <w:r w:rsidR="00305D32">
          <w:rPr>
            <w:noProof/>
            <w:webHidden/>
          </w:rPr>
        </w:r>
        <w:r w:rsidR="00305D32">
          <w:rPr>
            <w:noProof/>
            <w:webHidden/>
          </w:rPr>
          <w:fldChar w:fldCharType="separate"/>
        </w:r>
        <w:r w:rsidR="00305D32">
          <w:rPr>
            <w:noProof/>
            <w:webHidden/>
          </w:rPr>
          <w:t>104</w:t>
        </w:r>
        <w:r w:rsidR="00305D32">
          <w:rPr>
            <w:noProof/>
            <w:webHidden/>
          </w:rPr>
          <w:fldChar w:fldCharType="end"/>
        </w:r>
      </w:hyperlink>
    </w:p>
    <w:p w14:paraId="6A8F42E1"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72" w:history="1">
        <w:r w:rsidR="00305D32" w:rsidRPr="006C6367">
          <w:rPr>
            <w:rStyle w:val="Hyperlink"/>
            <w:noProof/>
          </w:rPr>
          <w:t xml:space="preserve">Table 7.1: </w:t>
        </w:r>
        <w:r w:rsidR="00305D32" w:rsidRPr="006C6367">
          <w:rPr>
            <w:rStyle w:val="Hyperlink"/>
            <w:iCs/>
            <w:noProof/>
          </w:rPr>
          <w:t>GHG emissions and removals (net emission) by sector (in Gg CO</w:t>
        </w:r>
        <w:r w:rsidR="00305D32" w:rsidRPr="006C6367">
          <w:rPr>
            <w:rStyle w:val="Hyperlink"/>
            <w:iCs/>
            <w:noProof/>
            <w:vertAlign w:val="subscript"/>
          </w:rPr>
          <w:t>2</w:t>
        </w:r>
        <w:r w:rsidR="00305D32" w:rsidRPr="006C6367">
          <w:rPr>
            <w:rStyle w:val="Hyperlink"/>
            <w:iCs/>
            <w:noProof/>
          </w:rPr>
          <w:t>-eq)</w:t>
        </w:r>
        <w:r w:rsidR="00305D32">
          <w:rPr>
            <w:noProof/>
            <w:webHidden/>
          </w:rPr>
          <w:tab/>
        </w:r>
        <w:r w:rsidR="00305D32">
          <w:rPr>
            <w:noProof/>
            <w:webHidden/>
          </w:rPr>
          <w:fldChar w:fldCharType="begin"/>
        </w:r>
        <w:r w:rsidR="00305D32">
          <w:rPr>
            <w:noProof/>
            <w:webHidden/>
          </w:rPr>
          <w:instrText xml:space="preserve"> PAGEREF _Toc113018172 \h </w:instrText>
        </w:r>
        <w:r w:rsidR="00305D32">
          <w:rPr>
            <w:noProof/>
            <w:webHidden/>
          </w:rPr>
        </w:r>
        <w:r w:rsidR="00305D32">
          <w:rPr>
            <w:noProof/>
            <w:webHidden/>
          </w:rPr>
          <w:fldChar w:fldCharType="separate"/>
        </w:r>
        <w:r w:rsidR="00305D32">
          <w:rPr>
            <w:noProof/>
            <w:webHidden/>
          </w:rPr>
          <w:t>110</w:t>
        </w:r>
        <w:r w:rsidR="00305D32">
          <w:rPr>
            <w:noProof/>
            <w:webHidden/>
          </w:rPr>
          <w:fldChar w:fldCharType="end"/>
        </w:r>
      </w:hyperlink>
    </w:p>
    <w:p w14:paraId="1505A3EF"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73" w:history="1">
        <w:r w:rsidR="00305D32" w:rsidRPr="006C6367">
          <w:rPr>
            <w:rStyle w:val="Hyperlink"/>
            <w:noProof/>
          </w:rPr>
          <w:t>Table 7.2: Climate-related hazards in Project region (Gevgelija)</w:t>
        </w:r>
        <w:r w:rsidR="00305D32">
          <w:rPr>
            <w:noProof/>
            <w:webHidden/>
          </w:rPr>
          <w:tab/>
        </w:r>
        <w:r w:rsidR="00305D32">
          <w:rPr>
            <w:noProof/>
            <w:webHidden/>
          </w:rPr>
          <w:fldChar w:fldCharType="begin"/>
        </w:r>
        <w:r w:rsidR="00305D32">
          <w:rPr>
            <w:noProof/>
            <w:webHidden/>
          </w:rPr>
          <w:instrText xml:space="preserve"> PAGEREF _Toc113018173 \h </w:instrText>
        </w:r>
        <w:r w:rsidR="00305D32">
          <w:rPr>
            <w:noProof/>
            <w:webHidden/>
          </w:rPr>
        </w:r>
        <w:r w:rsidR="00305D32">
          <w:rPr>
            <w:noProof/>
            <w:webHidden/>
          </w:rPr>
          <w:fldChar w:fldCharType="separate"/>
        </w:r>
        <w:r w:rsidR="00305D32">
          <w:rPr>
            <w:noProof/>
            <w:webHidden/>
          </w:rPr>
          <w:t>118</w:t>
        </w:r>
        <w:r w:rsidR="00305D32">
          <w:rPr>
            <w:noProof/>
            <w:webHidden/>
          </w:rPr>
          <w:fldChar w:fldCharType="end"/>
        </w:r>
      </w:hyperlink>
    </w:p>
    <w:p w14:paraId="146EB469"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74" w:history="1">
        <w:r w:rsidR="00305D32" w:rsidRPr="006C6367">
          <w:rPr>
            <w:rStyle w:val="Hyperlink"/>
            <w:noProof/>
          </w:rPr>
          <w:t>Table 7.3: Climate-related hazards in Project region (Valandovo)</w:t>
        </w:r>
        <w:r w:rsidR="00305D32">
          <w:rPr>
            <w:noProof/>
            <w:webHidden/>
          </w:rPr>
          <w:tab/>
        </w:r>
        <w:r w:rsidR="00305D32">
          <w:rPr>
            <w:noProof/>
            <w:webHidden/>
          </w:rPr>
          <w:fldChar w:fldCharType="begin"/>
        </w:r>
        <w:r w:rsidR="00305D32">
          <w:rPr>
            <w:noProof/>
            <w:webHidden/>
          </w:rPr>
          <w:instrText xml:space="preserve"> PAGEREF _Toc113018174 \h </w:instrText>
        </w:r>
        <w:r w:rsidR="00305D32">
          <w:rPr>
            <w:noProof/>
            <w:webHidden/>
          </w:rPr>
        </w:r>
        <w:r w:rsidR="00305D32">
          <w:rPr>
            <w:noProof/>
            <w:webHidden/>
          </w:rPr>
          <w:fldChar w:fldCharType="separate"/>
        </w:r>
        <w:r w:rsidR="00305D32">
          <w:rPr>
            <w:noProof/>
            <w:webHidden/>
          </w:rPr>
          <w:t>119</w:t>
        </w:r>
        <w:r w:rsidR="00305D32">
          <w:rPr>
            <w:noProof/>
            <w:webHidden/>
          </w:rPr>
          <w:fldChar w:fldCharType="end"/>
        </w:r>
      </w:hyperlink>
    </w:p>
    <w:p w14:paraId="760BD68A"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75" w:history="1">
        <w:r w:rsidR="00305D32" w:rsidRPr="006C6367">
          <w:rPr>
            <w:rStyle w:val="Hyperlink"/>
            <w:noProof/>
          </w:rPr>
          <w:t xml:space="preserve">Table 7.4: Features of water environment within the study area of the proposed new 400/110 kV SS Miletkovo and 110 kV </w:t>
        </w:r>
        <w:r w:rsidR="00305D32" w:rsidRPr="006C6367">
          <w:rPr>
            <w:rStyle w:val="Hyperlink"/>
            <w:rFonts w:cs="Tahoma"/>
            <w:noProof/>
          </w:rPr>
          <w:t>connectors</w:t>
        </w:r>
        <w:r w:rsidR="00305D32">
          <w:rPr>
            <w:noProof/>
            <w:webHidden/>
          </w:rPr>
          <w:tab/>
        </w:r>
        <w:r w:rsidR="00305D32">
          <w:rPr>
            <w:noProof/>
            <w:webHidden/>
          </w:rPr>
          <w:fldChar w:fldCharType="begin"/>
        </w:r>
        <w:r w:rsidR="00305D32">
          <w:rPr>
            <w:noProof/>
            <w:webHidden/>
          </w:rPr>
          <w:instrText xml:space="preserve"> PAGEREF _Toc113018175 \h </w:instrText>
        </w:r>
        <w:r w:rsidR="00305D32">
          <w:rPr>
            <w:noProof/>
            <w:webHidden/>
          </w:rPr>
        </w:r>
        <w:r w:rsidR="00305D32">
          <w:rPr>
            <w:noProof/>
            <w:webHidden/>
          </w:rPr>
          <w:fldChar w:fldCharType="separate"/>
        </w:r>
        <w:r w:rsidR="00305D32">
          <w:rPr>
            <w:noProof/>
            <w:webHidden/>
          </w:rPr>
          <w:t>120</w:t>
        </w:r>
        <w:r w:rsidR="00305D32">
          <w:rPr>
            <w:noProof/>
            <w:webHidden/>
          </w:rPr>
          <w:fldChar w:fldCharType="end"/>
        </w:r>
      </w:hyperlink>
    </w:p>
    <w:p w14:paraId="3F326764"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76" w:history="1">
        <w:r w:rsidR="00305D32" w:rsidRPr="006C6367">
          <w:rPr>
            <w:rStyle w:val="Hyperlink"/>
            <w:noProof/>
          </w:rPr>
          <w:t xml:space="preserve">Table 7.5: </w:t>
        </w:r>
        <w:r w:rsidR="00305D32" w:rsidRPr="006C6367">
          <w:rPr>
            <w:rStyle w:val="Hyperlink"/>
            <w:bCs/>
            <w:noProof/>
          </w:rPr>
          <w:t>Preliminary assessment of ecological status of River Vardar Basin</w:t>
        </w:r>
        <w:r w:rsidR="00305D32">
          <w:rPr>
            <w:noProof/>
            <w:webHidden/>
          </w:rPr>
          <w:tab/>
        </w:r>
        <w:r w:rsidR="00305D32">
          <w:rPr>
            <w:noProof/>
            <w:webHidden/>
          </w:rPr>
          <w:fldChar w:fldCharType="begin"/>
        </w:r>
        <w:r w:rsidR="00305D32">
          <w:rPr>
            <w:noProof/>
            <w:webHidden/>
          </w:rPr>
          <w:instrText xml:space="preserve"> PAGEREF _Toc113018176 \h </w:instrText>
        </w:r>
        <w:r w:rsidR="00305D32">
          <w:rPr>
            <w:noProof/>
            <w:webHidden/>
          </w:rPr>
        </w:r>
        <w:r w:rsidR="00305D32">
          <w:rPr>
            <w:noProof/>
            <w:webHidden/>
          </w:rPr>
          <w:fldChar w:fldCharType="separate"/>
        </w:r>
        <w:r w:rsidR="00305D32">
          <w:rPr>
            <w:noProof/>
            <w:webHidden/>
          </w:rPr>
          <w:t>122</w:t>
        </w:r>
        <w:r w:rsidR="00305D32">
          <w:rPr>
            <w:noProof/>
            <w:webHidden/>
          </w:rPr>
          <w:fldChar w:fldCharType="end"/>
        </w:r>
      </w:hyperlink>
    </w:p>
    <w:p w14:paraId="0BB53987"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77" w:history="1">
        <w:r w:rsidR="00305D32" w:rsidRPr="006C6367">
          <w:rPr>
            <w:rStyle w:val="Hyperlink"/>
            <w:noProof/>
          </w:rPr>
          <w:t>Table 7.6: Land cover according to CORINE Land Cover types within the study area of the proposed reconstruction of the existing 110 kV OHL from SS Valandovo to SS ‘EVP’ Miletkovo</w:t>
        </w:r>
        <w:r w:rsidR="00305D32">
          <w:rPr>
            <w:noProof/>
            <w:webHidden/>
          </w:rPr>
          <w:tab/>
        </w:r>
        <w:r w:rsidR="00305D32">
          <w:rPr>
            <w:noProof/>
            <w:webHidden/>
          </w:rPr>
          <w:fldChar w:fldCharType="begin"/>
        </w:r>
        <w:r w:rsidR="00305D32">
          <w:rPr>
            <w:noProof/>
            <w:webHidden/>
          </w:rPr>
          <w:instrText xml:space="preserve"> PAGEREF _Toc113018177 \h </w:instrText>
        </w:r>
        <w:r w:rsidR="00305D32">
          <w:rPr>
            <w:noProof/>
            <w:webHidden/>
          </w:rPr>
        </w:r>
        <w:r w:rsidR="00305D32">
          <w:rPr>
            <w:noProof/>
            <w:webHidden/>
          </w:rPr>
          <w:fldChar w:fldCharType="separate"/>
        </w:r>
        <w:r w:rsidR="00305D32">
          <w:rPr>
            <w:noProof/>
            <w:webHidden/>
          </w:rPr>
          <w:t>124</w:t>
        </w:r>
        <w:r w:rsidR="00305D32">
          <w:rPr>
            <w:noProof/>
            <w:webHidden/>
          </w:rPr>
          <w:fldChar w:fldCharType="end"/>
        </w:r>
      </w:hyperlink>
    </w:p>
    <w:p w14:paraId="426CAD7C"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78" w:history="1">
        <w:r w:rsidR="00305D32" w:rsidRPr="006C6367">
          <w:rPr>
            <w:rStyle w:val="Hyperlink"/>
            <w:noProof/>
          </w:rPr>
          <w:t>Table 7.7: Land cover according to CORINE Land Cover types within the study area of the proposed construction of a new 110 kV OHL connectors of the new 400/110 kV SS Miletkovo with the existing SS ‘EVP’ Miletkovo</w:t>
        </w:r>
        <w:r w:rsidR="00305D32">
          <w:rPr>
            <w:noProof/>
            <w:webHidden/>
          </w:rPr>
          <w:tab/>
        </w:r>
        <w:r w:rsidR="00305D32">
          <w:rPr>
            <w:noProof/>
            <w:webHidden/>
          </w:rPr>
          <w:fldChar w:fldCharType="begin"/>
        </w:r>
        <w:r w:rsidR="00305D32">
          <w:rPr>
            <w:noProof/>
            <w:webHidden/>
          </w:rPr>
          <w:instrText xml:space="preserve"> PAGEREF _Toc113018178 \h </w:instrText>
        </w:r>
        <w:r w:rsidR="00305D32">
          <w:rPr>
            <w:noProof/>
            <w:webHidden/>
          </w:rPr>
        </w:r>
        <w:r w:rsidR="00305D32">
          <w:rPr>
            <w:noProof/>
            <w:webHidden/>
          </w:rPr>
          <w:fldChar w:fldCharType="separate"/>
        </w:r>
        <w:r w:rsidR="00305D32">
          <w:rPr>
            <w:noProof/>
            <w:webHidden/>
          </w:rPr>
          <w:t>125</w:t>
        </w:r>
        <w:r w:rsidR="00305D32">
          <w:rPr>
            <w:noProof/>
            <w:webHidden/>
          </w:rPr>
          <w:fldChar w:fldCharType="end"/>
        </w:r>
      </w:hyperlink>
    </w:p>
    <w:p w14:paraId="5E4845C9"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79" w:history="1">
        <w:r w:rsidR="00305D32" w:rsidRPr="006C6367">
          <w:rPr>
            <w:rStyle w:val="Hyperlink"/>
            <w:noProof/>
          </w:rPr>
          <w:t>Table 7.8:</w:t>
        </w:r>
        <w:r w:rsidR="00305D32" w:rsidRPr="006C6367">
          <w:rPr>
            <w:rStyle w:val="Hyperlink"/>
            <w:b/>
            <w:noProof/>
          </w:rPr>
          <w:t xml:space="preserve"> </w:t>
        </w:r>
        <w:r w:rsidR="00305D32" w:rsidRPr="006C6367">
          <w:rPr>
            <w:rStyle w:val="Hyperlink"/>
            <w:noProof/>
          </w:rPr>
          <w:t>Habitats within study area, their valorization and distribution per Project element</w:t>
        </w:r>
        <w:r w:rsidR="00305D32">
          <w:rPr>
            <w:noProof/>
            <w:webHidden/>
          </w:rPr>
          <w:tab/>
        </w:r>
        <w:r w:rsidR="00305D32">
          <w:rPr>
            <w:noProof/>
            <w:webHidden/>
          </w:rPr>
          <w:fldChar w:fldCharType="begin"/>
        </w:r>
        <w:r w:rsidR="00305D32">
          <w:rPr>
            <w:noProof/>
            <w:webHidden/>
          </w:rPr>
          <w:instrText xml:space="preserve"> PAGEREF _Toc113018179 \h </w:instrText>
        </w:r>
        <w:r w:rsidR="00305D32">
          <w:rPr>
            <w:noProof/>
            <w:webHidden/>
          </w:rPr>
        </w:r>
        <w:r w:rsidR="00305D32">
          <w:rPr>
            <w:noProof/>
            <w:webHidden/>
          </w:rPr>
          <w:fldChar w:fldCharType="separate"/>
        </w:r>
        <w:r w:rsidR="00305D32">
          <w:rPr>
            <w:noProof/>
            <w:webHidden/>
          </w:rPr>
          <w:t>130</w:t>
        </w:r>
        <w:r w:rsidR="00305D32">
          <w:rPr>
            <w:noProof/>
            <w:webHidden/>
          </w:rPr>
          <w:fldChar w:fldCharType="end"/>
        </w:r>
      </w:hyperlink>
    </w:p>
    <w:p w14:paraId="15AA24C3"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80" w:history="1">
        <w:r w:rsidR="00305D32" w:rsidRPr="006C6367">
          <w:rPr>
            <w:rStyle w:val="Hyperlink"/>
            <w:noProof/>
          </w:rPr>
          <w:t>Table 7.9:</w:t>
        </w:r>
        <w:r w:rsidR="00305D32" w:rsidRPr="006C6367">
          <w:rPr>
            <w:rStyle w:val="Hyperlink"/>
            <w:b/>
            <w:noProof/>
          </w:rPr>
          <w:t xml:space="preserve"> </w:t>
        </w:r>
        <w:r w:rsidR="00305D32" w:rsidRPr="006C6367">
          <w:rPr>
            <w:rStyle w:val="Hyperlink"/>
            <w:noProof/>
          </w:rPr>
          <w:t>Flora within study area, valorization and distribution per Project element</w:t>
        </w:r>
        <w:r w:rsidR="00305D32">
          <w:rPr>
            <w:noProof/>
            <w:webHidden/>
          </w:rPr>
          <w:tab/>
        </w:r>
        <w:r w:rsidR="00305D32">
          <w:rPr>
            <w:noProof/>
            <w:webHidden/>
          </w:rPr>
          <w:fldChar w:fldCharType="begin"/>
        </w:r>
        <w:r w:rsidR="00305D32">
          <w:rPr>
            <w:noProof/>
            <w:webHidden/>
          </w:rPr>
          <w:instrText xml:space="preserve"> PAGEREF _Toc113018180 \h </w:instrText>
        </w:r>
        <w:r w:rsidR="00305D32">
          <w:rPr>
            <w:noProof/>
            <w:webHidden/>
          </w:rPr>
        </w:r>
        <w:r w:rsidR="00305D32">
          <w:rPr>
            <w:noProof/>
            <w:webHidden/>
          </w:rPr>
          <w:fldChar w:fldCharType="separate"/>
        </w:r>
        <w:r w:rsidR="00305D32">
          <w:rPr>
            <w:noProof/>
            <w:webHidden/>
          </w:rPr>
          <w:t>131</w:t>
        </w:r>
        <w:r w:rsidR="00305D32">
          <w:rPr>
            <w:noProof/>
            <w:webHidden/>
          </w:rPr>
          <w:fldChar w:fldCharType="end"/>
        </w:r>
      </w:hyperlink>
    </w:p>
    <w:p w14:paraId="3B51002B"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81" w:history="1">
        <w:r w:rsidR="00305D32" w:rsidRPr="006C6367">
          <w:rPr>
            <w:rStyle w:val="Hyperlink"/>
            <w:noProof/>
          </w:rPr>
          <w:t>Table 7.10:</w:t>
        </w:r>
        <w:r w:rsidR="00305D32" w:rsidRPr="006C6367">
          <w:rPr>
            <w:rStyle w:val="Hyperlink"/>
            <w:b/>
            <w:noProof/>
          </w:rPr>
          <w:t xml:space="preserve"> </w:t>
        </w:r>
        <w:r w:rsidR="00305D32" w:rsidRPr="006C6367">
          <w:rPr>
            <w:rStyle w:val="Hyperlink"/>
            <w:noProof/>
          </w:rPr>
          <w:t>Bird fauna within study area, valorization and distribution per project element</w:t>
        </w:r>
        <w:r w:rsidR="00305D32">
          <w:rPr>
            <w:noProof/>
            <w:webHidden/>
          </w:rPr>
          <w:tab/>
        </w:r>
        <w:r w:rsidR="00305D32">
          <w:rPr>
            <w:noProof/>
            <w:webHidden/>
          </w:rPr>
          <w:fldChar w:fldCharType="begin"/>
        </w:r>
        <w:r w:rsidR="00305D32">
          <w:rPr>
            <w:noProof/>
            <w:webHidden/>
          </w:rPr>
          <w:instrText xml:space="preserve"> PAGEREF _Toc113018181 \h </w:instrText>
        </w:r>
        <w:r w:rsidR="00305D32">
          <w:rPr>
            <w:noProof/>
            <w:webHidden/>
          </w:rPr>
        </w:r>
        <w:r w:rsidR="00305D32">
          <w:rPr>
            <w:noProof/>
            <w:webHidden/>
          </w:rPr>
          <w:fldChar w:fldCharType="separate"/>
        </w:r>
        <w:r w:rsidR="00305D32">
          <w:rPr>
            <w:noProof/>
            <w:webHidden/>
          </w:rPr>
          <w:t>132</w:t>
        </w:r>
        <w:r w:rsidR="00305D32">
          <w:rPr>
            <w:noProof/>
            <w:webHidden/>
          </w:rPr>
          <w:fldChar w:fldCharType="end"/>
        </w:r>
      </w:hyperlink>
    </w:p>
    <w:p w14:paraId="2D80355C"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82" w:history="1">
        <w:r w:rsidR="00305D32" w:rsidRPr="006C6367">
          <w:rPr>
            <w:rStyle w:val="Hyperlink"/>
            <w:noProof/>
          </w:rPr>
          <w:t>Table 7.11:</w:t>
        </w:r>
        <w:r w:rsidR="00305D32" w:rsidRPr="006C6367">
          <w:rPr>
            <w:rStyle w:val="Hyperlink"/>
            <w:b/>
            <w:noProof/>
          </w:rPr>
          <w:t xml:space="preserve"> </w:t>
        </w:r>
        <w:r w:rsidR="00305D32" w:rsidRPr="006C6367">
          <w:rPr>
            <w:rStyle w:val="Hyperlink"/>
            <w:noProof/>
          </w:rPr>
          <w:t>Fauna species (birds excluded) within study area, valorization and distribution per project element</w:t>
        </w:r>
        <w:r w:rsidR="00305D32">
          <w:rPr>
            <w:noProof/>
            <w:webHidden/>
          </w:rPr>
          <w:tab/>
        </w:r>
        <w:r w:rsidR="00305D32">
          <w:rPr>
            <w:noProof/>
            <w:webHidden/>
          </w:rPr>
          <w:fldChar w:fldCharType="begin"/>
        </w:r>
        <w:r w:rsidR="00305D32">
          <w:rPr>
            <w:noProof/>
            <w:webHidden/>
          </w:rPr>
          <w:instrText xml:space="preserve"> PAGEREF _Toc113018182 \h </w:instrText>
        </w:r>
        <w:r w:rsidR="00305D32">
          <w:rPr>
            <w:noProof/>
            <w:webHidden/>
          </w:rPr>
        </w:r>
        <w:r w:rsidR="00305D32">
          <w:rPr>
            <w:noProof/>
            <w:webHidden/>
          </w:rPr>
          <w:fldChar w:fldCharType="separate"/>
        </w:r>
        <w:r w:rsidR="00305D32">
          <w:rPr>
            <w:noProof/>
            <w:webHidden/>
          </w:rPr>
          <w:t>134</w:t>
        </w:r>
        <w:r w:rsidR="00305D32">
          <w:rPr>
            <w:noProof/>
            <w:webHidden/>
          </w:rPr>
          <w:fldChar w:fldCharType="end"/>
        </w:r>
      </w:hyperlink>
    </w:p>
    <w:p w14:paraId="2A8BC5B1"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83" w:history="1">
        <w:r w:rsidR="00305D32" w:rsidRPr="006C6367">
          <w:rPr>
            <w:rStyle w:val="Hyperlink"/>
            <w:rFonts w:cs="Tahoma"/>
            <w:noProof/>
          </w:rPr>
          <w:t>Table 7.12:</w:t>
        </w:r>
        <w:r w:rsidR="00305D32" w:rsidRPr="006C6367">
          <w:rPr>
            <w:rStyle w:val="Hyperlink"/>
            <w:rFonts w:cs="Tahoma"/>
            <w:b/>
            <w:noProof/>
          </w:rPr>
          <w:t xml:space="preserve"> </w:t>
        </w:r>
        <w:r w:rsidR="00305D32" w:rsidRPr="006C6367">
          <w:rPr>
            <w:rStyle w:val="Hyperlink"/>
            <w:rFonts w:cs="Tahoma"/>
            <w:noProof/>
          </w:rPr>
          <w:t>Criteria and conditions for identifying priority biodiversity features and critical habitats</w:t>
        </w:r>
        <w:r w:rsidR="00305D32">
          <w:rPr>
            <w:noProof/>
            <w:webHidden/>
          </w:rPr>
          <w:tab/>
        </w:r>
        <w:r w:rsidR="00305D32">
          <w:rPr>
            <w:noProof/>
            <w:webHidden/>
          </w:rPr>
          <w:fldChar w:fldCharType="begin"/>
        </w:r>
        <w:r w:rsidR="00305D32">
          <w:rPr>
            <w:noProof/>
            <w:webHidden/>
          </w:rPr>
          <w:instrText xml:space="preserve"> PAGEREF _Toc113018183 \h </w:instrText>
        </w:r>
        <w:r w:rsidR="00305D32">
          <w:rPr>
            <w:noProof/>
            <w:webHidden/>
          </w:rPr>
        </w:r>
        <w:r w:rsidR="00305D32">
          <w:rPr>
            <w:noProof/>
            <w:webHidden/>
          </w:rPr>
          <w:fldChar w:fldCharType="separate"/>
        </w:r>
        <w:r w:rsidR="00305D32">
          <w:rPr>
            <w:noProof/>
            <w:webHidden/>
          </w:rPr>
          <w:t>136</w:t>
        </w:r>
        <w:r w:rsidR="00305D32">
          <w:rPr>
            <w:noProof/>
            <w:webHidden/>
          </w:rPr>
          <w:fldChar w:fldCharType="end"/>
        </w:r>
      </w:hyperlink>
    </w:p>
    <w:p w14:paraId="4F2BE4C7"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84" w:history="1">
        <w:r w:rsidR="00305D32" w:rsidRPr="006C6367">
          <w:rPr>
            <w:rStyle w:val="Hyperlink"/>
            <w:rFonts w:cs="Tahoma"/>
            <w:noProof/>
          </w:rPr>
          <w:t>Table 7.13:</w:t>
        </w:r>
        <w:r w:rsidR="00305D32" w:rsidRPr="006C6367">
          <w:rPr>
            <w:rStyle w:val="Hyperlink"/>
            <w:rFonts w:cs="Tahoma"/>
            <w:b/>
            <w:noProof/>
          </w:rPr>
          <w:t xml:space="preserve"> </w:t>
        </w:r>
        <w:r w:rsidR="00305D32" w:rsidRPr="006C6367">
          <w:rPr>
            <w:rStyle w:val="Hyperlink"/>
            <w:rFonts w:cs="Tahoma"/>
            <w:noProof/>
          </w:rPr>
          <w:t>Threatened species that qualify for Critical Habitat and Priority Biodiversity Features</w:t>
        </w:r>
        <w:r w:rsidR="00305D32">
          <w:rPr>
            <w:noProof/>
            <w:webHidden/>
          </w:rPr>
          <w:tab/>
        </w:r>
        <w:r w:rsidR="00305D32">
          <w:rPr>
            <w:noProof/>
            <w:webHidden/>
          </w:rPr>
          <w:fldChar w:fldCharType="begin"/>
        </w:r>
        <w:r w:rsidR="00305D32">
          <w:rPr>
            <w:noProof/>
            <w:webHidden/>
          </w:rPr>
          <w:instrText xml:space="preserve"> PAGEREF _Toc113018184 \h </w:instrText>
        </w:r>
        <w:r w:rsidR="00305D32">
          <w:rPr>
            <w:noProof/>
            <w:webHidden/>
          </w:rPr>
        </w:r>
        <w:r w:rsidR="00305D32">
          <w:rPr>
            <w:noProof/>
            <w:webHidden/>
          </w:rPr>
          <w:fldChar w:fldCharType="separate"/>
        </w:r>
        <w:r w:rsidR="00305D32">
          <w:rPr>
            <w:noProof/>
            <w:webHidden/>
          </w:rPr>
          <w:t>138</w:t>
        </w:r>
        <w:r w:rsidR="00305D32">
          <w:rPr>
            <w:noProof/>
            <w:webHidden/>
          </w:rPr>
          <w:fldChar w:fldCharType="end"/>
        </w:r>
      </w:hyperlink>
    </w:p>
    <w:p w14:paraId="61F47916"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85" w:history="1">
        <w:r w:rsidR="00305D32" w:rsidRPr="006C6367">
          <w:rPr>
            <w:rStyle w:val="Hyperlink"/>
            <w:rFonts w:cs="Tahoma"/>
            <w:noProof/>
          </w:rPr>
          <w:t>Table 7.14:</w:t>
        </w:r>
        <w:r w:rsidR="00305D32" w:rsidRPr="006C6367">
          <w:rPr>
            <w:rStyle w:val="Hyperlink"/>
            <w:rFonts w:cs="Tahoma"/>
            <w:b/>
            <w:noProof/>
          </w:rPr>
          <w:t xml:space="preserve"> </w:t>
        </w:r>
        <w:r w:rsidR="00305D32" w:rsidRPr="006C6367">
          <w:rPr>
            <w:rStyle w:val="Hyperlink"/>
            <w:rFonts w:cs="Tahoma"/>
            <w:iCs/>
            <w:noProof/>
          </w:rPr>
          <w:t>Species that trigger Critical Habitat</w:t>
        </w:r>
        <w:r w:rsidR="00305D32">
          <w:rPr>
            <w:noProof/>
            <w:webHidden/>
          </w:rPr>
          <w:tab/>
        </w:r>
        <w:r w:rsidR="00305D32">
          <w:rPr>
            <w:noProof/>
            <w:webHidden/>
          </w:rPr>
          <w:fldChar w:fldCharType="begin"/>
        </w:r>
        <w:r w:rsidR="00305D32">
          <w:rPr>
            <w:noProof/>
            <w:webHidden/>
          </w:rPr>
          <w:instrText xml:space="preserve"> PAGEREF _Toc113018185 \h </w:instrText>
        </w:r>
        <w:r w:rsidR="00305D32">
          <w:rPr>
            <w:noProof/>
            <w:webHidden/>
          </w:rPr>
        </w:r>
        <w:r w:rsidR="00305D32">
          <w:rPr>
            <w:noProof/>
            <w:webHidden/>
          </w:rPr>
          <w:fldChar w:fldCharType="separate"/>
        </w:r>
        <w:r w:rsidR="00305D32">
          <w:rPr>
            <w:noProof/>
            <w:webHidden/>
          </w:rPr>
          <w:t>140</w:t>
        </w:r>
        <w:r w:rsidR="00305D32">
          <w:rPr>
            <w:noProof/>
            <w:webHidden/>
          </w:rPr>
          <w:fldChar w:fldCharType="end"/>
        </w:r>
      </w:hyperlink>
    </w:p>
    <w:p w14:paraId="7AD6362D"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86" w:history="1">
        <w:r w:rsidR="00305D32" w:rsidRPr="006C6367">
          <w:rPr>
            <w:rStyle w:val="Hyperlink"/>
            <w:rFonts w:cs="Tahoma"/>
            <w:noProof/>
          </w:rPr>
          <w:t>Table 7.15:</w:t>
        </w:r>
        <w:r w:rsidR="00305D32" w:rsidRPr="006C6367">
          <w:rPr>
            <w:rStyle w:val="Hyperlink"/>
            <w:rFonts w:cs="Tahoma"/>
            <w:b/>
            <w:noProof/>
          </w:rPr>
          <w:t xml:space="preserve"> </w:t>
        </w:r>
        <w:r w:rsidR="00305D32" w:rsidRPr="006C6367">
          <w:rPr>
            <w:rStyle w:val="Hyperlink"/>
            <w:rFonts w:cs="Tahoma"/>
            <w:iCs/>
            <w:noProof/>
          </w:rPr>
          <w:t>Habitats and species that trigger Priority Biodiversity Features</w:t>
        </w:r>
        <w:r w:rsidR="00305D32">
          <w:rPr>
            <w:noProof/>
            <w:webHidden/>
          </w:rPr>
          <w:tab/>
        </w:r>
        <w:r w:rsidR="00305D32">
          <w:rPr>
            <w:noProof/>
            <w:webHidden/>
          </w:rPr>
          <w:fldChar w:fldCharType="begin"/>
        </w:r>
        <w:r w:rsidR="00305D32">
          <w:rPr>
            <w:noProof/>
            <w:webHidden/>
          </w:rPr>
          <w:instrText xml:space="preserve"> PAGEREF _Toc113018186 \h </w:instrText>
        </w:r>
        <w:r w:rsidR="00305D32">
          <w:rPr>
            <w:noProof/>
            <w:webHidden/>
          </w:rPr>
        </w:r>
        <w:r w:rsidR="00305D32">
          <w:rPr>
            <w:noProof/>
            <w:webHidden/>
          </w:rPr>
          <w:fldChar w:fldCharType="separate"/>
        </w:r>
        <w:r w:rsidR="00305D32">
          <w:rPr>
            <w:noProof/>
            <w:webHidden/>
          </w:rPr>
          <w:t>141</w:t>
        </w:r>
        <w:r w:rsidR="00305D32">
          <w:rPr>
            <w:noProof/>
            <w:webHidden/>
          </w:rPr>
          <w:fldChar w:fldCharType="end"/>
        </w:r>
      </w:hyperlink>
    </w:p>
    <w:p w14:paraId="06E95FDA"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87" w:history="1">
        <w:r w:rsidR="00305D32" w:rsidRPr="006C6367">
          <w:rPr>
            <w:rStyle w:val="Hyperlink"/>
            <w:rFonts w:cs="Tahoma"/>
            <w:noProof/>
          </w:rPr>
          <w:t>Figure 7.16:</w:t>
        </w:r>
        <w:r w:rsidR="00305D32" w:rsidRPr="006C6367">
          <w:rPr>
            <w:rStyle w:val="Hyperlink"/>
            <w:rFonts w:cs="Tahoma"/>
            <w:b/>
            <w:noProof/>
          </w:rPr>
          <w:t xml:space="preserve"> </w:t>
        </w:r>
        <w:r w:rsidR="00305D32" w:rsidRPr="006C6367">
          <w:rPr>
            <w:rStyle w:val="Hyperlink"/>
            <w:rFonts w:cs="Tahoma"/>
            <w:iCs/>
            <w:noProof/>
          </w:rPr>
          <w:t xml:space="preserve">Distribution and EAAA for </w:t>
        </w:r>
        <w:r w:rsidR="00305D32" w:rsidRPr="006C6367">
          <w:rPr>
            <w:rStyle w:val="Hyperlink"/>
            <w:rFonts w:cs="Tahoma"/>
            <w:i/>
            <w:iCs/>
            <w:noProof/>
          </w:rPr>
          <w:t>Testudo graeca</w:t>
        </w:r>
        <w:r w:rsidR="00305D32">
          <w:rPr>
            <w:noProof/>
            <w:webHidden/>
          </w:rPr>
          <w:tab/>
        </w:r>
        <w:r w:rsidR="00305D32">
          <w:rPr>
            <w:noProof/>
            <w:webHidden/>
          </w:rPr>
          <w:fldChar w:fldCharType="begin"/>
        </w:r>
        <w:r w:rsidR="00305D32">
          <w:rPr>
            <w:noProof/>
            <w:webHidden/>
          </w:rPr>
          <w:instrText xml:space="preserve"> PAGEREF _Toc113018187 \h </w:instrText>
        </w:r>
        <w:r w:rsidR="00305D32">
          <w:rPr>
            <w:noProof/>
            <w:webHidden/>
          </w:rPr>
        </w:r>
        <w:r w:rsidR="00305D32">
          <w:rPr>
            <w:noProof/>
            <w:webHidden/>
          </w:rPr>
          <w:fldChar w:fldCharType="separate"/>
        </w:r>
        <w:r w:rsidR="00305D32">
          <w:rPr>
            <w:noProof/>
            <w:webHidden/>
          </w:rPr>
          <w:t>142</w:t>
        </w:r>
        <w:r w:rsidR="00305D32">
          <w:rPr>
            <w:noProof/>
            <w:webHidden/>
          </w:rPr>
          <w:fldChar w:fldCharType="end"/>
        </w:r>
      </w:hyperlink>
    </w:p>
    <w:p w14:paraId="420ED947"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88" w:history="1">
        <w:r w:rsidR="00305D32" w:rsidRPr="006C6367">
          <w:rPr>
            <w:rStyle w:val="Hyperlink"/>
            <w:rFonts w:cs="Tahoma"/>
            <w:noProof/>
          </w:rPr>
          <w:t>Figure 7.17:</w:t>
        </w:r>
        <w:r w:rsidR="00305D32" w:rsidRPr="006C6367">
          <w:rPr>
            <w:rStyle w:val="Hyperlink"/>
            <w:rFonts w:cs="Tahoma"/>
            <w:b/>
            <w:noProof/>
          </w:rPr>
          <w:t xml:space="preserve"> </w:t>
        </w:r>
        <w:r w:rsidR="00305D32" w:rsidRPr="006C6367">
          <w:rPr>
            <w:rStyle w:val="Hyperlink"/>
            <w:rFonts w:cs="Tahoma"/>
            <w:iCs/>
            <w:noProof/>
          </w:rPr>
          <w:t xml:space="preserve">Distribution and EAAA for </w:t>
        </w:r>
        <w:r w:rsidR="00305D32" w:rsidRPr="006C6367">
          <w:rPr>
            <w:rStyle w:val="Hyperlink"/>
            <w:rFonts w:cs="Tahoma"/>
            <w:i/>
            <w:iCs/>
            <w:noProof/>
          </w:rPr>
          <w:t>Lacerta trilineata</w:t>
        </w:r>
        <w:r w:rsidR="00305D32">
          <w:rPr>
            <w:noProof/>
            <w:webHidden/>
          </w:rPr>
          <w:tab/>
        </w:r>
        <w:r w:rsidR="00305D32">
          <w:rPr>
            <w:noProof/>
            <w:webHidden/>
          </w:rPr>
          <w:fldChar w:fldCharType="begin"/>
        </w:r>
        <w:r w:rsidR="00305D32">
          <w:rPr>
            <w:noProof/>
            <w:webHidden/>
          </w:rPr>
          <w:instrText xml:space="preserve"> PAGEREF _Toc113018188 \h </w:instrText>
        </w:r>
        <w:r w:rsidR="00305D32">
          <w:rPr>
            <w:noProof/>
            <w:webHidden/>
          </w:rPr>
        </w:r>
        <w:r w:rsidR="00305D32">
          <w:rPr>
            <w:noProof/>
            <w:webHidden/>
          </w:rPr>
          <w:fldChar w:fldCharType="separate"/>
        </w:r>
        <w:r w:rsidR="00305D32">
          <w:rPr>
            <w:noProof/>
            <w:webHidden/>
          </w:rPr>
          <w:t>142</w:t>
        </w:r>
        <w:r w:rsidR="00305D32">
          <w:rPr>
            <w:noProof/>
            <w:webHidden/>
          </w:rPr>
          <w:fldChar w:fldCharType="end"/>
        </w:r>
      </w:hyperlink>
    </w:p>
    <w:p w14:paraId="4EB263A4"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89" w:history="1">
        <w:r w:rsidR="00305D32" w:rsidRPr="006C6367">
          <w:rPr>
            <w:rStyle w:val="Hyperlink"/>
            <w:rFonts w:cs="Tahoma"/>
            <w:noProof/>
          </w:rPr>
          <w:t>Figure 7.18:</w:t>
        </w:r>
        <w:r w:rsidR="00305D32" w:rsidRPr="006C6367">
          <w:rPr>
            <w:rStyle w:val="Hyperlink"/>
            <w:rFonts w:cs="Tahoma"/>
            <w:b/>
            <w:noProof/>
          </w:rPr>
          <w:t xml:space="preserve"> </w:t>
        </w:r>
        <w:r w:rsidR="00305D32" w:rsidRPr="006C6367">
          <w:rPr>
            <w:rStyle w:val="Hyperlink"/>
            <w:rFonts w:cs="Tahoma"/>
            <w:iCs/>
            <w:noProof/>
          </w:rPr>
          <w:t xml:space="preserve">Distribution and EAAA for </w:t>
        </w:r>
        <w:r w:rsidR="00305D32" w:rsidRPr="006C6367">
          <w:rPr>
            <w:rStyle w:val="Hyperlink"/>
            <w:rFonts w:cs="Tahoma"/>
            <w:i/>
            <w:iCs/>
            <w:noProof/>
          </w:rPr>
          <w:t>Podarcis muralis</w:t>
        </w:r>
        <w:r w:rsidR="00305D32">
          <w:rPr>
            <w:noProof/>
            <w:webHidden/>
          </w:rPr>
          <w:tab/>
        </w:r>
        <w:r w:rsidR="00305D32">
          <w:rPr>
            <w:noProof/>
            <w:webHidden/>
          </w:rPr>
          <w:fldChar w:fldCharType="begin"/>
        </w:r>
        <w:r w:rsidR="00305D32">
          <w:rPr>
            <w:noProof/>
            <w:webHidden/>
          </w:rPr>
          <w:instrText xml:space="preserve"> PAGEREF _Toc113018189 \h </w:instrText>
        </w:r>
        <w:r w:rsidR="00305D32">
          <w:rPr>
            <w:noProof/>
            <w:webHidden/>
          </w:rPr>
        </w:r>
        <w:r w:rsidR="00305D32">
          <w:rPr>
            <w:noProof/>
            <w:webHidden/>
          </w:rPr>
          <w:fldChar w:fldCharType="separate"/>
        </w:r>
        <w:r w:rsidR="00305D32">
          <w:rPr>
            <w:noProof/>
            <w:webHidden/>
          </w:rPr>
          <w:t>143</w:t>
        </w:r>
        <w:r w:rsidR="00305D32">
          <w:rPr>
            <w:noProof/>
            <w:webHidden/>
          </w:rPr>
          <w:fldChar w:fldCharType="end"/>
        </w:r>
      </w:hyperlink>
    </w:p>
    <w:p w14:paraId="2CA5652B"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90" w:history="1">
        <w:r w:rsidR="00305D32" w:rsidRPr="006C6367">
          <w:rPr>
            <w:rStyle w:val="Hyperlink"/>
            <w:rFonts w:cs="Tahoma"/>
            <w:noProof/>
          </w:rPr>
          <w:t>Figure 7.19:</w:t>
        </w:r>
        <w:r w:rsidR="00305D32" w:rsidRPr="006C6367">
          <w:rPr>
            <w:rStyle w:val="Hyperlink"/>
            <w:rFonts w:cs="Tahoma"/>
            <w:b/>
            <w:noProof/>
          </w:rPr>
          <w:t xml:space="preserve"> </w:t>
        </w:r>
        <w:r w:rsidR="00305D32" w:rsidRPr="006C6367">
          <w:rPr>
            <w:rStyle w:val="Hyperlink"/>
            <w:rFonts w:cs="Tahoma"/>
            <w:iCs/>
            <w:noProof/>
          </w:rPr>
          <w:t xml:space="preserve">Distribution and EAAA for </w:t>
        </w:r>
        <w:r w:rsidR="00305D32" w:rsidRPr="006C6367">
          <w:rPr>
            <w:rStyle w:val="Hyperlink"/>
            <w:rFonts w:cs="Tahoma"/>
            <w:i/>
            <w:iCs/>
            <w:noProof/>
          </w:rPr>
          <w:t>Rana graeca</w:t>
        </w:r>
        <w:r w:rsidR="00305D32">
          <w:rPr>
            <w:noProof/>
            <w:webHidden/>
          </w:rPr>
          <w:tab/>
        </w:r>
        <w:r w:rsidR="00305D32">
          <w:rPr>
            <w:noProof/>
            <w:webHidden/>
          </w:rPr>
          <w:fldChar w:fldCharType="begin"/>
        </w:r>
        <w:r w:rsidR="00305D32">
          <w:rPr>
            <w:noProof/>
            <w:webHidden/>
          </w:rPr>
          <w:instrText xml:space="preserve"> PAGEREF _Toc113018190 \h </w:instrText>
        </w:r>
        <w:r w:rsidR="00305D32">
          <w:rPr>
            <w:noProof/>
            <w:webHidden/>
          </w:rPr>
        </w:r>
        <w:r w:rsidR="00305D32">
          <w:rPr>
            <w:noProof/>
            <w:webHidden/>
          </w:rPr>
          <w:fldChar w:fldCharType="separate"/>
        </w:r>
        <w:r w:rsidR="00305D32">
          <w:rPr>
            <w:noProof/>
            <w:webHidden/>
          </w:rPr>
          <w:t>143</w:t>
        </w:r>
        <w:r w:rsidR="00305D32">
          <w:rPr>
            <w:noProof/>
            <w:webHidden/>
          </w:rPr>
          <w:fldChar w:fldCharType="end"/>
        </w:r>
      </w:hyperlink>
    </w:p>
    <w:p w14:paraId="6026ED3F"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91" w:history="1">
        <w:r w:rsidR="00305D32" w:rsidRPr="006C6367">
          <w:rPr>
            <w:rStyle w:val="Hyperlink"/>
            <w:rFonts w:cs="Tahoma"/>
            <w:noProof/>
          </w:rPr>
          <w:t>Figure 7.20:</w:t>
        </w:r>
        <w:r w:rsidR="00305D32" w:rsidRPr="006C6367">
          <w:rPr>
            <w:rStyle w:val="Hyperlink"/>
            <w:rFonts w:cs="Tahoma"/>
            <w:b/>
            <w:noProof/>
          </w:rPr>
          <w:t xml:space="preserve"> </w:t>
        </w:r>
        <w:r w:rsidR="00305D32" w:rsidRPr="006C6367">
          <w:rPr>
            <w:rStyle w:val="Hyperlink"/>
            <w:rFonts w:cs="Tahoma"/>
            <w:iCs/>
            <w:noProof/>
          </w:rPr>
          <w:t>Distribution and EAAA for</w:t>
        </w:r>
        <w:r w:rsidR="00305D32" w:rsidRPr="006C6367">
          <w:rPr>
            <w:rStyle w:val="Hyperlink"/>
            <w:rFonts w:cs="Tahoma"/>
            <w:i/>
            <w:iCs/>
            <w:noProof/>
          </w:rPr>
          <w:t xml:space="preserve"> Bufo viridis</w:t>
        </w:r>
        <w:r w:rsidR="00305D32">
          <w:rPr>
            <w:noProof/>
            <w:webHidden/>
          </w:rPr>
          <w:tab/>
        </w:r>
        <w:r w:rsidR="00305D32">
          <w:rPr>
            <w:noProof/>
            <w:webHidden/>
          </w:rPr>
          <w:fldChar w:fldCharType="begin"/>
        </w:r>
        <w:r w:rsidR="00305D32">
          <w:rPr>
            <w:noProof/>
            <w:webHidden/>
          </w:rPr>
          <w:instrText xml:space="preserve"> PAGEREF _Toc113018191 \h </w:instrText>
        </w:r>
        <w:r w:rsidR="00305D32">
          <w:rPr>
            <w:noProof/>
            <w:webHidden/>
          </w:rPr>
        </w:r>
        <w:r w:rsidR="00305D32">
          <w:rPr>
            <w:noProof/>
            <w:webHidden/>
          </w:rPr>
          <w:fldChar w:fldCharType="separate"/>
        </w:r>
        <w:r w:rsidR="00305D32">
          <w:rPr>
            <w:noProof/>
            <w:webHidden/>
          </w:rPr>
          <w:t>144</w:t>
        </w:r>
        <w:r w:rsidR="00305D32">
          <w:rPr>
            <w:noProof/>
            <w:webHidden/>
          </w:rPr>
          <w:fldChar w:fldCharType="end"/>
        </w:r>
      </w:hyperlink>
    </w:p>
    <w:p w14:paraId="506886CB"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92" w:history="1">
        <w:r w:rsidR="00305D32" w:rsidRPr="006C6367">
          <w:rPr>
            <w:rStyle w:val="Hyperlink"/>
            <w:rFonts w:cs="Tahoma"/>
            <w:noProof/>
          </w:rPr>
          <w:t>Figure 7.21:</w:t>
        </w:r>
        <w:r w:rsidR="00305D32" w:rsidRPr="006C6367">
          <w:rPr>
            <w:rStyle w:val="Hyperlink"/>
            <w:rFonts w:cs="Tahoma"/>
            <w:b/>
            <w:noProof/>
          </w:rPr>
          <w:t xml:space="preserve"> </w:t>
        </w:r>
        <w:r w:rsidR="00305D32" w:rsidRPr="006C6367">
          <w:rPr>
            <w:rStyle w:val="Hyperlink"/>
            <w:rFonts w:cs="Tahoma"/>
            <w:iCs/>
            <w:noProof/>
          </w:rPr>
          <w:t>Distribution and EAAA for 92A0 Salix alba and Populus alba galleries</w:t>
        </w:r>
        <w:r w:rsidR="00305D32">
          <w:rPr>
            <w:noProof/>
            <w:webHidden/>
          </w:rPr>
          <w:tab/>
        </w:r>
        <w:r w:rsidR="00305D32">
          <w:rPr>
            <w:noProof/>
            <w:webHidden/>
          </w:rPr>
          <w:fldChar w:fldCharType="begin"/>
        </w:r>
        <w:r w:rsidR="00305D32">
          <w:rPr>
            <w:noProof/>
            <w:webHidden/>
          </w:rPr>
          <w:instrText xml:space="preserve"> PAGEREF _Toc113018192 \h </w:instrText>
        </w:r>
        <w:r w:rsidR="00305D32">
          <w:rPr>
            <w:noProof/>
            <w:webHidden/>
          </w:rPr>
        </w:r>
        <w:r w:rsidR="00305D32">
          <w:rPr>
            <w:noProof/>
            <w:webHidden/>
          </w:rPr>
          <w:fldChar w:fldCharType="separate"/>
        </w:r>
        <w:r w:rsidR="00305D32">
          <w:rPr>
            <w:noProof/>
            <w:webHidden/>
          </w:rPr>
          <w:t>144</w:t>
        </w:r>
        <w:r w:rsidR="00305D32">
          <w:rPr>
            <w:noProof/>
            <w:webHidden/>
          </w:rPr>
          <w:fldChar w:fldCharType="end"/>
        </w:r>
      </w:hyperlink>
    </w:p>
    <w:p w14:paraId="5507EBB7"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93" w:history="1">
        <w:r w:rsidR="00305D32" w:rsidRPr="006C6367">
          <w:rPr>
            <w:rStyle w:val="Hyperlink"/>
            <w:rFonts w:cs="Tahoma"/>
            <w:noProof/>
          </w:rPr>
          <w:t>Figure 7.22:</w:t>
        </w:r>
        <w:r w:rsidR="00305D32" w:rsidRPr="006C6367">
          <w:rPr>
            <w:rStyle w:val="Hyperlink"/>
            <w:rFonts w:cs="Tahoma"/>
            <w:b/>
            <w:noProof/>
          </w:rPr>
          <w:t xml:space="preserve"> </w:t>
        </w:r>
        <w:r w:rsidR="00305D32" w:rsidRPr="006C6367">
          <w:rPr>
            <w:rStyle w:val="Hyperlink"/>
            <w:rFonts w:cs="Tahoma"/>
            <w:iCs/>
            <w:noProof/>
          </w:rPr>
          <w:t xml:space="preserve">Distribution and EAAA for </w:t>
        </w:r>
        <w:r w:rsidR="00305D32" w:rsidRPr="006C6367">
          <w:rPr>
            <w:rStyle w:val="Hyperlink"/>
            <w:rFonts w:cs="Tahoma"/>
            <w:i/>
            <w:iCs/>
            <w:noProof/>
          </w:rPr>
          <w:t>Streptopelia turtur</w:t>
        </w:r>
        <w:r w:rsidR="00305D32">
          <w:rPr>
            <w:noProof/>
            <w:webHidden/>
          </w:rPr>
          <w:tab/>
        </w:r>
        <w:r w:rsidR="00305D32">
          <w:rPr>
            <w:noProof/>
            <w:webHidden/>
          </w:rPr>
          <w:fldChar w:fldCharType="begin"/>
        </w:r>
        <w:r w:rsidR="00305D32">
          <w:rPr>
            <w:noProof/>
            <w:webHidden/>
          </w:rPr>
          <w:instrText xml:space="preserve"> PAGEREF _Toc113018193 \h </w:instrText>
        </w:r>
        <w:r w:rsidR="00305D32">
          <w:rPr>
            <w:noProof/>
            <w:webHidden/>
          </w:rPr>
        </w:r>
        <w:r w:rsidR="00305D32">
          <w:rPr>
            <w:noProof/>
            <w:webHidden/>
          </w:rPr>
          <w:fldChar w:fldCharType="separate"/>
        </w:r>
        <w:r w:rsidR="00305D32">
          <w:rPr>
            <w:noProof/>
            <w:webHidden/>
          </w:rPr>
          <w:t>145</w:t>
        </w:r>
        <w:r w:rsidR="00305D32">
          <w:rPr>
            <w:noProof/>
            <w:webHidden/>
          </w:rPr>
          <w:fldChar w:fldCharType="end"/>
        </w:r>
      </w:hyperlink>
    </w:p>
    <w:p w14:paraId="2BEAC0BF"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94" w:history="1">
        <w:r w:rsidR="00305D32" w:rsidRPr="006C6367">
          <w:rPr>
            <w:rStyle w:val="Hyperlink"/>
            <w:rFonts w:cs="Tahoma"/>
            <w:noProof/>
          </w:rPr>
          <w:t>Figure 7.23:</w:t>
        </w:r>
        <w:r w:rsidR="00305D32" w:rsidRPr="006C6367">
          <w:rPr>
            <w:rStyle w:val="Hyperlink"/>
            <w:rFonts w:cs="Tahoma"/>
            <w:b/>
            <w:noProof/>
          </w:rPr>
          <w:t xml:space="preserve"> </w:t>
        </w:r>
        <w:r w:rsidR="00305D32" w:rsidRPr="006C6367">
          <w:rPr>
            <w:rStyle w:val="Hyperlink"/>
            <w:rFonts w:cs="Tahoma"/>
            <w:iCs/>
            <w:noProof/>
          </w:rPr>
          <w:t xml:space="preserve">Distribution and EAAA for </w:t>
        </w:r>
        <w:r w:rsidR="00305D32" w:rsidRPr="006C6367">
          <w:rPr>
            <w:rStyle w:val="Hyperlink"/>
            <w:rFonts w:cs="Tahoma"/>
            <w:i/>
            <w:iCs/>
            <w:noProof/>
          </w:rPr>
          <w:t>Alcedo atthis</w:t>
        </w:r>
        <w:r w:rsidR="00305D32">
          <w:rPr>
            <w:noProof/>
            <w:webHidden/>
          </w:rPr>
          <w:tab/>
        </w:r>
        <w:r w:rsidR="00305D32">
          <w:rPr>
            <w:noProof/>
            <w:webHidden/>
          </w:rPr>
          <w:fldChar w:fldCharType="begin"/>
        </w:r>
        <w:r w:rsidR="00305D32">
          <w:rPr>
            <w:noProof/>
            <w:webHidden/>
          </w:rPr>
          <w:instrText xml:space="preserve"> PAGEREF _Toc113018194 \h </w:instrText>
        </w:r>
        <w:r w:rsidR="00305D32">
          <w:rPr>
            <w:noProof/>
            <w:webHidden/>
          </w:rPr>
        </w:r>
        <w:r w:rsidR="00305D32">
          <w:rPr>
            <w:noProof/>
            <w:webHidden/>
          </w:rPr>
          <w:fldChar w:fldCharType="separate"/>
        </w:r>
        <w:r w:rsidR="00305D32">
          <w:rPr>
            <w:noProof/>
            <w:webHidden/>
          </w:rPr>
          <w:t>145</w:t>
        </w:r>
        <w:r w:rsidR="00305D32">
          <w:rPr>
            <w:noProof/>
            <w:webHidden/>
          </w:rPr>
          <w:fldChar w:fldCharType="end"/>
        </w:r>
      </w:hyperlink>
    </w:p>
    <w:p w14:paraId="67F11D20"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95" w:history="1">
        <w:r w:rsidR="00305D32" w:rsidRPr="006C6367">
          <w:rPr>
            <w:rStyle w:val="Hyperlink"/>
            <w:noProof/>
          </w:rPr>
          <w:t>Table 7.24:</w:t>
        </w:r>
        <w:r w:rsidR="00305D32" w:rsidRPr="006C6367">
          <w:rPr>
            <w:rStyle w:val="Hyperlink"/>
            <w:bCs/>
            <w:noProof/>
          </w:rPr>
          <w:t xml:space="preserve"> Settlements close to the elements of the Project</w:t>
        </w:r>
        <w:r w:rsidR="00305D32">
          <w:rPr>
            <w:noProof/>
            <w:webHidden/>
          </w:rPr>
          <w:tab/>
        </w:r>
        <w:r w:rsidR="00305D32">
          <w:rPr>
            <w:noProof/>
            <w:webHidden/>
          </w:rPr>
          <w:fldChar w:fldCharType="begin"/>
        </w:r>
        <w:r w:rsidR="00305D32">
          <w:rPr>
            <w:noProof/>
            <w:webHidden/>
          </w:rPr>
          <w:instrText xml:space="preserve"> PAGEREF _Toc113018195 \h </w:instrText>
        </w:r>
        <w:r w:rsidR="00305D32">
          <w:rPr>
            <w:noProof/>
            <w:webHidden/>
          </w:rPr>
        </w:r>
        <w:r w:rsidR="00305D32">
          <w:rPr>
            <w:noProof/>
            <w:webHidden/>
          </w:rPr>
          <w:fldChar w:fldCharType="separate"/>
        </w:r>
        <w:r w:rsidR="00305D32">
          <w:rPr>
            <w:noProof/>
            <w:webHidden/>
          </w:rPr>
          <w:t>148</w:t>
        </w:r>
        <w:r w:rsidR="00305D32">
          <w:rPr>
            <w:noProof/>
            <w:webHidden/>
          </w:rPr>
          <w:fldChar w:fldCharType="end"/>
        </w:r>
      </w:hyperlink>
    </w:p>
    <w:p w14:paraId="27F7483E"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96" w:history="1">
        <w:r w:rsidR="00305D32" w:rsidRPr="006C6367">
          <w:rPr>
            <w:rStyle w:val="Hyperlink"/>
            <w:noProof/>
          </w:rPr>
          <w:t>Table 7.25: Legally protected cultural heritage sites in proximity to the Project</w:t>
        </w:r>
        <w:r w:rsidR="00305D32">
          <w:rPr>
            <w:noProof/>
            <w:webHidden/>
          </w:rPr>
          <w:tab/>
        </w:r>
        <w:r w:rsidR="00305D32">
          <w:rPr>
            <w:noProof/>
            <w:webHidden/>
          </w:rPr>
          <w:fldChar w:fldCharType="begin"/>
        </w:r>
        <w:r w:rsidR="00305D32">
          <w:rPr>
            <w:noProof/>
            <w:webHidden/>
          </w:rPr>
          <w:instrText xml:space="preserve"> PAGEREF _Toc113018196 \h </w:instrText>
        </w:r>
        <w:r w:rsidR="00305D32">
          <w:rPr>
            <w:noProof/>
            <w:webHidden/>
          </w:rPr>
        </w:r>
        <w:r w:rsidR="00305D32">
          <w:rPr>
            <w:noProof/>
            <w:webHidden/>
          </w:rPr>
          <w:fldChar w:fldCharType="separate"/>
        </w:r>
        <w:r w:rsidR="00305D32">
          <w:rPr>
            <w:noProof/>
            <w:webHidden/>
          </w:rPr>
          <w:t>151</w:t>
        </w:r>
        <w:r w:rsidR="00305D32">
          <w:rPr>
            <w:noProof/>
            <w:webHidden/>
          </w:rPr>
          <w:fldChar w:fldCharType="end"/>
        </w:r>
      </w:hyperlink>
    </w:p>
    <w:p w14:paraId="549B306A"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97" w:history="1">
        <w:r w:rsidR="00305D32" w:rsidRPr="006C6367">
          <w:rPr>
            <w:rStyle w:val="Hyperlink"/>
            <w:rFonts w:cs="Tahoma"/>
            <w:noProof/>
          </w:rPr>
          <w:t>Table 8.1</w:t>
        </w:r>
        <w:r w:rsidR="00305D32" w:rsidRPr="006C6367">
          <w:rPr>
            <w:rStyle w:val="Hyperlink"/>
            <w:rFonts w:cs="Tahoma"/>
            <w:bCs/>
            <w:noProof/>
          </w:rPr>
          <w:t>: V</w:t>
        </w:r>
        <w:r w:rsidR="00305D32" w:rsidRPr="006C6367">
          <w:rPr>
            <w:rStyle w:val="Hyperlink"/>
            <w:rFonts w:cs="Tahoma"/>
            <w:noProof/>
          </w:rPr>
          <w:t>ulnerability matrix</w:t>
        </w:r>
        <w:r w:rsidR="00305D32">
          <w:rPr>
            <w:noProof/>
            <w:webHidden/>
          </w:rPr>
          <w:tab/>
        </w:r>
        <w:r w:rsidR="00305D32">
          <w:rPr>
            <w:noProof/>
            <w:webHidden/>
          </w:rPr>
          <w:fldChar w:fldCharType="begin"/>
        </w:r>
        <w:r w:rsidR="00305D32">
          <w:rPr>
            <w:noProof/>
            <w:webHidden/>
          </w:rPr>
          <w:instrText xml:space="preserve"> PAGEREF _Toc113018197 \h </w:instrText>
        </w:r>
        <w:r w:rsidR="00305D32">
          <w:rPr>
            <w:noProof/>
            <w:webHidden/>
          </w:rPr>
        </w:r>
        <w:r w:rsidR="00305D32">
          <w:rPr>
            <w:noProof/>
            <w:webHidden/>
          </w:rPr>
          <w:fldChar w:fldCharType="separate"/>
        </w:r>
        <w:r w:rsidR="00305D32">
          <w:rPr>
            <w:noProof/>
            <w:webHidden/>
          </w:rPr>
          <w:t>152</w:t>
        </w:r>
        <w:r w:rsidR="00305D32">
          <w:rPr>
            <w:noProof/>
            <w:webHidden/>
          </w:rPr>
          <w:fldChar w:fldCharType="end"/>
        </w:r>
      </w:hyperlink>
    </w:p>
    <w:p w14:paraId="609D2DB2"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98" w:history="1">
        <w:r w:rsidR="00305D32" w:rsidRPr="006C6367">
          <w:rPr>
            <w:rStyle w:val="Hyperlink"/>
            <w:rFonts w:cs="Tahoma"/>
            <w:noProof/>
          </w:rPr>
          <w:t>Table 8.2:</w:t>
        </w:r>
        <w:r w:rsidR="00305D32" w:rsidRPr="006C6367">
          <w:rPr>
            <w:rStyle w:val="Hyperlink"/>
            <w:rFonts w:cs="Tahoma"/>
            <w:bCs/>
            <w:noProof/>
          </w:rPr>
          <w:t xml:space="preserve"> Likelihood categories</w:t>
        </w:r>
        <w:r w:rsidR="00305D32">
          <w:rPr>
            <w:noProof/>
            <w:webHidden/>
          </w:rPr>
          <w:tab/>
        </w:r>
        <w:r w:rsidR="00305D32">
          <w:rPr>
            <w:noProof/>
            <w:webHidden/>
          </w:rPr>
          <w:fldChar w:fldCharType="begin"/>
        </w:r>
        <w:r w:rsidR="00305D32">
          <w:rPr>
            <w:noProof/>
            <w:webHidden/>
          </w:rPr>
          <w:instrText xml:space="preserve"> PAGEREF _Toc113018198 \h </w:instrText>
        </w:r>
        <w:r w:rsidR="00305D32">
          <w:rPr>
            <w:noProof/>
            <w:webHidden/>
          </w:rPr>
        </w:r>
        <w:r w:rsidR="00305D32">
          <w:rPr>
            <w:noProof/>
            <w:webHidden/>
          </w:rPr>
          <w:fldChar w:fldCharType="separate"/>
        </w:r>
        <w:r w:rsidR="00305D32">
          <w:rPr>
            <w:noProof/>
            <w:webHidden/>
          </w:rPr>
          <w:t>153</w:t>
        </w:r>
        <w:r w:rsidR="00305D32">
          <w:rPr>
            <w:noProof/>
            <w:webHidden/>
          </w:rPr>
          <w:fldChar w:fldCharType="end"/>
        </w:r>
      </w:hyperlink>
    </w:p>
    <w:p w14:paraId="08EEE1AE"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199" w:history="1">
        <w:r w:rsidR="00305D32" w:rsidRPr="006C6367">
          <w:rPr>
            <w:rStyle w:val="Hyperlink"/>
            <w:rFonts w:cs="Tahoma"/>
            <w:noProof/>
          </w:rPr>
          <w:t>Table 8.3:</w:t>
        </w:r>
        <w:r w:rsidR="00305D32" w:rsidRPr="006C6367">
          <w:rPr>
            <w:rStyle w:val="Hyperlink"/>
            <w:rFonts w:cs="Tahoma"/>
            <w:bCs/>
            <w:noProof/>
          </w:rPr>
          <w:t xml:space="preserve"> Measure of consequence</w:t>
        </w:r>
        <w:r w:rsidR="00305D32">
          <w:rPr>
            <w:noProof/>
            <w:webHidden/>
          </w:rPr>
          <w:tab/>
        </w:r>
        <w:r w:rsidR="00305D32">
          <w:rPr>
            <w:noProof/>
            <w:webHidden/>
          </w:rPr>
          <w:fldChar w:fldCharType="begin"/>
        </w:r>
        <w:r w:rsidR="00305D32">
          <w:rPr>
            <w:noProof/>
            <w:webHidden/>
          </w:rPr>
          <w:instrText xml:space="preserve"> PAGEREF _Toc113018199 \h </w:instrText>
        </w:r>
        <w:r w:rsidR="00305D32">
          <w:rPr>
            <w:noProof/>
            <w:webHidden/>
          </w:rPr>
        </w:r>
        <w:r w:rsidR="00305D32">
          <w:rPr>
            <w:noProof/>
            <w:webHidden/>
          </w:rPr>
          <w:fldChar w:fldCharType="separate"/>
        </w:r>
        <w:r w:rsidR="00305D32">
          <w:rPr>
            <w:noProof/>
            <w:webHidden/>
          </w:rPr>
          <w:t>153</w:t>
        </w:r>
        <w:r w:rsidR="00305D32">
          <w:rPr>
            <w:noProof/>
            <w:webHidden/>
          </w:rPr>
          <w:fldChar w:fldCharType="end"/>
        </w:r>
      </w:hyperlink>
    </w:p>
    <w:p w14:paraId="4F5485C9"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00" w:history="1">
        <w:r w:rsidR="00305D32" w:rsidRPr="006C6367">
          <w:rPr>
            <w:rStyle w:val="Hyperlink"/>
            <w:rFonts w:cs="Tahoma"/>
            <w:noProof/>
          </w:rPr>
          <w:t>Table 8.4</w:t>
        </w:r>
        <w:r w:rsidR="00305D32" w:rsidRPr="006C6367">
          <w:rPr>
            <w:rStyle w:val="Hyperlink"/>
            <w:rFonts w:cs="Tahoma"/>
            <w:bCs/>
            <w:noProof/>
          </w:rPr>
          <w:t>: Impact significance matrix</w:t>
        </w:r>
        <w:r w:rsidR="00305D32">
          <w:rPr>
            <w:noProof/>
            <w:webHidden/>
          </w:rPr>
          <w:tab/>
        </w:r>
        <w:r w:rsidR="00305D32">
          <w:rPr>
            <w:noProof/>
            <w:webHidden/>
          </w:rPr>
          <w:fldChar w:fldCharType="begin"/>
        </w:r>
        <w:r w:rsidR="00305D32">
          <w:rPr>
            <w:noProof/>
            <w:webHidden/>
          </w:rPr>
          <w:instrText xml:space="preserve"> PAGEREF _Toc113018200 \h </w:instrText>
        </w:r>
        <w:r w:rsidR="00305D32">
          <w:rPr>
            <w:noProof/>
            <w:webHidden/>
          </w:rPr>
        </w:r>
        <w:r w:rsidR="00305D32">
          <w:rPr>
            <w:noProof/>
            <w:webHidden/>
          </w:rPr>
          <w:fldChar w:fldCharType="separate"/>
        </w:r>
        <w:r w:rsidR="00305D32">
          <w:rPr>
            <w:noProof/>
            <w:webHidden/>
          </w:rPr>
          <w:t>153</w:t>
        </w:r>
        <w:r w:rsidR="00305D32">
          <w:rPr>
            <w:noProof/>
            <w:webHidden/>
          </w:rPr>
          <w:fldChar w:fldCharType="end"/>
        </w:r>
      </w:hyperlink>
    </w:p>
    <w:p w14:paraId="789D44FC"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01" w:history="1">
        <w:r w:rsidR="00305D32" w:rsidRPr="006C6367">
          <w:rPr>
            <w:rStyle w:val="Hyperlink"/>
            <w:rFonts w:cs="Tahoma"/>
            <w:noProof/>
          </w:rPr>
          <w:t>Table 8.5</w:t>
        </w:r>
        <w:r w:rsidR="00305D32" w:rsidRPr="006C6367">
          <w:rPr>
            <w:rStyle w:val="Hyperlink"/>
            <w:rFonts w:eastAsia="Calibri" w:cs="Tahoma"/>
            <w:noProof/>
          </w:rPr>
          <w:t xml:space="preserve">: </w:t>
        </w:r>
        <w:r w:rsidR="00305D32" w:rsidRPr="006C6367">
          <w:rPr>
            <w:rStyle w:val="Hyperlink"/>
            <w:rFonts w:cs="Tahoma"/>
            <w:bCs/>
            <w:noProof/>
          </w:rPr>
          <w:t>Sensitivity of the Project to climate change, during operation</w:t>
        </w:r>
        <w:r w:rsidR="00305D32">
          <w:rPr>
            <w:noProof/>
            <w:webHidden/>
          </w:rPr>
          <w:tab/>
        </w:r>
        <w:r w:rsidR="00305D32">
          <w:rPr>
            <w:noProof/>
            <w:webHidden/>
          </w:rPr>
          <w:fldChar w:fldCharType="begin"/>
        </w:r>
        <w:r w:rsidR="00305D32">
          <w:rPr>
            <w:noProof/>
            <w:webHidden/>
          </w:rPr>
          <w:instrText xml:space="preserve"> PAGEREF _Toc113018201 \h </w:instrText>
        </w:r>
        <w:r w:rsidR="00305D32">
          <w:rPr>
            <w:noProof/>
            <w:webHidden/>
          </w:rPr>
        </w:r>
        <w:r w:rsidR="00305D32">
          <w:rPr>
            <w:noProof/>
            <w:webHidden/>
          </w:rPr>
          <w:fldChar w:fldCharType="separate"/>
        </w:r>
        <w:r w:rsidR="00305D32">
          <w:rPr>
            <w:noProof/>
            <w:webHidden/>
          </w:rPr>
          <w:t>155</w:t>
        </w:r>
        <w:r w:rsidR="00305D32">
          <w:rPr>
            <w:noProof/>
            <w:webHidden/>
          </w:rPr>
          <w:fldChar w:fldCharType="end"/>
        </w:r>
      </w:hyperlink>
    </w:p>
    <w:p w14:paraId="446C7700"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02" w:history="1">
        <w:r w:rsidR="00305D32" w:rsidRPr="006C6367">
          <w:rPr>
            <w:rStyle w:val="Hyperlink"/>
            <w:rFonts w:cs="Tahoma"/>
            <w:noProof/>
          </w:rPr>
          <w:t>Table 8.6:</w:t>
        </w:r>
        <w:r w:rsidR="00305D32" w:rsidRPr="006C6367">
          <w:rPr>
            <w:rStyle w:val="Hyperlink"/>
            <w:rFonts w:cs="Tahoma"/>
            <w:bCs/>
            <w:noProof/>
          </w:rPr>
          <w:t xml:space="preserve"> Exposure of the Project to climate change, during operation</w:t>
        </w:r>
        <w:r w:rsidR="00305D32">
          <w:rPr>
            <w:noProof/>
            <w:webHidden/>
          </w:rPr>
          <w:tab/>
        </w:r>
        <w:r w:rsidR="00305D32">
          <w:rPr>
            <w:noProof/>
            <w:webHidden/>
          </w:rPr>
          <w:fldChar w:fldCharType="begin"/>
        </w:r>
        <w:r w:rsidR="00305D32">
          <w:rPr>
            <w:noProof/>
            <w:webHidden/>
          </w:rPr>
          <w:instrText xml:space="preserve"> PAGEREF _Toc113018202 \h </w:instrText>
        </w:r>
        <w:r w:rsidR="00305D32">
          <w:rPr>
            <w:noProof/>
            <w:webHidden/>
          </w:rPr>
        </w:r>
        <w:r w:rsidR="00305D32">
          <w:rPr>
            <w:noProof/>
            <w:webHidden/>
          </w:rPr>
          <w:fldChar w:fldCharType="separate"/>
        </w:r>
        <w:r w:rsidR="00305D32">
          <w:rPr>
            <w:noProof/>
            <w:webHidden/>
          </w:rPr>
          <w:t>156</w:t>
        </w:r>
        <w:r w:rsidR="00305D32">
          <w:rPr>
            <w:noProof/>
            <w:webHidden/>
          </w:rPr>
          <w:fldChar w:fldCharType="end"/>
        </w:r>
      </w:hyperlink>
    </w:p>
    <w:p w14:paraId="101E13CB"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03" w:history="1">
        <w:r w:rsidR="00305D32" w:rsidRPr="006C6367">
          <w:rPr>
            <w:rStyle w:val="Hyperlink"/>
            <w:rFonts w:cs="Tahoma"/>
            <w:noProof/>
          </w:rPr>
          <w:t>Table 8.7:</w:t>
        </w:r>
        <w:r w:rsidR="00305D32" w:rsidRPr="006C6367">
          <w:rPr>
            <w:rStyle w:val="Hyperlink"/>
            <w:rFonts w:cs="Tahoma"/>
            <w:bCs/>
            <w:noProof/>
          </w:rPr>
          <w:t xml:space="preserve"> Vulnerability of the Project to climate change, during operation</w:t>
        </w:r>
        <w:r w:rsidR="00305D32">
          <w:rPr>
            <w:noProof/>
            <w:webHidden/>
          </w:rPr>
          <w:tab/>
        </w:r>
        <w:r w:rsidR="00305D32">
          <w:rPr>
            <w:noProof/>
            <w:webHidden/>
          </w:rPr>
          <w:fldChar w:fldCharType="begin"/>
        </w:r>
        <w:r w:rsidR="00305D32">
          <w:rPr>
            <w:noProof/>
            <w:webHidden/>
          </w:rPr>
          <w:instrText xml:space="preserve"> PAGEREF _Toc113018203 \h </w:instrText>
        </w:r>
        <w:r w:rsidR="00305D32">
          <w:rPr>
            <w:noProof/>
            <w:webHidden/>
          </w:rPr>
        </w:r>
        <w:r w:rsidR="00305D32">
          <w:rPr>
            <w:noProof/>
            <w:webHidden/>
          </w:rPr>
          <w:fldChar w:fldCharType="separate"/>
        </w:r>
        <w:r w:rsidR="00305D32">
          <w:rPr>
            <w:noProof/>
            <w:webHidden/>
          </w:rPr>
          <w:t>156</w:t>
        </w:r>
        <w:r w:rsidR="00305D32">
          <w:rPr>
            <w:noProof/>
            <w:webHidden/>
          </w:rPr>
          <w:fldChar w:fldCharType="end"/>
        </w:r>
      </w:hyperlink>
    </w:p>
    <w:p w14:paraId="6CEA0F96"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04" w:history="1">
        <w:r w:rsidR="00305D32" w:rsidRPr="006C6367">
          <w:rPr>
            <w:rStyle w:val="Hyperlink"/>
            <w:rFonts w:cs="Tahoma"/>
            <w:noProof/>
          </w:rPr>
          <w:t xml:space="preserve">Table 8.8: </w:t>
        </w:r>
        <w:r w:rsidR="00305D32" w:rsidRPr="006C6367">
          <w:rPr>
            <w:rStyle w:val="Hyperlink"/>
            <w:rFonts w:cs="Tahoma"/>
            <w:bCs/>
            <w:noProof/>
          </w:rPr>
          <w:t>Significance of the impact from climate change, during operation</w:t>
        </w:r>
        <w:r w:rsidR="00305D32">
          <w:rPr>
            <w:noProof/>
            <w:webHidden/>
          </w:rPr>
          <w:tab/>
        </w:r>
        <w:r w:rsidR="00305D32">
          <w:rPr>
            <w:noProof/>
            <w:webHidden/>
          </w:rPr>
          <w:fldChar w:fldCharType="begin"/>
        </w:r>
        <w:r w:rsidR="00305D32">
          <w:rPr>
            <w:noProof/>
            <w:webHidden/>
          </w:rPr>
          <w:instrText xml:space="preserve"> PAGEREF _Toc113018204 \h </w:instrText>
        </w:r>
        <w:r w:rsidR="00305D32">
          <w:rPr>
            <w:noProof/>
            <w:webHidden/>
          </w:rPr>
        </w:r>
        <w:r w:rsidR="00305D32">
          <w:rPr>
            <w:noProof/>
            <w:webHidden/>
          </w:rPr>
          <w:fldChar w:fldCharType="separate"/>
        </w:r>
        <w:r w:rsidR="00305D32">
          <w:rPr>
            <w:noProof/>
            <w:webHidden/>
          </w:rPr>
          <w:t>156</w:t>
        </w:r>
        <w:r w:rsidR="00305D32">
          <w:rPr>
            <w:noProof/>
            <w:webHidden/>
          </w:rPr>
          <w:fldChar w:fldCharType="end"/>
        </w:r>
      </w:hyperlink>
    </w:p>
    <w:p w14:paraId="6A64DA36"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05" w:history="1">
        <w:r w:rsidR="00305D32" w:rsidRPr="006C6367">
          <w:rPr>
            <w:rStyle w:val="Hyperlink"/>
            <w:rFonts w:cs="Tahoma"/>
            <w:bCs/>
            <w:noProof/>
          </w:rPr>
          <w:t>Table 8.9: Proposed design climate parameters for the new 400/110 kV substation Miletkovo</w:t>
        </w:r>
        <w:r w:rsidR="00305D32">
          <w:rPr>
            <w:noProof/>
            <w:webHidden/>
          </w:rPr>
          <w:tab/>
        </w:r>
        <w:r w:rsidR="00305D32">
          <w:rPr>
            <w:noProof/>
            <w:webHidden/>
          </w:rPr>
          <w:fldChar w:fldCharType="begin"/>
        </w:r>
        <w:r w:rsidR="00305D32">
          <w:rPr>
            <w:noProof/>
            <w:webHidden/>
          </w:rPr>
          <w:instrText xml:space="preserve"> PAGEREF _Toc113018205 \h </w:instrText>
        </w:r>
        <w:r w:rsidR="00305D32">
          <w:rPr>
            <w:noProof/>
            <w:webHidden/>
          </w:rPr>
        </w:r>
        <w:r w:rsidR="00305D32">
          <w:rPr>
            <w:noProof/>
            <w:webHidden/>
          </w:rPr>
          <w:fldChar w:fldCharType="separate"/>
        </w:r>
        <w:r w:rsidR="00305D32">
          <w:rPr>
            <w:noProof/>
            <w:webHidden/>
          </w:rPr>
          <w:t>158</w:t>
        </w:r>
        <w:r w:rsidR="00305D32">
          <w:rPr>
            <w:noProof/>
            <w:webHidden/>
          </w:rPr>
          <w:fldChar w:fldCharType="end"/>
        </w:r>
      </w:hyperlink>
    </w:p>
    <w:p w14:paraId="3A143909"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06" w:history="1">
        <w:r w:rsidR="00305D32" w:rsidRPr="006C6367">
          <w:rPr>
            <w:rStyle w:val="Hyperlink"/>
            <w:rFonts w:cs="Tahoma"/>
            <w:bCs/>
            <w:noProof/>
          </w:rPr>
          <w:t>Table 8.10: Proposed design climate parameters for transmission lines</w:t>
        </w:r>
        <w:r w:rsidR="00305D32">
          <w:rPr>
            <w:noProof/>
            <w:webHidden/>
          </w:rPr>
          <w:tab/>
        </w:r>
        <w:r w:rsidR="00305D32">
          <w:rPr>
            <w:noProof/>
            <w:webHidden/>
          </w:rPr>
          <w:fldChar w:fldCharType="begin"/>
        </w:r>
        <w:r w:rsidR="00305D32">
          <w:rPr>
            <w:noProof/>
            <w:webHidden/>
          </w:rPr>
          <w:instrText xml:space="preserve"> PAGEREF _Toc113018206 \h </w:instrText>
        </w:r>
        <w:r w:rsidR="00305D32">
          <w:rPr>
            <w:noProof/>
            <w:webHidden/>
          </w:rPr>
        </w:r>
        <w:r w:rsidR="00305D32">
          <w:rPr>
            <w:noProof/>
            <w:webHidden/>
          </w:rPr>
          <w:fldChar w:fldCharType="separate"/>
        </w:r>
        <w:r w:rsidR="00305D32">
          <w:rPr>
            <w:noProof/>
            <w:webHidden/>
          </w:rPr>
          <w:t>159</w:t>
        </w:r>
        <w:r w:rsidR="00305D32">
          <w:rPr>
            <w:noProof/>
            <w:webHidden/>
          </w:rPr>
          <w:fldChar w:fldCharType="end"/>
        </w:r>
      </w:hyperlink>
    </w:p>
    <w:p w14:paraId="34DCEBEE"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07" w:history="1">
        <w:r w:rsidR="00305D32" w:rsidRPr="006C6367">
          <w:rPr>
            <w:rStyle w:val="Hyperlink"/>
            <w:rFonts w:cs="Arial"/>
            <w:noProof/>
          </w:rPr>
          <w:t>Table 8</w:t>
        </w:r>
        <w:r w:rsidR="00305D32" w:rsidRPr="006C6367">
          <w:rPr>
            <w:rStyle w:val="Hyperlink"/>
            <w:rFonts w:cs="Arial"/>
            <w:i/>
            <w:noProof/>
          </w:rPr>
          <w:t>.</w:t>
        </w:r>
        <w:r w:rsidR="00305D32" w:rsidRPr="006C6367">
          <w:rPr>
            <w:rStyle w:val="Hyperlink"/>
            <w:rFonts w:cs="Arial"/>
            <w:noProof/>
          </w:rPr>
          <w:t>11: Limit values of noise for various zones as per Macedonian legislation</w:t>
        </w:r>
        <w:r w:rsidR="00305D32">
          <w:rPr>
            <w:noProof/>
            <w:webHidden/>
          </w:rPr>
          <w:tab/>
        </w:r>
        <w:r w:rsidR="00305D32">
          <w:rPr>
            <w:noProof/>
            <w:webHidden/>
          </w:rPr>
          <w:fldChar w:fldCharType="begin"/>
        </w:r>
        <w:r w:rsidR="00305D32">
          <w:rPr>
            <w:noProof/>
            <w:webHidden/>
          </w:rPr>
          <w:instrText xml:space="preserve"> PAGEREF _Toc113018207 \h </w:instrText>
        </w:r>
        <w:r w:rsidR="00305D32">
          <w:rPr>
            <w:noProof/>
            <w:webHidden/>
          </w:rPr>
        </w:r>
        <w:r w:rsidR="00305D32">
          <w:rPr>
            <w:noProof/>
            <w:webHidden/>
          </w:rPr>
          <w:fldChar w:fldCharType="separate"/>
        </w:r>
        <w:r w:rsidR="00305D32">
          <w:rPr>
            <w:noProof/>
            <w:webHidden/>
          </w:rPr>
          <w:t>161</w:t>
        </w:r>
        <w:r w:rsidR="00305D32">
          <w:rPr>
            <w:noProof/>
            <w:webHidden/>
          </w:rPr>
          <w:fldChar w:fldCharType="end"/>
        </w:r>
      </w:hyperlink>
    </w:p>
    <w:p w14:paraId="1A53E540"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08" w:history="1">
        <w:r w:rsidR="00305D32" w:rsidRPr="006C6367">
          <w:rPr>
            <w:rStyle w:val="Hyperlink"/>
            <w:rFonts w:cs="Arial"/>
            <w:noProof/>
          </w:rPr>
          <w:t xml:space="preserve">Table 8.12: Limit values of noise </w:t>
        </w:r>
        <w:r w:rsidR="00305D32" w:rsidRPr="006C6367">
          <w:rPr>
            <w:rStyle w:val="Hyperlink"/>
            <w:rFonts w:cs="Tahoma"/>
            <w:iCs/>
            <w:noProof/>
          </w:rPr>
          <w:t>emissions from equipment for use outdoors</w:t>
        </w:r>
        <w:r w:rsidR="00305D32">
          <w:rPr>
            <w:noProof/>
            <w:webHidden/>
          </w:rPr>
          <w:tab/>
        </w:r>
        <w:r w:rsidR="00305D32">
          <w:rPr>
            <w:noProof/>
            <w:webHidden/>
          </w:rPr>
          <w:fldChar w:fldCharType="begin"/>
        </w:r>
        <w:r w:rsidR="00305D32">
          <w:rPr>
            <w:noProof/>
            <w:webHidden/>
          </w:rPr>
          <w:instrText xml:space="preserve"> PAGEREF _Toc113018208 \h </w:instrText>
        </w:r>
        <w:r w:rsidR="00305D32">
          <w:rPr>
            <w:noProof/>
            <w:webHidden/>
          </w:rPr>
        </w:r>
        <w:r w:rsidR="00305D32">
          <w:rPr>
            <w:noProof/>
            <w:webHidden/>
          </w:rPr>
          <w:fldChar w:fldCharType="separate"/>
        </w:r>
        <w:r w:rsidR="00305D32">
          <w:rPr>
            <w:noProof/>
            <w:webHidden/>
          </w:rPr>
          <w:t>163</w:t>
        </w:r>
        <w:r w:rsidR="00305D32">
          <w:rPr>
            <w:noProof/>
            <w:webHidden/>
          </w:rPr>
          <w:fldChar w:fldCharType="end"/>
        </w:r>
      </w:hyperlink>
    </w:p>
    <w:p w14:paraId="1F8E8F49"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09" w:history="1">
        <w:r w:rsidR="00305D32" w:rsidRPr="006C6367">
          <w:rPr>
            <w:rStyle w:val="Hyperlink"/>
            <w:noProof/>
          </w:rPr>
          <w:t>Table 8.13: Noise prediction for each construction process</w:t>
        </w:r>
        <w:r w:rsidR="00305D32">
          <w:rPr>
            <w:noProof/>
            <w:webHidden/>
          </w:rPr>
          <w:tab/>
        </w:r>
        <w:r w:rsidR="00305D32">
          <w:rPr>
            <w:noProof/>
            <w:webHidden/>
          </w:rPr>
          <w:fldChar w:fldCharType="begin"/>
        </w:r>
        <w:r w:rsidR="00305D32">
          <w:rPr>
            <w:noProof/>
            <w:webHidden/>
          </w:rPr>
          <w:instrText xml:space="preserve"> PAGEREF _Toc113018209 \h </w:instrText>
        </w:r>
        <w:r w:rsidR="00305D32">
          <w:rPr>
            <w:noProof/>
            <w:webHidden/>
          </w:rPr>
        </w:r>
        <w:r w:rsidR="00305D32">
          <w:rPr>
            <w:noProof/>
            <w:webHidden/>
          </w:rPr>
          <w:fldChar w:fldCharType="separate"/>
        </w:r>
        <w:r w:rsidR="00305D32">
          <w:rPr>
            <w:noProof/>
            <w:webHidden/>
          </w:rPr>
          <w:t>164</w:t>
        </w:r>
        <w:r w:rsidR="00305D32">
          <w:rPr>
            <w:noProof/>
            <w:webHidden/>
          </w:rPr>
          <w:fldChar w:fldCharType="end"/>
        </w:r>
      </w:hyperlink>
    </w:p>
    <w:p w14:paraId="3B1B9E7D"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10" w:history="1">
        <w:r w:rsidR="00305D32" w:rsidRPr="006C6367">
          <w:rPr>
            <w:rStyle w:val="Hyperlink"/>
            <w:noProof/>
          </w:rPr>
          <w:t>Table 8.14</w:t>
        </w:r>
        <w:r w:rsidR="00305D32" w:rsidRPr="006C6367">
          <w:rPr>
            <w:rStyle w:val="Hyperlink"/>
            <w:rFonts w:eastAsia="Calibri"/>
            <w:noProof/>
          </w:rPr>
          <w:t>: Distances at which vibration may be perceptible</w:t>
        </w:r>
        <w:r w:rsidR="00305D32">
          <w:rPr>
            <w:noProof/>
            <w:webHidden/>
          </w:rPr>
          <w:tab/>
        </w:r>
        <w:r w:rsidR="00305D32">
          <w:rPr>
            <w:noProof/>
            <w:webHidden/>
          </w:rPr>
          <w:fldChar w:fldCharType="begin"/>
        </w:r>
        <w:r w:rsidR="00305D32">
          <w:rPr>
            <w:noProof/>
            <w:webHidden/>
          </w:rPr>
          <w:instrText xml:space="preserve"> PAGEREF _Toc113018210 \h </w:instrText>
        </w:r>
        <w:r w:rsidR="00305D32">
          <w:rPr>
            <w:noProof/>
            <w:webHidden/>
          </w:rPr>
        </w:r>
        <w:r w:rsidR="00305D32">
          <w:rPr>
            <w:noProof/>
            <w:webHidden/>
          </w:rPr>
          <w:fldChar w:fldCharType="separate"/>
        </w:r>
        <w:r w:rsidR="00305D32">
          <w:rPr>
            <w:noProof/>
            <w:webHidden/>
          </w:rPr>
          <w:t>164</w:t>
        </w:r>
        <w:r w:rsidR="00305D32">
          <w:rPr>
            <w:noProof/>
            <w:webHidden/>
          </w:rPr>
          <w:fldChar w:fldCharType="end"/>
        </w:r>
      </w:hyperlink>
    </w:p>
    <w:p w14:paraId="2D9BF961"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11" w:history="1">
        <w:r w:rsidR="00305D32" w:rsidRPr="006C6367">
          <w:rPr>
            <w:rStyle w:val="Hyperlink"/>
            <w:noProof/>
          </w:rPr>
          <w:t>Table 8.15</w:t>
        </w:r>
        <w:r w:rsidR="00305D32" w:rsidRPr="006C6367">
          <w:rPr>
            <w:rStyle w:val="Hyperlink"/>
            <w:rFonts w:eastAsia="Calibri"/>
            <w:noProof/>
          </w:rPr>
          <w:t xml:space="preserve">: Significance of impacts from construction noise, </w:t>
        </w:r>
        <w:r w:rsidR="00305D32" w:rsidRPr="006C6367">
          <w:rPr>
            <w:rStyle w:val="Hyperlink"/>
            <w:rFonts w:eastAsiaTheme="minorHAnsi" w:cs="Tahoma"/>
            <w:noProof/>
            <w:lang w:eastAsia="en-US"/>
          </w:rPr>
          <w:t>without mitigation</w:t>
        </w:r>
        <w:r w:rsidR="00305D32">
          <w:rPr>
            <w:noProof/>
            <w:webHidden/>
          </w:rPr>
          <w:tab/>
        </w:r>
        <w:r w:rsidR="00305D32">
          <w:rPr>
            <w:noProof/>
            <w:webHidden/>
          </w:rPr>
          <w:fldChar w:fldCharType="begin"/>
        </w:r>
        <w:r w:rsidR="00305D32">
          <w:rPr>
            <w:noProof/>
            <w:webHidden/>
          </w:rPr>
          <w:instrText xml:space="preserve"> PAGEREF _Toc113018211 \h </w:instrText>
        </w:r>
        <w:r w:rsidR="00305D32">
          <w:rPr>
            <w:noProof/>
            <w:webHidden/>
          </w:rPr>
        </w:r>
        <w:r w:rsidR="00305D32">
          <w:rPr>
            <w:noProof/>
            <w:webHidden/>
          </w:rPr>
          <w:fldChar w:fldCharType="separate"/>
        </w:r>
        <w:r w:rsidR="00305D32">
          <w:rPr>
            <w:noProof/>
            <w:webHidden/>
          </w:rPr>
          <w:t>165</w:t>
        </w:r>
        <w:r w:rsidR="00305D32">
          <w:rPr>
            <w:noProof/>
            <w:webHidden/>
          </w:rPr>
          <w:fldChar w:fldCharType="end"/>
        </w:r>
      </w:hyperlink>
    </w:p>
    <w:p w14:paraId="53BABB27"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12" w:history="1">
        <w:r w:rsidR="00305D32" w:rsidRPr="006C6367">
          <w:rPr>
            <w:rStyle w:val="Hyperlink"/>
            <w:noProof/>
          </w:rPr>
          <w:t>Table 8</w:t>
        </w:r>
        <w:r w:rsidR="00305D32" w:rsidRPr="006C6367">
          <w:rPr>
            <w:rStyle w:val="Hyperlink"/>
            <w:i/>
            <w:noProof/>
          </w:rPr>
          <w:t>.</w:t>
        </w:r>
        <w:r w:rsidR="00305D32" w:rsidRPr="006C6367">
          <w:rPr>
            <w:rStyle w:val="Hyperlink"/>
            <w:noProof/>
          </w:rPr>
          <w:t>16</w:t>
        </w:r>
        <w:r w:rsidR="00305D32" w:rsidRPr="006C6367">
          <w:rPr>
            <w:rStyle w:val="Hyperlink"/>
            <w:rFonts w:eastAsia="Calibri"/>
            <w:noProof/>
          </w:rPr>
          <w:t>: Significance of impacts from operational noise</w:t>
        </w:r>
        <w:r w:rsidR="00305D32">
          <w:rPr>
            <w:noProof/>
            <w:webHidden/>
          </w:rPr>
          <w:tab/>
        </w:r>
        <w:r w:rsidR="00305D32">
          <w:rPr>
            <w:noProof/>
            <w:webHidden/>
          </w:rPr>
          <w:fldChar w:fldCharType="begin"/>
        </w:r>
        <w:r w:rsidR="00305D32">
          <w:rPr>
            <w:noProof/>
            <w:webHidden/>
          </w:rPr>
          <w:instrText xml:space="preserve"> PAGEREF _Toc113018212 \h </w:instrText>
        </w:r>
        <w:r w:rsidR="00305D32">
          <w:rPr>
            <w:noProof/>
            <w:webHidden/>
          </w:rPr>
        </w:r>
        <w:r w:rsidR="00305D32">
          <w:rPr>
            <w:noProof/>
            <w:webHidden/>
          </w:rPr>
          <w:fldChar w:fldCharType="separate"/>
        </w:r>
        <w:r w:rsidR="00305D32">
          <w:rPr>
            <w:noProof/>
            <w:webHidden/>
          </w:rPr>
          <w:t>169</w:t>
        </w:r>
        <w:r w:rsidR="00305D32">
          <w:rPr>
            <w:noProof/>
            <w:webHidden/>
          </w:rPr>
          <w:fldChar w:fldCharType="end"/>
        </w:r>
      </w:hyperlink>
    </w:p>
    <w:p w14:paraId="3DAABADC"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13" w:history="1">
        <w:r w:rsidR="00305D32" w:rsidRPr="006C6367">
          <w:rPr>
            <w:rStyle w:val="Hyperlink"/>
            <w:rFonts w:cs="Tahoma"/>
            <w:noProof/>
          </w:rPr>
          <w:t>Table 8.17: Sensitivity classification of geology and soils</w:t>
        </w:r>
        <w:r w:rsidR="00305D32">
          <w:rPr>
            <w:noProof/>
            <w:webHidden/>
          </w:rPr>
          <w:tab/>
        </w:r>
        <w:r w:rsidR="00305D32">
          <w:rPr>
            <w:noProof/>
            <w:webHidden/>
          </w:rPr>
          <w:fldChar w:fldCharType="begin"/>
        </w:r>
        <w:r w:rsidR="00305D32">
          <w:rPr>
            <w:noProof/>
            <w:webHidden/>
          </w:rPr>
          <w:instrText xml:space="preserve"> PAGEREF _Toc113018213 \h </w:instrText>
        </w:r>
        <w:r w:rsidR="00305D32">
          <w:rPr>
            <w:noProof/>
            <w:webHidden/>
          </w:rPr>
        </w:r>
        <w:r w:rsidR="00305D32">
          <w:rPr>
            <w:noProof/>
            <w:webHidden/>
          </w:rPr>
          <w:fldChar w:fldCharType="separate"/>
        </w:r>
        <w:r w:rsidR="00305D32">
          <w:rPr>
            <w:noProof/>
            <w:webHidden/>
          </w:rPr>
          <w:t>170</w:t>
        </w:r>
        <w:r w:rsidR="00305D32">
          <w:rPr>
            <w:noProof/>
            <w:webHidden/>
          </w:rPr>
          <w:fldChar w:fldCharType="end"/>
        </w:r>
      </w:hyperlink>
    </w:p>
    <w:p w14:paraId="59CF4EC8"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14" w:history="1">
        <w:r w:rsidR="00305D32" w:rsidRPr="006C6367">
          <w:rPr>
            <w:rStyle w:val="Hyperlink"/>
            <w:noProof/>
          </w:rPr>
          <w:t>Table 8.18</w:t>
        </w:r>
        <w:r w:rsidR="00305D32" w:rsidRPr="006C6367">
          <w:rPr>
            <w:rStyle w:val="Hyperlink"/>
            <w:rFonts w:eastAsia="Calibri"/>
            <w:noProof/>
          </w:rPr>
          <w:t>: Criteria for assessment of magnitude of impact on geology and soils</w:t>
        </w:r>
        <w:r w:rsidR="00305D32">
          <w:rPr>
            <w:noProof/>
            <w:webHidden/>
          </w:rPr>
          <w:tab/>
        </w:r>
        <w:r w:rsidR="00305D32">
          <w:rPr>
            <w:noProof/>
            <w:webHidden/>
          </w:rPr>
          <w:fldChar w:fldCharType="begin"/>
        </w:r>
        <w:r w:rsidR="00305D32">
          <w:rPr>
            <w:noProof/>
            <w:webHidden/>
          </w:rPr>
          <w:instrText xml:space="preserve"> PAGEREF _Toc113018214 \h </w:instrText>
        </w:r>
        <w:r w:rsidR="00305D32">
          <w:rPr>
            <w:noProof/>
            <w:webHidden/>
          </w:rPr>
        </w:r>
        <w:r w:rsidR="00305D32">
          <w:rPr>
            <w:noProof/>
            <w:webHidden/>
          </w:rPr>
          <w:fldChar w:fldCharType="separate"/>
        </w:r>
        <w:r w:rsidR="00305D32">
          <w:rPr>
            <w:noProof/>
            <w:webHidden/>
          </w:rPr>
          <w:t>171</w:t>
        </w:r>
        <w:r w:rsidR="00305D32">
          <w:rPr>
            <w:noProof/>
            <w:webHidden/>
          </w:rPr>
          <w:fldChar w:fldCharType="end"/>
        </w:r>
      </w:hyperlink>
    </w:p>
    <w:p w14:paraId="010E25BA"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15" w:history="1">
        <w:r w:rsidR="00305D32" w:rsidRPr="006C6367">
          <w:rPr>
            <w:rStyle w:val="Hyperlink"/>
            <w:rFonts w:cs="Tahoma"/>
            <w:noProof/>
          </w:rPr>
          <w:t>Table 8.19: Impact significance m</w:t>
        </w:r>
        <w:r w:rsidR="00305D32" w:rsidRPr="006C6367">
          <w:rPr>
            <w:rStyle w:val="Hyperlink"/>
            <w:rFonts w:cs="Tahoma"/>
            <w:bCs/>
            <w:noProof/>
          </w:rPr>
          <w:t>atrix</w:t>
        </w:r>
        <w:r w:rsidR="00305D32">
          <w:rPr>
            <w:noProof/>
            <w:webHidden/>
          </w:rPr>
          <w:tab/>
        </w:r>
        <w:r w:rsidR="00305D32">
          <w:rPr>
            <w:noProof/>
            <w:webHidden/>
          </w:rPr>
          <w:fldChar w:fldCharType="begin"/>
        </w:r>
        <w:r w:rsidR="00305D32">
          <w:rPr>
            <w:noProof/>
            <w:webHidden/>
          </w:rPr>
          <w:instrText xml:space="preserve"> PAGEREF _Toc113018215 \h </w:instrText>
        </w:r>
        <w:r w:rsidR="00305D32">
          <w:rPr>
            <w:noProof/>
            <w:webHidden/>
          </w:rPr>
        </w:r>
        <w:r w:rsidR="00305D32">
          <w:rPr>
            <w:noProof/>
            <w:webHidden/>
          </w:rPr>
          <w:fldChar w:fldCharType="separate"/>
        </w:r>
        <w:r w:rsidR="00305D32">
          <w:rPr>
            <w:noProof/>
            <w:webHidden/>
          </w:rPr>
          <w:t>171</w:t>
        </w:r>
        <w:r w:rsidR="00305D32">
          <w:rPr>
            <w:noProof/>
            <w:webHidden/>
          </w:rPr>
          <w:fldChar w:fldCharType="end"/>
        </w:r>
      </w:hyperlink>
    </w:p>
    <w:p w14:paraId="16CA0699"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16" w:history="1">
        <w:r w:rsidR="00305D32" w:rsidRPr="006C6367">
          <w:rPr>
            <w:rStyle w:val="Hyperlink"/>
            <w:noProof/>
          </w:rPr>
          <w:t>Table 8</w:t>
        </w:r>
        <w:r w:rsidR="00305D32" w:rsidRPr="006C6367">
          <w:rPr>
            <w:rStyle w:val="Hyperlink"/>
            <w:i/>
            <w:noProof/>
          </w:rPr>
          <w:t>.</w:t>
        </w:r>
        <w:r w:rsidR="00305D32" w:rsidRPr="006C6367">
          <w:rPr>
            <w:rStyle w:val="Hyperlink"/>
            <w:noProof/>
          </w:rPr>
          <w:t>20</w:t>
        </w:r>
        <w:r w:rsidR="00305D32" w:rsidRPr="006C6367">
          <w:rPr>
            <w:rStyle w:val="Hyperlink"/>
            <w:rFonts w:eastAsia="Calibri"/>
            <w:noProof/>
          </w:rPr>
          <w:t>: Matrix of significance categories for potential impacts on geology and soils</w:t>
        </w:r>
        <w:r w:rsidR="00305D32">
          <w:rPr>
            <w:noProof/>
            <w:webHidden/>
          </w:rPr>
          <w:tab/>
        </w:r>
        <w:r w:rsidR="00305D32">
          <w:rPr>
            <w:noProof/>
            <w:webHidden/>
          </w:rPr>
          <w:fldChar w:fldCharType="begin"/>
        </w:r>
        <w:r w:rsidR="00305D32">
          <w:rPr>
            <w:noProof/>
            <w:webHidden/>
          </w:rPr>
          <w:instrText xml:space="preserve"> PAGEREF _Toc113018216 \h </w:instrText>
        </w:r>
        <w:r w:rsidR="00305D32">
          <w:rPr>
            <w:noProof/>
            <w:webHidden/>
          </w:rPr>
        </w:r>
        <w:r w:rsidR="00305D32">
          <w:rPr>
            <w:noProof/>
            <w:webHidden/>
          </w:rPr>
          <w:fldChar w:fldCharType="separate"/>
        </w:r>
        <w:r w:rsidR="00305D32">
          <w:rPr>
            <w:noProof/>
            <w:webHidden/>
          </w:rPr>
          <w:t>171</w:t>
        </w:r>
        <w:r w:rsidR="00305D32">
          <w:rPr>
            <w:noProof/>
            <w:webHidden/>
          </w:rPr>
          <w:fldChar w:fldCharType="end"/>
        </w:r>
      </w:hyperlink>
    </w:p>
    <w:p w14:paraId="5F6BCDA2"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17" w:history="1">
        <w:r w:rsidR="00305D32" w:rsidRPr="006C6367">
          <w:rPr>
            <w:rStyle w:val="Hyperlink"/>
            <w:noProof/>
          </w:rPr>
          <w:t>Table 8.21</w:t>
        </w:r>
        <w:r w:rsidR="00305D32" w:rsidRPr="006C6367">
          <w:rPr>
            <w:rStyle w:val="Hyperlink"/>
            <w:rFonts w:eastAsia="Calibri"/>
            <w:noProof/>
          </w:rPr>
          <w:t xml:space="preserve">: </w:t>
        </w:r>
        <w:r w:rsidR="00305D32" w:rsidRPr="006C6367">
          <w:rPr>
            <w:rStyle w:val="Hyperlink"/>
            <w:noProof/>
          </w:rPr>
          <w:t>Summary of potential construction impacts on geology and soils</w:t>
        </w:r>
        <w:r w:rsidR="00305D32">
          <w:rPr>
            <w:noProof/>
            <w:webHidden/>
          </w:rPr>
          <w:tab/>
        </w:r>
        <w:r w:rsidR="00305D32">
          <w:rPr>
            <w:noProof/>
            <w:webHidden/>
          </w:rPr>
          <w:fldChar w:fldCharType="begin"/>
        </w:r>
        <w:r w:rsidR="00305D32">
          <w:rPr>
            <w:noProof/>
            <w:webHidden/>
          </w:rPr>
          <w:instrText xml:space="preserve"> PAGEREF _Toc113018217 \h </w:instrText>
        </w:r>
        <w:r w:rsidR="00305D32">
          <w:rPr>
            <w:noProof/>
            <w:webHidden/>
          </w:rPr>
        </w:r>
        <w:r w:rsidR="00305D32">
          <w:rPr>
            <w:noProof/>
            <w:webHidden/>
          </w:rPr>
          <w:fldChar w:fldCharType="separate"/>
        </w:r>
        <w:r w:rsidR="00305D32">
          <w:rPr>
            <w:noProof/>
            <w:webHidden/>
          </w:rPr>
          <w:t>172</w:t>
        </w:r>
        <w:r w:rsidR="00305D32">
          <w:rPr>
            <w:noProof/>
            <w:webHidden/>
          </w:rPr>
          <w:fldChar w:fldCharType="end"/>
        </w:r>
      </w:hyperlink>
    </w:p>
    <w:p w14:paraId="45BCB214"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18" w:history="1">
        <w:r w:rsidR="00305D32" w:rsidRPr="006C6367">
          <w:rPr>
            <w:rStyle w:val="Hyperlink"/>
            <w:noProof/>
          </w:rPr>
          <w:t>Table 8.22:</w:t>
        </w:r>
        <w:r w:rsidR="00305D32" w:rsidRPr="006C6367">
          <w:rPr>
            <w:rStyle w:val="Hyperlink"/>
            <w:i/>
            <w:noProof/>
          </w:rPr>
          <w:t xml:space="preserve"> </w:t>
        </w:r>
        <w:r w:rsidR="00305D32" w:rsidRPr="006C6367">
          <w:rPr>
            <w:rStyle w:val="Hyperlink"/>
            <w:noProof/>
          </w:rPr>
          <w:t>Summary of potential operational impacts on soils</w:t>
        </w:r>
        <w:r w:rsidR="00305D32">
          <w:rPr>
            <w:noProof/>
            <w:webHidden/>
          </w:rPr>
          <w:tab/>
        </w:r>
        <w:r w:rsidR="00305D32">
          <w:rPr>
            <w:noProof/>
            <w:webHidden/>
          </w:rPr>
          <w:fldChar w:fldCharType="begin"/>
        </w:r>
        <w:r w:rsidR="00305D32">
          <w:rPr>
            <w:noProof/>
            <w:webHidden/>
          </w:rPr>
          <w:instrText xml:space="preserve"> PAGEREF _Toc113018218 \h </w:instrText>
        </w:r>
        <w:r w:rsidR="00305D32">
          <w:rPr>
            <w:noProof/>
            <w:webHidden/>
          </w:rPr>
        </w:r>
        <w:r w:rsidR="00305D32">
          <w:rPr>
            <w:noProof/>
            <w:webHidden/>
          </w:rPr>
          <w:fldChar w:fldCharType="separate"/>
        </w:r>
        <w:r w:rsidR="00305D32">
          <w:rPr>
            <w:noProof/>
            <w:webHidden/>
          </w:rPr>
          <w:t>172</w:t>
        </w:r>
        <w:r w:rsidR="00305D32">
          <w:rPr>
            <w:noProof/>
            <w:webHidden/>
          </w:rPr>
          <w:fldChar w:fldCharType="end"/>
        </w:r>
      </w:hyperlink>
    </w:p>
    <w:p w14:paraId="730892E9"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19" w:history="1">
        <w:r w:rsidR="00305D32" w:rsidRPr="006C6367">
          <w:rPr>
            <w:rStyle w:val="Hyperlink"/>
            <w:rFonts w:cs="Tahoma"/>
            <w:noProof/>
          </w:rPr>
          <w:t>Table 8.23: Significance of impacts on the areas with high sensitive soils along the transmission line</w:t>
        </w:r>
        <w:r w:rsidR="00305D32">
          <w:rPr>
            <w:noProof/>
            <w:webHidden/>
          </w:rPr>
          <w:tab/>
        </w:r>
        <w:r w:rsidR="00305D32">
          <w:rPr>
            <w:noProof/>
            <w:webHidden/>
          </w:rPr>
          <w:fldChar w:fldCharType="begin"/>
        </w:r>
        <w:r w:rsidR="00305D32">
          <w:rPr>
            <w:noProof/>
            <w:webHidden/>
          </w:rPr>
          <w:instrText xml:space="preserve"> PAGEREF _Toc113018219 \h </w:instrText>
        </w:r>
        <w:r w:rsidR="00305D32">
          <w:rPr>
            <w:noProof/>
            <w:webHidden/>
          </w:rPr>
        </w:r>
        <w:r w:rsidR="00305D32">
          <w:rPr>
            <w:noProof/>
            <w:webHidden/>
          </w:rPr>
          <w:fldChar w:fldCharType="separate"/>
        </w:r>
        <w:r w:rsidR="00305D32">
          <w:rPr>
            <w:noProof/>
            <w:webHidden/>
          </w:rPr>
          <w:t>173</w:t>
        </w:r>
        <w:r w:rsidR="00305D32">
          <w:rPr>
            <w:noProof/>
            <w:webHidden/>
          </w:rPr>
          <w:fldChar w:fldCharType="end"/>
        </w:r>
      </w:hyperlink>
    </w:p>
    <w:p w14:paraId="2AF8F932"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20" w:history="1">
        <w:r w:rsidR="00305D32" w:rsidRPr="006C6367">
          <w:rPr>
            <w:rStyle w:val="Hyperlink"/>
            <w:rFonts w:cs="Tahoma"/>
            <w:noProof/>
          </w:rPr>
          <w:t>Table 8.24: Sensitivity criteria of catchment areas</w:t>
        </w:r>
        <w:r w:rsidR="00305D32">
          <w:rPr>
            <w:noProof/>
            <w:webHidden/>
          </w:rPr>
          <w:tab/>
        </w:r>
        <w:r w:rsidR="00305D32">
          <w:rPr>
            <w:noProof/>
            <w:webHidden/>
          </w:rPr>
          <w:fldChar w:fldCharType="begin"/>
        </w:r>
        <w:r w:rsidR="00305D32">
          <w:rPr>
            <w:noProof/>
            <w:webHidden/>
          </w:rPr>
          <w:instrText xml:space="preserve"> PAGEREF _Toc113018220 \h </w:instrText>
        </w:r>
        <w:r w:rsidR="00305D32">
          <w:rPr>
            <w:noProof/>
            <w:webHidden/>
          </w:rPr>
        </w:r>
        <w:r w:rsidR="00305D32">
          <w:rPr>
            <w:noProof/>
            <w:webHidden/>
          </w:rPr>
          <w:fldChar w:fldCharType="separate"/>
        </w:r>
        <w:r w:rsidR="00305D32">
          <w:rPr>
            <w:noProof/>
            <w:webHidden/>
          </w:rPr>
          <w:t>175</w:t>
        </w:r>
        <w:r w:rsidR="00305D32">
          <w:rPr>
            <w:noProof/>
            <w:webHidden/>
          </w:rPr>
          <w:fldChar w:fldCharType="end"/>
        </w:r>
      </w:hyperlink>
    </w:p>
    <w:p w14:paraId="2C7CB314"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21" w:history="1">
        <w:r w:rsidR="00305D32" w:rsidRPr="006C6367">
          <w:rPr>
            <w:rStyle w:val="Hyperlink"/>
            <w:noProof/>
          </w:rPr>
          <w:t>Table 8</w:t>
        </w:r>
        <w:r w:rsidR="00305D32" w:rsidRPr="006C6367">
          <w:rPr>
            <w:rStyle w:val="Hyperlink"/>
            <w:i/>
            <w:noProof/>
          </w:rPr>
          <w:t>.</w:t>
        </w:r>
        <w:r w:rsidR="00305D32" w:rsidRPr="006C6367">
          <w:rPr>
            <w:rStyle w:val="Hyperlink"/>
            <w:noProof/>
          </w:rPr>
          <w:t>25</w:t>
        </w:r>
        <w:r w:rsidR="00305D32" w:rsidRPr="006C6367">
          <w:rPr>
            <w:rStyle w:val="Hyperlink"/>
            <w:rFonts w:eastAsia="Calibri"/>
            <w:noProof/>
          </w:rPr>
          <w:t>: Criteria for assessment of magnitude of impact on hydrological resources</w:t>
        </w:r>
        <w:r w:rsidR="00305D32">
          <w:rPr>
            <w:noProof/>
            <w:webHidden/>
          </w:rPr>
          <w:tab/>
        </w:r>
        <w:r w:rsidR="00305D32">
          <w:rPr>
            <w:noProof/>
            <w:webHidden/>
          </w:rPr>
          <w:fldChar w:fldCharType="begin"/>
        </w:r>
        <w:r w:rsidR="00305D32">
          <w:rPr>
            <w:noProof/>
            <w:webHidden/>
          </w:rPr>
          <w:instrText xml:space="preserve"> PAGEREF _Toc113018221 \h </w:instrText>
        </w:r>
        <w:r w:rsidR="00305D32">
          <w:rPr>
            <w:noProof/>
            <w:webHidden/>
          </w:rPr>
        </w:r>
        <w:r w:rsidR="00305D32">
          <w:rPr>
            <w:noProof/>
            <w:webHidden/>
          </w:rPr>
          <w:fldChar w:fldCharType="separate"/>
        </w:r>
        <w:r w:rsidR="00305D32">
          <w:rPr>
            <w:noProof/>
            <w:webHidden/>
          </w:rPr>
          <w:t>176</w:t>
        </w:r>
        <w:r w:rsidR="00305D32">
          <w:rPr>
            <w:noProof/>
            <w:webHidden/>
          </w:rPr>
          <w:fldChar w:fldCharType="end"/>
        </w:r>
      </w:hyperlink>
    </w:p>
    <w:p w14:paraId="46EEDDC8"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22" w:history="1">
        <w:r w:rsidR="00305D32" w:rsidRPr="006C6367">
          <w:rPr>
            <w:rStyle w:val="Hyperlink"/>
            <w:rFonts w:cs="Tahoma"/>
            <w:noProof/>
          </w:rPr>
          <w:t>Table 8</w:t>
        </w:r>
        <w:r w:rsidR="00305D32" w:rsidRPr="006C6367">
          <w:rPr>
            <w:rStyle w:val="Hyperlink"/>
            <w:rFonts w:cs="Tahoma"/>
            <w:i/>
            <w:noProof/>
          </w:rPr>
          <w:t>.</w:t>
        </w:r>
        <w:r w:rsidR="00305D32" w:rsidRPr="006C6367">
          <w:rPr>
            <w:rStyle w:val="Hyperlink"/>
            <w:rFonts w:cs="Tahoma"/>
            <w:noProof/>
          </w:rPr>
          <w:t>26: Impact significance m</w:t>
        </w:r>
        <w:r w:rsidR="00305D32" w:rsidRPr="006C6367">
          <w:rPr>
            <w:rStyle w:val="Hyperlink"/>
            <w:rFonts w:cs="Tahoma"/>
            <w:bCs/>
            <w:noProof/>
          </w:rPr>
          <w:t>atrix</w:t>
        </w:r>
        <w:r w:rsidR="00305D32">
          <w:rPr>
            <w:noProof/>
            <w:webHidden/>
          </w:rPr>
          <w:tab/>
        </w:r>
        <w:r w:rsidR="00305D32">
          <w:rPr>
            <w:noProof/>
            <w:webHidden/>
          </w:rPr>
          <w:fldChar w:fldCharType="begin"/>
        </w:r>
        <w:r w:rsidR="00305D32">
          <w:rPr>
            <w:noProof/>
            <w:webHidden/>
          </w:rPr>
          <w:instrText xml:space="preserve"> PAGEREF _Toc113018222 \h </w:instrText>
        </w:r>
        <w:r w:rsidR="00305D32">
          <w:rPr>
            <w:noProof/>
            <w:webHidden/>
          </w:rPr>
        </w:r>
        <w:r w:rsidR="00305D32">
          <w:rPr>
            <w:noProof/>
            <w:webHidden/>
          </w:rPr>
          <w:fldChar w:fldCharType="separate"/>
        </w:r>
        <w:r w:rsidR="00305D32">
          <w:rPr>
            <w:noProof/>
            <w:webHidden/>
          </w:rPr>
          <w:t>176</w:t>
        </w:r>
        <w:r w:rsidR="00305D32">
          <w:rPr>
            <w:noProof/>
            <w:webHidden/>
          </w:rPr>
          <w:fldChar w:fldCharType="end"/>
        </w:r>
      </w:hyperlink>
    </w:p>
    <w:p w14:paraId="54BF217D"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23" w:history="1">
        <w:r w:rsidR="00305D32" w:rsidRPr="006C6367">
          <w:rPr>
            <w:rStyle w:val="Hyperlink"/>
            <w:noProof/>
          </w:rPr>
          <w:t>Table 8</w:t>
        </w:r>
        <w:r w:rsidR="00305D32" w:rsidRPr="006C6367">
          <w:rPr>
            <w:rStyle w:val="Hyperlink"/>
            <w:i/>
            <w:noProof/>
          </w:rPr>
          <w:t>.</w:t>
        </w:r>
        <w:r w:rsidR="00305D32" w:rsidRPr="006C6367">
          <w:rPr>
            <w:rStyle w:val="Hyperlink"/>
            <w:noProof/>
          </w:rPr>
          <w:t>27</w:t>
        </w:r>
        <w:r w:rsidR="00305D32" w:rsidRPr="006C6367">
          <w:rPr>
            <w:rStyle w:val="Hyperlink"/>
            <w:rFonts w:eastAsia="Calibri"/>
            <w:noProof/>
          </w:rPr>
          <w:t>: Matrix of significance categories for potential impacts on hydrological resources</w:t>
        </w:r>
        <w:r w:rsidR="00305D32">
          <w:rPr>
            <w:noProof/>
            <w:webHidden/>
          </w:rPr>
          <w:tab/>
        </w:r>
        <w:r w:rsidR="00305D32">
          <w:rPr>
            <w:noProof/>
            <w:webHidden/>
          </w:rPr>
          <w:fldChar w:fldCharType="begin"/>
        </w:r>
        <w:r w:rsidR="00305D32">
          <w:rPr>
            <w:noProof/>
            <w:webHidden/>
          </w:rPr>
          <w:instrText xml:space="preserve"> PAGEREF _Toc113018223 \h </w:instrText>
        </w:r>
        <w:r w:rsidR="00305D32">
          <w:rPr>
            <w:noProof/>
            <w:webHidden/>
          </w:rPr>
        </w:r>
        <w:r w:rsidR="00305D32">
          <w:rPr>
            <w:noProof/>
            <w:webHidden/>
          </w:rPr>
          <w:fldChar w:fldCharType="separate"/>
        </w:r>
        <w:r w:rsidR="00305D32">
          <w:rPr>
            <w:noProof/>
            <w:webHidden/>
          </w:rPr>
          <w:t>176</w:t>
        </w:r>
        <w:r w:rsidR="00305D32">
          <w:rPr>
            <w:noProof/>
            <w:webHidden/>
          </w:rPr>
          <w:fldChar w:fldCharType="end"/>
        </w:r>
      </w:hyperlink>
    </w:p>
    <w:p w14:paraId="43749E76"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24" w:history="1">
        <w:r w:rsidR="00305D32" w:rsidRPr="006C6367">
          <w:rPr>
            <w:rStyle w:val="Hyperlink"/>
            <w:noProof/>
          </w:rPr>
          <w:t>Table 8.28: Summary of potential construction impacts on hydrological resources</w:t>
        </w:r>
        <w:r w:rsidR="00305D32">
          <w:rPr>
            <w:noProof/>
            <w:webHidden/>
          </w:rPr>
          <w:tab/>
        </w:r>
        <w:r w:rsidR="00305D32">
          <w:rPr>
            <w:noProof/>
            <w:webHidden/>
          </w:rPr>
          <w:fldChar w:fldCharType="begin"/>
        </w:r>
        <w:r w:rsidR="00305D32">
          <w:rPr>
            <w:noProof/>
            <w:webHidden/>
          </w:rPr>
          <w:instrText xml:space="preserve"> PAGEREF _Toc113018224 \h </w:instrText>
        </w:r>
        <w:r w:rsidR="00305D32">
          <w:rPr>
            <w:noProof/>
            <w:webHidden/>
          </w:rPr>
        </w:r>
        <w:r w:rsidR="00305D32">
          <w:rPr>
            <w:noProof/>
            <w:webHidden/>
          </w:rPr>
          <w:fldChar w:fldCharType="separate"/>
        </w:r>
        <w:r w:rsidR="00305D32">
          <w:rPr>
            <w:noProof/>
            <w:webHidden/>
          </w:rPr>
          <w:t>177</w:t>
        </w:r>
        <w:r w:rsidR="00305D32">
          <w:rPr>
            <w:noProof/>
            <w:webHidden/>
          </w:rPr>
          <w:fldChar w:fldCharType="end"/>
        </w:r>
      </w:hyperlink>
    </w:p>
    <w:p w14:paraId="6BEFFDD7"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25" w:history="1">
        <w:r w:rsidR="00305D32" w:rsidRPr="006C6367">
          <w:rPr>
            <w:rStyle w:val="Hyperlink"/>
            <w:noProof/>
          </w:rPr>
          <w:t>Table 8.29</w:t>
        </w:r>
        <w:r w:rsidR="00305D32" w:rsidRPr="006C6367">
          <w:rPr>
            <w:rStyle w:val="Hyperlink"/>
            <w:rFonts w:eastAsia="Calibri"/>
            <w:noProof/>
          </w:rPr>
          <w:t xml:space="preserve">: </w:t>
        </w:r>
        <w:r w:rsidR="00305D32" w:rsidRPr="006C6367">
          <w:rPr>
            <w:rStyle w:val="Hyperlink"/>
            <w:noProof/>
          </w:rPr>
          <w:t>Summary of potential operational impacts on hydrological resources</w:t>
        </w:r>
        <w:r w:rsidR="00305D32">
          <w:rPr>
            <w:noProof/>
            <w:webHidden/>
          </w:rPr>
          <w:tab/>
        </w:r>
        <w:r w:rsidR="00305D32">
          <w:rPr>
            <w:noProof/>
            <w:webHidden/>
          </w:rPr>
          <w:fldChar w:fldCharType="begin"/>
        </w:r>
        <w:r w:rsidR="00305D32">
          <w:rPr>
            <w:noProof/>
            <w:webHidden/>
          </w:rPr>
          <w:instrText xml:space="preserve"> PAGEREF _Toc113018225 \h </w:instrText>
        </w:r>
        <w:r w:rsidR="00305D32">
          <w:rPr>
            <w:noProof/>
            <w:webHidden/>
          </w:rPr>
        </w:r>
        <w:r w:rsidR="00305D32">
          <w:rPr>
            <w:noProof/>
            <w:webHidden/>
          </w:rPr>
          <w:fldChar w:fldCharType="separate"/>
        </w:r>
        <w:r w:rsidR="00305D32">
          <w:rPr>
            <w:noProof/>
            <w:webHidden/>
          </w:rPr>
          <w:t>177</w:t>
        </w:r>
        <w:r w:rsidR="00305D32">
          <w:rPr>
            <w:noProof/>
            <w:webHidden/>
          </w:rPr>
          <w:fldChar w:fldCharType="end"/>
        </w:r>
      </w:hyperlink>
    </w:p>
    <w:p w14:paraId="70EA0D4D"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26" w:history="1">
        <w:r w:rsidR="00305D32" w:rsidRPr="006C6367">
          <w:rPr>
            <w:rStyle w:val="Hyperlink"/>
            <w:rFonts w:cs="Tahoma"/>
            <w:noProof/>
          </w:rPr>
          <w:t>Table 8.30: Sensitivity of the catchment areas</w:t>
        </w:r>
        <w:r w:rsidR="00305D32">
          <w:rPr>
            <w:noProof/>
            <w:webHidden/>
          </w:rPr>
          <w:tab/>
        </w:r>
        <w:r w:rsidR="00305D32">
          <w:rPr>
            <w:noProof/>
            <w:webHidden/>
          </w:rPr>
          <w:fldChar w:fldCharType="begin"/>
        </w:r>
        <w:r w:rsidR="00305D32">
          <w:rPr>
            <w:noProof/>
            <w:webHidden/>
          </w:rPr>
          <w:instrText xml:space="preserve"> PAGEREF _Toc113018226 \h </w:instrText>
        </w:r>
        <w:r w:rsidR="00305D32">
          <w:rPr>
            <w:noProof/>
            <w:webHidden/>
          </w:rPr>
        </w:r>
        <w:r w:rsidR="00305D32">
          <w:rPr>
            <w:noProof/>
            <w:webHidden/>
          </w:rPr>
          <w:fldChar w:fldCharType="separate"/>
        </w:r>
        <w:r w:rsidR="00305D32">
          <w:rPr>
            <w:noProof/>
            <w:webHidden/>
          </w:rPr>
          <w:t>177</w:t>
        </w:r>
        <w:r w:rsidR="00305D32">
          <w:rPr>
            <w:noProof/>
            <w:webHidden/>
          </w:rPr>
          <w:fldChar w:fldCharType="end"/>
        </w:r>
      </w:hyperlink>
    </w:p>
    <w:p w14:paraId="5E0D27E6"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27" w:history="1">
        <w:r w:rsidR="00305D32" w:rsidRPr="006C6367">
          <w:rPr>
            <w:rStyle w:val="Hyperlink"/>
            <w:rFonts w:cs="Tahoma"/>
            <w:noProof/>
          </w:rPr>
          <w:t>Table 8.31: Significance of impacts on the catchment areas</w:t>
        </w:r>
        <w:r w:rsidR="00305D32">
          <w:rPr>
            <w:noProof/>
            <w:webHidden/>
          </w:rPr>
          <w:tab/>
        </w:r>
        <w:r w:rsidR="00305D32">
          <w:rPr>
            <w:noProof/>
            <w:webHidden/>
          </w:rPr>
          <w:fldChar w:fldCharType="begin"/>
        </w:r>
        <w:r w:rsidR="00305D32">
          <w:rPr>
            <w:noProof/>
            <w:webHidden/>
          </w:rPr>
          <w:instrText xml:space="preserve"> PAGEREF _Toc113018227 \h </w:instrText>
        </w:r>
        <w:r w:rsidR="00305D32">
          <w:rPr>
            <w:noProof/>
            <w:webHidden/>
          </w:rPr>
        </w:r>
        <w:r w:rsidR="00305D32">
          <w:rPr>
            <w:noProof/>
            <w:webHidden/>
          </w:rPr>
          <w:fldChar w:fldCharType="separate"/>
        </w:r>
        <w:r w:rsidR="00305D32">
          <w:rPr>
            <w:noProof/>
            <w:webHidden/>
          </w:rPr>
          <w:t>178</w:t>
        </w:r>
        <w:r w:rsidR="00305D32">
          <w:rPr>
            <w:noProof/>
            <w:webHidden/>
          </w:rPr>
          <w:fldChar w:fldCharType="end"/>
        </w:r>
      </w:hyperlink>
    </w:p>
    <w:p w14:paraId="39C0962B"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28" w:history="1">
        <w:r w:rsidR="00305D32" w:rsidRPr="006C6367">
          <w:rPr>
            <w:rStyle w:val="Hyperlink"/>
            <w:rFonts w:cs="Tahoma"/>
            <w:noProof/>
          </w:rPr>
          <w:t>Table 8.32: Sensitivity criteria of biodiversity receptors and natural heritage</w:t>
        </w:r>
        <w:r w:rsidR="00305D32">
          <w:rPr>
            <w:noProof/>
            <w:webHidden/>
          </w:rPr>
          <w:tab/>
        </w:r>
        <w:r w:rsidR="00305D32">
          <w:rPr>
            <w:noProof/>
            <w:webHidden/>
          </w:rPr>
          <w:fldChar w:fldCharType="begin"/>
        </w:r>
        <w:r w:rsidR="00305D32">
          <w:rPr>
            <w:noProof/>
            <w:webHidden/>
          </w:rPr>
          <w:instrText xml:space="preserve"> PAGEREF _Toc113018228 \h </w:instrText>
        </w:r>
        <w:r w:rsidR="00305D32">
          <w:rPr>
            <w:noProof/>
            <w:webHidden/>
          </w:rPr>
        </w:r>
        <w:r w:rsidR="00305D32">
          <w:rPr>
            <w:noProof/>
            <w:webHidden/>
          </w:rPr>
          <w:fldChar w:fldCharType="separate"/>
        </w:r>
        <w:r w:rsidR="00305D32">
          <w:rPr>
            <w:noProof/>
            <w:webHidden/>
          </w:rPr>
          <w:t>181</w:t>
        </w:r>
        <w:r w:rsidR="00305D32">
          <w:rPr>
            <w:noProof/>
            <w:webHidden/>
          </w:rPr>
          <w:fldChar w:fldCharType="end"/>
        </w:r>
      </w:hyperlink>
    </w:p>
    <w:p w14:paraId="2C4DD3E0"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29" w:history="1">
        <w:r w:rsidR="00305D32" w:rsidRPr="006C6367">
          <w:rPr>
            <w:rStyle w:val="Hyperlink"/>
            <w:rFonts w:cs="Tahoma"/>
            <w:noProof/>
          </w:rPr>
          <w:t xml:space="preserve">Table 8.33: </w:t>
        </w:r>
        <w:r w:rsidR="00305D32" w:rsidRPr="006C6367">
          <w:rPr>
            <w:rStyle w:val="Hyperlink"/>
            <w:rFonts w:eastAsia="Calibri"/>
            <w:noProof/>
          </w:rPr>
          <w:t xml:space="preserve">Criteria for assessment of magnitude of impact on biodiversity receptors </w:t>
        </w:r>
        <w:r w:rsidR="00305D32" w:rsidRPr="006C6367">
          <w:rPr>
            <w:rStyle w:val="Hyperlink"/>
            <w:rFonts w:cs="Tahoma"/>
            <w:noProof/>
          </w:rPr>
          <w:t>and natural heritage</w:t>
        </w:r>
        <w:r w:rsidR="00305D32">
          <w:rPr>
            <w:noProof/>
            <w:webHidden/>
          </w:rPr>
          <w:tab/>
        </w:r>
        <w:r w:rsidR="00305D32">
          <w:rPr>
            <w:noProof/>
            <w:webHidden/>
          </w:rPr>
          <w:fldChar w:fldCharType="begin"/>
        </w:r>
        <w:r w:rsidR="00305D32">
          <w:rPr>
            <w:noProof/>
            <w:webHidden/>
          </w:rPr>
          <w:instrText xml:space="preserve"> PAGEREF _Toc113018229 \h </w:instrText>
        </w:r>
        <w:r w:rsidR="00305D32">
          <w:rPr>
            <w:noProof/>
            <w:webHidden/>
          </w:rPr>
        </w:r>
        <w:r w:rsidR="00305D32">
          <w:rPr>
            <w:noProof/>
            <w:webHidden/>
          </w:rPr>
          <w:fldChar w:fldCharType="separate"/>
        </w:r>
        <w:r w:rsidR="00305D32">
          <w:rPr>
            <w:noProof/>
            <w:webHidden/>
          </w:rPr>
          <w:t>181</w:t>
        </w:r>
        <w:r w:rsidR="00305D32">
          <w:rPr>
            <w:noProof/>
            <w:webHidden/>
          </w:rPr>
          <w:fldChar w:fldCharType="end"/>
        </w:r>
      </w:hyperlink>
    </w:p>
    <w:p w14:paraId="40C61390"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30" w:history="1">
        <w:r w:rsidR="00305D32" w:rsidRPr="006C6367">
          <w:rPr>
            <w:rStyle w:val="Hyperlink"/>
            <w:rFonts w:cs="Tahoma"/>
            <w:noProof/>
          </w:rPr>
          <w:t>Table 8.34: Impact significance m</w:t>
        </w:r>
        <w:r w:rsidR="00305D32" w:rsidRPr="006C6367">
          <w:rPr>
            <w:rStyle w:val="Hyperlink"/>
            <w:rFonts w:cs="Tahoma"/>
            <w:bCs/>
            <w:noProof/>
          </w:rPr>
          <w:t>atrix</w:t>
        </w:r>
        <w:r w:rsidR="00305D32">
          <w:rPr>
            <w:noProof/>
            <w:webHidden/>
          </w:rPr>
          <w:tab/>
        </w:r>
        <w:r w:rsidR="00305D32">
          <w:rPr>
            <w:noProof/>
            <w:webHidden/>
          </w:rPr>
          <w:fldChar w:fldCharType="begin"/>
        </w:r>
        <w:r w:rsidR="00305D32">
          <w:rPr>
            <w:noProof/>
            <w:webHidden/>
          </w:rPr>
          <w:instrText xml:space="preserve"> PAGEREF _Toc113018230 \h </w:instrText>
        </w:r>
        <w:r w:rsidR="00305D32">
          <w:rPr>
            <w:noProof/>
            <w:webHidden/>
          </w:rPr>
        </w:r>
        <w:r w:rsidR="00305D32">
          <w:rPr>
            <w:noProof/>
            <w:webHidden/>
          </w:rPr>
          <w:fldChar w:fldCharType="separate"/>
        </w:r>
        <w:r w:rsidR="00305D32">
          <w:rPr>
            <w:noProof/>
            <w:webHidden/>
          </w:rPr>
          <w:t>181</w:t>
        </w:r>
        <w:r w:rsidR="00305D32">
          <w:rPr>
            <w:noProof/>
            <w:webHidden/>
          </w:rPr>
          <w:fldChar w:fldCharType="end"/>
        </w:r>
      </w:hyperlink>
    </w:p>
    <w:p w14:paraId="09E95754"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31" w:history="1">
        <w:r w:rsidR="00305D32" w:rsidRPr="006C6367">
          <w:rPr>
            <w:rStyle w:val="Hyperlink"/>
            <w:noProof/>
          </w:rPr>
          <w:t>Table 8.35</w:t>
        </w:r>
        <w:r w:rsidR="00305D32" w:rsidRPr="006C6367">
          <w:rPr>
            <w:rStyle w:val="Hyperlink"/>
            <w:rFonts w:eastAsia="Calibri"/>
            <w:noProof/>
          </w:rPr>
          <w:t xml:space="preserve">: Matrix of significance categories for potential impacts on biodiversity receptors </w:t>
        </w:r>
        <w:r w:rsidR="00305D32" w:rsidRPr="006C6367">
          <w:rPr>
            <w:rStyle w:val="Hyperlink"/>
            <w:rFonts w:cs="Tahoma"/>
            <w:noProof/>
          </w:rPr>
          <w:t>and natural heritage</w:t>
        </w:r>
        <w:r w:rsidR="00305D32">
          <w:rPr>
            <w:noProof/>
            <w:webHidden/>
          </w:rPr>
          <w:tab/>
        </w:r>
        <w:r w:rsidR="00305D32">
          <w:rPr>
            <w:noProof/>
            <w:webHidden/>
          </w:rPr>
          <w:fldChar w:fldCharType="begin"/>
        </w:r>
        <w:r w:rsidR="00305D32">
          <w:rPr>
            <w:noProof/>
            <w:webHidden/>
          </w:rPr>
          <w:instrText xml:space="preserve"> PAGEREF _Toc113018231 \h </w:instrText>
        </w:r>
        <w:r w:rsidR="00305D32">
          <w:rPr>
            <w:noProof/>
            <w:webHidden/>
          </w:rPr>
        </w:r>
        <w:r w:rsidR="00305D32">
          <w:rPr>
            <w:noProof/>
            <w:webHidden/>
          </w:rPr>
          <w:fldChar w:fldCharType="separate"/>
        </w:r>
        <w:r w:rsidR="00305D32">
          <w:rPr>
            <w:noProof/>
            <w:webHidden/>
          </w:rPr>
          <w:t>181</w:t>
        </w:r>
        <w:r w:rsidR="00305D32">
          <w:rPr>
            <w:noProof/>
            <w:webHidden/>
          </w:rPr>
          <w:fldChar w:fldCharType="end"/>
        </w:r>
      </w:hyperlink>
    </w:p>
    <w:p w14:paraId="57C7E717"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32" w:history="1">
        <w:r w:rsidR="00305D32" w:rsidRPr="006C6367">
          <w:rPr>
            <w:rStyle w:val="Hyperlink"/>
            <w:noProof/>
          </w:rPr>
          <w:t>Table 8</w:t>
        </w:r>
        <w:r w:rsidR="00305D32" w:rsidRPr="006C6367">
          <w:rPr>
            <w:rStyle w:val="Hyperlink"/>
            <w:i/>
            <w:noProof/>
          </w:rPr>
          <w:t>.</w:t>
        </w:r>
        <w:r w:rsidR="00305D32" w:rsidRPr="006C6367">
          <w:rPr>
            <w:rStyle w:val="Hyperlink"/>
            <w:noProof/>
          </w:rPr>
          <w:t>36</w:t>
        </w:r>
        <w:r w:rsidR="00305D32" w:rsidRPr="006C6367">
          <w:rPr>
            <w:rStyle w:val="Hyperlink"/>
            <w:rFonts w:eastAsia="Calibri"/>
            <w:noProof/>
          </w:rPr>
          <w:t>: Summary of impacts to sensitive sites (crossing over Vardar River)</w:t>
        </w:r>
        <w:r w:rsidR="00305D32">
          <w:rPr>
            <w:noProof/>
            <w:webHidden/>
          </w:rPr>
          <w:tab/>
        </w:r>
        <w:r w:rsidR="00305D32">
          <w:rPr>
            <w:noProof/>
            <w:webHidden/>
          </w:rPr>
          <w:fldChar w:fldCharType="begin"/>
        </w:r>
        <w:r w:rsidR="00305D32">
          <w:rPr>
            <w:noProof/>
            <w:webHidden/>
          </w:rPr>
          <w:instrText xml:space="preserve"> PAGEREF _Toc113018232 \h </w:instrText>
        </w:r>
        <w:r w:rsidR="00305D32">
          <w:rPr>
            <w:noProof/>
            <w:webHidden/>
          </w:rPr>
        </w:r>
        <w:r w:rsidR="00305D32">
          <w:rPr>
            <w:noProof/>
            <w:webHidden/>
          </w:rPr>
          <w:fldChar w:fldCharType="separate"/>
        </w:r>
        <w:r w:rsidR="00305D32">
          <w:rPr>
            <w:noProof/>
            <w:webHidden/>
          </w:rPr>
          <w:t>182</w:t>
        </w:r>
        <w:r w:rsidR="00305D32">
          <w:rPr>
            <w:noProof/>
            <w:webHidden/>
          </w:rPr>
          <w:fldChar w:fldCharType="end"/>
        </w:r>
      </w:hyperlink>
    </w:p>
    <w:p w14:paraId="2AF93253"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33" w:history="1">
        <w:r w:rsidR="00305D32" w:rsidRPr="006C6367">
          <w:rPr>
            <w:rStyle w:val="Hyperlink"/>
            <w:noProof/>
          </w:rPr>
          <w:t>Table 8</w:t>
        </w:r>
        <w:r w:rsidR="00305D32" w:rsidRPr="006C6367">
          <w:rPr>
            <w:rStyle w:val="Hyperlink"/>
            <w:i/>
            <w:noProof/>
          </w:rPr>
          <w:t>.</w:t>
        </w:r>
        <w:r w:rsidR="00305D32" w:rsidRPr="006C6367">
          <w:rPr>
            <w:rStyle w:val="Hyperlink"/>
            <w:noProof/>
          </w:rPr>
          <w:t>37</w:t>
        </w:r>
        <w:r w:rsidR="00305D32" w:rsidRPr="006C6367">
          <w:rPr>
            <w:rStyle w:val="Hyperlink"/>
            <w:rFonts w:eastAsia="Calibri"/>
            <w:noProof/>
          </w:rPr>
          <w:t>: S</w:t>
        </w:r>
        <w:r w:rsidR="00305D32" w:rsidRPr="006C6367">
          <w:rPr>
            <w:rStyle w:val="Hyperlink"/>
            <w:rFonts w:eastAsia="Calibri" w:cs="Tahoma"/>
            <w:noProof/>
          </w:rPr>
          <w:t>everity of impacts on bird populations of mortality due to electrocution and collision with power lines for different bird families in Eurasia</w:t>
        </w:r>
        <w:r w:rsidR="00305D32">
          <w:rPr>
            <w:noProof/>
            <w:webHidden/>
          </w:rPr>
          <w:tab/>
        </w:r>
        <w:r w:rsidR="00305D32">
          <w:rPr>
            <w:noProof/>
            <w:webHidden/>
          </w:rPr>
          <w:fldChar w:fldCharType="begin"/>
        </w:r>
        <w:r w:rsidR="00305D32">
          <w:rPr>
            <w:noProof/>
            <w:webHidden/>
          </w:rPr>
          <w:instrText xml:space="preserve"> PAGEREF _Toc113018233 \h </w:instrText>
        </w:r>
        <w:r w:rsidR="00305D32">
          <w:rPr>
            <w:noProof/>
            <w:webHidden/>
          </w:rPr>
        </w:r>
        <w:r w:rsidR="00305D32">
          <w:rPr>
            <w:noProof/>
            <w:webHidden/>
          </w:rPr>
          <w:fldChar w:fldCharType="separate"/>
        </w:r>
        <w:r w:rsidR="00305D32">
          <w:rPr>
            <w:noProof/>
            <w:webHidden/>
          </w:rPr>
          <w:t>185</w:t>
        </w:r>
        <w:r w:rsidR="00305D32">
          <w:rPr>
            <w:noProof/>
            <w:webHidden/>
          </w:rPr>
          <w:fldChar w:fldCharType="end"/>
        </w:r>
      </w:hyperlink>
    </w:p>
    <w:p w14:paraId="350C733E"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34" w:history="1">
        <w:r w:rsidR="00305D32" w:rsidRPr="006C6367">
          <w:rPr>
            <w:rStyle w:val="Hyperlink"/>
            <w:noProof/>
          </w:rPr>
          <w:t>Table 8</w:t>
        </w:r>
        <w:r w:rsidR="00305D32" w:rsidRPr="006C6367">
          <w:rPr>
            <w:rStyle w:val="Hyperlink"/>
            <w:i/>
            <w:noProof/>
          </w:rPr>
          <w:t>.</w:t>
        </w:r>
        <w:r w:rsidR="00305D32" w:rsidRPr="006C6367">
          <w:rPr>
            <w:rStyle w:val="Hyperlink"/>
            <w:noProof/>
          </w:rPr>
          <w:t>38</w:t>
        </w:r>
        <w:r w:rsidR="00305D32" w:rsidRPr="006C6367">
          <w:rPr>
            <w:rStyle w:val="Hyperlink"/>
            <w:rFonts w:eastAsia="Calibri"/>
            <w:noProof/>
          </w:rPr>
          <w:t xml:space="preserve">: </w:t>
        </w:r>
        <w:r w:rsidR="00305D32" w:rsidRPr="006C6367">
          <w:rPr>
            <w:rStyle w:val="Hyperlink"/>
            <w:rFonts w:cs="Tahoma"/>
            <w:noProof/>
          </w:rPr>
          <w:t>Typical evidence of bird injuries or mortalities from power line collisions</w:t>
        </w:r>
        <w:r w:rsidR="00305D32">
          <w:rPr>
            <w:noProof/>
            <w:webHidden/>
          </w:rPr>
          <w:tab/>
        </w:r>
        <w:r w:rsidR="00305D32">
          <w:rPr>
            <w:noProof/>
            <w:webHidden/>
          </w:rPr>
          <w:fldChar w:fldCharType="begin"/>
        </w:r>
        <w:r w:rsidR="00305D32">
          <w:rPr>
            <w:noProof/>
            <w:webHidden/>
          </w:rPr>
          <w:instrText xml:space="preserve"> PAGEREF _Toc113018234 \h </w:instrText>
        </w:r>
        <w:r w:rsidR="00305D32">
          <w:rPr>
            <w:noProof/>
            <w:webHidden/>
          </w:rPr>
        </w:r>
        <w:r w:rsidR="00305D32">
          <w:rPr>
            <w:noProof/>
            <w:webHidden/>
          </w:rPr>
          <w:fldChar w:fldCharType="separate"/>
        </w:r>
        <w:r w:rsidR="00305D32">
          <w:rPr>
            <w:noProof/>
            <w:webHidden/>
          </w:rPr>
          <w:t>186</w:t>
        </w:r>
        <w:r w:rsidR="00305D32">
          <w:rPr>
            <w:noProof/>
            <w:webHidden/>
          </w:rPr>
          <w:fldChar w:fldCharType="end"/>
        </w:r>
      </w:hyperlink>
    </w:p>
    <w:p w14:paraId="39ADEA3D"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35" w:history="1">
        <w:r w:rsidR="00305D32" w:rsidRPr="006C6367">
          <w:rPr>
            <w:rStyle w:val="Hyperlink"/>
            <w:noProof/>
          </w:rPr>
          <w:t>Table 8</w:t>
        </w:r>
        <w:r w:rsidR="00305D32" w:rsidRPr="006C6367">
          <w:rPr>
            <w:rStyle w:val="Hyperlink"/>
            <w:i/>
            <w:noProof/>
          </w:rPr>
          <w:t>.</w:t>
        </w:r>
        <w:r w:rsidR="00305D32" w:rsidRPr="006C6367">
          <w:rPr>
            <w:rStyle w:val="Hyperlink"/>
            <w:noProof/>
          </w:rPr>
          <w:t>39</w:t>
        </w:r>
        <w:r w:rsidR="00305D32" w:rsidRPr="006C6367">
          <w:rPr>
            <w:rStyle w:val="Hyperlink"/>
            <w:rFonts w:eastAsia="Calibri"/>
            <w:noProof/>
          </w:rPr>
          <w:t xml:space="preserve">: Summary of impacts to </w:t>
        </w:r>
        <w:r w:rsidR="00305D32" w:rsidRPr="006C6367">
          <w:rPr>
            <w:rStyle w:val="Hyperlink"/>
            <w:rFonts w:cs="Tahoma"/>
            <w:noProof/>
          </w:rPr>
          <w:t>Key Biodiversity Features</w:t>
        </w:r>
        <w:r w:rsidR="00305D32">
          <w:rPr>
            <w:noProof/>
            <w:webHidden/>
          </w:rPr>
          <w:tab/>
        </w:r>
        <w:r w:rsidR="00305D32">
          <w:rPr>
            <w:noProof/>
            <w:webHidden/>
          </w:rPr>
          <w:fldChar w:fldCharType="begin"/>
        </w:r>
        <w:r w:rsidR="00305D32">
          <w:rPr>
            <w:noProof/>
            <w:webHidden/>
          </w:rPr>
          <w:instrText xml:space="preserve"> PAGEREF _Toc113018235 \h </w:instrText>
        </w:r>
        <w:r w:rsidR="00305D32">
          <w:rPr>
            <w:noProof/>
            <w:webHidden/>
          </w:rPr>
        </w:r>
        <w:r w:rsidR="00305D32">
          <w:rPr>
            <w:noProof/>
            <w:webHidden/>
          </w:rPr>
          <w:fldChar w:fldCharType="separate"/>
        </w:r>
        <w:r w:rsidR="00305D32">
          <w:rPr>
            <w:noProof/>
            <w:webHidden/>
          </w:rPr>
          <w:t>188</w:t>
        </w:r>
        <w:r w:rsidR="00305D32">
          <w:rPr>
            <w:noProof/>
            <w:webHidden/>
          </w:rPr>
          <w:fldChar w:fldCharType="end"/>
        </w:r>
      </w:hyperlink>
    </w:p>
    <w:p w14:paraId="60000265"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36" w:history="1">
        <w:r w:rsidR="00305D32" w:rsidRPr="006C6367">
          <w:rPr>
            <w:rStyle w:val="Hyperlink"/>
            <w:noProof/>
          </w:rPr>
          <w:t>Table 8.40</w:t>
        </w:r>
        <w:r w:rsidR="00305D32" w:rsidRPr="006C6367">
          <w:rPr>
            <w:rStyle w:val="Hyperlink"/>
            <w:rFonts w:eastAsia="Calibri"/>
            <w:noProof/>
          </w:rPr>
          <w:t>: Project activities and construction waste generation</w:t>
        </w:r>
        <w:r w:rsidR="00305D32">
          <w:rPr>
            <w:noProof/>
            <w:webHidden/>
          </w:rPr>
          <w:tab/>
        </w:r>
        <w:r w:rsidR="00305D32">
          <w:rPr>
            <w:noProof/>
            <w:webHidden/>
          </w:rPr>
          <w:fldChar w:fldCharType="begin"/>
        </w:r>
        <w:r w:rsidR="00305D32">
          <w:rPr>
            <w:noProof/>
            <w:webHidden/>
          </w:rPr>
          <w:instrText xml:space="preserve"> PAGEREF _Toc113018236 \h </w:instrText>
        </w:r>
        <w:r w:rsidR="00305D32">
          <w:rPr>
            <w:noProof/>
            <w:webHidden/>
          </w:rPr>
        </w:r>
        <w:r w:rsidR="00305D32">
          <w:rPr>
            <w:noProof/>
            <w:webHidden/>
          </w:rPr>
          <w:fldChar w:fldCharType="separate"/>
        </w:r>
        <w:r w:rsidR="00305D32">
          <w:rPr>
            <w:noProof/>
            <w:webHidden/>
          </w:rPr>
          <w:t>193</w:t>
        </w:r>
        <w:r w:rsidR="00305D32">
          <w:rPr>
            <w:noProof/>
            <w:webHidden/>
          </w:rPr>
          <w:fldChar w:fldCharType="end"/>
        </w:r>
      </w:hyperlink>
    </w:p>
    <w:p w14:paraId="7B68CD88"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37" w:history="1">
        <w:r w:rsidR="00305D32" w:rsidRPr="006C6367">
          <w:rPr>
            <w:rStyle w:val="Hyperlink"/>
            <w:noProof/>
          </w:rPr>
          <w:t>Table 8.41</w:t>
        </w:r>
        <w:r w:rsidR="00305D32" w:rsidRPr="006C6367">
          <w:rPr>
            <w:rStyle w:val="Hyperlink"/>
            <w:rFonts w:eastAsia="Calibri"/>
            <w:noProof/>
          </w:rPr>
          <w:t xml:space="preserve">: </w:t>
        </w:r>
        <w:r w:rsidR="00305D32" w:rsidRPr="006C6367">
          <w:rPr>
            <w:rStyle w:val="Hyperlink"/>
            <w:rFonts w:eastAsia="Calibri" w:cs="Tahoma"/>
            <w:noProof/>
          </w:rPr>
          <w:t>Estimated waste quantities from demolition and dismantling works</w:t>
        </w:r>
        <w:r w:rsidR="00305D32">
          <w:rPr>
            <w:noProof/>
            <w:webHidden/>
          </w:rPr>
          <w:tab/>
        </w:r>
        <w:r w:rsidR="00305D32">
          <w:rPr>
            <w:noProof/>
            <w:webHidden/>
          </w:rPr>
          <w:fldChar w:fldCharType="begin"/>
        </w:r>
        <w:r w:rsidR="00305D32">
          <w:rPr>
            <w:noProof/>
            <w:webHidden/>
          </w:rPr>
          <w:instrText xml:space="preserve"> PAGEREF _Toc113018237 \h </w:instrText>
        </w:r>
        <w:r w:rsidR="00305D32">
          <w:rPr>
            <w:noProof/>
            <w:webHidden/>
          </w:rPr>
        </w:r>
        <w:r w:rsidR="00305D32">
          <w:rPr>
            <w:noProof/>
            <w:webHidden/>
          </w:rPr>
          <w:fldChar w:fldCharType="separate"/>
        </w:r>
        <w:r w:rsidR="00305D32">
          <w:rPr>
            <w:noProof/>
            <w:webHidden/>
          </w:rPr>
          <w:t>194</w:t>
        </w:r>
        <w:r w:rsidR="00305D32">
          <w:rPr>
            <w:noProof/>
            <w:webHidden/>
          </w:rPr>
          <w:fldChar w:fldCharType="end"/>
        </w:r>
      </w:hyperlink>
    </w:p>
    <w:p w14:paraId="7EA1C95F"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38" w:history="1">
        <w:r w:rsidR="00305D32" w:rsidRPr="006C6367">
          <w:rPr>
            <w:rStyle w:val="Hyperlink"/>
            <w:noProof/>
          </w:rPr>
          <w:t>Table 8.42</w:t>
        </w:r>
        <w:r w:rsidR="00305D32" w:rsidRPr="006C6367">
          <w:rPr>
            <w:rStyle w:val="Hyperlink"/>
            <w:rFonts w:eastAsia="Calibri"/>
            <w:noProof/>
          </w:rPr>
          <w:t xml:space="preserve">: </w:t>
        </w:r>
        <w:r w:rsidR="00305D32" w:rsidRPr="006C6367">
          <w:rPr>
            <w:rStyle w:val="Hyperlink"/>
            <w:noProof/>
          </w:rPr>
          <w:t>Expected waste types during construction classified according to the European Waste Catalogue</w:t>
        </w:r>
        <w:r w:rsidR="00305D32">
          <w:rPr>
            <w:noProof/>
            <w:webHidden/>
          </w:rPr>
          <w:tab/>
        </w:r>
        <w:r w:rsidR="00305D32">
          <w:rPr>
            <w:noProof/>
            <w:webHidden/>
          </w:rPr>
          <w:fldChar w:fldCharType="begin"/>
        </w:r>
        <w:r w:rsidR="00305D32">
          <w:rPr>
            <w:noProof/>
            <w:webHidden/>
          </w:rPr>
          <w:instrText xml:space="preserve"> PAGEREF _Toc113018238 \h </w:instrText>
        </w:r>
        <w:r w:rsidR="00305D32">
          <w:rPr>
            <w:noProof/>
            <w:webHidden/>
          </w:rPr>
        </w:r>
        <w:r w:rsidR="00305D32">
          <w:rPr>
            <w:noProof/>
            <w:webHidden/>
          </w:rPr>
          <w:fldChar w:fldCharType="separate"/>
        </w:r>
        <w:r w:rsidR="00305D32">
          <w:rPr>
            <w:noProof/>
            <w:webHidden/>
          </w:rPr>
          <w:t>194</w:t>
        </w:r>
        <w:r w:rsidR="00305D32">
          <w:rPr>
            <w:noProof/>
            <w:webHidden/>
          </w:rPr>
          <w:fldChar w:fldCharType="end"/>
        </w:r>
      </w:hyperlink>
    </w:p>
    <w:p w14:paraId="1FB7422A"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39" w:history="1">
        <w:r w:rsidR="00305D32" w:rsidRPr="006C6367">
          <w:rPr>
            <w:rStyle w:val="Hyperlink"/>
            <w:noProof/>
          </w:rPr>
          <w:t>Table 8.43</w:t>
        </w:r>
        <w:r w:rsidR="00305D32" w:rsidRPr="006C6367">
          <w:rPr>
            <w:rStyle w:val="Hyperlink"/>
            <w:rFonts w:eastAsia="Calibri"/>
            <w:noProof/>
          </w:rPr>
          <w:t xml:space="preserve">: </w:t>
        </w:r>
        <w:r w:rsidR="00305D32" w:rsidRPr="006C6367">
          <w:rPr>
            <w:rStyle w:val="Hyperlink"/>
            <w:noProof/>
          </w:rPr>
          <w:t>Expected waste types during operation classified according to the European Waste Catalogue</w:t>
        </w:r>
        <w:r w:rsidR="00305D32">
          <w:rPr>
            <w:noProof/>
            <w:webHidden/>
          </w:rPr>
          <w:tab/>
        </w:r>
        <w:r w:rsidR="00305D32">
          <w:rPr>
            <w:noProof/>
            <w:webHidden/>
          </w:rPr>
          <w:fldChar w:fldCharType="begin"/>
        </w:r>
        <w:r w:rsidR="00305D32">
          <w:rPr>
            <w:noProof/>
            <w:webHidden/>
          </w:rPr>
          <w:instrText xml:space="preserve"> PAGEREF _Toc113018239 \h </w:instrText>
        </w:r>
        <w:r w:rsidR="00305D32">
          <w:rPr>
            <w:noProof/>
            <w:webHidden/>
          </w:rPr>
        </w:r>
        <w:r w:rsidR="00305D32">
          <w:rPr>
            <w:noProof/>
            <w:webHidden/>
          </w:rPr>
          <w:fldChar w:fldCharType="separate"/>
        </w:r>
        <w:r w:rsidR="00305D32">
          <w:rPr>
            <w:noProof/>
            <w:webHidden/>
          </w:rPr>
          <w:t>195</w:t>
        </w:r>
        <w:r w:rsidR="00305D32">
          <w:rPr>
            <w:noProof/>
            <w:webHidden/>
          </w:rPr>
          <w:fldChar w:fldCharType="end"/>
        </w:r>
      </w:hyperlink>
    </w:p>
    <w:p w14:paraId="54721A73"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40" w:history="1">
        <w:r w:rsidR="00305D32" w:rsidRPr="006C6367">
          <w:rPr>
            <w:rStyle w:val="Hyperlink"/>
            <w:rFonts w:cs="Arial"/>
            <w:bCs/>
            <w:noProof/>
          </w:rPr>
          <w:t xml:space="preserve">Table 9.1: </w:t>
        </w:r>
        <w:r w:rsidR="00305D32" w:rsidRPr="006C6367">
          <w:rPr>
            <w:rStyle w:val="Hyperlink"/>
            <w:rFonts w:eastAsia="Calibri" w:cs="Arial"/>
            <w:noProof/>
          </w:rPr>
          <w:t>Assumed construction traffic inventory</w:t>
        </w:r>
        <w:r w:rsidR="00305D32">
          <w:rPr>
            <w:noProof/>
            <w:webHidden/>
          </w:rPr>
          <w:tab/>
        </w:r>
        <w:r w:rsidR="00305D32">
          <w:rPr>
            <w:noProof/>
            <w:webHidden/>
          </w:rPr>
          <w:fldChar w:fldCharType="begin"/>
        </w:r>
        <w:r w:rsidR="00305D32">
          <w:rPr>
            <w:noProof/>
            <w:webHidden/>
          </w:rPr>
          <w:instrText xml:space="preserve"> PAGEREF _Toc113018240 \h </w:instrText>
        </w:r>
        <w:r w:rsidR="00305D32">
          <w:rPr>
            <w:noProof/>
            <w:webHidden/>
          </w:rPr>
        </w:r>
        <w:r w:rsidR="00305D32">
          <w:rPr>
            <w:noProof/>
            <w:webHidden/>
          </w:rPr>
          <w:fldChar w:fldCharType="separate"/>
        </w:r>
        <w:r w:rsidR="00305D32">
          <w:rPr>
            <w:noProof/>
            <w:webHidden/>
          </w:rPr>
          <w:t>199</w:t>
        </w:r>
        <w:r w:rsidR="00305D32">
          <w:rPr>
            <w:noProof/>
            <w:webHidden/>
          </w:rPr>
          <w:fldChar w:fldCharType="end"/>
        </w:r>
      </w:hyperlink>
    </w:p>
    <w:p w14:paraId="386D9BC6"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41" w:history="1">
        <w:r w:rsidR="00305D32" w:rsidRPr="006C6367">
          <w:rPr>
            <w:rStyle w:val="Hyperlink"/>
            <w:noProof/>
          </w:rPr>
          <w:t>Table 9.2</w:t>
        </w:r>
        <w:r w:rsidR="00305D32" w:rsidRPr="006C6367">
          <w:rPr>
            <w:rStyle w:val="Hyperlink"/>
            <w:rFonts w:eastAsia="Calibri"/>
            <w:noProof/>
          </w:rPr>
          <w:t xml:space="preserve">: </w:t>
        </w:r>
        <w:r w:rsidR="00305D32" w:rsidRPr="006C6367">
          <w:rPr>
            <w:rStyle w:val="Hyperlink"/>
            <w:rFonts w:cs="Arial"/>
            <w:noProof/>
          </w:rPr>
          <w:t>Limit values for exposure to electric and magnetic fields (ICNIPR, 1998)</w:t>
        </w:r>
        <w:r w:rsidR="00305D32">
          <w:rPr>
            <w:noProof/>
            <w:webHidden/>
          </w:rPr>
          <w:tab/>
        </w:r>
        <w:r w:rsidR="00305D32">
          <w:rPr>
            <w:noProof/>
            <w:webHidden/>
          </w:rPr>
          <w:fldChar w:fldCharType="begin"/>
        </w:r>
        <w:r w:rsidR="00305D32">
          <w:rPr>
            <w:noProof/>
            <w:webHidden/>
          </w:rPr>
          <w:instrText xml:space="preserve"> PAGEREF _Toc113018241 \h </w:instrText>
        </w:r>
        <w:r w:rsidR="00305D32">
          <w:rPr>
            <w:noProof/>
            <w:webHidden/>
          </w:rPr>
        </w:r>
        <w:r w:rsidR="00305D32">
          <w:rPr>
            <w:noProof/>
            <w:webHidden/>
          </w:rPr>
          <w:fldChar w:fldCharType="separate"/>
        </w:r>
        <w:r w:rsidR="00305D32">
          <w:rPr>
            <w:noProof/>
            <w:webHidden/>
          </w:rPr>
          <w:t>201</w:t>
        </w:r>
        <w:r w:rsidR="00305D32">
          <w:rPr>
            <w:noProof/>
            <w:webHidden/>
          </w:rPr>
          <w:fldChar w:fldCharType="end"/>
        </w:r>
      </w:hyperlink>
    </w:p>
    <w:p w14:paraId="5FFDC748"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42" w:history="1">
        <w:r w:rsidR="00305D32" w:rsidRPr="006C6367">
          <w:rPr>
            <w:rStyle w:val="Hyperlink"/>
            <w:noProof/>
          </w:rPr>
          <w:t>Table 9.3</w:t>
        </w:r>
        <w:r w:rsidR="00305D32" w:rsidRPr="006C6367">
          <w:rPr>
            <w:rStyle w:val="Hyperlink"/>
            <w:rFonts w:eastAsia="Calibri"/>
            <w:noProof/>
          </w:rPr>
          <w:t xml:space="preserve">: </w:t>
        </w:r>
        <w:r w:rsidR="00305D32" w:rsidRPr="006C6367">
          <w:rPr>
            <w:rStyle w:val="Hyperlink"/>
            <w:rFonts w:cs="Arial"/>
            <w:noProof/>
          </w:rPr>
          <w:t>Limit values for exposure to electric and magnetic fields (ICNIPR, 2010)</w:t>
        </w:r>
        <w:r w:rsidR="00305D32">
          <w:rPr>
            <w:noProof/>
            <w:webHidden/>
          </w:rPr>
          <w:tab/>
        </w:r>
        <w:r w:rsidR="00305D32">
          <w:rPr>
            <w:noProof/>
            <w:webHidden/>
          </w:rPr>
          <w:fldChar w:fldCharType="begin"/>
        </w:r>
        <w:r w:rsidR="00305D32">
          <w:rPr>
            <w:noProof/>
            <w:webHidden/>
          </w:rPr>
          <w:instrText xml:space="preserve"> PAGEREF _Toc113018242 \h </w:instrText>
        </w:r>
        <w:r w:rsidR="00305D32">
          <w:rPr>
            <w:noProof/>
            <w:webHidden/>
          </w:rPr>
        </w:r>
        <w:r w:rsidR="00305D32">
          <w:rPr>
            <w:noProof/>
            <w:webHidden/>
          </w:rPr>
          <w:fldChar w:fldCharType="separate"/>
        </w:r>
        <w:r w:rsidR="00305D32">
          <w:rPr>
            <w:noProof/>
            <w:webHidden/>
          </w:rPr>
          <w:t>201</w:t>
        </w:r>
        <w:r w:rsidR="00305D32">
          <w:rPr>
            <w:noProof/>
            <w:webHidden/>
          </w:rPr>
          <w:fldChar w:fldCharType="end"/>
        </w:r>
      </w:hyperlink>
    </w:p>
    <w:p w14:paraId="25D2F285" w14:textId="77777777" w:rsidR="00305D32" w:rsidRDefault="00FD548C" w:rsidP="00305D32">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3018243" w:history="1">
        <w:r w:rsidR="00305D32" w:rsidRPr="006C6367">
          <w:rPr>
            <w:rStyle w:val="Hyperlink"/>
            <w:rFonts w:cs="Arial"/>
            <w:bCs/>
            <w:noProof/>
          </w:rPr>
          <w:t>Table 9.4: An overview of land use effects from the Project</w:t>
        </w:r>
        <w:r w:rsidR="00305D32">
          <w:rPr>
            <w:noProof/>
            <w:webHidden/>
          </w:rPr>
          <w:tab/>
        </w:r>
        <w:r w:rsidR="00305D32">
          <w:rPr>
            <w:noProof/>
            <w:webHidden/>
          </w:rPr>
          <w:fldChar w:fldCharType="begin"/>
        </w:r>
        <w:r w:rsidR="00305D32">
          <w:rPr>
            <w:noProof/>
            <w:webHidden/>
          </w:rPr>
          <w:instrText xml:space="preserve"> PAGEREF _Toc113018243 \h </w:instrText>
        </w:r>
        <w:r w:rsidR="00305D32">
          <w:rPr>
            <w:noProof/>
            <w:webHidden/>
          </w:rPr>
        </w:r>
        <w:r w:rsidR="00305D32">
          <w:rPr>
            <w:noProof/>
            <w:webHidden/>
          </w:rPr>
          <w:fldChar w:fldCharType="separate"/>
        </w:r>
        <w:r w:rsidR="00305D32">
          <w:rPr>
            <w:noProof/>
            <w:webHidden/>
          </w:rPr>
          <w:t>206</w:t>
        </w:r>
        <w:r w:rsidR="00305D32">
          <w:rPr>
            <w:noProof/>
            <w:webHidden/>
          </w:rPr>
          <w:fldChar w:fldCharType="end"/>
        </w:r>
      </w:hyperlink>
    </w:p>
    <w:p w14:paraId="37FA066A" w14:textId="77777777" w:rsidR="00FF2533" w:rsidRPr="0068236B" w:rsidRDefault="00377E43" w:rsidP="00305D32">
      <w:pPr>
        <w:jc w:val="left"/>
        <w:rPr>
          <w:sz w:val="20"/>
        </w:rPr>
      </w:pPr>
      <w:r w:rsidRPr="0068236B">
        <w:rPr>
          <w:szCs w:val="20"/>
        </w:rPr>
        <w:fldChar w:fldCharType="end"/>
      </w:r>
    </w:p>
    <w:p w14:paraId="0DD4CFAD" w14:textId="77777777" w:rsidR="00FF2533" w:rsidRPr="0068236B" w:rsidRDefault="00FF2533" w:rsidP="00B36385">
      <w:pPr>
        <w:spacing w:before="0"/>
        <w:jc w:val="center"/>
        <w:rPr>
          <w:b/>
          <w:color w:val="44697D"/>
          <w:sz w:val="32"/>
          <w:szCs w:val="32"/>
        </w:rPr>
      </w:pPr>
      <w:r w:rsidRPr="0068236B">
        <w:rPr>
          <w:b/>
          <w:color w:val="44697D"/>
          <w:sz w:val="32"/>
          <w:szCs w:val="32"/>
        </w:rPr>
        <w:t>List of Figures</w:t>
      </w:r>
    </w:p>
    <w:p w14:paraId="5B822874" w14:textId="77777777" w:rsidR="00B919AF" w:rsidRDefault="00C860FD"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r w:rsidRPr="0068236B">
        <w:rPr>
          <w:rStyle w:val="Hyperlink"/>
        </w:rPr>
        <w:fldChar w:fldCharType="begin"/>
      </w:r>
      <w:r w:rsidRPr="0068236B">
        <w:rPr>
          <w:rStyle w:val="Hyperlink"/>
        </w:rPr>
        <w:instrText xml:space="preserve"> TOC \h \z \c "Figure" </w:instrText>
      </w:r>
      <w:r w:rsidRPr="0068236B">
        <w:rPr>
          <w:rStyle w:val="Hyperlink"/>
        </w:rPr>
        <w:fldChar w:fldCharType="separate"/>
      </w:r>
      <w:hyperlink w:anchor="_Toc112928839" w:history="1">
        <w:r w:rsidR="00B919AF" w:rsidRPr="00307A1E">
          <w:rPr>
            <w:rStyle w:val="Hyperlink"/>
            <w:rFonts w:cs="Arial"/>
            <w:iCs/>
            <w:noProof/>
          </w:rPr>
          <w:t>Figure 1.1</w:t>
        </w:r>
        <w:r w:rsidR="00B919AF" w:rsidRPr="00307A1E">
          <w:rPr>
            <w:rStyle w:val="Hyperlink"/>
            <w:noProof/>
          </w:rPr>
          <w:t>: Macedonian grid and project area mid-term topology</w:t>
        </w:r>
        <w:r w:rsidR="00B919AF">
          <w:rPr>
            <w:noProof/>
            <w:webHidden/>
          </w:rPr>
          <w:tab/>
        </w:r>
        <w:r w:rsidR="00B919AF">
          <w:rPr>
            <w:noProof/>
            <w:webHidden/>
          </w:rPr>
          <w:fldChar w:fldCharType="begin"/>
        </w:r>
        <w:r w:rsidR="00B919AF">
          <w:rPr>
            <w:noProof/>
            <w:webHidden/>
          </w:rPr>
          <w:instrText xml:space="preserve"> PAGEREF _Toc112928839 \h </w:instrText>
        </w:r>
        <w:r w:rsidR="00B919AF">
          <w:rPr>
            <w:noProof/>
            <w:webHidden/>
          </w:rPr>
        </w:r>
        <w:r w:rsidR="00B919AF">
          <w:rPr>
            <w:noProof/>
            <w:webHidden/>
          </w:rPr>
          <w:fldChar w:fldCharType="separate"/>
        </w:r>
        <w:r w:rsidR="009F12BA">
          <w:rPr>
            <w:noProof/>
            <w:webHidden/>
          </w:rPr>
          <w:t>15</w:t>
        </w:r>
        <w:r w:rsidR="00B919AF">
          <w:rPr>
            <w:noProof/>
            <w:webHidden/>
          </w:rPr>
          <w:fldChar w:fldCharType="end"/>
        </w:r>
      </w:hyperlink>
    </w:p>
    <w:p w14:paraId="2B56BE10"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40" w:history="1">
        <w:r w:rsidR="00B919AF" w:rsidRPr="00307A1E">
          <w:rPr>
            <w:rStyle w:val="Hyperlink"/>
            <w:rFonts w:cs="Arial"/>
            <w:iCs/>
            <w:noProof/>
          </w:rPr>
          <w:t>Figure 1.2</w:t>
        </w:r>
        <w:r w:rsidR="00B919AF" w:rsidRPr="00307A1E">
          <w:rPr>
            <w:rStyle w:val="Hyperlink"/>
            <w:noProof/>
          </w:rPr>
          <w:t>: Location of the new 400/110 kV substation Miletkovo</w:t>
        </w:r>
        <w:r w:rsidR="00B919AF">
          <w:rPr>
            <w:noProof/>
            <w:webHidden/>
          </w:rPr>
          <w:tab/>
        </w:r>
        <w:r w:rsidR="00B919AF">
          <w:rPr>
            <w:noProof/>
            <w:webHidden/>
          </w:rPr>
          <w:fldChar w:fldCharType="begin"/>
        </w:r>
        <w:r w:rsidR="00B919AF">
          <w:rPr>
            <w:noProof/>
            <w:webHidden/>
          </w:rPr>
          <w:instrText xml:space="preserve"> PAGEREF _Toc112928840 \h </w:instrText>
        </w:r>
        <w:r w:rsidR="00B919AF">
          <w:rPr>
            <w:noProof/>
            <w:webHidden/>
          </w:rPr>
        </w:r>
        <w:r w:rsidR="00B919AF">
          <w:rPr>
            <w:noProof/>
            <w:webHidden/>
          </w:rPr>
          <w:fldChar w:fldCharType="separate"/>
        </w:r>
        <w:r w:rsidR="009F12BA">
          <w:rPr>
            <w:noProof/>
            <w:webHidden/>
          </w:rPr>
          <w:t>18</w:t>
        </w:r>
        <w:r w:rsidR="00B919AF">
          <w:rPr>
            <w:noProof/>
            <w:webHidden/>
          </w:rPr>
          <w:fldChar w:fldCharType="end"/>
        </w:r>
      </w:hyperlink>
    </w:p>
    <w:p w14:paraId="39C63013"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41" w:history="1">
        <w:r w:rsidR="00B919AF" w:rsidRPr="00307A1E">
          <w:rPr>
            <w:rStyle w:val="Hyperlink"/>
            <w:rFonts w:cs="Arial"/>
            <w:iCs/>
            <w:noProof/>
          </w:rPr>
          <w:t>Figure 1.3</w:t>
        </w:r>
        <w:r w:rsidR="00B919AF" w:rsidRPr="00307A1E">
          <w:rPr>
            <w:rStyle w:val="Hyperlink"/>
            <w:noProof/>
          </w:rPr>
          <w:t xml:space="preserve">: </w:t>
        </w:r>
        <w:r w:rsidR="00B919AF" w:rsidRPr="00307A1E">
          <w:rPr>
            <w:rStyle w:val="Hyperlink"/>
            <w:rFonts w:eastAsia="Calibri" w:cs="Tahoma"/>
            <w:noProof/>
          </w:rPr>
          <w:t xml:space="preserve">In-out connection of 400/110 kV substation Miletkovo with </w:t>
        </w:r>
        <w:r w:rsidR="00B919AF" w:rsidRPr="00307A1E">
          <w:rPr>
            <w:rStyle w:val="Hyperlink"/>
            <w:noProof/>
          </w:rPr>
          <w:t>the existing 400 kV line from SS Dubrovo to Thessalonica (GR)</w:t>
        </w:r>
        <w:r w:rsidR="00B919AF">
          <w:rPr>
            <w:noProof/>
            <w:webHidden/>
          </w:rPr>
          <w:tab/>
        </w:r>
        <w:r w:rsidR="00B919AF">
          <w:rPr>
            <w:noProof/>
            <w:webHidden/>
          </w:rPr>
          <w:fldChar w:fldCharType="begin"/>
        </w:r>
        <w:r w:rsidR="00B919AF">
          <w:rPr>
            <w:noProof/>
            <w:webHidden/>
          </w:rPr>
          <w:instrText xml:space="preserve"> PAGEREF _Toc112928841 \h </w:instrText>
        </w:r>
        <w:r w:rsidR="00B919AF">
          <w:rPr>
            <w:noProof/>
            <w:webHidden/>
          </w:rPr>
        </w:r>
        <w:r w:rsidR="00B919AF">
          <w:rPr>
            <w:noProof/>
            <w:webHidden/>
          </w:rPr>
          <w:fldChar w:fldCharType="separate"/>
        </w:r>
        <w:r w:rsidR="009F12BA">
          <w:rPr>
            <w:noProof/>
            <w:webHidden/>
          </w:rPr>
          <w:t>20</w:t>
        </w:r>
        <w:r w:rsidR="00B919AF">
          <w:rPr>
            <w:noProof/>
            <w:webHidden/>
          </w:rPr>
          <w:fldChar w:fldCharType="end"/>
        </w:r>
      </w:hyperlink>
    </w:p>
    <w:p w14:paraId="032F0E97"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42" w:history="1">
        <w:r w:rsidR="00B919AF" w:rsidRPr="00307A1E">
          <w:rPr>
            <w:rStyle w:val="Hyperlink"/>
            <w:rFonts w:cs="Arial"/>
            <w:iCs/>
            <w:noProof/>
          </w:rPr>
          <w:t>Figure 1.4</w:t>
        </w:r>
        <w:r w:rsidR="00B919AF" w:rsidRPr="00307A1E">
          <w:rPr>
            <w:rStyle w:val="Hyperlink"/>
            <w:noProof/>
          </w:rPr>
          <w:t>: Reconstruction of existing double phase 2x110 kV transmission line from Valandovo substation to ‘EVP’ Miletkovo substation to three-phase 110 kV transmission line and extension to 400/110 kV SS Miletkovo</w:t>
        </w:r>
        <w:r w:rsidR="00B919AF">
          <w:rPr>
            <w:noProof/>
            <w:webHidden/>
          </w:rPr>
          <w:tab/>
        </w:r>
        <w:r w:rsidR="00B919AF">
          <w:rPr>
            <w:noProof/>
            <w:webHidden/>
          </w:rPr>
          <w:fldChar w:fldCharType="begin"/>
        </w:r>
        <w:r w:rsidR="00B919AF">
          <w:rPr>
            <w:noProof/>
            <w:webHidden/>
          </w:rPr>
          <w:instrText xml:space="preserve"> PAGEREF _Toc112928842 \h </w:instrText>
        </w:r>
        <w:r w:rsidR="00B919AF">
          <w:rPr>
            <w:noProof/>
            <w:webHidden/>
          </w:rPr>
        </w:r>
        <w:r w:rsidR="00B919AF">
          <w:rPr>
            <w:noProof/>
            <w:webHidden/>
          </w:rPr>
          <w:fldChar w:fldCharType="separate"/>
        </w:r>
        <w:r w:rsidR="009F12BA">
          <w:rPr>
            <w:noProof/>
            <w:webHidden/>
          </w:rPr>
          <w:t>21</w:t>
        </w:r>
        <w:r w:rsidR="00B919AF">
          <w:rPr>
            <w:noProof/>
            <w:webHidden/>
          </w:rPr>
          <w:fldChar w:fldCharType="end"/>
        </w:r>
      </w:hyperlink>
    </w:p>
    <w:p w14:paraId="3F4F677C"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43" w:history="1">
        <w:r w:rsidR="00B919AF" w:rsidRPr="00307A1E">
          <w:rPr>
            <w:rStyle w:val="Hyperlink"/>
            <w:rFonts w:cs="Arial"/>
            <w:iCs/>
            <w:noProof/>
          </w:rPr>
          <w:t>Figure 1.5</w:t>
        </w:r>
        <w:r w:rsidR="00B919AF" w:rsidRPr="00307A1E">
          <w:rPr>
            <w:rStyle w:val="Hyperlink"/>
            <w:noProof/>
          </w:rPr>
          <w:t>: New 110 kV transmission line from tower no.19 to 400/110 kV substation Miletkovo (extension of existing 110 kV transmission line, subject to reconstruction)</w:t>
        </w:r>
        <w:r w:rsidR="00B919AF">
          <w:rPr>
            <w:noProof/>
            <w:webHidden/>
          </w:rPr>
          <w:tab/>
        </w:r>
        <w:r w:rsidR="00B919AF">
          <w:rPr>
            <w:noProof/>
            <w:webHidden/>
          </w:rPr>
          <w:fldChar w:fldCharType="begin"/>
        </w:r>
        <w:r w:rsidR="00B919AF">
          <w:rPr>
            <w:noProof/>
            <w:webHidden/>
          </w:rPr>
          <w:instrText xml:space="preserve"> PAGEREF _Toc112928843 \h </w:instrText>
        </w:r>
        <w:r w:rsidR="00B919AF">
          <w:rPr>
            <w:noProof/>
            <w:webHidden/>
          </w:rPr>
        </w:r>
        <w:r w:rsidR="00B919AF">
          <w:rPr>
            <w:noProof/>
            <w:webHidden/>
          </w:rPr>
          <w:fldChar w:fldCharType="separate"/>
        </w:r>
        <w:r w:rsidR="009F12BA">
          <w:rPr>
            <w:noProof/>
            <w:webHidden/>
          </w:rPr>
          <w:t>22</w:t>
        </w:r>
        <w:r w:rsidR="00B919AF">
          <w:rPr>
            <w:noProof/>
            <w:webHidden/>
          </w:rPr>
          <w:fldChar w:fldCharType="end"/>
        </w:r>
      </w:hyperlink>
    </w:p>
    <w:p w14:paraId="6441D577"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44" w:history="1">
        <w:r w:rsidR="00B919AF" w:rsidRPr="00307A1E">
          <w:rPr>
            <w:rStyle w:val="Hyperlink"/>
            <w:rFonts w:cs="Arial"/>
            <w:iCs/>
            <w:noProof/>
          </w:rPr>
          <w:t>Figure 1.6</w:t>
        </w:r>
        <w:r w:rsidR="00B919AF" w:rsidRPr="00307A1E">
          <w:rPr>
            <w:rStyle w:val="Hyperlink"/>
            <w:noProof/>
          </w:rPr>
          <w:t>: New 2x110 kV transmission line from 400/110 kV substation Miletkovo to ‘EVP’ Miletkovo substation</w:t>
        </w:r>
        <w:r w:rsidR="00B919AF">
          <w:rPr>
            <w:noProof/>
            <w:webHidden/>
          </w:rPr>
          <w:tab/>
        </w:r>
        <w:r w:rsidR="00B919AF">
          <w:rPr>
            <w:noProof/>
            <w:webHidden/>
          </w:rPr>
          <w:fldChar w:fldCharType="begin"/>
        </w:r>
        <w:r w:rsidR="00B919AF">
          <w:rPr>
            <w:noProof/>
            <w:webHidden/>
          </w:rPr>
          <w:instrText xml:space="preserve"> PAGEREF _Toc112928844 \h </w:instrText>
        </w:r>
        <w:r w:rsidR="00B919AF">
          <w:rPr>
            <w:noProof/>
            <w:webHidden/>
          </w:rPr>
        </w:r>
        <w:r w:rsidR="00B919AF">
          <w:rPr>
            <w:noProof/>
            <w:webHidden/>
          </w:rPr>
          <w:fldChar w:fldCharType="separate"/>
        </w:r>
        <w:r w:rsidR="009F12BA">
          <w:rPr>
            <w:noProof/>
            <w:webHidden/>
          </w:rPr>
          <w:t>23</w:t>
        </w:r>
        <w:r w:rsidR="00B919AF">
          <w:rPr>
            <w:noProof/>
            <w:webHidden/>
          </w:rPr>
          <w:fldChar w:fldCharType="end"/>
        </w:r>
      </w:hyperlink>
    </w:p>
    <w:p w14:paraId="4CA729C5"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45" w:history="1">
        <w:r w:rsidR="00B919AF" w:rsidRPr="00307A1E">
          <w:rPr>
            <w:rStyle w:val="Hyperlink"/>
            <w:rFonts w:cs="Arial"/>
            <w:iCs/>
            <w:noProof/>
          </w:rPr>
          <w:t>Figure 1.7</w:t>
        </w:r>
        <w:r w:rsidR="00B919AF" w:rsidRPr="00307A1E">
          <w:rPr>
            <w:rStyle w:val="Hyperlink"/>
            <w:noProof/>
          </w:rPr>
          <w:t>: Project options and alternatives within Project options</w:t>
        </w:r>
        <w:r w:rsidR="00B919AF">
          <w:rPr>
            <w:noProof/>
            <w:webHidden/>
          </w:rPr>
          <w:tab/>
        </w:r>
        <w:r w:rsidR="00B919AF">
          <w:rPr>
            <w:noProof/>
            <w:webHidden/>
          </w:rPr>
          <w:fldChar w:fldCharType="begin"/>
        </w:r>
        <w:r w:rsidR="00B919AF">
          <w:rPr>
            <w:noProof/>
            <w:webHidden/>
          </w:rPr>
          <w:instrText xml:space="preserve"> PAGEREF _Toc112928845 \h </w:instrText>
        </w:r>
        <w:r w:rsidR="00B919AF">
          <w:rPr>
            <w:noProof/>
            <w:webHidden/>
          </w:rPr>
        </w:r>
        <w:r w:rsidR="00B919AF">
          <w:rPr>
            <w:noProof/>
            <w:webHidden/>
          </w:rPr>
          <w:fldChar w:fldCharType="separate"/>
        </w:r>
        <w:r w:rsidR="009F12BA">
          <w:rPr>
            <w:noProof/>
            <w:webHidden/>
          </w:rPr>
          <w:t>27</w:t>
        </w:r>
        <w:r w:rsidR="00B919AF">
          <w:rPr>
            <w:noProof/>
            <w:webHidden/>
          </w:rPr>
          <w:fldChar w:fldCharType="end"/>
        </w:r>
      </w:hyperlink>
    </w:p>
    <w:p w14:paraId="43FA47DA"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46" w:history="1">
        <w:r w:rsidR="00B919AF" w:rsidRPr="00307A1E">
          <w:rPr>
            <w:rStyle w:val="Hyperlink"/>
            <w:rFonts w:cs="Arial"/>
            <w:iCs/>
            <w:noProof/>
          </w:rPr>
          <w:t>Figure 1.8</w:t>
        </w:r>
        <w:r w:rsidR="00B919AF" w:rsidRPr="00307A1E">
          <w:rPr>
            <w:rStyle w:val="Hyperlink"/>
            <w:noProof/>
          </w:rPr>
          <w:t>: Project Option 1 – Double circuit 110 kV OHL Dubrovo – Valandovo, alternative corridors</w:t>
        </w:r>
        <w:r w:rsidR="00B919AF">
          <w:rPr>
            <w:noProof/>
            <w:webHidden/>
          </w:rPr>
          <w:tab/>
        </w:r>
        <w:r w:rsidR="00B919AF">
          <w:rPr>
            <w:noProof/>
            <w:webHidden/>
          </w:rPr>
          <w:fldChar w:fldCharType="begin"/>
        </w:r>
        <w:r w:rsidR="00B919AF">
          <w:rPr>
            <w:noProof/>
            <w:webHidden/>
          </w:rPr>
          <w:instrText xml:space="preserve"> PAGEREF _Toc112928846 \h </w:instrText>
        </w:r>
        <w:r w:rsidR="00B919AF">
          <w:rPr>
            <w:noProof/>
            <w:webHidden/>
          </w:rPr>
        </w:r>
        <w:r w:rsidR="00B919AF">
          <w:rPr>
            <w:noProof/>
            <w:webHidden/>
          </w:rPr>
          <w:fldChar w:fldCharType="separate"/>
        </w:r>
        <w:r w:rsidR="009F12BA">
          <w:rPr>
            <w:noProof/>
            <w:webHidden/>
          </w:rPr>
          <w:t>28</w:t>
        </w:r>
        <w:r w:rsidR="00B919AF">
          <w:rPr>
            <w:noProof/>
            <w:webHidden/>
          </w:rPr>
          <w:fldChar w:fldCharType="end"/>
        </w:r>
      </w:hyperlink>
    </w:p>
    <w:p w14:paraId="73A35580"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47" w:history="1">
        <w:r w:rsidR="00B919AF" w:rsidRPr="00307A1E">
          <w:rPr>
            <w:rStyle w:val="Hyperlink"/>
            <w:rFonts w:cs="Arial"/>
            <w:iCs/>
            <w:noProof/>
          </w:rPr>
          <w:t>Figure 1.9</w:t>
        </w:r>
        <w:r w:rsidR="00B919AF" w:rsidRPr="00307A1E">
          <w:rPr>
            <w:rStyle w:val="Hyperlink"/>
            <w:noProof/>
          </w:rPr>
          <w:t>: Project Option 2 – New 400/110 kV SS Valandovo and lead in-out of existing 400 kV OHL</w:t>
        </w:r>
        <w:r w:rsidR="00B919AF" w:rsidRPr="00307A1E">
          <w:rPr>
            <w:rStyle w:val="Hyperlink"/>
            <w:rFonts w:cs="Tahoma"/>
            <w:noProof/>
          </w:rPr>
          <w:t xml:space="preserve"> Dubrovo – Thessalonica (GR)</w:t>
        </w:r>
        <w:r w:rsidR="00B919AF" w:rsidRPr="00307A1E">
          <w:rPr>
            <w:rStyle w:val="Hyperlink"/>
            <w:noProof/>
          </w:rPr>
          <w:t>, Alternative 1</w:t>
        </w:r>
        <w:r w:rsidR="00B919AF">
          <w:rPr>
            <w:noProof/>
            <w:webHidden/>
          </w:rPr>
          <w:tab/>
        </w:r>
        <w:r w:rsidR="00B919AF">
          <w:rPr>
            <w:noProof/>
            <w:webHidden/>
          </w:rPr>
          <w:fldChar w:fldCharType="begin"/>
        </w:r>
        <w:r w:rsidR="00B919AF">
          <w:rPr>
            <w:noProof/>
            <w:webHidden/>
          </w:rPr>
          <w:instrText xml:space="preserve"> PAGEREF _Toc112928847 \h </w:instrText>
        </w:r>
        <w:r w:rsidR="00B919AF">
          <w:rPr>
            <w:noProof/>
            <w:webHidden/>
          </w:rPr>
        </w:r>
        <w:r w:rsidR="00B919AF">
          <w:rPr>
            <w:noProof/>
            <w:webHidden/>
          </w:rPr>
          <w:fldChar w:fldCharType="separate"/>
        </w:r>
        <w:r w:rsidR="009F12BA">
          <w:rPr>
            <w:noProof/>
            <w:webHidden/>
          </w:rPr>
          <w:t>29</w:t>
        </w:r>
        <w:r w:rsidR="00B919AF">
          <w:rPr>
            <w:noProof/>
            <w:webHidden/>
          </w:rPr>
          <w:fldChar w:fldCharType="end"/>
        </w:r>
      </w:hyperlink>
    </w:p>
    <w:p w14:paraId="5C141180"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48" w:history="1">
        <w:r w:rsidR="00B919AF" w:rsidRPr="00307A1E">
          <w:rPr>
            <w:rStyle w:val="Hyperlink"/>
            <w:rFonts w:cs="Arial"/>
            <w:iCs/>
            <w:noProof/>
          </w:rPr>
          <w:t>Figure 1.10</w:t>
        </w:r>
        <w:r w:rsidR="00B919AF" w:rsidRPr="00307A1E">
          <w:rPr>
            <w:rStyle w:val="Hyperlink"/>
            <w:noProof/>
          </w:rPr>
          <w:t>: Project Option 2 – New 400/110 kV SS Miletkovo and lead in-out of existing 400 kV OHL</w:t>
        </w:r>
        <w:r w:rsidR="00B919AF" w:rsidRPr="00307A1E">
          <w:rPr>
            <w:rStyle w:val="Hyperlink"/>
            <w:rFonts w:cs="Tahoma"/>
            <w:noProof/>
          </w:rPr>
          <w:t xml:space="preserve"> Dubrovo – Thessalonica (GR)</w:t>
        </w:r>
        <w:r w:rsidR="00B919AF" w:rsidRPr="00307A1E">
          <w:rPr>
            <w:rStyle w:val="Hyperlink"/>
            <w:noProof/>
          </w:rPr>
          <w:t>, Alternative 2</w:t>
        </w:r>
        <w:r w:rsidR="00B919AF">
          <w:rPr>
            <w:noProof/>
            <w:webHidden/>
          </w:rPr>
          <w:tab/>
        </w:r>
        <w:r w:rsidR="00B919AF">
          <w:rPr>
            <w:noProof/>
            <w:webHidden/>
          </w:rPr>
          <w:fldChar w:fldCharType="begin"/>
        </w:r>
        <w:r w:rsidR="00B919AF">
          <w:rPr>
            <w:noProof/>
            <w:webHidden/>
          </w:rPr>
          <w:instrText xml:space="preserve"> PAGEREF _Toc112928848 \h </w:instrText>
        </w:r>
        <w:r w:rsidR="00B919AF">
          <w:rPr>
            <w:noProof/>
            <w:webHidden/>
          </w:rPr>
        </w:r>
        <w:r w:rsidR="00B919AF">
          <w:rPr>
            <w:noProof/>
            <w:webHidden/>
          </w:rPr>
          <w:fldChar w:fldCharType="separate"/>
        </w:r>
        <w:r w:rsidR="009F12BA">
          <w:rPr>
            <w:noProof/>
            <w:webHidden/>
          </w:rPr>
          <w:t>30</w:t>
        </w:r>
        <w:r w:rsidR="00B919AF">
          <w:rPr>
            <w:noProof/>
            <w:webHidden/>
          </w:rPr>
          <w:fldChar w:fldCharType="end"/>
        </w:r>
      </w:hyperlink>
    </w:p>
    <w:p w14:paraId="08F03B0A"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49" w:history="1">
        <w:r w:rsidR="00B919AF" w:rsidRPr="00307A1E">
          <w:rPr>
            <w:rStyle w:val="Hyperlink"/>
            <w:rFonts w:cs="Arial"/>
            <w:iCs/>
            <w:noProof/>
          </w:rPr>
          <w:t>Figure 1.11</w:t>
        </w:r>
        <w:r w:rsidR="00B919AF" w:rsidRPr="00307A1E">
          <w:rPr>
            <w:rStyle w:val="Hyperlink"/>
            <w:noProof/>
          </w:rPr>
          <w:t xml:space="preserve">: Project Option 3 – </w:t>
        </w:r>
        <w:r w:rsidR="00B919AF" w:rsidRPr="00307A1E">
          <w:rPr>
            <w:rStyle w:val="Hyperlink"/>
            <w:rFonts w:cs="Tahoma"/>
            <w:noProof/>
          </w:rPr>
          <w:t xml:space="preserve">New </w:t>
        </w:r>
        <w:r w:rsidR="00B919AF" w:rsidRPr="00307A1E">
          <w:rPr>
            <w:rStyle w:val="Hyperlink"/>
            <w:noProof/>
          </w:rPr>
          <w:t>400/110 kV SS Valandovo with 400 kV interconnection</w:t>
        </w:r>
        <w:r w:rsidR="00B919AF" w:rsidRPr="00307A1E">
          <w:rPr>
            <w:rStyle w:val="Hyperlink"/>
            <w:rFonts w:cs="Tahoma"/>
            <w:noProof/>
          </w:rPr>
          <w:t xml:space="preserve"> (</w:t>
        </w:r>
        <w:r w:rsidR="00B919AF" w:rsidRPr="00307A1E">
          <w:rPr>
            <w:rStyle w:val="Hyperlink"/>
            <w:noProof/>
          </w:rPr>
          <w:t>Dubrovo – Valandovo – Thessalonica (GR)), alternative corridors</w:t>
        </w:r>
        <w:r w:rsidR="00B919AF">
          <w:rPr>
            <w:noProof/>
            <w:webHidden/>
          </w:rPr>
          <w:tab/>
        </w:r>
        <w:r w:rsidR="00B919AF">
          <w:rPr>
            <w:noProof/>
            <w:webHidden/>
          </w:rPr>
          <w:fldChar w:fldCharType="begin"/>
        </w:r>
        <w:r w:rsidR="00B919AF">
          <w:rPr>
            <w:noProof/>
            <w:webHidden/>
          </w:rPr>
          <w:instrText xml:space="preserve"> PAGEREF _Toc112928849 \h </w:instrText>
        </w:r>
        <w:r w:rsidR="00B919AF">
          <w:rPr>
            <w:noProof/>
            <w:webHidden/>
          </w:rPr>
        </w:r>
        <w:r w:rsidR="00B919AF">
          <w:rPr>
            <w:noProof/>
            <w:webHidden/>
          </w:rPr>
          <w:fldChar w:fldCharType="separate"/>
        </w:r>
        <w:r w:rsidR="009F12BA">
          <w:rPr>
            <w:noProof/>
            <w:webHidden/>
          </w:rPr>
          <w:t>31</w:t>
        </w:r>
        <w:r w:rsidR="00B919AF">
          <w:rPr>
            <w:noProof/>
            <w:webHidden/>
          </w:rPr>
          <w:fldChar w:fldCharType="end"/>
        </w:r>
      </w:hyperlink>
    </w:p>
    <w:p w14:paraId="03159274"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50" w:history="1">
        <w:r w:rsidR="00B919AF" w:rsidRPr="00307A1E">
          <w:rPr>
            <w:rStyle w:val="Hyperlink"/>
            <w:rFonts w:cs="Arial"/>
            <w:iCs/>
            <w:noProof/>
          </w:rPr>
          <w:t>Figure 2.1</w:t>
        </w:r>
        <w:r w:rsidR="00B919AF" w:rsidRPr="00307A1E">
          <w:rPr>
            <w:rStyle w:val="Hyperlink"/>
            <w:noProof/>
          </w:rPr>
          <w:t>: Macedonian grid and project area mid-term topology</w:t>
        </w:r>
        <w:r w:rsidR="00B919AF">
          <w:rPr>
            <w:noProof/>
            <w:webHidden/>
          </w:rPr>
          <w:tab/>
        </w:r>
        <w:r w:rsidR="00B919AF">
          <w:rPr>
            <w:noProof/>
            <w:webHidden/>
          </w:rPr>
          <w:fldChar w:fldCharType="begin"/>
        </w:r>
        <w:r w:rsidR="00B919AF">
          <w:rPr>
            <w:noProof/>
            <w:webHidden/>
          </w:rPr>
          <w:instrText xml:space="preserve"> PAGEREF _Toc112928850 \h </w:instrText>
        </w:r>
        <w:r w:rsidR="00B919AF">
          <w:rPr>
            <w:noProof/>
            <w:webHidden/>
          </w:rPr>
        </w:r>
        <w:r w:rsidR="00B919AF">
          <w:rPr>
            <w:noProof/>
            <w:webHidden/>
          </w:rPr>
          <w:fldChar w:fldCharType="separate"/>
        </w:r>
        <w:r w:rsidR="009F12BA">
          <w:rPr>
            <w:noProof/>
            <w:webHidden/>
          </w:rPr>
          <w:t>43</w:t>
        </w:r>
        <w:r w:rsidR="00B919AF">
          <w:rPr>
            <w:noProof/>
            <w:webHidden/>
          </w:rPr>
          <w:fldChar w:fldCharType="end"/>
        </w:r>
      </w:hyperlink>
    </w:p>
    <w:p w14:paraId="6DA018DF"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51" w:history="1">
        <w:r w:rsidR="00B919AF" w:rsidRPr="00307A1E">
          <w:rPr>
            <w:rStyle w:val="Hyperlink"/>
            <w:rFonts w:cs="Arial"/>
            <w:iCs/>
            <w:noProof/>
          </w:rPr>
          <w:t>Figure 2.2</w:t>
        </w:r>
        <w:r w:rsidR="00B919AF" w:rsidRPr="00307A1E">
          <w:rPr>
            <w:rStyle w:val="Hyperlink"/>
            <w:noProof/>
          </w:rPr>
          <w:t>: Location of the new 400/110 kV substation Miletkovo</w:t>
        </w:r>
        <w:r w:rsidR="00B919AF">
          <w:rPr>
            <w:noProof/>
            <w:webHidden/>
          </w:rPr>
          <w:tab/>
        </w:r>
        <w:r w:rsidR="00B919AF">
          <w:rPr>
            <w:noProof/>
            <w:webHidden/>
          </w:rPr>
          <w:fldChar w:fldCharType="begin"/>
        </w:r>
        <w:r w:rsidR="00B919AF">
          <w:rPr>
            <w:noProof/>
            <w:webHidden/>
          </w:rPr>
          <w:instrText xml:space="preserve"> PAGEREF _Toc112928851 \h </w:instrText>
        </w:r>
        <w:r w:rsidR="00B919AF">
          <w:rPr>
            <w:noProof/>
            <w:webHidden/>
          </w:rPr>
        </w:r>
        <w:r w:rsidR="00B919AF">
          <w:rPr>
            <w:noProof/>
            <w:webHidden/>
          </w:rPr>
          <w:fldChar w:fldCharType="separate"/>
        </w:r>
        <w:r w:rsidR="009F12BA">
          <w:rPr>
            <w:noProof/>
            <w:webHidden/>
          </w:rPr>
          <w:t>45</w:t>
        </w:r>
        <w:r w:rsidR="00B919AF">
          <w:rPr>
            <w:noProof/>
            <w:webHidden/>
          </w:rPr>
          <w:fldChar w:fldCharType="end"/>
        </w:r>
      </w:hyperlink>
    </w:p>
    <w:p w14:paraId="31E70DB7"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52" w:history="1">
        <w:r w:rsidR="00B919AF" w:rsidRPr="00307A1E">
          <w:rPr>
            <w:rStyle w:val="Hyperlink"/>
            <w:rFonts w:cs="Arial"/>
            <w:iCs/>
            <w:noProof/>
          </w:rPr>
          <w:t>Figure 2.3</w:t>
        </w:r>
        <w:r w:rsidR="00B919AF" w:rsidRPr="00307A1E">
          <w:rPr>
            <w:rStyle w:val="Hyperlink"/>
            <w:noProof/>
          </w:rPr>
          <w:t>:</w:t>
        </w:r>
        <w:r w:rsidR="00B919AF" w:rsidRPr="00307A1E">
          <w:rPr>
            <w:rStyle w:val="Hyperlink"/>
            <w:rFonts w:cs="Tahoma"/>
            <w:iCs/>
            <w:noProof/>
          </w:rPr>
          <w:t xml:space="preserve"> Layout of the new 400/110 kV substation Valandovo</w:t>
        </w:r>
        <w:r w:rsidR="00B919AF">
          <w:rPr>
            <w:noProof/>
            <w:webHidden/>
          </w:rPr>
          <w:tab/>
        </w:r>
        <w:r w:rsidR="00B919AF">
          <w:rPr>
            <w:noProof/>
            <w:webHidden/>
          </w:rPr>
          <w:fldChar w:fldCharType="begin"/>
        </w:r>
        <w:r w:rsidR="00B919AF">
          <w:rPr>
            <w:noProof/>
            <w:webHidden/>
          </w:rPr>
          <w:instrText xml:space="preserve"> PAGEREF _Toc112928852 \h </w:instrText>
        </w:r>
        <w:r w:rsidR="00B919AF">
          <w:rPr>
            <w:noProof/>
            <w:webHidden/>
          </w:rPr>
        </w:r>
        <w:r w:rsidR="00B919AF">
          <w:rPr>
            <w:noProof/>
            <w:webHidden/>
          </w:rPr>
          <w:fldChar w:fldCharType="separate"/>
        </w:r>
        <w:r w:rsidR="009F12BA">
          <w:rPr>
            <w:noProof/>
            <w:webHidden/>
          </w:rPr>
          <w:t>49</w:t>
        </w:r>
        <w:r w:rsidR="00B919AF">
          <w:rPr>
            <w:noProof/>
            <w:webHidden/>
          </w:rPr>
          <w:fldChar w:fldCharType="end"/>
        </w:r>
      </w:hyperlink>
    </w:p>
    <w:p w14:paraId="0805E2B3"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53" w:history="1">
        <w:r w:rsidR="00B919AF" w:rsidRPr="00307A1E">
          <w:rPr>
            <w:rStyle w:val="Hyperlink"/>
            <w:rFonts w:cs="Arial"/>
            <w:iCs/>
            <w:noProof/>
          </w:rPr>
          <w:t>Figure 2.4</w:t>
        </w:r>
        <w:r w:rsidR="00B919AF" w:rsidRPr="00307A1E">
          <w:rPr>
            <w:rStyle w:val="Hyperlink"/>
            <w:noProof/>
          </w:rPr>
          <w:t xml:space="preserve">: </w:t>
        </w:r>
        <w:r w:rsidR="00B919AF" w:rsidRPr="00307A1E">
          <w:rPr>
            <w:rStyle w:val="Hyperlink"/>
            <w:rFonts w:eastAsia="Calibri" w:cs="Tahoma"/>
            <w:noProof/>
          </w:rPr>
          <w:t xml:space="preserve">In-out connection of 400/110 kV substation Miletkovo with </w:t>
        </w:r>
        <w:r w:rsidR="00B919AF" w:rsidRPr="00307A1E">
          <w:rPr>
            <w:rStyle w:val="Hyperlink"/>
            <w:noProof/>
          </w:rPr>
          <w:t>the existing 400 kV line from SS Dubrovo to Thessalonica (GR)</w:t>
        </w:r>
        <w:r w:rsidR="00B919AF">
          <w:rPr>
            <w:noProof/>
            <w:webHidden/>
          </w:rPr>
          <w:tab/>
        </w:r>
        <w:r w:rsidR="00B919AF">
          <w:rPr>
            <w:noProof/>
            <w:webHidden/>
          </w:rPr>
          <w:fldChar w:fldCharType="begin"/>
        </w:r>
        <w:r w:rsidR="00B919AF">
          <w:rPr>
            <w:noProof/>
            <w:webHidden/>
          </w:rPr>
          <w:instrText xml:space="preserve"> PAGEREF _Toc112928853 \h </w:instrText>
        </w:r>
        <w:r w:rsidR="00B919AF">
          <w:rPr>
            <w:noProof/>
            <w:webHidden/>
          </w:rPr>
        </w:r>
        <w:r w:rsidR="00B919AF">
          <w:rPr>
            <w:noProof/>
            <w:webHidden/>
          </w:rPr>
          <w:fldChar w:fldCharType="separate"/>
        </w:r>
        <w:r w:rsidR="009F12BA">
          <w:rPr>
            <w:noProof/>
            <w:webHidden/>
          </w:rPr>
          <w:t>50</w:t>
        </w:r>
        <w:r w:rsidR="00B919AF">
          <w:rPr>
            <w:noProof/>
            <w:webHidden/>
          </w:rPr>
          <w:fldChar w:fldCharType="end"/>
        </w:r>
      </w:hyperlink>
    </w:p>
    <w:p w14:paraId="64D6AFDD"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54" w:history="1">
        <w:r w:rsidR="00B919AF" w:rsidRPr="00307A1E">
          <w:rPr>
            <w:rStyle w:val="Hyperlink"/>
            <w:rFonts w:cs="Arial"/>
            <w:iCs/>
            <w:noProof/>
          </w:rPr>
          <w:t>Figure 2.5</w:t>
        </w:r>
        <w:r w:rsidR="00B919AF" w:rsidRPr="00307A1E">
          <w:rPr>
            <w:rStyle w:val="Hyperlink"/>
            <w:noProof/>
          </w:rPr>
          <w:t>:</w:t>
        </w:r>
        <w:r w:rsidR="00B919AF" w:rsidRPr="00307A1E">
          <w:rPr>
            <w:rStyle w:val="Hyperlink"/>
            <w:rFonts w:cs="Tahoma"/>
            <w:iCs/>
            <w:noProof/>
          </w:rPr>
          <w:t xml:space="preserve"> Typical tower for </w:t>
        </w:r>
        <w:r w:rsidR="00B919AF" w:rsidRPr="00307A1E">
          <w:rPr>
            <w:rStyle w:val="Hyperlink"/>
            <w:noProof/>
          </w:rPr>
          <w:t xml:space="preserve">the in-out connection of the new </w:t>
        </w:r>
        <w:r w:rsidR="00B919AF" w:rsidRPr="00307A1E">
          <w:rPr>
            <w:rStyle w:val="Hyperlink"/>
            <w:rFonts w:cs="Tahoma"/>
            <w:noProof/>
          </w:rPr>
          <w:t xml:space="preserve">400/110 kV substation Miletkovo </w:t>
        </w:r>
        <w:r w:rsidR="00B919AF" w:rsidRPr="00307A1E">
          <w:rPr>
            <w:rStyle w:val="Hyperlink"/>
            <w:noProof/>
          </w:rPr>
          <w:t>with the existing 400 kV transmission line from Dubrovo to Thessalonica (GR)</w:t>
        </w:r>
        <w:r w:rsidR="00B919AF">
          <w:rPr>
            <w:noProof/>
            <w:webHidden/>
          </w:rPr>
          <w:tab/>
        </w:r>
        <w:r w:rsidR="00B919AF">
          <w:rPr>
            <w:noProof/>
            <w:webHidden/>
          </w:rPr>
          <w:fldChar w:fldCharType="begin"/>
        </w:r>
        <w:r w:rsidR="00B919AF">
          <w:rPr>
            <w:noProof/>
            <w:webHidden/>
          </w:rPr>
          <w:instrText xml:space="preserve"> PAGEREF _Toc112928854 \h </w:instrText>
        </w:r>
        <w:r w:rsidR="00B919AF">
          <w:rPr>
            <w:noProof/>
            <w:webHidden/>
          </w:rPr>
        </w:r>
        <w:r w:rsidR="00B919AF">
          <w:rPr>
            <w:noProof/>
            <w:webHidden/>
          </w:rPr>
          <w:fldChar w:fldCharType="separate"/>
        </w:r>
        <w:r w:rsidR="009F12BA">
          <w:rPr>
            <w:noProof/>
            <w:webHidden/>
          </w:rPr>
          <w:t>51</w:t>
        </w:r>
        <w:r w:rsidR="00B919AF">
          <w:rPr>
            <w:noProof/>
            <w:webHidden/>
          </w:rPr>
          <w:fldChar w:fldCharType="end"/>
        </w:r>
      </w:hyperlink>
    </w:p>
    <w:p w14:paraId="1B258C07"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55" w:history="1">
        <w:r w:rsidR="00B919AF" w:rsidRPr="00307A1E">
          <w:rPr>
            <w:rStyle w:val="Hyperlink"/>
            <w:rFonts w:cs="Arial"/>
            <w:iCs/>
            <w:noProof/>
          </w:rPr>
          <w:t>Figure 2.5</w:t>
        </w:r>
        <w:r w:rsidR="00B919AF" w:rsidRPr="00307A1E">
          <w:rPr>
            <w:rStyle w:val="Hyperlink"/>
            <w:noProof/>
          </w:rPr>
          <w:t>:</w:t>
        </w:r>
        <w:r w:rsidR="00B919AF" w:rsidRPr="00307A1E">
          <w:rPr>
            <w:rStyle w:val="Hyperlink"/>
            <w:rFonts w:cs="Tahoma"/>
            <w:iCs/>
            <w:noProof/>
          </w:rPr>
          <w:t xml:space="preserve"> Typical </w:t>
        </w:r>
        <w:r w:rsidR="00B919AF" w:rsidRPr="00307A1E">
          <w:rPr>
            <w:rStyle w:val="Hyperlink"/>
            <w:rFonts w:cs="Tahoma"/>
            <w:bCs/>
            <w:noProof/>
            <w:shd w:val="clear" w:color="auto" w:fill="FFFFFF"/>
          </w:rPr>
          <w:t>Aluminium Conductor Steel-Reinforced</w:t>
        </w:r>
        <w:r w:rsidR="00B919AF" w:rsidRPr="00307A1E">
          <w:rPr>
            <w:rStyle w:val="Hyperlink"/>
            <w:rFonts w:cs="Tahoma"/>
            <w:noProof/>
          </w:rPr>
          <w:t xml:space="preserve"> conductor for 400 kV transmission line</w:t>
        </w:r>
        <w:r w:rsidR="00B919AF">
          <w:rPr>
            <w:noProof/>
            <w:webHidden/>
          </w:rPr>
          <w:tab/>
        </w:r>
        <w:r w:rsidR="00B919AF">
          <w:rPr>
            <w:noProof/>
            <w:webHidden/>
          </w:rPr>
          <w:fldChar w:fldCharType="begin"/>
        </w:r>
        <w:r w:rsidR="00B919AF">
          <w:rPr>
            <w:noProof/>
            <w:webHidden/>
          </w:rPr>
          <w:instrText xml:space="preserve"> PAGEREF _Toc112928855 \h </w:instrText>
        </w:r>
        <w:r w:rsidR="00B919AF">
          <w:rPr>
            <w:noProof/>
            <w:webHidden/>
          </w:rPr>
        </w:r>
        <w:r w:rsidR="00B919AF">
          <w:rPr>
            <w:noProof/>
            <w:webHidden/>
          </w:rPr>
          <w:fldChar w:fldCharType="separate"/>
        </w:r>
        <w:r w:rsidR="009F12BA">
          <w:rPr>
            <w:noProof/>
            <w:webHidden/>
          </w:rPr>
          <w:t>52</w:t>
        </w:r>
        <w:r w:rsidR="00B919AF">
          <w:rPr>
            <w:noProof/>
            <w:webHidden/>
          </w:rPr>
          <w:fldChar w:fldCharType="end"/>
        </w:r>
      </w:hyperlink>
    </w:p>
    <w:p w14:paraId="0A799AC0"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56" w:history="1">
        <w:r w:rsidR="00B919AF" w:rsidRPr="00307A1E">
          <w:rPr>
            <w:rStyle w:val="Hyperlink"/>
            <w:rFonts w:cs="Arial"/>
            <w:iCs/>
            <w:noProof/>
          </w:rPr>
          <w:t>Figure 2.7</w:t>
        </w:r>
        <w:r w:rsidR="00B919AF" w:rsidRPr="00307A1E">
          <w:rPr>
            <w:rStyle w:val="Hyperlink"/>
            <w:noProof/>
          </w:rPr>
          <w:t>: Reconstruction of existing double phase 2x110 kV transmission line from Valandovo substation to ‘EVP’ Miletkovo substation to three-phase 110 kV transmission line and extension to 400/110 kV SS Miletkovo</w:t>
        </w:r>
        <w:r w:rsidR="00B919AF">
          <w:rPr>
            <w:noProof/>
            <w:webHidden/>
          </w:rPr>
          <w:tab/>
        </w:r>
        <w:r w:rsidR="00B919AF">
          <w:rPr>
            <w:noProof/>
            <w:webHidden/>
          </w:rPr>
          <w:fldChar w:fldCharType="begin"/>
        </w:r>
        <w:r w:rsidR="00B919AF">
          <w:rPr>
            <w:noProof/>
            <w:webHidden/>
          </w:rPr>
          <w:instrText xml:space="preserve"> PAGEREF _Toc112928856 \h </w:instrText>
        </w:r>
        <w:r w:rsidR="00B919AF">
          <w:rPr>
            <w:noProof/>
            <w:webHidden/>
          </w:rPr>
        </w:r>
        <w:r w:rsidR="00B919AF">
          <w:rPr>
            <w:noProof/>
            <w:webHidden/>
          </w:rPr>
          <w:fldChar w:fldCharType="separate"/>
        </w:r>
        <w:r w:rsidR="009F12BA">
          <w:rPr>
            <w:noProof/>
            <w:webHidden/>
          </w:rPr>
          <w:t>53</w:t>
        </w:r>
        <w:r w:rsidR="00B919AF">
          <w:rPr>
            <w:noProof/>
            <w:webHidden/>
          </w:rPr>
          <w:fldChar w:fldCharType="end"/>
        </w:r>
      </w:hyperlink>
    </w:p>
    <w:p w14:paraId="76325FAF"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57" w:history="1">
        <w:r w:rsidR="00B919AF" w:rsidRPr="00307A1E">
          <w:rPr>
            <w:rStyle w:val="Hyperlink"/>
            <w:rFonts w:cs="Arial"/>
            <w:iCs/>
            <w:noProof/>
          </w:rPr>
          <w:t>Figure 2.8</w:t>
        </w:r>
        <w:r w:rsidR="00B919AF" w:rsidRPr="00307A1E">
          <w:rPr>
            <w:rStyle w:val="Hyperlink"/>
            <w:noProof/>
          </w:rPr>
          <w:t>: New 110 kV transmission line from tower no.19 to 400/110 kV substation Miletkovo (extension of existing 110 kV transmission line, subject to reconstruction)</w:t>
        </w:r>
        <w:r w:rsidR="00B919AF">
          <w:rPr>
            <w:noProof/>
            <w:webHidden/>
          </w:rPr>
          <w:tab/>
        </w:r>
        <w:r w:rsidR="00B919AF">
          <w:rPr>
            <w:noProof/>
            <w:webHidden/>
          </w:rPr>
          <w:fldChar w:fldCharType="begin"/>
        </w:r>
        <w:r w:rsidR="00B919AF">
          <w:rPr>
            <w:noProof/>
            <w:webHidden/>
          </w:rPr>
          <w:instrText xml:space="preserve"> PAGEREF _Toc112928857 \h </w:instrText>
        </w:r>
        <w:r w:rsidR="00B919AF">
          <w:rPr>
            <w:noProof/>
            <w:webHidden/>
          </w:rPr>
        </w:r>
        <w:r w:rsidR="00B919AF">
          <w:rPr>
            <w:noProof/>
            <w:webHidden/>
          </w:rPr>
          <w:fldChar w:fldCharType="separate"/>
        </w:r>
        <w:r w:rsidR="009F12BA">
          <w:rPr>
            <w:noProof/>
            <w:webHidden/>
          </w:rPr>
          <w:t>55</w:t>
        </w:r>
        <w:r w:rsidR="00B919AF">
          <w:rPr>
            <w:noProof/>
            <w:webHidden/>
          </w:rPr>
          <w:fldChar w:fldCharType="end"/>
        </w:r>
      </w:hyperlink>
    </w:p>
    <w:p w14:paraId="058DB5AA"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58" w:history="1">
        <w:r w:rsidR="00B919AF" w:rsidRPr="00307A1E">
          <w:rPr>
            <w:rStyle w:val="Hyperlink"/>
            <w:rFonts w:cs="Arial"/>
            <w:iCs/>
            <w:noProof/>
          </w:rPr>
          <w:t>Figure 2.9</w:t>
        </w:r>
        <w:r w:rsidR="00B919AF" w:rsidRPr="00307A1E">
          <w:rPr>
            <w:rStyle w:val="Hyperlink"/>
            <w:noProof/>
          </w:rPr>
          <w:t>:</w:t>
        </w:r>
        <w:r w:rsidR="00B919AF" w:rsidRPr="00307A1E">
          <w:rPr>
            <w:rStyle w:val="Hyperlink"/>
            <w:rFonts w:cs="Tahoma"/>
            <w:iCs/>
            <w:noProof/>
          </w:rPr>
          <w:t xml:space="preserve"> Typical tower for </w:t>
        </w:r>
        <w:r w:rsidR="00B919AF" w:rsidRPr="00307A1E">
          <w:rPr>
            <w:rStyle w:val="Hyperlink"/>
            <w:noProof/>
          </w:rPr>
          <w:t>the extension of the existing 110 kV transmission line from SS Valandovo to SS ‘EVP’ Miletkovo, which will be reconstructed, to the new 400/110 kV SS Miletkovo</w:t>
        </w:r>
        <w:r w:rsidR="00B919AF">
          <w:rPr>
            <w:noProof/>
            <w:webHidden/>
          </w:rPr>
          <w:tab/>
        </w:r>
        <w:r w:rsidR="00B919AF">
          <w:rPr>
            <w:noProof/>
            <w:webHidden/>
          </w:rPr>
          <w:fldChar w:fldCharType="begin"/>
        </w:r>
        <w:r w:rsidR="00B919AF">
          <w:rPr>
            <w:noProof/>
            <w:webHidden/>
          </w:rPr>
          <w:instrText xml:space="preserve"> PAGEREF _Toc112928858 \h </w:instrText>
        </w:r>
        <w:r w:rsidR="00B919AF">
          <w:rPr>
            <w:noProof/>
            <w:webHidden/>
          </w:rPr>
        </w:r>
        <w:r w:rsidR="00B919AF">
          <w:rPr>
            <w:noProof/>
            <w:webHidden/>
          </w:rPr>
          <w:fldChar w:fldCharType="separate"/>
        </w:r>
        <w:r w:rsidR="009F12BA">
          <w:rPr>
            <w:noProof/>
            <w:webHidden/>
          </w:rPr>
          <w:t>56</w:t>
        </w:r>
        <w:r w:rsidR="00B919AF">
          <w:rPr>
            <w:noProof/>
            <w:webHidden/>
          </w:rPr>
          <w:fldChar w:fldCharType="end"/>
        </w:r>
      </w:hyperlink>
    </w:p>
    <w:p w14:paraId="287EDC41"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59" w:history="1">
        <w:r w:rsidR="00B919AF" w:rsidRPr="00307A1E">
          <w:rPr>
            <w:rStyle w:val="Hyperlink"/>
            <w:rFonts w:cs="Arial"/>
            <w:iCs/>
            <w:noProof/>
          </w:rPr>
          <w:t>Figure 2.5</w:t>
        </w:r>
        <w:r w:rsidR="00B919AF" w:rsidRPr="00307A1E">
          <w:rPr>
            <w:rStyle w:val="Hyperlink"/>
            <w:noProof/>
          </w:rPr>
          <w:t>:</w:t>
        </w:r>
        <w:r w:rsidR="00B919AF" w:rsidRPr="00307A1E">
          <w:rPr>
            <w:rStyle w:val="Hyperlink"/>
            <w:rFonts w:cs="Tahoma"/>
            <w:iCs/>
            <w:noProof/>
          </w:rPr>
          <w:t xml:space="preserve"> Typical a</w:t>
        </w:r>
        <w:r w:rsidR="00B919AF" w:rsidRPr="00307A1E">
          <w:rPr>
            <w:rStyle w:val="Hyperlink"/>
            <w:rFonts w:cs="Tahoma"/>
            <w:noProof/>
          </w:rPr>
          <w:t>ll aluminium alloy conductor for 110 kV transmission line</w:t>
        </w:r>
        <w:r w:rsidR="00B919AF">
          <w:rPr>
            <w:noProof/>
            <w:webHidden/>
          </w:rPr>
          <w:tab/>
        </w:r>
        <w:r w:rsidR="00B919AF">
          <w:rPr>
            <w:noProof/>
            <w:webHidden/>
          </w:rPr>
          <w:fldChar w:fldCharType="begin"/>
        </w:r>
        <w:r w:rsidR="00B919AF">
          <w:rPr>
            <w:noProof/>
            <w:webHidden/>
          </w:rPr>
          <w:instrText xml:space="preserve"> PAGEREF _Toc112928859 \h </w:instrText>
        </w:r>
        <w:r w:rsidR="00B919AF">
          <w:rPr>
            <w:noProof/>
            <w:webHidden/>
          </w:rPr>
        </w:r>
        <w:r w:rsidR="00B919AF">
          <w:rPr>
            <w:noProof/>
            <w:webHidden/>
          </w:rPr>
          <w:fldChar w:fldCharType="separate"/>
        </w:r>
        <w:r w:rsidR="009F12BA">
          <w:rPr>
            <w:noProof/>
            <w:webHidden/>
          </w:rPr>
          <w:t>57</w:t>
        </w:r>
        <w:r w:rsidR="00B919AF">
          <w:rPr>
            <w:noProof/>
            <w:webHidden/>
          </w:rPr>
          <w:fldChar w:fldCharType="end"/>
        </w:r>
      </w:hyperlink>
    </w:p>
    <w:p w14:paraId="25D46482"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60" w:history="1">
        <w:r w:rsidR="00B919AF" w:rsidRPr="00307A1E">
          <w:rPr>
            <w:rStyle w:val="Hyperlink"/>
            <w:rFonts w:cs="Arial"/>
            <w:iCs/>
            <w:noProof/>
          </w:rPr>
          <w:t>Figure 2.10</w:t>
        </w:r>
        <w:r w:rsidR="00B919AF" w:rsidRPr="00307A1E">
          <w:rPr>
            <w:rStyle w:val="Hyperlink"/>
            <w:noProof/>
          </w:rPr>
          <w:t>: New 2x110 kV transmission line from 400/110 kV substation Miletkovo to ‘EVP’ Miletkovo substation</w:t>
        </w:r>
        <w:r w:rsidR="00B919AF">
          <w:rPr>
            <w:noProof/>
            <w:webHidden/>
          </w:rPr>
          <w:tab/>
        </w:r>
        <w:r w:rsidR="00B919AF">
          <w:rPr>
            <w:noProof/>
            <w:webHidden/>
          </w:rPr>
          <w:fldChar w:fldCharType="begin"/>
        </w:r>
        <w:r w:rsidR="00B919AF">
          <w:rPr>
            <w:noProof/>
            <w:webHidden/>
          </w:rPr>
          <w:instrText xml:space="preserve"> PAGEREF _Toc112928860 \h </w:instrText>
        </w:r>
        <w:r w:rsidR="00B919AF">
          <w:rPr>
            <w:noProof/>
            <w:webHidden/>
          </w:rPr>
        </w:r>
        <w:r w:rsidR="00B919AF">
          <w:rPr>
            <w:noProof/>
            <w:webHidden/>
          </w:rPr>
          <w:fldChar w:fldCharType="separate"/>
        </w:r>
        <w:r w:rsidR="009F12BA">
          <w:rPr>
            <w:noProof/>
            <w:webHidden/>
          </w:rPr>
          <w:t>58</w:t>
        </w:r>
        <w:r w:rsidR="00B919AF">
          <w:rPr>
            <w:noProof/>
            <w:webHidden/>
          </w:rPr>
          <w:fldChar w:fldCharType="end"/>
        </w:r>
      </w:hyperlink>
    </w:p>
    <w:p w14:paraId="6020A039"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61" w:history="1">
        <w:r w:rsidR="00B919AF" w:rsidRPr="00307A1E">
          <w:rPr>
            <w:rStyle w:val="Hyperlink"/>
            <w:rFonts w:cs="Arial"/>
            <w:iCs/>
            <w:noProof/>
          </w:rPr>
          <w:t>Figure 2.10</w:t>
        </w:r>
        <w:r w:rsidR="00B919AF" w:rsidRPr="00307A1E">
          <w:rPr>
            <w:rStyle w:val="Hyperlink"/>
            <w:noProof/>
          </w:rPr>
          <w:t>:</w:t>
        </w:r>
        <w:r w:rsidR="00B919AF" w:rsidRPr="00307A1E">
          <w:rPr>
            <w:rStyle w:val="Hyperlink"/>
            <w:rFonts w:cs="Tahoma"/>
            <w:iCs/>
            <w:noProof/>
          </w:rPr>
          <w:t xml:space="preserve"> Typical tower for the new double-circuit </w:t>
        </w:r>
        <w:r w:rsidR="00B919AF" w:rsidRPr="00307A1E">
          <w:rPr>
            <w:rStyle w:val="Hyperlink"/>
            <w:noProof/>
          </w:rPr>
          <w:t xml:space="preserve">transmission line from the new </w:t>
        </w:r>
        <w:r w:rsidR="00B919AF" w:rsidRPr="00307A1E">
          <w:rPr>
            <w:rStyle w:val="Hyperlink"/>
            <w:rFonts w:cs="Tahoma"/>
            <w:noProof/>
          </w:rPr>
          <w:t>400/110 kV substation Valandovo to substation ‘EVP’ Miletkovo</w:t>
        </w:r>
        <w:r w:rsidR="00B919AF">
          <w:rPr>
            <w:noProof/>
            <w:webHidden/>
          </w:rPr>
          <w:tab/>
        </w:r>
        <w:r w:rsidR="00B919AF">
          <w:rPr>
            <w:noProof/>
            <w:webHidden/>
          </w:rPr>
          <w:fldChar w:fldCharType="begin"/>
        </w:r>
        <w:r w:rsidR="00B919AF">
          <w:rPr>
            <w:noProof/>
            <w:webHidden/>
          </w:rPr>
          <w:instrText xml:space="preserve"> PAGEREF _Toc112928861 \h </w:instrText>
        </w:r>
        <w:r w:rsidR="00B919AF">
          <w:rPr>
            <w:noProof/>
            <w:webHidden/>
          </w:rPr>
        </w:r>
        <w:r w:rsidR="00B919AF">
          <w:rPr>
            <w:noProof/>
            <w:webHidden/>
          </w:rPr>
          <w:fldChar w:fldCharType="separate"/>
        </w:r>
        <w:r w:rsidR="009F12BA">
          <w:rPr>
            <w:noProof/>
            <w:webHidden/>
          </w:rPr>
          <w:t>59</w:t>
        </w:r>
        <w:r w:rsidR="00B919AF">
          <w:rPr>
            <w:noProof/>
            <w:webHidden/>
          </w:rPr>
          <w:fldChar w:fldCharType="end"/>
        </w:r>
      </w:hyperlink>
    </w:p>
    <w:p w14:paraId="5EAF921B"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62" w:history="1">
        <w:r w:rsidR="00B919AF" w:rsidRPr="00307A1E">
          <w:rPr>
            <w:rStyle w:val="Hyperlink"/>
            <w:rFonts w:cs="Arial"/>
            <w:iCs/>
            <w:noProof/>
          </w:rPr>
          <w:t>Figure 2.11</w:t>
        </w:r>
        <w:r w:rsidR="00B919AF" w:rsidRPr="00307A1E">
          <w:rPr>
            <w:rStyle w:val="Hyperlink"/>
            <w:noProof/>
          </w:rPr>
          <w:t>:</w:t>
        </w:r>
        <w:r w:rsidR="00B919AF" w:rsidRPr="00307A1E">
          <w:rPr>
            <w:rStyle w:val="Hyperlink"/>
            <w:rFonts w:cs="Tahoma"/>
            <w:noProof/>
          </w:rPr>
          <w:t xml:space="preserve"> Typical construction of a 400/110 kV substation infrastructure</w:t>
        </w:r>
        <w:r w:rsidR="00B919AF">
          <w:rPr>
            <w:noProof/>
            <w:webHidden/>
          </w:rPr>
          <w:tab/>
        </w:r>
        <w:r w:rsidR="00B919AF">
          <w:rPr>
            <w:noProof/>
            <w:webHidden/>
          </w:rPr>
          <w:fldChar w:fldCharType="begin"/>
        </w:r>
        <w:r w:rsidR="00B919AF">
          <w:rPr>
            <w:noProof/>
            <w:webHidden/>
          </w:rPr>
          <w:instrText xml:space="preserve"> PAGEREF _Toc112928862 \h </w:instrText>
        </w:r>
        <w:r w:rsidR="00B919AF">
          <w:rPr>
            <w:noProof/>
            <w:webHidden/>
          </w:rPr>
        </w:r>
        <w:r w:rsidR="00B919AF">
          <w:rPr>
            <w:noProof/>
            <w:webHidden/>
          </w:rPr>
          <w:fldChar w:fldCharType="separate"/>
        </w:r>
        <w:r w:rsidR="009F12BA">
          <w:rPr>
            <w:noProof/>
            <w:webHidden/>
          </w:rPr>
          <w:t>65</w:t>
        </w:r>
        <w:r w:rsidR="00B919AF">
          <w:rPr>
            <w:noProof/>
            <w:webHidden/>
          </w:rPr>
          <w:fldChar w:fldCharType="end"/>
        </w:r>
      </w:hyperlink>
    </w:p>
    <w:p w14:paraId="10850920"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63" w:history="1">
        <w:r w:rsidR="00B919AF" w:rsidRPr="00307A1E">
          <w:rPr>
            <w:rStyle w:val="Hyperlink"/>
            <w:rFonts w:cs="Arial"/>
            <w:iCs/>
            <w:noProof/>
          </w:rPr>
          <w:t>Figure 3.1</w:t>
        </w:r>
        <w:r w:rsidR="00B919AF" w:rsidRPr="00307A1E">
          <w:rPr>
            <w:rStyle w:val="Hyperlink"/>
            <w:noProof/>
          </w:rPr>
          <w:t>: Project options and alternatives within Project options</w:t>
        </w:r>
        <w:r w:rsidR="00B919AF">
          <w:rPr>
            <w:noProof/>
            <w:webHidden/>
          </w:rPr>
          <w:tab/>
        </w:r>
        <w:r w:rsidR="00B919AF">
          <w:rPr>
            <w:noProof/>
            <w:webHidden/>
          </w:rPr>
          <w:fldChar w:fldCharType="begin"/>
        </w:r>
        <w:r w:rsidR="00B919AF">
          <w:rPr>
            <w:noProof/>
            <w:webHidden/>
          </w:rPr>
          <w:instrText xml:space="preserve"> PAGEREF _Toc112928863 \h </w:instrText>
        </w:r>
        <w:r w:rsidR="00B919AF">
          <w:rPr>
            <w:noProof/>
            <w:webHidden/>
          </w:rPr>
        </w:r>
        <w:r w:rsidR="00B919AF">
          <w:rPr>
            <w:noProof/>
            <w:webHidden/>
          </w:rPr>
          <w:fldChar w:fldCharType="separate"/>
        </w:r>
        <w:r w:rsidR="009F12BA">
          <w:rPr>
            <w:noProof/>
            <w:webHidden/>
          </w:rPr>
          <w:t>74</w:t>
        </w:r>
        <w:r w:rsidR="00B919AF">
          <w:rPr>
            <w:noProof/>
            <w:webHidden/>
          </w:rPr>
          <w:fldChar w:fldCharType="end"/>
        </w:r>
      </w:hyperlink>
    </w:p>
    <w:p w14:paraId="5ABBD901"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64" w:history="1">
        <w:r w:rsidR="00B919AF" w:rsidRPr="00307A1E">
          <w:rPr>
            <w:rStyle w:val="Hyperlink"/>
            <w:rFonts w:cs="Arial"/>
            <w:iCs/>
            <w:noProof/>
          </w:rPr>
          <w:t>Figure 3.2</w:t>
        </w:r>
        <w:r w:rsidR="00B919AF" w:rsidRPr="00307A1E">
          <w:rPr>
            <w:rStyle w:val="Hyperlink"/>
            <w:noProof/>
          </w:rPr>
          <w:t>: Project Option 1 – Double circuit 110 kV OHL Dubrovo – Valandovo, alternative corridors</w:t>
        </w:r>
        <w:r w:rsidR="00B919AF">
          <w:rPr>
            <w:noProof/>
            <w:webHidden/>
          </w:rPr>
          <w:tab/>
        </w:r>
        <w:r w:rsidR="00B919AF">
          <w:rPr>
            <w:noProof/>
            <w:webHidden/>
          </w:rPr>
          <w:fldChar w:fldCharType="begin"/>
        </w:r>
        <w:r w:rsidR="00B919AF">
          <w:rPr>
            <w:noProof/>
            <w:webHidden/>
          </w:rPr>
          <w:instrText xml:space="preserve"> PAGEREF _Toc112928864 \h </w:instrText>
        </w:r>
        <w:r w:rsidR="00B919AF">
          <w:rPr>
            <w:noProof/>
            <w:webHidden/>
          </w:rPr>
        </w:r>
        <w:r w:rsidR="00B919AF">
          <w:rPr>
            <w:noProof/>
            <w:webHidden/>
          </w:rPr>
          <w:fldChar w:fldCharType="separate"/>
        </w:r>
        <w:r w:rsidR="009F12BA">
          <w:rPr>
            <w:noProof/>
            <w:webHidden/>
          </w:rPr>
          <w:t>76</w:t>
        </w:r>
        <w:r w:rsidR="00B919AF">
          <w:rPr>
            <w:noProof/>
            <w:webHidden/>
          </w:rPr>
          <w:fldChar w:fldCharType="end"/>
        </w:r>
      </w:hyperlink>
    </w:p>
    <w:p w14:paraId="7380E708"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65" w:history="1">
        <w:r w:rsidR="00B919AF" w:rsidRPr="00307A1E">
          <w:rPr>
            <w:rStyle w:val="Hyperlink"/>
            <w:rFonts w:cs="Arial"/>
            <w:iCs/>
            <w:noProof/>
          </w:rPr>
          <w:t>Figure 3.3</w:t>
        </w:r>
        <w:r w:rsidR="00B919AF" w:rsidRPr="00307A1E">
          <w:rPr>
            <w:rStyle w:val="Hyperlink"/>
            <w:noProof/>
          </w:rPr>
          <w:t>: Project Option 2 – New 400/110 kV SS Valandovo and lead in-out of existing 400 kV OHL</w:t>
        </w:r>
        <w:r w:rsidR="00B919AF" w:rsidRPr="00307A1E">
          <w:rPr>
            <w:rStyle w:val="Hyperlink"/>
            <w:rFonts w:cs="Tahoma"/>
            <w:noProof/>
          </w:rPr>
          <w:t xml:space="preserve"> Dubrovo – Thessalonica (GR)</w:t>
        </w:r>
        <w:r w:rsidR="00B919AF" w:rsidRPr="00307A1E">
          <w:rPr>
            <w:rStyle w:val="Hyperlink"/>
            <w:noProof/>
          </w:rPr>
          <w:t>, Alternative 1</w:t>
        </w:r>
        <w:r w:rsidR="00B919AF">
          <w:rPr>
            <w:noProof/>
            <w:webHidden/>
          </w:rPr>
          <w:tab/>
        </w:r>
        <w:r w:rsidR="00B919AF">
          <w:rPr>
            <w:noProof/>
            <w:webHidden/>
          </w:rPr>
          <w:fldChar w:fldCharType="begin"/>
        </w:r>
        <w:r w:rsidR="00B919AF">
          <w:rPr>
            <w:noProof/>
            <w:webHidden/>
          </w:rPr>
          <w:instrText xml:space="preserve"> PAGEREF _Toc112928865 \h </w:instrText>
        </w:r>
        <w:r w:rsidR="00B919AF">
          <w:rPr>
            <w:noProof/>
            <w:webHidden/>
          </w:rPr>
        </w:r>
        <w:r w:rsidR="00B919AF">
          <w:rPr>
            <w:noProof/>
            <w:webHidden/>
          </w:rPr>
          <w:fldChar w:fldCharType="separate"/>
        </w:r>
        <w:r w:rsidR="009F12BA">
          <w:rPr>
            <w:noProof/>
            <w:webHidden/>
          </w:rPr>
          <w:t>77</w:t>
        </w:r>
        <w:r w:rsidR="00B919AF">
          <w:rPr>
            <w:noProof/>
            <w:webHidden/>
          </w:rPr>
          <w:fldChar w:fldCharType="end"/>
        </w:r>
      </w:hyperlink>
    </w:p>
    <w:p w14:paraId="332C1EC9"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66" w:history="1">
        <w:r w:rsidR="00B919AF" w:rsidRPr="00307A1E">
          <w:rPr>
            <w:rStyle w:val="Hyperlink"/>
            <w:rFonts w:cs="Arial"/>
            <w:iCs/>
            <w:noProof/>
          </w:rPr>
          <w:t>Figure 3.4</w:t>
        </w:r>
        <w:r w:rsidR="00B919AF" w:rsidRPr="00307A1E">
          <w:rPr>
            <w:rStyle w:val="Hyperlink"/>
            <w:noProof/>
          </w:rPr>
          <w:t>: Project Option 2 – New 400/110 kV SS Miletkovo and lead in-out of existing 400 kV OHL</w:t>
        </w:r>
        <w:r w:rsidR="00B919AF" w:rsidRPr="00307A1E">
          <w:rPr>
            <w:rStyle w:val="Hyperlink"/>
            <w:rFonts w:cs="Tahoma"/>
            <w:noProof/>
          </w:rPr>
          <w:t xml:space="preserve"> Dubrovo – Thessalonica (GR)</w:t>
        </w:r>
        <w:r w:rsidR="00B919AF" w:rsidRPr="00307A1E">
          <w:rPr>
            <w:rStyle w:val="Hyperlink"/>
            <w:noProof/>
          </w:rPr>
          <w:t>, Alternative 2</w:t>
        </w:r>
        <w:r w:rsidR="00B919AF">
          <w:rPr>
            <w:noProof/>
            <w:webHidden/>
          </w:rPr>
          <w:tab/>
        </w:r>
        <w:r w:rsidR="00B919AF">
          <w:rPr>
            <w:noProof/>
            <w:webHidden/>
          </w:rPr>
          <w:fldChar w:fldCharType="begin"/>
        </w:r>
        <w:r w:rsidR="00B919AF">
          <w:rPr>
            <w:noProof/>
            <w:webHidden/>
          </w:rPr>
          <w:instrText xml:space="preserve"> PAGEREF _Toc112928866 \h </w:instrText>
        </w:r>
        <w:r w:rsidR="00B919AF">
          <w:rPr>
            <w:noProof/>
            <w:webHidden/>
          </w:rPr>
        </w:r>
        <w:r w:rsidR="00B919AF">
          <w:rPr>
            <w:noProof/>
            <w:webHidden/>
          </w:rPr>
          <w:fldChar w:fldCharType="separate"/>
        </w:r>
        <w:r w:rsidR="009F12BA">
          <w:rPr>
            <w:noProof/>
            <w:webHidden/>
          </w:rPr>
          <w:t>78</w:t>
        </w:r>
        <w:r w:rsidR="00B919AF">
          <w:rPr>
            <w:noProof/>
            <w:webHidden/>
          </w:rPr>
          <w:fldChar w:fldCharType="end"/>
        </w:r>
      </w:hyperlink>
    </w:p>
    <w:p w14:paraId="3EA5C8AE"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67" w:history="1">
        <w:r w:rsidR="00B919AF" w:rsidRPr="00307A1E">
          <w:rPr>
            <w:rStyle w:val="Hyperlink"/>
            <w:rFonts w:cs="Arial"/>
            <w:iCs/>
            <w:noProof/>
          </w:rPr>
          <w:t>Figure 3.5</w:t>
        </w:r>
        <w:r w:rsidR="00B919AF" w:rsidRPr="00307A1E">
          <w:rPr>
            <w:rStyle w:val="Hyperlink"/>
            <w:noProof/>
          </w:rPr>
          <w:t xml:space="preserve">: Project Option 3 – </w:t>
        </w:r>
        <w:r w:rsidR="00B919AF" w:rsidRPr="00307A1E">
          <w:rPr>
            <w:rStyle w:val="Hyperlink"/>
            <w:rFonts w:cs="Tahoma"/>
            <w:noProof/>
          </w:rPr>
          <w:t xml:space="preserve">New </w:t>
        </w:r>
        <w:r w:rsidR="00B919AF" w:rsidRPr="00307A1E">
          <w:rPr>
            <w:rStyle w:val="Hyperlink"/>
            <w:noProof/>
          </w:rPr>
          <w:t>400/110 kV SS Valandovo with 400 kV interconnection</w:t>
        </w:r>
        <w:r w:rsidR="00B919AF" w:rsidRPr="00307A1E">
          <w:rPr>
            <w:rStyle w:val="Hyperlink"/>
            <w:rFonts w:cs="Tahoma"/>
            <w:noProof/>
          </w:rPr>
          <w:t xml:space="preserve"> (</w:t>
        </w:r>
        <w:r w:rsidR="00B919AF" w:rsidRPr="00307A1E">
          <w:rPr>
            <w:rStyle w:val="Hyperlink"/>
            <w:noProof/>
          </w:rPr>
          <w:t>Dubrovo – Valandovo – Thessalonica (GR)), alternative corridors</w:t>
        </w:r>
        <w:r w:rsidR="00B919AF">
          <w:rPr>
            <w:noProof/>
            <w:webHidden/>
          </w:rPr>
          <w:tab/>
        </w:r>
        <w:r w:rsidR="00B919AF">
          <w:rPr>
            <w:noProof/>
            <w:webHidden/>
          </w:rPr>
          <w:fldChar w:fldCharType="begin"/>
        </w:r>
        <w:r w:rsidR="00B919AF">
          <w:rPr>
            <w:noProof/>
            <w:webHidden/>
          </w:rPr>
          <w:instrText xml:space="preserve"> PAGEREF _Toc112928867 \h </w:instrText>
        </w:r>
        <w:r w:rsidR="00B919AF">
          <w:rPr>
            <w:noProof/>
            <w:webHidden/>
          </w:rPr>
        </w:r>
        <w:r w:rsidR="00B919AF">
          <w:rPr>
            <w:noProof/>
            <w:webHidden/>
          </w:rPr>
          <w:fldChar w:fldCharType="separate"/>
        </w:r>
        <w:r w:rsidR="009F12BA">
          <w:rPr>
            <w:noProof/>
            <w:webHidden/>
          </w:rPr>
          <w:t>79</w:t>
        </w:r>
        <w:r w:rsidR="00B919AF">
          <w:rPr>
            <w:noProof/>
            <w:webHidden/>
          </w:rPr>
          <w:fldChar w:fldCharType="end"/>
        </w:r>
      </w:hyperlink>
    </w:p>
    <w:p w14:paraId="791095DF"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68" w:history="1">
        <w:r w:rsidR="00B919AF" w:rsidRPr="00307A1E">
          <w:rPr>
            <w:rStyle w:val="Hyperlink"/>
            <w:rFonts w:cs="Tahoma"/>
            <w:iCs/>
            <w:noProof/>
          </w:rPr>
          <w:t>Figure 3.6: Key b</w:t>
        </w:r>
        <w:r w:rsidR="00B919AF" w:rsidRPr="00307A1E">
          <w:rPr>
            <w:rStyle w:val="Hyperlink"/>
            <w:rFonts w:cs="Tahoma"/>
            <w:bCs/>
            <w:iCs/>
            <w:noProof/>
          </w:rPr>
          <w:t>enefit categories investigated in the network and market based assessment</w:t>
        </w:r>
        <w:r w:rsidR="00B919AF">
          <w:rPr>
            <w:noProof/>
            <w:webHidden/>
          </w:rPr>
          <w:tab/>
        </w:r>
        <w:r w:rsidR="00B919AF">
          <w:rPr>
            <w:noProof/>
            <w:webHidden/>
          </w:rPr>
          <w:fldChar w:fldCharType="begin"/>
        </w:r>
        <w:r w:rsidR="00B919AF">
          <w:rPr>
            <w:noProof/>
            <w:webHidden/>
          </w:rPr>
          <w:instrText xml:space="preserve"> PAGEREF _Toc112928868 \h </w:instrText>
        </w:r>
        <w:r w:rsidR="00B919AF">
          <w:rPr>
            <w:noProof/>
            <w:webHidden/>
          </w:rPr>
        </w:r>
        <w:r w:rsidR="00B919AF">
          <w:rPr>
            <w:noProof/>
            <w:webHidden/>
          </w:rPr>
          <w:fldChar w:fldCharType="separate"/>
        </w:r>
        <w:r w:rsidR="009F12BA">
          <w:rPr>
            <w:noProof/>
            <w:webHidden/>
          </w:rPr>
          <w:t>80</w:t>
        </w:r>
        <w:r w:rsidR="00B919AF">
          <w:rPr>
            <w:noProof/>
            <w:webHidden/>
          </w:rPr>
          <w:fldChar w:fldCharType="end"/>
        </w:r>
      </w:hyperlink>
    </w:p>
    <w:p w14:paraId="0C5283FA"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69" w:history="1">
        <w:r w:rsidR="00B919AF" w:rsidRPr="00307A1E">
          <w:rPr>
            <w:rStyle w:val="Hyperlink"/>
            <w:rFonts w:cs="Tahoma"/>
            <w:iCs/>
            <w:noProof/>
          </w:rPr>
          <w:t>Figure 3.7: Costs categories investigated in the economic assessment</w:t>
        </w:r>
        <w:r w:rsidR="00B919AF">
          <w:rPr>
            <w:noProof/>
            <w:webHidden/>
          </w:rPr>
          <w:tab/>
        </w:r>
        <w:r w:rsidR="00B919AF">
          <w:rPr>
            <w:noProof/>
            <w:webHidden/>
          </w:rPr>
          <w:fldChar w:fldCharType="begin"/>
        </w:r>
        <w:r w:rsidR="00B919AF">
          <w:rPr>
            <w:noProof/>
            <w:webHidden/>
          </w:rPr>
          <w:instrText xml:space="preserve"> PAGEREF _Toc112928869 \h </w:instrText>
        </w:r>
        <w:r w:rsidR="00B919AF">
          <w:rPr>
            <w:noProof/>
            <w:webHidden/>
          </w:rPr>
        </w:r>
        <w:r w:rsidR="00B919AF">
          <w:rPr>
            <w:noProof/>
            <w:webHidden/>
          </w:rPr>
          <w:fldChar w:fldCharType="separate"/>
        </w:r>
        <w:r w:rsidR="009F12BA">
          <w:rPr>
            <w:noProof/>
            <w:webHidden/>
          </w:rPr>
          <w:t>80</w:t>
        </w:r>
        <w:r w:rsidR="00B919AF">
          <w:rPr>
            <w:noProof/>
            <w:webHidden/>
          </w:rPr>
          <w:fldChar w:fldCharType="end"/>
        </w:r>
      </w:hyperlink>
    </w:p>
    <w:p w14:paraId="549DB9F4"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70" w:history="1">
        <w:r w:rsidR="00B919AF" w:rsidRPr="00307A1E">
          <w:rPr>
            <w:rStyle w:val="Hyperlink"/>
            <w:rFonts w:cs="Tahoma"/>
            <w:iCs/>
            <w:noProof/>
          </w:rPr>
          <w:t>Figure 4.1</w:t>
        </w:r>
        <w:r w:rsidR="00B919AF" w:rsidRPr="00307A1E">
          <w:rPr>
            <w:rStyle w:val="Hyperlink"/>
            <w:rFonts w:cs="Tahoma"/>
            <w:noProof/>
          </w:rPr>
          <w:t>: Brief summary of the Macedonian regulatory context for environmental appraisal of projects</w:t>
        </w:r>
        <w:r w:rsidR="00B919AF">
          <w:rPr>
            <w:noProof/>
            <w:webHidden/>
          </w:rPr>
          <w:tab/>
        </w:r>
        <w:r w:rsidR="00B919AF">
          <w:rPr>
            <w:noProof/>
            <w:webHidden/>
          </w:rPr>
          <w:fldChar w:fldCharType="begin"/>
        </w:r>
        <w:r w:rsidR="00B919AF">
          <w:rPr>
            <w:noProof/>
            <w:webHidden/>
          </w:rPr>
          <w:instrText xml:space="preserve"> PAGEREF _Toc112928870 \h </w:instrText>
        </w:r>
        <w:r w:rsidR="00B919AF">
          <w:rPr>
            <w:noProof/>
            <w:webHidden/>
          </w:rPr>
        </w:r>
        <w:r w:rsidR="00B919AF">
          <w:rPr>
            <w:noProof/>
            <w:webHidden/>
          </w:rPr>
          <w:fldChar w:fldCharType="separate"/>
        </w:r>
        <w:r w:rsidR="009F12BA">
          <w:rPr>
            <w:noProof/>
            <w:webHidden/>
          </w:rPr>
          <w:t>90</w:t>
        </w:r>
        <w:r w:rsidR="00B919AF">
          <w:rPr>
            <w:noProof/>
            <w:webHidden/>
          </w:rPr>
          <w:fldChar w:fldCharType="end"/>
        </w:r>
      </w:hyperlink>
    </w:p>
    <w:p w14:paraId="41F39EF5"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71" w:history="1">
        <w:r w:rsidR="00B919AF" w:rsidRPr="00307A1E">
          <w:rPr>
            <w:rStyle w:val="Hyperlink"/>
            <w:noProof/>
          </w:rPr>
          <w:t>Figure 5.1: Impact mitigation hierarchy</w:t>
        </w:r>
        <w:r w:rsidR="00B919AF">
          <w:rPr>
            <w:noProof/>
            <w:webHidden/>
          </w:rPr>
          <w:tab/>
        </w:r>
        <w:r w:rsidR="00B919AF">
          <w:rPr>
            <w:noProof/>
            <w:webHidden/>
          </w:rPr>
          <w:fldChar w:fldCharType="begin"/>
        </w:r>
        <w:r w:rsidR="00B919AF">
          <w:rPr>
            <w:noProof/>
            <w:webHidden/>
          </w:rPr>
          <w:instrText xml:space="preserve"> PAGEREF _Toc112928871 \h </w:instrText>
        </w:r>
        <w:r w:rsidR="00B919AF">
          <w:rPr>
            <w:noProof/>
            <w:webHidden/>
          </w:rPr>
        </w:r>
        <w:r w:rsidR="00B919AF">
          <w:rPr>
            <w:noProof/>
            <w:webHidden/>
          </w:rPr>
          <w:fldChar w:fldCharType="separate"/>
        </w:r>
        <w:r w:rsidR="009F12BA">
          <w:rPr>
            <w:noProof/>
            <w:webHidden/>
          </w:rPr>
          <w:t>105</w:t>
        </w:r>
        <w:r w:rsidR="00B919AF">
          <w:rPr>
            <w:noProof/>
            <w:webHidden/>
          </w:rPr>
          <w:fldChar w:fldCharType="end"/>
        </w:r>
      </w:hyperlink>
    </w:p>
    <w:p w14:paraId="3A25E443"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72" w:history="1">
        <w:r w:rsidR="00B919AF" w:rsidRPr="00307A1E">
          <w:rPr>
            <w:rStyle w:val="Hyperlink"/>
            <w:rFonts w:cs="Tahoma"/>
            <w:noProof/>
          </w:rPr>
          <w:t>Figure 7.1: Climate diagrams of Gevgelija and Valandovo</w:t>
        </w:r>
        <w:r w:rsidR="00B919AF">
          <w:rPr>
            <w:noProof/>
            <w:webHidden/>
          </w:rPr>
          <w:tab/>
        </w:r>
        <w:r w:rsidR="00B919AF">
          <w:rPr>
            <w:noProof/>
            <w:webHidden/>
          </w:rPr>
          <w:fldChar w:fldCharType="begin"/>
        </w:r>
        <w:r w:rsidR="00B919AF">
          <w:rPr>
            <w:noProof/>
            <w:webHidden/>
          </w:rPr>
          <w:instrText xml:space="preserve"> PAGEREF _Toc112928872 \h </w:instrText>
        </w:r>
        <w:r w:rsidR="00B919AF">
          <w:rPr>
            <w:noProof/>
            <w:webHidden/>
          </w:rPr>
        </w:r>
        <w:r w:rsidR="00B919AF">
          <w:rPr>
            <w:noProof/>
            <w:webHidden/>
          </w:rPr>
          <w:fldChar w:fldCharType="separate"/>
        </w:r>
        <w:r w:rsidR="009F12BA">
          <w:rPr>
            <w:noProof/>
            <w:webHidden/>
          </w:rPr>
          <w:t>110</w:t>
        </w:r>
        <w:r w:rsidR="00B919AF">
          <w:rPr>
            <w:noProof/>
            <w:webHidden/>
          </w:rPr>
          <w:fldChar w:fldCharType="end"/>
        </w:r>
      </w:hyperlink>
    </w:p>
    <w:p w14:paraId="5AB2AE36"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73" w:history="1">
        <w:r w:rsidR="00B919AF" w:rsidRPr="00307A1E">
          <w:rPr>
            <w:rStyle w:val="Hyperlink"/>
            <w:rFonts w:cs="Tahoma"/>
            <w:noProof/>
          </w:rPr>
          <w:t xml:space="preserve">Figure 7.2: </w:t>
        </w:r>
        <w:r w:rsidR="00B919AF" w:rsidRPr="00307A1E">
          <w:rPr>
            <w:rStyle w:val="Hyperlink"/>
            <w:rFonts w:cs="Tahoma"/>
            <w:iCs/>
            <w:noProof/>
          </w:rPr>
          <w:t>GHG emissions and removals (net emission) by sector (in Gg CO</w:t>
        </w:r>
        <w:r w:rsidR="00B919AF" w:rsidRPr="00307A1E">
          <w:rPr>
            <w:rStyle w:val="Hyperlink"/>
            <w:rFonts w:cs="Tahoma"/>
            <w:iCs/>
            <w:noProof/>
            <w:vertAlign w:val="subscript"/>
          </w:rPr>
          <w:t>2</w:t>
        </w:r>
        <w:r w:rsidR="00B919AF" w:rsidRPr="00307A1E">
          <w:rPr>
            <w:rStyle w:val="Hyperlink"/>
            <w:rFonts w:cs="Tahoma"/>
            <w:iCs/>
            <w:noProof/>
          </w:rPr>
          <w:t>-eq)</w:t>
        </w:r>
        <w:r w:rsidR="00B919AF">
          <w:rPr>
            <w:noProof/>
            <w:webHidden/>
          </w:rPr>
          <w:tab/>
        </w:r>
        <w:r w:rsidR="00B919AF">
          <w:rPr>
            <w:noProof/>
            <w:webHidden/>
          </w:rPr>
          <w:fldChar w:fldCharType="begin"/>
        </w:r>
        <w:r w:rsidR="00B919AF">
          <w:rPr>
            <w:noProof/>
            <w:webHidden/>
          </w:rPr>
          <w:instrText xml:space="preserve"> PAGEREF _Toc112928873 \h </w:instrText>
        </w:r>
        <w:r w:rsidR="00B919AF">
          <w:rPr>
            <w:noProof/>
            <w:webHidden/>
          </w:rPr>
        </w:r>
        <w:r w:rsidR="00B919AF">
          <w:rPr>
            <w:noProof/>
            <w:webHidden/>
          </w:rPr>
          <w:fldChar w:fldCharType="separate"/>
        </w:r>
        <w:r w:rsidR="009F12BA">
          <w:rPr>
            <w:noProof/>
            <w:webHidden/>
          </w:rPr>
          <w:t>111</w:t>
        </w:r>
        <w:r w:rsidR="00B919AF">
          <w:rPr>
            <w:noProof/>
            <w:webHidden/>
          </w:rPr>
          <w:fldChar w:fldCharType="end"/>
        </w:r>
      </w:hyperlink>
    </w:p>
    <w:p w14:paraId="13D23F96"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74" w:history="1">
        <w:r w:rsidR="00B919AF" w:rsidRPr="00307A1E">
          <w:rPr>
            <w:rStyle w:val="Hyperlink"/>
            <w:rFonts w:cs="Tahoma"/>
            <w:noProof/>
          </w:rPr>
          <w:t xml:space="preserve">Figure 7.3: </w:t>
        </w:r>
        <w:r w:rsidR="00B919AF" w:rsidRPr="00307A1E">
          <w:rPr>
            <w:rStyle w:val="Hyperlink"/>
            <w:rFonts w:cs="Tahoma"/>
            <w:iCs/>
            <w:noProof/>
          </w:rPr>
          <w:t>Gross inland energy consumption (in ktoe), with share of renewable energy sources</w:t>
        </w:r>
        <w:r w:rsidR="00B919AF">
          <w:rPr>
            <w:noProof/>
            <w:webHidden/>
          </w:rPr>
          <w:tab/>
        </w:r>
        <w:r w:rsidR="00B919AF">
          <w:rPr>
            <w:noProof/>
            <w:webHidden/>
          </w:rPr>
          <w:fldChar w:fldCharType="begin"/>
        </w:r>
        <w:r w:rsidR="00B919AF">
          <w:rPr>
            <w:noProof/>
            <w:webHidden/>
          </w:rPr>
          <w:instrText xml:space="preserve"> PAGEREF _Toc112928874 \h </w:instrText>
        </w:r>
        <w:r w:rsidR="00B919AF">
          <w:rPr>
            <w:noProof/>
            <w:webHidden/>
          </w:rPr>
        </w:r>
        <w:r w:rsidR="00B919AF">
          <w:rPr>
            <w:noProof/>
            <w:webHidden/>
          </w:rPr>
          <w:fldChar w:fldCharType="separate"/>
        </w:r>
        <w:r w:rsidR="009F12BA">
          <w:rPr>
            <w:noProof/>
            <w:webHidden/>
          </w:rPr>
          <w:t>112</w:t>
        </w:r>
        <w:r w:rsidR="00B919AF">
          <w:rPr>
            <w:noProof/>
            <w:webHidden/>
          </w:rPr>
          <w:fldChar w:fldCharType="end"/>
        </w:r>
      </w:hyperlink>
    </w:p>
    <w:p w14:paraId="03DE1B89"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75" w:history="1">
        <w:r w:rsidR="00B919AF" w:rsidRPr="00307A1E">
          <w:rPr>
            <w:rStyle w:val="Hyperlink"/>
            <w:rFonts w:cs="Tahoma"/>
            <w:noProof/>
          </w:rPr>
          <w:t xml:space="preserve">Figure 7.4: </w:t>
        </w:r>
        <w:r w:rsidR="00B919AF" w:rsidRPr="00307A1E">
          <w:rPr>
            <w:rStyle w:val="Hyperlink"/>
            <w:rFonts w:cs="Tahoma"/>
            <w:iCs/>
            <w:noProof/>
          </w:rPr>
          <w:t>GHG emissions in Energy sector, by category (in Gg CO</w:t>
        </w:r>
        <w:r w:rsidR="00B919AF" w:rsidRPr="00307A1E">
          <w:rPr>
            <w:rStyle w:val="Hyperlink"/>
            <w:rFonts w:cs="Tahoma"/>
            <w:iCs/>
            <w:noProof/>
            <w:vertAlign w:val="subscript"/>
          </w:rPr>
          <w:t>2</w:t>
        </w:r>
        <w:r w:rsidR="00B919AF" w:rsidRPr="00307A1E">
          <w:rPr>
            <w:rStyle w:val="Hyperlink"/>
            <w:rFonts w:cs="Tahoma"/>
            <w:iCs/>
            <w:noProof/>
          </w:rPr>
          <w:t>-eq)</w:t>
        </w:r>
        <w:r w:rsidR="00B919AF">
          <w:rPr>
            <w:noProof/>
            <w:webHidden/>
          </w:rPr>
          <w:tab/>
        </w:r>
        <w:r w:rsidR="00B919AF">
          <w:rPr>
            <w:noProof/>
            <w:webHidden/>
          </w:rPr>
          <w:fldChar w:fldCharType="begin"/>
        </w:r>
        <w:r w:rsidR="00B919AF">
          <w:rPr>
            <w:noProof/>
            <w:webHidden/>
          </w:rPr>
          <w:instrText xml:space="preserve"> PAGEREF _Toc112928875 \h </w:instrText>
        </w:r>
        <w:r w:rsidR="00B919AF">
          <w:rPr>
            <w:noProof/>
            <w:webHidden/>
          </w:rPr>
        </w:r>
        <w:r w:rsidR="00B919AF">
          <w:rPr>
            <w:noProof/>
            <w:webHidden/>
          </w:rPr>
          <w:fldChar w:fldCharType="separate"/>
        </w:r>
        <w:r w:rsidR="009F12BA">
          <w:rPr>
            <w:noProof/>
            <w:webHidden/>
          </w:rPr>
          <w:t>113</w:t>
        </w:r>
        <w:r w:rsidR="00B919AF">
          <w:rPr>
            <w:noProof/>
            <w:webHidden/>
          </w:rPr>
          <w:fldChar w:fldCharType="end"/>
        </w:r>
      </w:hyperlink>
    </w:p>
    <w:p w14:paraId="7AD31987"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76" w:history="1">
        <w:r w:rsidR="00B919AF" w:rsidRPr="00307A1E">
          <w:rPr>
            <w:rStyle w:val="Hyperlink"/>
            <w:rFonts w:cs="Tahoma"/>
            <w:noProof/>
          </w:rPr>
          <w:t>Figure 7.5: Projected mean-temperature anomaly in Macedonia, at a country level</w:t>
        </w:r>
        <w:r w:rsidR="00B919AF">
          <w:rPr>
            <w:noProof/>
            <w:webHidden/>
          </w:rPr>
          <w:tab/>
        </w:r>
        <w:r w:rsidR="00B919AF">
          <w:rPr>
            <w:noProof/>
            <w:webHidden/>
          </w:rPr>
          <w:fldChar w:fldCharType="begin"/>
        </w:r>
        <w:r w:rsidR="00B919AF">
          <w:rPr>
            <w:noProof/>
            <w:webHidden/>
          </w:rPr>
          <w:instrText xml:space="preserve"> PAGEREF _Toc112928876 \h </w:instrText>
        </w:r>
        <w:r w:rsidR="00B919AF">
          <w:rPr>
            <w:noProof/>
            <w:webHidden/>
          </w:rPr>
        </w:r>
        <w:r w:rsidR="00B919AF">
          <w:rPr>
            <w:noProof/>
            <w:webHidden/>
          </w:rPr>
          <w:fldChar w:fldCharType="separate"/>
        </w:r>
        <w:r w:rsidR="009F12BA">
          <w:rPr>
            <w:noProof/>
            <w:webHidden/>
          </w:rPr>
          <w:t>114</w:t>
        </w:r>
        <w:r w:rsidR="00B919AF">
          <w:rPr>
            <w:noProof/>
            <w:webHidden/>
          </w:rPr>
          <w:fldChar w:fldCharType="end"/>
        </w:r>
      </w:hyperlink>
    </w:p>
    <w:p w14:paraId="0F874A2E"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77" w:history="1">
        <w:r w:rsidR="00B919AF" w:rsidRPr="00307A1E">
          <w:rPr>
            <w:rStyle w:val="Hyperlink"/>
            <w:rFonts w:cs="Tahoma"/>
            <w:noProof/>
          </w:rPr>
          <w:t>Figure 7.6: Projected mean-temperature anomaly in the Project region</w:t>
        </w:r>
        <w:r w:rsidR="00B919AF">
          <w:rPr>
            <w:noProof/>
            <w:webHidden/>
          </w:rPr>
          <w:tab/>
        </w:r>
        <w:r w:rsidR="00B919AF">
          <w:rPr>
            <w:noProof/>
            <w:webHidden/>
          </w:rPr>
          <w:fldChar w:fldCharType="begin"/>
        </w:r>
        <w:r w:rsidR="00B919AF">
          <w:rPr>
            <w:noProof/>
            <w:webHidden/>
          </w:rPr>
          <w:instrText xml:space="preserve"> PAGEREF _Toc112928877 \h </w:instrText>
        </w:r>
        <w:r w:rsidR="00B919AF">
          <w:rPr>
            <w:noProof/>
            <w:webHidden/>
          </w:rPr>
        </w:r>
        <w:r w:rsidR="00B919AF">
          <w:rPr>
            <w:noProof/>
            <w:webHidden/>
          </w:rPr>
          <w:fldChar w:fldCharType="separate"/>
        </w:r>
        <w:r w:rsidR="009F12BA">
          <w:rPr>
            <w:noProof/>
            <w:webHidden/>
          </w:rPr>
          <w:t>114</w:t>
        </w:r>
        <w:r w:rsidR="00B919AF">
          <w:rPr>
            <w:noProof/>
            <w:webHidden/>
          </w:rPr>
          <w:fldChar w:fldCharType="end"/>
        </w:r>
      </w:hyperlink>
    </w:p>
    <w:p w14:paraId="54357D08"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78" w:history="1">
        <w:r w:rsidR="00B919AF" w:rsidRPr="00307A1E">
          <w:rPr>
            <w:rStyle w:val="Hyperlink"/>
            <w:rFonts w:cs="Tahoma"/>
            <w:noProof/>
          </w:rPr>
          <w:t>Figure 7.7: Projected change in warmest daily maximum temperature for Macedonia in 2080-2099, compared to 1995-2014 baseline, at a country level</w:t>
        </w:r>
        <w:r w:rsidR="00B919AF">
          <w:rPr>
            <w:noProof/>
            <w:webHidden/>
          </w:rPr>
          <w:tab/>
        </w:r>
        <w:r w:rsidR="00B919AF">
          <w:rPr>
            <w:noProof/>
            <w:webHidden/>
          </w:rPr>
          <w:fldChar w:fldCharType="begin"/>
        </w:r>
        <w:r w:rsidR="00B919AF">
          <w:rPr>
            <w:noProof/>
            <w:webHidden/>
          </w:rPr>
          <w:instrText xml:space="preserve"> PAGEREF _Toc112928878 \h </w:instrText>
        </w:r>
        <w:r w:rsidR="00B919AF">
          <w:rPr>
            <w:noProof/>
            <w:webHidden/>
          </w:rPr>
        </w:r>
        <w:r w:rsidR="00B919AF">
          <w:rPr>
            <w:noProof/>
            <w:webHidden/>
          </w:rPr>
          <w:fldChar w:fldCharType="separate"/>
        </w:r>
        <w:r w:rsidR="009F12BA">
          <w:rPr>
            <w:noProof/>
            <w:webHidden/>
          </w:rPr>
          <w:t>115</w:t>
        </w:r>
        <w:r w:rsidR="00B919AF">
          <w:rPr>
            <w:noProof/>
            <w:webHidden/>
          </w:rPr>
          <w:fldChar w:fldCharType="end"/>
        </w:r>
      </w:hyperlink>
    </w:p>
    <w:p w14:paraId="230A9032"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79" w:history="1">
        <w:r w:rsidR="00B919AF" w:rsidRPr="00307A1E">
          <w:rPr>
            <w:rStyle w:val="Hyperlink"/>
            <w:rFonts w:cs="Tahoma"/>
            <w:noProof/>
          </w:rPr>
          <w:t>Figure 7.8: Trend of the projected change in warmest daily maximum temperature in the Project region from 2000 to 2099, compared to 1995-2014 baseline</w:t>
        </w:r>
        <w:r w:rsidR="00B919AF">
          <w:rPr>
            <w:noProof/>
            <w:webHidden/>
          </w:rPr>
          <w:tab/>
        </w:r>
        <w:r w:rsidR="00B919AF">
          <w:rPr>
            <w:noProof/>
            <w:webHidden/>
          </w:rPr>
          <w:fldChar w:fldCharType="begin"/>
        </w:r>
        <w:r w:rsidR="00B919AF">
          <w:rPr>
            <w:noProof/>
            <w:webHidden/>
          </w:rPr>
          <w:instrText xml:space="preserve"> PAGEREF _Toc112928879 \h </w:instrText>
        </w:r>
        <w:r w:rsidR="00B919AF">
          <w:rPr>
            <w:noProof/>
            <w:webHidden/>
          </w:rPr>
        </w:r>
        <w:r w:rsidR="00B919AF">
          <w:rPr>
            <w:noProof/>
            <w:webHidden/>
          </w:rPr>
          <w:fldChar w:fldCharType="separate"/>
        </w:r>
        <w:r w:rsidR="009F12BA">
          <w:rPr>
            <w:noProof/>
            <w:webHidden/>
          </w:rPr>
          <w:t>115</w:t>
        </w:r>
        <w:r w:rsidR="00B919AF">
          <w:rPr>
            <w:noProof/>
            <w:webHidden/>
          </w:rPr>
          <w:fldChar w:fldCharType="end"/>
        </w:r>
      </w:hyperlink>
    </w:p>
    <w:p w14:paraId="674AA468"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80" w:history="1">
        <w:r w:rsidR="00B919AF" w:rsidRPr="00307A1E">
          <w:rPr>
            <w:rStyle w:val="Hyperlink"/>
            <w:rFonts w:cs="Tahoma"/>
            <w:noProof/>
          </w:rPr>
          <w:t>Figure 7.9: Projected change in precipitation for Macedonia in 2080-2099, compared to 1995-2014 baseline, at a country level</w:t>
        </w:r>
        <w:r w:rsidR="00B919AF">
          <w:rPr>
            <w:noProof/>
            <w:webHidden/>
          </w:rPr>
          <w:tab/>
        </w:r>
        <w:r w:rsidR="00B919AF">
          <w:rPr>
            <w:noProof/>
            <w:webHidden/>
          </w:rPr>
          <w:fldChar w:fldCharType="begin"/>
        </w:r>
        <w:r w:rsidR="00B919AF">
          <w:rPr>
            <w:noProof/>
            <w:webHidden/>
          </w:rPr>
          <w:instrText xml:space="preserve"> PAGEREF _Toc112928880 \h </w:instrText>
        </w:r>
        <w:r w:rsidR="00B919AF">
          <w:rPr>
            <w:noProof/>
            <w:webHidden/>
          </w:rPr>
        </w:r>
        <w:r w:rsidR="00B919AF">
          <w:rPr>
            <w:noProof/>
            <w:webHidden/>
          </w:rPr>
          <w:fldChar w:fldCharType="separate"/>
        </w:r>
        <w:r w:rsidR="009F12BA">
          <w:rPr>
            <w:noProof/>
            <w:webHidden/>
          </w:rPr>
          <w:t>116</w:t>
        </w:r>
        <w:r w:rsidR="00B919AF">
          <w:rPr>
            <w:noProof/>
            <w:webHidden/>
          </w:rPr>
          <w:fldChar w:fldCharType="end"/>
        </w:r>
      </w:hyperlink>
    </w:p>
    <w:p w14:paraId="3592063E"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81" w:history="1">
        <w:r w:rsidR="00B919AF" w:rsidRPr="00307A1E">
          <w:rPr>
            <w:rStyle w:val="Hyperlink"/>
            <w:rFonts w:cs="Tahoma"/>
            <w:noProof/>
          </w:rPr>
          <w:t>Figure 7.10: Projected change in precipitation in the Project region from 2000 to 2099, compared to 1995-2014 baseline</w:t>
        </w:r>
        <w:r w:rsidR="00B919AF">
          <w:rPr>
            <w:noProof/>
            <w:webHidden/>
          </w:rPr>
          <w:tab/>
        </w:r>
        <w:r w:rsidR="00B919AF">
          <w:rPr>
            <w:noProof/>
            <w:webHidden/>
          </w:rPr>
          <w:fldChar w:fldCharType="begin"/>
        </w:r>
        <w:r w:rsidR="00B919AF">
          <w:rPr>
            <w:noProof/>
            <w:webHidden/>
          </w:rPr>
          <w:instrText xml:space="preserve"> PAGEREF _Toc112928881 \h </w:instrText>
        </w:r>
        <w:r w:rsidR="00B919AF">
          <w:rPr>
            <w:noProof/>
            <w:webHidden/>
          </w:rPr>
        </w:r>
        <w:r w:rsidR="00B919AF">
          <w:rPr>
            <w:noProof/>
            <w:webHidden/>
          </w:rPr>
          <w:fldChar w:fldCharType="separate"/>
        </w:r>
        <w:r w:rsidR="009F12BA">
          <w:rPr>
            <w:noProof/>
            <w:webHidden/>
          </w:rPr>
          <w:t>116</w:t>
        </w:r>
        <w:r w:rsidR="00B919AF">
          <w:rPr>
            <w:noProof/>
            <w:webHidden/>
          </w:rPr>
          <w:fldChar w:fldCharType="end"/>
        </w:r>
      </w:hyperlink>
    </w:p>
    <w:p w14:paraId="3E0657E8"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82" w:history="1">
        <w:r w:rsidR="00B919AF" w:rsidRPr="00307A1E">
          <w:rPr>
            <w:rStyle w:val="Hyperlink"/>
            <w:rFonts w:cs="Tahoma"/>
            <w:noProof/>
          </w:rPr>
          <w:t xml:space="preserve">Figure 7.11: </w:t>
        </w:r>
        <w:r w:rsidR="00B919AF" w:rsidRPr="00307A1E">
          <w:rPr>
            <w:rStyle w:val="Hyperlink"/>
            <w:rFonts w:cs="Tahoma"/>
            <w:bCs/>
            <w:noProof/>
          </w:rPr>
          <w:t>Hydrological catchment area in the Project region</w:t>
        </w:r>
        <w:r w:rsidR="00B919AF">
          <w:rPr>
            <w:noProof/>
            <w:webHidden/>
          </w:rPr>
          <w:tab/>
        </w:r>
        <w:r w:rsidR="00B919AF">
          <w:rPr>
            <w:noProof/>
            <w:webHidden/>
          </w:rPr>
          <w:fldChar w:fldCharType="begin"/>
        </w:r>
        <w:r w:rsidR="00B919AF">
          <w:rPr>
            <w:noProof/>
            <w:webHidden/>
          </w:rPr>
          <w:instrText xml:space="preserve"> PAGEREF _Toc112928882 \h </w:instrText>
        </w:r>
        <w:r w:rsidR="00B919AF">
          <w:rPr>
            <w:noProof/>
            <w:webHidden/>
          </w:rPr>
        </w:r>
        <w:r w:rsidR="00B919AF">
          <w:rPr>
            <w:noProof/>
            <w:webHidden/>
          </w:rPr>
          <w:fldChar w:fldCharType="separate"/>
        </w:r>
        <w:r w:rsidR="009F12BA">
          <w:rPr>
            <w:noProof/>
            <w:webHidden/>
          </w:rPr>
          <w:t>121</w:t>
        </w:r>
        <w:r w:rsidR="00B919AF">
          <w:rPr>
            <w:noProof/>
            <w:webHidden/>
          </w:rPr>
          <w:fldChar w:fldCharType="end"/>
        </w:r>
      </w:hyperlink>
    </w:p>
    <w:p w14:paraId="146741E4"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83" w:history="1">
        <w:r w:rsidR="00B919AF" w:rsidRPr="00307A1E">
          <w:rPr>
            <w:rStyle w:val="Hyperlink"/>
            <w:rFonts w:cs="Tahoma"/>
            <w:noProof/>
          </w:rPr>
          <w:t>Figure 7.12: Wider area of the new 400/110 kV substation Valandovo and ‘in-out’ connection with the existing 400 kV line</w:t>
        </w:r>
        <w:r w:rsidR="00B919AF">
          <w:rPr>
            <w:noProof/>
            <w:webHidden/>
          </w:rPr>
          <w:tab/>
        </w:r>
        <w:r w:rsidR="00B919AF">
          <w:rPr>
            <w:noProof/>
            <w:webHidden/>
          </w:rPr>
          <w:fldChar w:fldCharType="begin"/>
        </w:r>
        <w:r w:rsidR="00B919AF">
          <w:rPr>
            <w:noProof/>
            <w:webHidden/>
          </w:rPr>
          <w:instrText xml:space="preserve"> PAGEREF _Toc112928883 \h </w:instrText>
        </w:r>
        <w:r w:rsidR="00B919AF">
          <w:rPr>
            <w:noProof/>
            <w:webHidden/>
          </w:rPr>
        </w:r>
        <w:r w:rsidR="00B919AF">
          <w:rPr>
            <w:noProof/>
            <w:webHidden/>
          </w:rPr>
          <w:fldChar w:fldCharType="separate"/>
        </w:r>
        <w:r w:rsidR="009F12BA">
          <w:rPr>
            <w:noProof/>
            <w:webHidden/>
          </w:rPr>
          <w:t>124</w:t>
        </w:r>
        <w:r w:rsidR="00B919AF">
          <w:rPr>
            <w:noProof/>
            <w:webHidden/>
          </w:rPr>
          <w:fldChar w:fldCharType="end"/>
        </w:r>
      </w:hyperlink>
    </w:p>
    <w:p w14:paraId="58577CCD"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84" w:history="1">
        <w:r w:rsidR="00B919AF" w:rsidRPr="00307A1E">
          <w:rPr>
            <w:rStyle w:val="Hyperlink"/>
            <w:rFonts w:cs="Tahoma"/>
            <w:noProof/>
          </w:rPr>
          <w:t>Figure 7.13: Study area, buffer area (2x500m) and the routes of the transmission lines</w:t>
        </w:r>
        <w:r w:rsidR="00B919AF">
          <w:rPr>
            <w:noProof/>
            <w:webHidden/>
          </w:rPr>
          <w:tab/>
        </w:r>
        <w:r w:rsidR="00B919AF">
          <w:rPr>
            <w:noProof/>
            <w:webHidden/>
          </w:rPr>
          <w:fldChar w:fldCharType="begin"/>
        </w:r>
        <w:r w:rsidR="00B919AF">
          <w:rPr>
            <w:noProof/>
            <w:webHidden/>
          </w:rPr>
          <w:instrText xml:space="preserve"> PAGEREF _Toc112928884 \h </w:instrText>
        </w:r>
        <w:r w:rsidR="00B919AF">
          <w:rPr>
            <w:noProof/>
            <w:webHidden/>
          </w:rPr>
        </w:r>
        <w:r w:rsidR="00B919AF">
          <w:rPr>
            <w:noProof/>
            <w:webHidden/>
          </w:rPr>
          <w:fldChar w:fldCharType="separate"/>
        </w:r>
        <w:r w:rsidR="009F12BA">
          <w:rPr>
            <w:noProof/>
            <w:webHidden/>
          </w:rPr>
          <w:t>126</w:t>
        </w:r>
        <w:r w:rsidR="00B919AF">
          <w:rPr>
            <w:noProof/>
            <w:webHidden/>
          </w:rPr>
          <w:fldChar w:fldCharType="end"/>
        </w:r>
      </w:hyperlink>
    </w:p>
    <w:p w14:paraId="2F5BAE6C"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85" w:history="1">
        <w:r w:rsidR="00B919AF" w:rsidRPr="00307A1E">
          <w:rPr>
            <w:rStyle w:val="Hyperlink"/>
            <w:rFonts w:cs="Tahoma"/>
            <w:noProof/>
          </w:rPr>
          <w:t>Figure 7.14: Study area and routes of the field work</w:t>
        </w:r>
        <w:r w:rsidR="00B919AF">
          <w:rPr>
            <w:noProof/>
            <w:webHidden/>
          </w:rPr>
          <w:tab/>
        </w:r>
        <w:r w:rsidR="00B919AF">
          <w:rPr>
            <w:noProof/>
            <w:webHidden/>
          </w:rPr>
          <w:fldChar w:fldCharType="begin"/>
        </w:r>
        <w:r w:rsidR="00B919AF">
          <w:rPr>
            <w:noProof/>
            <w:webHidden/>
          </w:rPr>
          <w:instrText xml:space="preserve"> PAGEREF _Toc112928885 \h </w:instrText>
        </w:r>
        <w:r w:rsidR="00B919AF">
          <w:rPr>
            <w:noProof/>
            <w:webHidden/>
          </w:rPr>
        </w:r>
        <w:r w:rsidR="00B919AF">
          <w:rPr>
            <w:noProof/>
            <w:webHidden/>
          </w:rPr>
          <w:fldChar w:fldCharType="separate"/>
        </w:r>
        <w:r w:rsidR="009F12BA">
          <w:rPr>
            <w:noProof/>
            <w:webHidden/>
          </w:rPr>
          <w:t>127</w:t>
        </w:r>
        <w:r w:rsidR="00B919AF">
          <w:rPr>
            <w:noProof/>
            <w:webHidden/>
          </w:rPr>
          <w:fldChar w:fldCharType="end"/>
        </w:r>
      </w:hyperlink>
    </w:p>
    <w:p w14:paraId="6B3F38ED"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86" w:history="1">
        <w:r w:rsidR="00B919AF" w:rsidRPr="00307A1E">
          <w:rPr>
            <w:rStyle w:val="Hyperlink"/>
            <w:rFonts w:cs="Tahoma"/>
            <w:noProof/>
          </w:rPr>
          <w:t>Figure 7.15: Bird miigratory routes in Europe (European Environment Agency - European Union</w:t>
        </w:r>
        <w:r w:rsidR="00B919AF">
          <w:rPr>
            <w:noProof/>
            <w:webHidden/>
          </w:rPr>
          <w:tab/>
        </w:r>
        <w:r w:rsidR="00B919AF">
          <w:rPr>
            <w:noProof/>
            <w:webHidden/>
          </w:rPr>
          <w:fldChar w:fldCharType="begin"/>
        </w:r>
        <w:r w:rsidR="00B919AF">
          <w:rPr>
            <w:noProof/>
            <w:webHidden/>
          </w:rPr>
          <w:instrText xml:space="preserve"> PAGEREF _Toc112928886 \h </w:instrText>
        </w:r>
        <w:r w:rsidR="00B919AF">
          <w:rPr>
            <w:noProof/>
            <w:webHidden/>
          </w:rPr>
        </w:r>
        <w:r w:rsidR="00B919AF">
          <w:rPr>
            <w:noProof/>
            <w:webHidden/>
          </w:rPr>
          <w:fldChar w:fldCharType="separate"/>
        </w:r>
        <w:r w:rsidR="009F12BA">
          <w:rPr>
            <w:noProof/>
            <w:webHidden/>
          </w:rPr>
          <w:t>133</w:t>
        </w:r>
        <w:r w:rsidR="00B919AF">
          <w:rPr>
            <w:noProof/>
            <w:webHidden/>
          </w:rPr>
          <w:fldChar w:fldCharType="end"/>
        </w:r>
      </w:hyperlink>
    </w:p>
    <w:p w14:paraId="7377D82D"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87" w:history="1">
        <w:r w:rsidR="00B919AF" w:rsidRPr="00307A1E">
          <w:rPr>
            <w:rStyle w:val="Hyperlink"/>
            <w:rFonts w:cs="Tahoma"/>
            <w:noProof/>
          </w:rPr>
          <w:t xml:space="preserve">Figure 7.16: EU conservation status of 92A0 </w:t>
        </w:r>
        <w:r w:rsidR="00B919AF" w:rsidRPr="00307A1E">
          <w:rPr>
            <w:rStyle w:val="Hyperlink"/>
            <w:rFonts w:cs="Tahoma"/>
            <w:i/>
            <w:noProof/>
          </w:rPr>
          <w:t>Salix alba</w:t>
        </w:r>
        <w:r w:rsidR="00B919AF" w:rsidRPr="00307A1E">
          <w:rPr>
            <w:rStyle w:val="Hyperlink"/>
            <w:rFonts w:cs="Tahoma"/>
            <w:noProof/>
          </w:rPr>
          <w:t xml:space="preserve"> and </w:t>
        </w:r>
        <w:r w:rsidR="00B919AF" w:rsidRPr="00307A1E">
          <w:rPr>
            <w:rStyle w:val="Hyperlink"/>
            <w:rFonts w:cs="Tahoma"/>
            <w:i/>
            <w:noProof/>
          </w:rPr>
          <w:t>Populus alba galleries</w:t>
        </w:r>
        <w:r w:rsidR="00B919AF">
          <w:rPr>
            <w:noProof/>
            <w:webHidden/>
          </w:rPr>
          <w:tab/>
        </w:r>
        <w:r w:rsidR="00B919AF">
          <w:rPr>
            <w:noProof/>
            <w:webHidden/>
          </w:rPr>
          <w:fldChar w:fldCharType="begin"/>
        </w:r>
        <w:r w:rsidR="00B919AF">
          <w:rPr>
            <w:noProof/>
            <w:webHidden/>
          </w:rPr>
          <w:instrText xml:space="preserve"> PAGEREF _Toc112928887 \h </w:instrText>
        </w:r>
        <w:r w:rsidR="00B919AF">
          <w:rPr>
            <w:noProof/>
            <w:webHidden/>
          </w:rPr>
        </w:r>
        <w:r w:rsidR="00B919AF">
          <w:rPr>
            <w:noProof/>
            <w:webHidden/>
          </w:rPr>
          <w:fldChar w:fldCharType="separate"/>
        </w:r>
        <w:r w:rsidR="009F12BA">
          <w:rPr>
            <w:noProof/>
            <w:webHidden/>
          </w:rPr>
          <w:t>137</w:t>
        </w:r>
        <w:r w:rsidR="00B919AF">
          <w:rPr>
            <w:noProof/>
            <w:webHidden/>
          </w:rPr>
          <w:fldChar w:fldCharType="end"/>
        </w:r>
      </w:hyperlink>
    </w:p>
    <w:p w14:paraId="57AD2EC2"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88" w:history="1">
        <w:r w:rsidR="00B919AF" w:rsidRPr="00307A1E">
          <w:rPr>
            <w:rStyle w:val="Hyperlink"/>
            <w:rFonts w:cs="Tahoma"/>
            <w:noProof/>
          </w:rPr>
          <w:t>Figure 7.17: Cummulative score of all ecosystem services on national level.</w:t>
        </w:r>
        <w:r w:rsidR="00B919AF">
          <w:rPr>
            <w:noProof/>
            <w:webHidden/>
          </w:rPr>
          <w:tab/>
        </w:r>
        <w:r w:rsidR="00B919AF">
          <w:rPr>
            <w:noProof/>
            <w:webHidden/>
          </w:rPr>
          <w:fldChar w:fldCharType="begin"/>
        </w:r>
        <w:r w:rsidR="00B919AF">
          <w:rPr>
            <w:noProof/>
            <w:webHidden/>
          </w:rPr>
          <w:instrText xml:space="preserve"> PAGEREF _Toc112928888 \h </w:instrText>
        </w:r>
        <w:r w:rsidR="00B919AF">
          <w:rPr>
            <w:noProof/>
            <w:webHidden/>
          </w:rPr>
        </w:r>
        <w:r w:rsidR="00B919AF">
          <w:rPr>
            <w:noProof/>
            <w:webHidden/>
          </w:rPr>
          <w:fldChar w:fldCharType="separate"/>
        </w:r>
        <w:r w:rsidR="009F12BA">
          <w:rPr>
            <w:noProof/>
            <w:webHidden/>
          </w:rPr>
          <w:t>146</w:t>
        </w:r>
        <w:r w:rsidR="00B919AF">
          <w:rPr>
            <w:noProof/>
            <w:webHidden/>
          </w:rPr>
          <w:fldChar w:fldCharType="end"/>
        </w:r>
      </w:hyperlink>
    </w:p>
    <w:p w14:paraId="29E79E6C"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89" w:history="1">
        <w:r w:rsidR="00B919AF" w:rsidRPr="00307A1E">
          <w:rPr>
            <w:rStyle w:val="Hyperlink"/>
            <w:rFonts w:cs="Tahoma"/>
            <w:noProof/>
          </w:rPr>
          <w:t>Figure 7.18: Capacity for supply of ecosystem services of natural and seminatural ecosystems in the study area.</w:t>
        </w:r>
        <w:r w:rsidR="00B919AF">
          <w:rPr>
            <w:noProof/>
            <w:webHidden/>
          </w:rPr>
          <w:tab/>
        </w:r>
        <w:r w:rsidR="00B919AF">
          <w:rPr>
            <w:noProof/>
            <w:webHidden/>
          </w:rPr>
          <w:fldChar w:fldCharType="begin"/>
        </w:r>
        <w:r w:rsidR="00B919AF">
          <w:rPr>
            <w:noProof/>
            <w:webHidden/>
          </w:rPr>
          <w:instrText xml:space="preserve"> PAGEREF _Toc112928889 \h </w:instrText>
        </w:r>
        <w:r w:rsidR="00B919AF">
          <w:rPr>
            <w:noProof/>
            <w:webHidden/>
          </w:rPr>
        </w:r>
        <w:r w:rsidR="00B919AF">
          <w:rPr>
            <w:noProof/>
            <w:webHidden/>
          </w:rPr>
          <w:fldChar w:fldCharType="separate"/>
        </w:r>
        <w:r w:rsidR="009F12BA">
          <w:rPr>
            <w:noProof/>
            <w:webHidden/>
          </w:rPr>
          <w:t>147</w:t>
        </w:r>
        <w:r w:rsidR="00B919AF">
          <w:rPr>
            <w:noProof/>
            <w:webHidden/>
          </w:rPr>
          <w:fldChar w:fldCharType="end"/>
        </w:r>
      </w:hyperlink>
    </w:p>
    <w:p w14:paraId="35B555D3"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90" w:history="1">
        <w:r w:rsidR="00B919AF" w:rsidRPr="00307A1E">
          <w:rPr>
            <w:rStyle w:val="Hyperlink"/>
            <w:noProof/>
          </w:rPr>
          <w:t>Figure 7.19: Location of the new 400/110 kV substation Miletkovo, land-use context</w:t>
        </w:r>
        <w:r w:rsidR="00B919AF">
          <w:rPr>
            <w:noProof/>
            <w:webHidden/>
          </w:rPr>
          <w:tab/>
        </w:r>
        <w:r w:rsidR="00B919AF">
          <w:rPr>
            <w:noProof/>
            <w:webHidden/>
          </w:rPr>
          <w:fldChar w:fldCharType="begin"/>
        </w:r>
        <w:r w:rsidR="00B919AF">
          <w:rPr>
            <w:noProof/>
            <w:webHidden/>
          </w:rPr>
          <w:instrText xml:space="preserve"> PAGEREF _Toc112928890 \h </w:instrText>
        </w:r>
        <w:r w:rsidR="00B919AF">
          <w:rPr>
            <w:noProof/>
            <w:webHidden/>
          </w:rPr>
        </w:r>
        <w:r w:rsidR="00B919AF">
          <w:rPr>
            <w:noProof/>
            <w:webHidden/>
          </w:rPr>
          <w:fldChar w:fldCharType="separate"/>
        </w:r>
        <w:r w:rsidR="009F12BA">
          <w:rPr>
            <w:noProof/>
            <w:webHidden/>
          </w:rPr>
          <w:t>148</w:t>
        </w:r>
        <w:r w:rsidR="00B919AF">
          <w:rPr>
            <w:noProof/>
            <w:webHidden/>
          </w:rPr>
          <w:fldChar w:fldCharType="end"/>
        </w:r>
      </w:hyperlink>
    </w:p>
    <w:p w14:paraId="08AA4929"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91" w:history="1">
        <w:r w:rsidR="00B919AF" w:rsidRPr="00307A1E">
          <w:rPr>
            <w:rStyle w:val="Hyperlink"/>
            <w:noProof/>
          </w:rPr>
          <w:t>Figure 7.20: Location of the new 400/110 kV substation Miletkovo, in relation to closest settlements</w:t>
        </w:r>
        <w:r w:rsidR="00B919AF">
          <w:rPr>
            <w:noProof/>
            <w:webHidden/>
          </w:rPr>
          <w:tab/>
        </w:r>
        <w:r w:rsidR="00B919AF">
          <w:rPr>
            <w:noProof/>
            <w:webHidden/>
          </w:rPr>
          <w:fldChar w:fldCharType="begin"/>
        </w:r>
        <w:r w:rsidR="00B919AF">
          <w:rPr>
            <w:noProof/>
            <w:webHidden/>
          </w:rPr>
          <w:instrText xml:space="preserve"> PAGEREF _Toc112928891 \h </w:instrText>
        </w:r>
        <w:r w:rsidR="00B919AF">
          <w:rPr>
            <w:noProof/>
            <w:webHidden/>
          </w:rPr>
        </w:r>
        <w:r w:rsidR="00B919AF">
          <w:rPr>
            <w:noProof/>
            <w:webHidden/>
          </w:rPr>
          <w:fldChar w:fldCharType="separate"/>
        </w:r>
        <w:r w:rsidR="009F12BA">
          <w:rPr>
            <w:noProof/>
            <w:webHidden/>
          </w:rPr>
          <w:t>149</w:t>
        </w:r>
        <w:r w:rsidR="00B919AF">
          <w:rPr>
            <w:noProof/>
            <w:webHidden/>
          </w:rPr>
          <w:fldChar w:fldCharType="end"/>
        </w:r>
      </w:hyperlink>
    </w:p>
    <w:p w14:paraId="07C564A4"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92" w:history="1">
        <w:r w:rsidR="00B919AF" w:rsidRPr="00307A1E">
          <w:rPr>
            <w:rStyle w:val="Hyperlink"/>
            <w:noProof/>
          </w:rPr>
          <w:t>Figure 7.21:</w:t>
        </w:r>
        <w:r w:rsidR="00B919AF" w:rsidRPr="00307A1E">
          <w:rPr>
            <w:rStyle w:val="Hyperlink"/>
            <w:rFonts w:cs="Tahoma"/>
            <w:noProof/>
          </w:rPr>
          <w:t xml:space="preserve"> Location of the protected cultural heritage site Gradishor-Mramor, relative to the Project</w:t>
        </w:r>
        <w:r w:rsidR="00B919AF">
          <w:rPr>
            <w:noProof/>
            <w:webHidden/>
          </w:rPr>
          <w:tab/>
        </w:r>
        <w:r w:rsidR="00B919AF">
          <w:rPr>
            <w:noProof/>
            <w:webHidden/>
          </w:rPr>
          <w:fldChar w:fldCharType="begin"/>
        </w:r>
        <w:r w:rsidR="00B919AF">
          <w:rPr>
            <w:noProof/>
            <w:webHidden/>
          </w:rPr>
          <w:instrText xml:space="preserve"> PAGEREF _Toc112928892 \h </w:instrText>
        </w:r>
        <w:r w:rsidR="00B919AF">
          <w:rPr>
            <w:noProof/>
            <w:webHidden/>
          </w:rPr>
        </w:r>
        <w:r w:rsidR="00B919AF">
          <w:rPr>
            <w:noProof/>
            <w:webHidden/>
          </w:rPr>
          <w:fldChar w:fldCharType="separate"/>
        </w:r>
        <w:r w:rsidR="009F12BA">
          <w:rPr>
            <w:noProof/>
            <w:webHidden/>
          </w:rPr>
          <w:t>150</w:t>
        </w:r>
        <w:r w:rsidR="00B919AF">
          <w:rPr>
            <w:noProof/>
            <w:webHidden/>
          </w:rPr>
          <w:fldChar w:fldCharType="end"/>
        </w:r>
      </w:hyperlink>
    </w:p>
    <w:p w14:paraId="3AB2AAA4"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93" w:history="1">
        <w:r w:rsidR="00B919AF" w:rsidRPr="00307A1E">
          <w:rPr>
            <w:rStyle w:val="Hyperlink"/>
            <w:rFonts w:cs="Arial"/>
            <w:noProof/>
          </w:rPr>
          <w:t>Figure 8.1: Relative distance from to closest residential properties to the new 400/110 kV substation Miletkovo</w:t>
        </w:r>
        <w:r w:rsidR="00B919AF">
          <w:rPr>
            <w:noProof/>
            <w:webHidden/>
          </w:rPr>
          <w:tab/>
        </w:r>
        <w:r w:rsidR="00B919AF">
          <w:rPr>
            <w:noProof/>
            <w:webHidden/>
          </w:rPr>
          <w:fldChar w:fldCharType="begin"/>
        </w:r>
        <w:r w:rsidR="00B919AF">
          <w:rPr>
            <w:noProof/>
            <w:webHidden/>
          </w:rPr>
          <w:instrText xml:space="preserve"> PAGEREF _Toc112928893 \h </w:instrText>
        </w:r>
        <w:r w:rsidR="00B919AF">
          <w:rPr>
            <w:noProof/>
            <w:webHidden/>
          </w:rPr>
        </w:r>
        <w:r w:rsidR="00B919AF">
          <w:rPr>
            <w:noProof/>
            <w:webHidden/>
          </w:rPr>
          <w:fldChar w:fldCharType="separate"/>
        </w:r>
        <w:r w:rsidR="009F12BA">
          <w:rPr>
            <w:noProof/>
            <w:webHidden/>
          </w:rPr>
          <w:t>168</w:t>
        </w:r>
        <w:r w:rsidR="00B919AF">
          <w:rPr>
            <w:noProof/>
            <w:webHidden/>
          </w:rPr>
          <w:fldChar w:fldCharType="end"/>
        </w:r>
      </w:hyperlink>
    </w:p>
    <w:p w14:paraId="73491EDB"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94" w:history="1">
        <w:r w:rsidR="00B919AF" w:rsidRPr="00307A1E">
          <w:rPr>
            <w:rStyle w:val="Hyperlink"/>
            <w:noProof/>
          </w:rPr>
          <w:t>Figure 8.2:</w:t>
        </w:r>
        <w:r w:rsidR="00B919AF" w:rsidRPr="00307A1E">
          <w:rPr>
            <w:rStyle w:val="Hyperlink"/>
            <w:rFonts w:cs="Tahoma"/>
            <w:noProof/>
          </w:rPr>
          <w:t xml:space="preserve"> </w:t>
        </w:r>
        <w:r w:rsidR="00B919AF" w:rsidRPr="00307A1E">
          <w:rPr>
            <w:rStyle w:val="Hyperlink"/>
            <w:noProof/>
          </w:rPr>
          <w:t>Typical reasons of electrocution of birds on operational transmission line</w:t>
        </w:r>
        <w:r w:rsidR="00B919AF">
          <w:rPr>
            <w:noProof/>
            <w:webHidden/>
          </w:rPr>
          <w:tab/>
        </w:r>
        <w:r w:rsidR="00B919AF">
          <w:rPr>
            <w:noProof/>
            <w:webHidden/>
          </w:rPr>
          <w:fldChar w:fldCharType="begin"/>
        </w:r>
        <w:r w:rsidR="00B919AF">
          <w:rPr>
            <w:noProof/>
            <w:webHidden/>
          </w:rPr>
          <w:instrText xml:space="preserve"> PAGEREF _Toc112928894 \h </w:instrText>
        </w:r>
        <w:r w:rsidR="00B919AF">
          <w:rPr>
            <w:noProof/>
            <w:webHidden/>
          </w:rPr>
        </w:r>
        <w:r w:rsidR="00B919AF">
          <w:rPr>
            <w:noProof/>
            <w:webHidden/>
          </w:rPr>
          <w:fldChar w:fldCharType="separate"/>
        </w:r>
        <w:r w:rsidR="009F12BA">
          <w:rPr>
            <w:noProof/>
            <w:webHidden/>
          </w:rPr>
          <w:t>187</w:t>
        </w:r>
        <w:r w:rsidR="00B919AF">
          <w:rPr>
            <w:noProof/>
            <w:webHidden/>
          </w:rPr>
          <w:fldChar w:fldCharType="end"/>
        </w:r>
      </w:hyperlink>
    </w:p>
    <w:p w14:paraId="5731AA1F"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95" w:history="1">
        <w:r w:rsidR="00B919AF" w:rsidRPr="00307A1E">
          <w:rPr>
            <w:rStyle w:val="Hyperlink"/>
            <w:noProof/>
          </w:rPr>
          <w:t>Figure 8.3:</w:t>
        </w:r>
        <w:r w:rsidR="00B919AF" w:rsidRPr="00307A1E">
          <w:rPr>
            <w:rStyle w:val="Hyperlink"/>
            <w:rFonts w:cs="Tahoma"/>
            <w:noProof/>
          </w:rPr>
          <w:t xml:space="preserve"> </w:t>
        </w:r>
        <w:r w:rsidR="00B919AF" w:rsidRPr="00307A1E">
          <w:rPr>
            <w:rStyle w:val="Hyperlink"/>
            <w:noProof/>
          </w:rPr>
          <w:t>Design with measures of “flapper flight” diverter installed on overhead wire</w:t>
        </w:r>
        <w:r w:rsidR="00B919AF">
          <w:rPr>
            <w:noProof/>
            <w:webHidden/>
          </w:rPr>
          <w:tab/>
        </w:r>
        <w:r w:rsidR="00B919AF">
          <w:rPr>
            <w:noProof/>
            <w:webHidden/>
          </w:rPr>
          <w:fldChar w:fldCharType="begin"/>
        </w:r>
        <w:r w:rsidR="00B919AF">
          <w:rPr>
            <w:noProof/>
            <w:webHidden/>
          </w:rPr>
          <w:instrText xml:space="preserve"> PAGEREF _Toc112928895 \h </w:instrText>
        </w:r>
        <w:r w:rsidR="00B919AF">
          <w:rPr>
            <w:noProof/>
            <w:webHidden/>
          </w:rPr>
        </w:r>
        <w:r w:rsidR="00B919AF">
          <w:rPr>
            <w:noProof/>
            <w:webHidden/>
          </w:rPr>
          <w:fldChar w:fldCharType="separate"/>
        </w:r>
        <w:r w:rsidR="009F12BA">
          <w:rPr>
            <w:noProof/>
            <w:webHidden/>
          </w:rPr>
          <w:t>190</w:t>
        </w:r>
        <w:r w:rsidR="00B919AF">
          <w:rPr>
            <w:noProof/>
            <w:webHidden/>
          </w:rPr>
          <w:fldChar w:fldCharType="end"/>
        </w:r>
      </w:hyperlink>
    </w:p>
    <w:p w14:paraId="27585D20"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96" w:history="1">
        <w:r w:rsidR="00B919AF" w:rsidRPr="00307A1E">
          <w:rPr>
            <w:rStyle w:val="Hyperlink"/>
            <w:rFonts w:cs="Tahoma"/>
            <w:noProof/>
            <w:lang w:eastAsia="en-US"/>
          </w:rPr>
          <w:t xml:space="preserve">Figure 8.4: No-go areas in the Project area (rivers and riparian habitats), at the crossing of the Vardar River and Anska Reka (largely </w:t>
        </w:r>
        <w:r w:rsidR="00B919AF" w:rsidRPr="00307A1E">
          <w:rPr>
            <w:rStyle w:val="Hyperlink"/>
            <w:noProof/>
          </w:rPr>
          <w:t>channelled</w:t>
        </w:r>
        <w:r w:rsidR="00B919AF" w:rsidRPr="00307A1E">
          <w:rPr>
            <w:rStyle w:val="Hyperlink"/>
            <w:rFonts w:cs="Tahoma"/>
            <w:noProof/>
            <w:lang w:eastAsia="en-US"/>
          </w:rPr>
          <w:t>)</w:t>
        </w:r>
        <w:r w:rsidR="00B919AF">
          <w:rPr>
            <w:noProof/>
            <w:webHidden/>
          </w:rPr>
          <w:tab/>
        </w:r>
        <w:r w:rsidR="00B919AF">
          <w:rPr>
            <w:noProof/>
            <w:webHidden/>
          </w:rPr>
          <w:fldChar w:fldCharType="begin"/>
        </w:r>
        <w:r w:rsidR="00B919AF">
          <w:rPr>
            <w:noProof/>
            <w:webHidden/>
          </w:rPr>
          <w:instrText xml:space="preserve"> PAGEREF _Toc112928896 \h </w:instrText>
        </w:r>
        <w:r w:rsidR="00B919AF">
          <w:rPr>
            <w:noProof/>
            <w:webHidden/>
          </w:rPr>
        </w:r>
        <w:r w:rsidR="00B919AF">
          <w:rPr>
            <w:noProof/>
            <w:webHidden/>
          </w:rPr>
          <w:fldChar w:fldCharType="separate"/>
        </w:r>
        <w:r w:rsidR="009F12BA">
          <w:rPr>
            <w:noProof/>
            <w:webHidden/>
          </w:rPr>
          <w:t>191</w:t>
        </w:r>
        <w:r w:rsidR="00B919AF">
          <w:rPr>
            <w:noProof/>
            <w:webHidden/>
          </w:rPr>
          <w:fldChar w:fldCharType="end"/>
        </w:r>
      </w:hyperlink>
    </w:p>
    <w:p w14:paraId="03F963C1"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97" w:history="1">
        <w:r w:rsidR="00B919AF" w:rsidRPr="00307A1E">
          <w:rPr>
            <w:rStyle w:val="Hyperlink"/>
            <w:noProof/>
          </w:rPr>
          <w:t>Figure 8.5: Riparian Willow and Poplar belts along the Vardar River, at the river crossing section with the Project</w:t>
        </w:r>
        <w:r w:rsidR="00B919AF">
          <w:rPr>
            <w:noProof/>
            <w:webHidden/>
          </w:rPr>
          <w:tab/>
        </w:r>
        <w:r w:rsidR="00B919AF">
          <w:rPr>
            <w:noProof/>
            <w:webHidden/>
          </w:rPr>
          <w:fldChar w:fldCharType="begin"/>
        </w:r>
        <w:r w:rsidR="00B919AF">
          <w:rPr>
            <w:noProof/>
            <w:webHidden/>
          </w:rPr>
          <w:instrText xml:space="preserve"> PAGEREF _Toc112928897 \h </w:instrText>
        </w:r>
        <w:r w:rsidR="00B919AF">
          <w:rPr>
            <w:noProof/>
            <w:webHidden/>
          </w:rPr>
        </w:r>
        <w:r w:rsidR="00B919AF">
          <w:rPr>
            <w:noProof/>
            <w:webHidden/>
          </w:rPr>
          <w:fldChar w:fldCharType="separate"/>
        </w:r>
        <w:r w:rsidR="009F12BA">
          <w:rPr>
            <w:noProof/>
            <w:webHidden/>
          </w:rPr>
          <w:t>192</w:t>
        </w:r>
        <w:r w:rsidR="00B919AF">
          <w:rPr>
            <w:noProof/>
            <w:webHidden/>
          </w:rPr>
          <w:fldChar w:fldCharType="end"/>
        </w:r>
      </w:hyperlink>
    </w:p>
    <w:p w14:paraId="11748F66"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98" w:history="1">
        <w:r w:rsidR="00B919AF" w:rsidRPr="00307A1E">
          <w:rPr>
            <w:rStyle w:val="Hyperlink"/>
            <w:noProof/>
          </w:rPr>
          <w:t>Figure 9.1:</w:t>
        </w:r>
        <w:r w:rsidR="00B919AF" w:rsidRPr="00307A1E">
          <w:rPr>
            <w:rStyle w:val="Hyperlink"/>
            <w:rFonts w:cs="Tahoma"/>
            <w:noProof/>
          </w:rPr>
          <w:t xml:space="preserve"> Typical d</w:t>
        </w:r>
        <w:r w:rsidR="00B919AF" w:rsidRPr="00307A1E">
          <w:rPr>
            <w:rStyle w:val="Hyperlink"/>
            <w:rFonts w:cs="Arial"/>
            <w:noProof/>
          </w:rPr>
          <w:t>iagrams of calculated values of electric and magnetic fields for an operational 110 kV transmission line at middle of the span</w:t>
        </w:r>
        <w:r w:rsidR="00B919AF">
          <w:rPr>
            <w:noProof/>
            <w:webHidden/>
          </w:rPr>
          <w:tab/>
        </w:r>
        <w:r w:rsidR="00B919AF">
          <w:rPr>
            <w:noProof/>
            <w:webHidden/>
          </w:rPr>
          <w:fldChar w:fldCharType="begin"/>
        </w:r>
        <w:r w:rsidR="00B919AF">
          <w:rPr>
            <w:noProof/>
            <w:webHidden/>
          </w:rPr>
          <w:instrText xml:space="preserve"> PAGEREF _Toc112928898 \h </w:instrText>
        </w:r>
        <w:r w:rsidR="00B919AF">
          <w:rPr>
            <w:noProof/>
            <w:webHidden/>
          </w:rPr>
        </w:r>
        <w:r w:rsidR="00B919AF">
          <w:rPr>
            <w:noProof/>
            <w:webHidden/>
          </w:rPr>
          <w:fldChar w:fldCharType="separate"/>
        </w:r>
        <w:r w:rsidR="009F12BA">
          <w:rPr>
            <w:noProof/>
            <w:webHidden/>
          </w:rPr>
          <w:t>202</w:t>
        </w:r>
        <w:r w:rsidR="00B919AF">
          <w:rPr>
            <w:noProof/>
            <w:webHidden/>
          </w:rPr>
          <w:fldChar w:fldCharType="end"/>
        </w:r>
      </w:hyperlink>
    </w:p>
    <w:p w14:paraId="3FADFCF1" w14:textId="77777777" w:rsidR="00B919AF" w:rsidRDefault="00FD548C" w:rsidP="00B919AF">
      <w:pPr>
        <w:pStyle w:val="TableofFigures"/>
        <w:tabs>
          <w:tab w:val="right" w:leader="dot" w:pos="9629"/>
        </w:tabs>
        <w:jc w:val="left"/>
        <w:rPr>
          <w:rFonts w:asciiTheme="minorHAnsi" w:eastAsiaTheme="minorEastAsia" w:hAnsiTheme="minorHAnsi" w:cstheme="minorBidi"/>
          <w:noProof/>
          <w:sz w:val="22"/>
          <w:szCs w:val="22"/>
          <w:lang w:val="mk-MK" w:eastAsia="mk-MK"/>
        </w:rPr>
      </w:pPr>
      <w:hyperlink w:anchor="_Toc112928899" w:history="1">
        <w:r w:rsidR="00B919AF" w:rsidRPr="00307A1E">
          <w:rPr>
            <w:rStyle w:val="Hyperlink"/>
            <w:noProof/>
          </w:rPr>
          <w:t xml:space="preserve"> Figure 12.1: </w:t>
        </w:r>
        <w:r w:rsidR="00B919AF" w:rsidRPr="00307A1E">
          <w:rPr>
            <w:rStyle w:val="Hyperlink"/>
            <w:rFonts w:cs="Arial"/>
            <w:bCs/>
            <w:noProof/>
          </w:rPr>
          <w:t>C</w:t>
        </w:r>
        <w:r w:rsidR="00B919AF" w:rsidRPr="00307A1E">
          <w:rPr>
            <w:rStyle w:val="Hyperlink"/>
            <w:rFonts w:cs="Tahoma"/>
            <w:noProof/>
          </w:rPr>
          <w:t xml:space="preserve">ore structure and organization of the Project’s </w:t>
        </w:r>
        <w:r w:rsidR="00B919AF" w:rsidRPr="00307A1E">
          <w:rPr>
            <w:rStyle w:val="Hyperlink"/>
            <w:noProof/>
          </w:rPr>
          <w:t>Environmental and Social Management</w:t>
        </w:r>
        <w:r w:rsidR="00B919AF">
          <w:rPr>
            <w:noProof/>
            <w:webHidden/>
          </w:rPr>
          <w:tab/>
        </w:r>
        <w:r w:rsidR="00B919AF">
          <w:rPr>
            <w:noProof/>
            <w:webHidden/>
          </w:rPr>
          <w:fldChar w:fldCharType="begin"/>
        </w:r>
        <w:r w:rsidR="00B919AF">
          <w:rPr>
            <w:noProof/>
            <w:webHidden/>
          </w:rPr>
          <w:instrText xml:space="preserve"> PAGEREF _Toc112928899 \h </w:instrText>
        </w:r>
        <w:r w:rsidR="00B919AF">
          <w:rPr>
            <w:noProof/>
            <w:webHidden/>
          </w:rPr>
        </w:r>
        <w:r w:rsidR="00B919AF">
          <w:rPr>
            <w:noProof/>
            <w:webHidden/>
          </w:rPr>
          <w:fldChar w:fldCharType="separate"/>
        </w:r>
        <w:r w:rsidR="009F12BA">
          <w:rPr>
            <w:noProof/>
            <w:webHidden/>
          </w:rPr>
          <w:t>214</w:t>
        </w:r>
        <w:r w:rsidR="00B919AF">
          <w:rPr>
            <w:noProof/>
            <w:webHidden/>
          </w:rPr>
          <w:fldChar w:fldCharType="end"/>
        </w:r>
      </w:hyperlink>
    </w:p>
    <w:p w14:paraId="345D9731" w14:textId="504E7FCF" w:rsidR="00FF2533" w:rsidRPr="0068236B" w:rsidRDefault="00C860FD" w:rsidP="00B36385">
      <w:pPr>
        <w:pStyle w:val="TOC1"/>
        <w:ind w:left="0" w:firstLine="0"/>
        <w:rPr>
          <w:rFonts w:cs="Arial"/>
          <w:b w:val="0"/>
          <w:noProof w:val="0"/>
        </w:rPr>
      </w:pPr>
      <w:r w:rsidRPr="0068236B">
        <w:rPr>
          <w:rStyle w:val="Hyperlink"/>
          <w:szCs w:val="24"/>
        </w:rPr>
        <w:fldChar w:fldCharType="end"/>
      </w:r>
    </w:p>
    <w:p w14:paraId="057E0FCA" w14:textId="77777777" w:rsidR="003B7905" w:rsidRPr="0068236B" w:rsidRDefault="003B7905">
      <w:pPr>
        <w:spacing w:before="0" w:after="0" w:line="240" w:lineRule="auto"/>
        <w:jc w:val="left"/>
        <w:rPr>
          <w:b/>
          <w:color w:val="44697D"/>
          <w:sz w:val="32"/>
          <w:szCs w:val="32"/>
        </w:rPr>
      </w:pPr>
      <w:r w:rsidRPr="0068236B">
        <w:rPr>
          <w:sz w:val="20"/>
        </w:rPr>
        <w:br w:type="page"/>
      </w:r>
    </w:p>
    <w:p w14:paraId="50307BD1" w14:textId="77777777" w:rsidR="002D5823" w:rsidRPr="0068236B" w:rsidRDefault="002D5823" w:rsidP="002D5823">
      <w:pPr>
        <w:pStyle w:val="SectionHeading"/>
      </w:pPr>
      <w:r w:rsidRPr="0068236B">
        <w:lastRenderedPageBreak/>
        <w:t>Abbreviations</w:t>
      </w:r>
      <w:r w:rsidR="00541F6F" w:rsidRPr="0068236B">
        <w:t xml:space="preserve"> </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3"/>
        <w:gridCol w:w="7054"/>
      </w:tblGrid>
      <w:tr w:rsidR="002D5823" w:rsidRPr="0068236B" w14:paraId="3035F23D" w14:textId="77777777" w:rsidTr="00493264">
        <w:tc>
          <w:tcPr>
            <w:tcW w:w="1422" w:type="pct"/>
            <w:shd w:val="clear" w:color="auto" w:fill="44697D"/>
          </w:tcPr>
          <w:p w14:paraId="6F0AED0B" w14:textId="77777777" w:rsidR="002D5823" w:rsidRPr="0068236B" w:rsidRDefault="002D5823" w:rsidP="00AF70AB">
            <w:pPr>
              <w:spacing w:before="0"/>
              <w:rPr>
                <w:rFonts w:cs="Tahoma"/>
                <w:b/>
                <w:color w:val="FFFFFF"/>
                <w:sz w:val="20"/>
                <w:szCs w:val="20"/>
              </w:rPr>
            </w:pPr>
            <w:r w:rsidRPr="0068236B">
              <w:rPr>
                <w:rFonts w:cs="Tahoma"/>
                <w:b/>
                <w:color w:val="FFFFFF"/>
                <w:sz w:val="20"/>
                <w:szCs w:val="20"/>
              </w:rPr>
              <w:t>Abbreviation</w:t>
            </w:r>
          </w:p>
        </w:tc>
        <w:tc>
          <w:tcPr>
            <w:tcW w:w="3578" w:type="pct"/>
            <w:shd w:val="clear" w:color="auto" w:fill="44697D"/>
          </w:tcPr>
          <w:p w14:paraId="1134C353" w14:textId="77777777" w:rsidR="002D5823" w:rsidRPr="0068236B" w:rsidRDefault="002D5823" w:rsidP="00AF70AB">
            <w:pPr>
              <w:spacing w:before="0"/>
              <w:rPr>
                <w:rFonts w:cs="Tahoma"/>
                <w:b/>
                <w:color w:val="FFFFFF"/>
                <w:sz w:val="20"/>
                <w:szCs w:val="20"/>
              </w:rPr>
            </w:pPr>
            <w:r w:rsidRPr="0068236B">
              <w:rPr>
                <w:rFonts w:cs="Tahoma"/>
                <w:b/>
                <w:color w:val="FFFFFF"/>
                <w:sz w:val="20"/>
                <w:szCs w:val="20"/>
              </w:rPr>
              <w:t>Meaning</w:t>
            </w:r>
          </w:p>
        </w:tc>
      </w:tr>
      <w:tr w:rsidR="00440392" w:rsidRPr="0068236B" w14:paraId="09F324E9" w14:textId="77777777" w:rsidTr="000313C4">
        <w:trPr>
          <w:trHeight w:val="288"/>
        </w:trPr>
        <w:tc>
          <w:tcPr>
            <w:tcW w:w="1422" w:type="pct"/>
            <w:shd w:val="clear" w:color="auto" w:fill="auto"/>
          </w:tcPr>
          <w:p w14:paraId="66DF139E" w14:textId="77777777" w:rsidR="00440392" w:rsidRPr="0068236B" w:rsidRDefault="00440392" w:rsidP="000313C4">
            <w:pPr>
              <w:pStyle w:val="TableTextLeft"/>
              <w:rPr>
                <w:rFonts w:ascii="Tahoma" w:hAnsi="Tahoma" w:cs="Tahoma"/>
                <w:sz w:val="20"/>
                <w:szCs w:val="20"/>
              </w:rPr>
            </w:pPr>
            <w:r w:rsidRPr="0068236B">
              <w:rPr>
                <w:rFonts w:ascii="Tahoma" w:hAnsi="Tahoma" w:cs="Tahoma"/>
                <w:sz w:val="20"/>
                <w:szCs w:val="20"/>
              </w:rPr>
              <w:t>AAAC</w:t>
            </w:r>
          </w:p>
        </w:tc>
        <w:tc>
          <w:tcPr>
            <w:tcW w:w="3578" w:type="pct"/>
            <w:shd w:val="clear" w:color="auto" w:fill="auto"/>
          </w:tcPr>
          <w:p w14:paraId="170084CB" w14:textId="77777777" w:rsidR="00440392" w:rsidRPr="0068236B" w:rsidRDefault="00440392" w:rsidP="000313C4">
            <w:pPr>
              <w:spacing w:before="60" w:after="20" w:line="240" w:lineRule="auto"/>
              <w:jc w:val="left"/>
              <w:rPr>
                <w:rFonts w:cs="Tahoma"/>
                <w:bCs/>
                <w:color w:val="222222"/>
                <w:sz w:val="20"/>
                <w:szCs w:val="20"/>
                <w:shd w:val="clear" w:color="auto" w:fill="FFFFFF"/>
              </w:rPr>
            </w:pPr>
            <w:r w:rsidRPr="0068236B">
              <w:rPr>
                <w:rFonts w:cs="Tahoma"/>
                <w:sz w:val="20"/>
                <w:szCs w:val="20"/>
              </w:rPr>
              <w:t>All aluminium alloy conductor</w:t>
            </w:r>
          </w:p>
        </w:tc>
      </w:tr>
      <w:tr w:rsidR="004E1ACD" w:rsidRPr="0068236B" w14:paraId="00393B30" w14:textId="77777777" w:rsidTr="00493264">
        <w:trPr>
          <w:trHeight w:val="288"/>
        </w:trPr>
        <w:tc>
          <w:tcPr>
            <w:tcW w:w="1422" w:type="pct"/>
            <w:shd w:val="clear" w:color="auto" w:fill="auto"/>
          </w:tcPr>
          <w:p w14:paraId="3C13AE06" w14:textId="3819B573" w:rsidR="004E1ACD" w:rsidRPr="0068236B" w:rsidRDefault="004E1ACD" w:rsidP="006D2623">
            <w:pPr>
              <w:pStyle w:val="TableTextLeft"/>
              <w:rPr>
                <w:rFonts w:ascii="Tahoma" w:hAnsi="Tahoma" w:cs="Tahoma"/>
                <w:sz w:val="20"/>
                <w:szCs w:val="20"/>
              </w:rPr>
            </w:pPr>
            <w:r w:rsidRPr="0068236B">
              <w:rPr>
                <w:rFonts w:ascii="Tahoma" w:hAnsi="Tahoma" w:cs="Tahoma"/>
                <w:sz w:val="20"/>
                <w:szCs w:val="22"/>
              </w:rPr>
              <w:t>ACSR</w:t>
            </w:r>
          </w:p>
        </w:tc>
        <w:tc>
          <w:tcPr>
            <w:tcW w:w="3578" w:type="pct"/>
            <w:shd w:val="clear" w:color="auto" w:fill="auto"/>
          </w:tcPr>
          <w:p w14:paraId="5A0801C8" w14:textId="4E49F0CF" w:rsidR="004E1ACD" w:rsidRPr="0068236B" w:rsidRDefault="004E1ACD" w:rsidP="004E1ACD">
            <w:pPr>
              <w:spacing w:before="60" w:after="20" w:line="240" w:lineRule="auto"/>
              <w:jc w:val="left"/>
              <w:rPr>
                <w:rFonts w:cs="Tahoma"/>
                <w:sz w:val="20"/>
                <w:szCs w:val="20"/>
              </w:rPr>
            </w:pPr>
            <w:r w:rsidRPr="0068236B">
              <w:rPr>
                <w:rFonts w:cs="Tahoma"/>
                <w:bCs/>
                <w:color w:val="222222"/>
                <w:sz w:val="20"/>
                <w:shd w:val="clear" w:color="auto" w:fill="FFFFFF"/>
              </w:rPr>
              <w:t>Aluminium Conductor Steel-Reinforced (conductor)</w:t>
            </w:r>
          </w:p>
        </w:tc>
      </w:tr>
      <w:tr w:rsidR="004E1ACD" w:rsidRPr="0068236B" w14:paraId="78EEB7D6" w14:textId="77777777" w:rsidTr="004E1ACD">
        <w:trPr>
          <w:trHeight w:val="288"/>
        </w:trPr>
        <w:tc>
          <w:tcPr>
            <w:tcW w:w="1422" w:type="pct"/>
            <w:shd w:val="clear" w:color="auto" w:fill="auto"/>
          </w:tcPr>
          <w:p w14:paraId="6448E7D2" w14:textId="77777777" w:rsidR="004E1ACD" w:rsidRPr="0068236B" w:rsidRDefault="004E1ACD" w:rsidP="004E1ACD">
            <w:pPr>
              <w:pStyle w:val="TableTextLeft"/>
              <w:rPr>
                <w:rFonts w:ascii="Tahoma" w:hAnsi="Tahoma" w:cs="Tahoma"/>
                <w:sz w:val="20"/>
                <w:szCs w:val="22"/>
                <w:shd w:val="clear" w:color="auto" w:fill="FFFFFF"/>
              </w:rPr>
            </w:pPr>
            <w:r w:rsidRPr="0068236B">
              <w:rPr>
                <w:rFonts w:ascii="Tahoma" w:hAnsi="Tahoma" w:cs="Tahoma"/>
                <w:sz w:val="20"/>
                <w:szCs w:val="20"/>
              </w:rPr>
              <w:t>AR5</w:t>
            </w:r>
          </w:p>
        </w:tc>
        <w:tc>
          <w:tcPr>
            <w:tcW w:w="3578" w:type="pct"/>
            <w:shd w:val="clear" w:color="auto" w:fill="auto"/>
          </w:tcPr>
          <w:p w14:paraId="5BF24931" w14:textId="77777777" w:rsidR="004E1ACD" w:rsidRPr="0068236B" w:rsidRDefault="004E1ACD" w:rsidP="004E1ACD">
            <w:pPr>
              <w:spacing w:before="60" w:after="20" w:line="240" w:lineRule="auto"/>
              <w:jc w:val="left"/>
              <w:rPr>
                <w:rFonts w:cs="Tahoma"/>
                <w:sz w:val="20"/>
                <w:shd w:val="clear" w:color="auto" w:fill="FFFFFF"/>
              </w:rPr>
            </w:pPr>
            <w:r w:rsidRPr="0068236B">
              <w:rPr>
                <w:rFonts w:cs="Tahoma"/>
                <w:sz w:val="20"/>
                <w:szCs w:val="20"/>
              </w:rPr>
              <w:t>IPPC’s Fifth Assessment Report</w:t>
            </w:r>
          </w:p>
        </w:tc>
      </w:tr>
      <w:tr w:rsidR="009A701B" w:rsidRPr="0068236B" w14:paraId="37888517" w14:textId="77777777" w:rsidTr="00493264">
        <w:trPr>
          <w:trHeight w:val="288"/>
        </w:trPr>
        <w:tc>
          <w:tcPr>
            <w:tcW w:w="1422" w:type="pct"/>
            <w:shd w:val="clear" w:color="auto" w:fill="auto"/>
          </w:tcPr>
          <w:p w14:paraId="334DE26F" w14:textId="77777777" w:rsidR="009A701B" w:rsidRPr="0068236B" w:rsidRDefault="009A701B" w:rsidP="00AD52EF">
            <w:pPr>
              <w:pStyle w:val="TableTextLeft"/>
              <w:rPr>
                <w:rFonts w:ascii="Tahoma" w:hAnsi="Tahoma" w:cs="Tahoma"/>
                <w:sz w:val="20"/>
                <w:szCs w:val="22"/>
                <w:shd w:val="clear" w:color="auto" w:fill="FFFFFF"/>
              </w:rPr>
            </w:pPr>
            <w:r w:rsidRPr="0068236B">
              <w:rPr>
                <w:rFonts w:ascii="Tahoma" w:hAnsi="Tahoma" w:cs="Tahoma"/>
                <w:sz w:val="20"/>
                <w:szCs w:val="20"/>
              </w:rPr>
              <w:t>AR6</w:t>
            </w:r>
          </w:p>
        </w:tc>
        <w:tc>
          <w:tcPr>
            <w:tcW w:w="3578" w:type="pct"/>
            <w:shd w:val="clear" w:color="auto" w:fill="auto"/>
          </w:tcPr>
          <w:p w14:paraId="4DF47DBC" w14:textId="77777777" w:rsidR="009A701B" w:rsidRPr="0068236B" w:rsidRDefault="009A701B" w:rsidP="00AD52EF">
            <w:pPr>
              <w:spacing w:before="60" w:after="20" w:line="240" w:lineRule="auto"/>
              <w:jc w:val="left"/>
              <w:rPr>
                <w:rFonts w:cs="Tahoma"/>
                <w:sz w:val="20"/>
                <w:shd w:val="clear" w:color="auto" w:fill="FFFFFF"/>
              </w:rPr>
            </w:pPr>
            <w:r w:rsidRPr="0068236B">
              <w:rPr>
                <w:rFonts w:cs="Tahoma"/>
                <w:sz w:val="20"/>
                <w:szCs w:val="20"/>
              </w:rPr>
              <w:t>IPPC’s Sixth Assessment Report</w:t>
            </w:r>
          </w:p>
        </w:tc>
      </w:tr>
      <w:tr w:rsidR="008E603D" w:rsidRPr="0068236B" w14:paraId="1B34BB3C" w14:textId="77777777" w:rsidTr="00493264">
        <w:trPr>
          <w:trHeight w:val="288"/>
        </w:trPr>
        <w:tc>
          <w:tcPr>
            <w:tcW w:w="1422" w:type="pct"/>
            <w:shd w:val="clear" w:color="auto" w:fill="auto"/>
          </w:tcPr>
          <w:p w14:paraId="346E5B7A" w14:textId="77777777" w:rsidR="008E603D" w:rsidRPr="0068236B" w:rsidRDefault="008E603D" w:rsidP="006C5EF7">
            <w:pPr>
              <w:pStyle w:val="TableTextLeft"/>
              <w:rPr>
                <w:rFonts w:ascii="Tahoma" w:hAnsi="Tahoma" w:cs="Tahoma"/>
                <w:sz w:val="20"/>
                <w:szCs w:val="22"/>
                <w:shd w:val="clear" w:color="auto" w:fill="FFFFFF"/>
              </w:rPr>
            </w:pPr>
            <w:r w:rsidRPr="0068236B">
              <w:rPr>
                <w:rFonts w:ascii="Tahoma" w:hAnsi="Tahoma" w:cs="Tahoma"/>
                <w:sz w:val="20"/>
                <w:szCs w:val="22"/>
                <w:shd w:val="clear" w:color="auto" w:fill="FFFFFF"/>
              </w:rPr>
              <w:t>CESMP</w:t>
            </w:r>
          </w:p>
        </w:tc>
        <w:tc>
          <w:tcPr>
            <w:tcW w:w="3578" w:type="pct"/>
            <w:shd w:val="clear" w:color="auto" w:fill="auto"/>
          </w:tcPr>
          <w:p w14:paraId="08B82373" w14:textId="77777777" w:rsidR="008E603D" w:rsidRPr="0068236B" w:rsidRDefault="008E603D" w:rsidP="006C5EF7">
            <w:pPr>
              <w:spacing w:before="60" w:after="20" w:line="240" w:lineRule="auto"/>
              <w:jc w:val="left"/>
              <w:rPr>
                <w:rFonts w:cs="Tahoma"/>
                <w:sz w:val="20"/>
                <w:shd w:val="clear" w:color="auto" w:fill="FFFFFF"/>
              </w:rPr>
            </w:pPr>
            <w:r w:rsidRPr="0068236B">
              <w:rPr>
                <w:rFonts w:cs="Tahoma"/>
                <w:sz w:val="20"/>
                <w:shd w:val="clear" w:color="auto" w:fill="FFFFFF"/>
              </w:rPr>
              <w:t>Construction Environmental and Social Management Plan</w:t>
            </w:r>
          </w:p>
        </w:tc>
      </w:tr>
      <w:tr w:rsidR="00126FF0" w:rsidRPr="0068236B" w14:paraId="5DCD3BDA" w14:textId="77777777" w:rsidTr="00493264">
        <w:trPr>
          <w:trHeight w:val="288"/>
        </w:trPr>
        <w:tc>
          <w:tcPr>
            <w:tcW w:w="1422" w:type="pct"/>
            <w:shd w:val="clear" w:color="auto" w:fill="auto"/>
          </w:tcPr>
          <w:p w14:paraId="15CB1D95" w14:textId="77777777" w:rsidR="00126FF0" w:rsidRPr="0068236B" w:rsidRDefault="00126FF0" w:rsidP="00197837">
            <w:pPr>
              <w:pStyle w:val="TableTextLeft"/>
              <w:rPr>
                <w:rFonts w:ascii="Tahoma" w:hAnsi="Tahoma" w:cs="Tahoma"/>
                <w:sz w:val="20"/>
                <w:szCs w:val="22"/>
              </w:rPr>
            </w:pPr>
            <w:r w:rsidRPr="0068236B">
              <w:rPr>
                <w:rFonts w:ascii="Tahoma" w:hAnsi="Tahoma" w:cs="Tahoma"/>
                <w:sz w:val="20"/>
                <w:szCs w:val="22"/>
                <w:shd w:val="clear" w:color="auto" w:fill="FFFFFF"/>
              </w:rPr>
              <w:t>CH</w:t>
            </w:r>
          </w:p>
        </w:tc>
        <w:tc>
          <w:tcPr>
            <w:tcW w:w="3578" w:type="pct"/>
            <w:shd w:val="clear" w:color="auto" w:fill="auto"/>
          </w:tcPr>
          <w:p w14:paraId="2C3A90AE" w14:textId="77777777" w:rsidR="00126FF0" w:rsidRPr="0068236B" w:rsidRDefault="00126FF0" w:rsidP="00197837">
            <w:pPr>
              <w:spacing w:before="60" w:after="20" w:line="240" w:lineRule="auto"/>
              <w:jc w:val="left"/>
              <w:rPr>
                <w:rFonts w:cs="Tahoma"/>
                <w:sz w:val="20"/>
              </w:rPr>
            </w:pPr>
            <w:r w:rsidRPr="0068236B">
              <w:rPr>
                <w:rFonts w:cs="Tahoma"/>
                <w:sz w:val="20"/>
                <w:shd w:val="clear" w:color="auto" w:fill="FFFFFF"/>
              </w:rPr>
              <w:t>Critical Habitat</w:t>
            </w:r>
          </w:p>
        </w:tc>
      </w:tr>
      <w:tr w:rsidR="008E603D" w:rsidRPr="0068236B" w14:paraId="53FE365C" w14:textId="77777777" w:rsidTr="00493264">
        <w:trPr>
          <w:trHeight w:val="288"/>
        </w:trPr>
        <w:tc>
          <w:tcPr>
            <w:tcW w:w="1422" w:type="pct"/>
            <w:shd w:val="clear" w:color="auto" w:fill="auto"/>
          </w:tcPr>
          <w:p w14:paraId="7D23E3AC" w14:textId="61E3BFD3" w:rsidR="008E603D" w:rsidRPr="0068236B" w:rsidRDefault="008E603D" w:rsidP="00197837">
            <w:pPr>
              <w:pStyle w:val="TableTextLeft"/>
              <w:rPr>
                <w:rFonts w:ascii="Tahoma" w:hAnsi="Tahoma" w:cs="Tahoma"/>
                <w:sz w:val="20"/>
                <w:szCs w:val="22"/>
                <w:shd w:val="clear" w:color="auto" w:fill="FFFFFF"/>
              </w:rPr>
            </w:pPr>
            <w:r w:rsidRPr="0068236B">
              <w:rPr>
                <w:rFonts w:ascii="Tahoma" w:hAnsi="Tahoma" w:cs="Tahoma"/>
                <w:sz w:val="20"/>
                <w:szCs w:val="20"/>
              </w:rPr>
              <w:t>CMIP(s)</w:t>
            </w:r>
          </w:p>
        </w:tc>
        <w:tc>
          <w:tcPr>
            <w:tcW w:w="3578" w:type="pct"/>
            <w:shd w:val="clear" w:color="auto" w:fill="auto"/>
          </w:tcPr>
          <w:p w14:paraId="64E22DA6" w14:textId="3582BF74" w:rsidR="008E603D" w:rsidRPr="0068236B" w:rsidRDefault="008E603D" w:rsidP="008E603D">
            <w:pPr>
              <w:spacing w:before="60" w:after="20" w:line="240" w:lineRule="auto"/>
              <w:jc w:val="left"/>
              <w:rPr>
                <w:rFonts w:cs="Tahoma"/>
                <w:sz w:val="20"/>
                <w:shd w:val="clear" w:color="auto" w:fill="FFFFFF"/>
              </w:rPr>
            </w:pPr>
            <w:r w:rsidRPr="0068236B">
              <w:rPr>
                <w:rFonts w:cs="Tahoma"/>
                <w:sz w:val="20"/>
                <w:szCs w:val="20"/>
              </w:rPr>
              <w:t>Coupled Model Inter-comparison Project(s)</w:t>
            </w:r>
          </w:p>
        </w:tc>
      </w:tr>
      <w:tr w:rsidR="004F0F78" w:rsidRPr="0068236B" w14:paraId="654C40AB" w14:textId="77777777" w:rsidTr="00493264">
        <w:trPr>
          <w:trHeight w:val="288"/>
        </w:trPr>
        <w:tc>
          <w:tcPr>
            <w:tcW w:w="1422" w:type="pct"/>
            <w:shd w:val="clear" w:color="auto" w:fill="auto"/>
          </w:tcPr>
          <w:p w14:paraId="0A7E79D1" w14:textId="77777777" w:rsidR="004F0F78" w:rsidRPr="0068236B" w:rsidRDefault="004F0F78" w:rsidP="008A76AD">
            <w:pPr>
              <w:pStyle w:val="TableTextLeft"/>
              <w:rPr>
                <w:rFonts w:ascii="Tahoma" w:hAnsi="Tahoma" w:cs="Tahoma"/>
                <w:sz w:val="20"/>
                <w:szCs w:val="22"/>
              </w:rPr>
            </w:pPr>
            <w:r w:rsidRPr="0068236B">
              <w:rPr>
                <w:rFonts w:ascii="Tahoma" w:hAnsi="Tahoma" w:cs="Tahoma"/>
                <w:sz w:val="20"/>
                <w:szCs w:val="22"/>
                <w:shd w:val="clear" w:color="auto" w:fill="FFFFFF"/>
              </w:rPr>
              <w:t>CORINE LC or CLC</w:t>
            </w:r>
          </w:p>
        </w:tc>
        <w:tc>
          <w:tcPr>
            <w:tcW w:w="3578" w:type="pct"/>
            <w:shd w:val="clear" w:color="auto" w:fill="auto"/>
          </w:tcPr>
          <w:p w14:paraId="3113F289" w14:textId="77777777" w:rsidR="004F0F78" w:rsidRPr="0068236B" w:rsidRDefault="004F0F78" w:rsidP="008A76AD">
            <w:pPr>
              <w:spacing w:before="60" w:after="20" w:line="240" w:lineRule="auto"/>
              <w:jc w:val="left"/>
              <w:rPr>
                <w:rFonts w:cs="Tahoma"/>
                <w:sz w:val="20"/>
              </w:rPr>
            </w:pPr>
            <w:r w:rsidRPr="0068236B">
              <w:rPr>
                <w:rFonts w:cs="Tahoma"/>
                <w:sz w:val="20"/>
                <w:shd w:val="clear" w:color="auto" w:fill="FFFFFF"/>
              </w:rPr>
              <w:t>COoRdinate INformation on the Environment (land data base), provided by European Environmental Agency</w:t>
            </w:r>
          </w:p>
        </w:tc>
      </w:tr>
      <w:tr w:rsidR="006F6E6F" w:rsidRPr="0068236B" w14:paraId="73EB93ED" w14:textId="77777777" w:rsidTr="00493264">
        <w:trPr>
          <w:trHeight w:val="288"/>
        </w:trPr>
        <w:tc>
          <w:tcPr>
            <w:tcW w:w="1422" w:type="pct"/>
            <w:shd w:val="clear" w:color="auto" w:fill="auto"/>
          </w:tcPr>
          <w:p w14:paraId="1FCEF930" w14:textId="77777777" w:rsidR="006F6E6F" w:rsidRPr="0068236B" w:rsidRDefault="006F6E6F" w:rsidP="001450C1">
            <w:pPr>
              <w:pStyle w:val="TableTextLeft"/>
              <w:rPr>
                <w:rFonts w:ascii="Tahoma" w:hAnsi="Tahoma" w:cs="Tahoma"/>
                <w:sz w:val="20"/>
                <w:szCs w:val="22"/>
                <w:shd w:val="clear" w:color="auto" w:fill="FFFFFF"/>
              </w:rPr>
            </w:pPr>
            <w:r w:rsidRPr="0068236B">
              <w:rPr>
                <w:rFonts w:ascii="Tahoma" w:hAnsi="Tahoma" w:cs="Tahoma"/>
                <w:sz w:val="20"/>
                <w:szCs w:val="22"/>
              </w:rPr>
              <w:t>DLR</w:t>
            </w:r>
          </w:p>
        </w:tc>
        <w:tc>
          <w:tcPr>
            <w:tcW w:w="3578" w:type="pct"/>
            <w:shd w:val="clear" w:color="auto" w:fill="auto"/>
          </w:tcPr>
          <w:p w14:paraId="623A5C16" w14:textId="77777777" w:rsidR="006F6E6F" w:rsidRPr="0068236B" w:rsidRDefault="006F6E6F" w:rsidP="001450C1">
            <w:pPr>
              <w:spacing w:before="60" w:after="20" w:line="240" w:lineRule="auto"/>
              <w:jc w:val="left"/>
              <w:rPr>
                <w:rFonts w:cs="Tahoma"/>
                <w:sz w:val="20"/>
                <w:shd w:val="clear" w:color="auto" w:fill="FFFFFF"/>
              </w:rPr>
            </w:pPr>
            <w:r w:rsidRPr="0068236B">
              <w:rPr>
                <w:rFonts w:cs="Tahoma"/>
                <w:sz w:val="20"/>
              </w:rPr>
              <w:t>Dynamic Line Rate</w:t>
            </w:r>
          </w:p>
        </w:tc>
      </w:tr>
      <w:tr w:rsidR="001D15F1" w:rsidRPr="0068236B" w14:paraId="137E1524" w14:textId="77777777" w:rsidTr="00493264">
        <w:trPr>
          <w:trHeight w:val="288"/>
        </w:trPr>
        <w:tc>
          <w:tcPr>
            <w:tcW w:w="1422" w:type="pct"/>
            <w:shd w:val="clear" w:color="auto" w:fill="auto"/>
          </w:tcPr>
          <w:p w14:paraId="5AE26110" w14:textId="2D7F7CE0" w:rsidR="001D15F1" w:rsidRPr="0068236B" w:rsidRDefault="001D15F1" w:rsidP="001450C1">
            <w:pPr>
              <w:pStyle w:val="TableTextLeft"/>
              <w:rPr>
                <w:rFonts w:ascii="Tahoma" w:hAnsi="Tahoma" w:cs="Tahoma"/>
                <w:sz w:val="20"/>
                <w:szCs w:val="22"/>
              </w:rPr>
            </w:pPr>
            <w:r w:rsidRPr="0068236B">
              <w:rPr>
                <w:rFonts w:ascii="Tahoma" w:hAnsi="Tahoma" w:cs="Tahoma"/>
                <w:sz w:val="20"/>
                <w:szCs w:val="22"/>
              </w:rPr>
              <w:t>EAAA</w:t>
            </w:r>
          </w:p>
        </w:tc>
        <w:tc>
          <w:tcPr>
            <w:tcW w:w="3578" w:type="pct"/>
            <w:shd w:val="clear" w:color="auto" w:fill="auto"/>
          </w:tcPr>
          <w:p w14:paraId="39B29800" w14:textId="11DC142F" w:rsidR="001D15F1" w:rsidRPr="0068236B" w:rsidRDefault="001D15F1" w:rsidP="001D15F1">
            <w:pPr>
              <w:spacing w:before="60" w:after="20" w:line="240" w:lineRule="auto"/>
              <w:jc w:val="left"/>
              <w:rPr>
                <w:rFonts w:cs="Tahoma"/>
                <w:sz w:val="20"/>
              </w:rPr>
            </w:pPr>
            <w:r w:rsidRPr="0068236B">
              <w:rPr>
                <w:rFonts w:cs="Tahoma"/>
                <w:sz w:val="20"/>
                <w:szCs w:val="20"/>
                <w:lang w:eastAsia="en-US"/>
              </w:rPr>
              <w:t>Ecologically Appropriate Area of Analysis</w:t>
            </w:r>
          </w:p>
        </w:tc>
      </w:tr>
      <w:tr w:rsidR="003B7905" w:rsidRPr="0068236B" w14:paraId="2EA3022E" w14:textId="77777777" w:rsidTr="00493264">
        <w:trPr>
          <w:trHeight w:val="288"/>
        </w:trPr>
        <w:tc>
          <w:tcPr>
            <w:tcW w:w="1422" w:type="pct"/>
            <w:shd w:val="clear" w:color="auto" w:fill="auto"/>
          </w:tcPr>
          <w:p w14:paraId="2F96E66E" w14:textId="77777777" w:rsidR="003B7905" w:rsidRPr="0068236B" w:rsidRDefault="003B7905" w:rsidP="001450C1">
            <w:pPr>
              <w:pStyle w:val="TableTextLeft"/>
              <w:rPr>
                <w:rFonts w:ascii="Tahoma" w:hAnsi="Tahoma" w:cs="Tahoma"/>
                <w:sz w:val="20"/>
                <w:szCs w:val="22"/>
              </w:rPr>
            </w:pPr>
            <w:r w:rsidRPr="0068236B">
              <w:rPr>
                <w:rFonts w:ascii="Tahoma" w:hAnsi="Tahoma" w:cs="Tahoma"/>
                <w:sz w:val="20"/>
                <w:szCs w:val="22"/>
              </w:rPr>
              <w:t>E&amp;S</w:t>
            </w:r>
          </w:p>
        </w:tc>
        <w:tc>
          <w:tcPr>
            <w:tcW w:w="3578" w:type="pct"/>
            <w:shd w:val="clear" w:color="auto" w:fill="auto"/>
            <w:vAlign w:val="center"/>
          </w:tcPr>
          <w:p w14:paraId="4B12E333" w14:textId="77777777" w:rsidR="003B7905" w:rsidRPr="0068236B" w:rsidRDefault="003B7905" w:rsidP="008413A4">
            <w:pPr>
              <w:spacing w:before="60" w:after="60"/>
              <w:rPr>
                <w:rFonts w:cs="Tahoma"/>
                <w:sz w:val="20"/>
                <w:szCs w:val="20"/>
              </w:rPr>
            </w:pPr>
            <w:r w:rsidRPr="0068236B">
              <w:rPr>
                <w:rFonts w:cs="Tahoma"/>
                <w:sz w:val="20"/>
                <w:szCs w:val="20"/>
              </w:rPr>
              <w:t>Environmental and Social</w:t>
            </w:r>
          </w:p>
        </w:tc>
      </w:tr>
      <w:tr w:rsidR="003B7905" w:rsidRPr="0068236B" w14:paraId="6781091B" w14:textId="77777777" w:rsidTr="00493264">
        <w:trPr>
          <w:trHeight w:val="288"/>
        </w:trPr>
        <w:tc>
          <w:tcPr>
            <w:tcW w:w="1422" w:type="pct"/>
            <w:shd w:val="clear" w:color="auto" w:fill="auto"/>
            <w:vAlign w:val="center"/>
          </w:tcPr>
          <w:p w14:paraId="3E9772B5" w14:textId="77777777" w:rsidR="003B7905" w:rsidRPr="0068236B" w:rsidRDefault="003B7905" w:rsidP="00B973BB">
            <w:pPr>
              <w:spacing w:before="60" w:after="60"/>
              <w:rPr>
                <w:rFonts w:cs="Tahoma"/>
                <w:sz w:val="20"/>
                <w:szCs w:val="20"/>
              </w:rPr>
            </w:pPr>
            <w:r w:rsidRPr="0068236B">
              <w:rPr>
                <w:rFonts w:cs="Tahoma"/>
                <w:sz w:val="20"/>
                <w:szCs w:val="20"/>
              </w:rPr>
              <w:t>EBRD</w:t>
            </w:r>
          </w:p>
        </w:tc>
        <w:tc>
          <w:tcPr>
            <w:tcW w:w="3578" w:type="pct"/>
            <w:shd w:val="clear" w:color="auto" w:fill="auto"/>
            <w:vAlign w:val="center"/>
          </w:tcPr>
          <w:p w14:paraId="531854FB" w14:textId="77777777" w:rsidR="003B7905" w:rsidRPr="0068236B" w:rsidRDefault="003B7905" w:rsidP="00B973BB">
            <w:pPr>
              <w:spacing w:before="60" w:after="60"/>
              <w:rPr>
                <w:rFonts w:cs="Tahoma"/>
                <w:sz w:val="20"/>
                <w:szCs w:val="20"/>
              </w:rPr>
            </w:pPr>
            <w:r w:rsidRPr="0068236B">
              <w:rPr>
                <w:rFonts w:cs="Tahoma"/>
                <w:sz w:val="20"/>
                <w:szCs w:val="20"/>
              </w:rPr>
              <w:t>European Bank for Reconstruction and Development</w:t>
            </w:r>
          </w:p>
        </w:tc>
      </w:tr>
      <w:tr w:rsidR="003B7905" w:rsidRPr="0068236B" w14:paraId="39CBB8D7" w14:textId="77777777" w:rsidTr="00493264">
        <w:trPr>
          <w:trHeight w:val="288"/>
        </w:trPr>
        <w:tc>
          <w:tcPr>
            <w:tcW w:w="1422" w:type="pct"/>
            <w:shd w:val="clear" w:color="auto" w:fill="auto"/>
            <w:vAlign w:val="center"/>
          </w:tcPr>
          <w:p w14:paraId="5C474E89" w14:textId="77777777" w:rsidR="003B7905" w:rsidRPr="0068236B" w:rsidRDefault="003B7905" w:rsidP="00B973BB">
            <w:pPr>
              <w:spacing w:before="60" w:after="60"/>
              <w:rPr>
                <w:rFonts w:cs="Tahoma"/>
                <w:sz w:val="20"/>
                <w:szCs w:val="20"/>
              </w:rPr>
            </w:pPr>
            <w:r w:rsidRPr="0068236B">
              <w:rPr>
                <w:rFonts w:cs="Tahoma"/>
                <w:sz w:val="20"/>
                <w:szCs w:val="20"/>
              </w:rPr>
              <w:t xml:space="preserve">EIB </w:t>
            </w:r>
          </w:p>
        </w:tc>
        <w:tc>
          <w:tcPr>
            <w:tcW w:w="3578" w:type="pct"/>
            <w:shd w:val="clear" w:color="auto" w:fill="auto"/>
            <w:vAlign w:val="center"/>
          </w:tcPr>
          <w:p w14:paraId="369CD608" w14:textId="77777777" w:rsidR="003B7905" w:rsidRPr="0068236B" w:rsidRDefault="003B7905" w:rsidP="00B973BB">
            <w:pPr>
              <w:spacing w:before="60" w:after="60"/>
              <w:rPr>
                <w:rFonts w:cs="Tahoma"/>
                <w:sz w:val="20"/>
                <w:szCs w:val="20"/>
              </w:rPr>
            </w:pPr>
            <w:r w:rsidRPr="0068236B">
              <w:rPr>
                <w:rFonts w:cs="Tahoma"/>
                <w:sz w:val="20"/>
                <w:szCs w:val="20"/>
              </w:rPr>
              <w:t xml:space="preserve">European Investment Bank </w:t>
            </w:r>
          </w:p>
        </w:tc>
      </w:tr>
      <w:tr w:rsidR="00C22D53" w:rsidRPr="0068236B" w14:paraId="28BB88DF" w14:textId="77777777" w:rsidTr="00493264">
        <w:trPr>
          <w:trHeight w:val="288"/>
        </w:trPr>
        <w:tc>
          <w:tcPr>
            <w:tcW w:w="1422" w:type="pct"/>
            <w:shd w:val="clear" w:color="auto" w:fill="auto"/>
            <w:vAlign w:val="center"/>
          </w:tcPr>
          <w:p w14:paraId="577ED1F7" w14:textId="77777777" w:rsidR="00C22D53" w:rsidRPr="0068236B" w:rsidRDefault="00C22D53" w:rsidP="00B973BB">
            <w:pPr>
              <w:spacing w:before="60" w:after="60"/>
              <w:rPr>
                <w:rFonts w:cs="Tahoma"/>
                <w:sz w:val="20"/>
                <w:szCs w:val="20"/>
              </w:rPr>
            </w:pPr>
            <w:r w:rsidRPr="0068236B">
              <w:rPr>
                <w:rFonts w:cs="Tahoma"/>
                <w:sz w:val="20"/>
                <w:szCs w:val="20"/>
              </w:rPr>
              <w:t>EIA</w:t>
            </w:r>
          </w:p>
        </w:tc>
        <w:tc>
          <w:tcPr>
            <w:tcW w:w="3578" w:type="pct"/>
            <w:shd w:val="clear" w:color="auto" w:fill="auto"/>
            <w:vAlign w:val="center"/>
          </w:tcPr>
          <w:p w14:paraId="3749E3F9" w14:textId="77777777" w:rsidR="00C22D53" w:rsidRPr="0068236B" w:rsidRDefault="00C22D53" w:rsidP="00B973BB">
            <w:pPr>
              <w:spacing w:before="60" w:after="60"/>
              <w:rPr>
                <w:rFonts w:cs="Tahoma"/>
                <w:sz w:val="20"/>
                <w:szCs w:val="20"/>
              </w:rPr>
            </w:pPr>
            <w:r w:rsidRPr="0068236B">
              <w:rPr>
                <w:rFonts w:cs="Tahoma"/>
                <w:sz w:val="20"/>
                <w:szCs w:val="20"/>
              </w:rPr>
              <w:t>Environmental Impact Assessment</w:t>
            </w:r>
          </w:p>
        </w:tc>
      </w:tr>
      <w:tr w:rsidR="003B7905" w:rsidRPr="0068236B" w14:paraId="06509FFD" w14:textId="77777777" w:rsidTr="00493264">
        <w:trPr>
          <w:trHeight w:val="288"/>
        </w:trPr>
        <w:tc>
          <w:tcPr>
            <w:tcW w:w="1422" w:type="pct"/>
            <w:shd w:val="clear" w:color="auto" w:fill="auto"/>
            <w:vAlign w:val="center"/>
          </w:tcPr>
          <w:p w14:paraId="3D7E9C71" w14:textId="77777777" w:rsidR="003B7905" w:rsidRPr="0068236B" w:rsidRDefault="003B7905" w:rsidP="001450C1">
            <w:pPr>
              <w:spacing w:before="60" w:after="60"/>
              <w:rPr>
                <w:rFonts w:cs="Tahoma"/>
                <w:sz w:val="20"/>
                <w:szCs w:val="20"/>
              </w:rPr>
            </w:pPr>
            <w:r w:rsidRPr="0068236B">
              <w:rPr>
                <w:rFonts w:cs="Tahoma"/>
                <w:sz w:val="20"/>
                <w:szCs w:val="20"/>
              </w:rPr>
              <w:t>EMF</w:t>
            </w:r>
          </w:p>
        </w:tc>
        <w:tc>
          <w:tcPr>
            <w:tcW w:w="3578" w:type="pct"/>
            <w:shd w:val="clear" w:color="auto" w:fill="auto"/>
            <w:vAlign w:val="center"/>
          </w:tcPr>
          <w:p w14:paraId="3D447531" w14:textId="77777777" w:rsidR="003B7905" w:rsidRPr="0068236B" w:rsidRDefault="003B7905" w:rsidP="001450C1">
            <w:pPr>
              <w:spacing w:before="60" w:after="60"/>
              <w:rPr>
                <w:rFonts w:cs="Tahoma"/>
                <w:sz w:val="20"/>
                <w:szCs w:val="20"/>
              </w:rPr>
            </w:pPr>
            <w:r w:rsidRPr="0068236B">
              <w:rPr>
                <w:rFonts w:cs="Tahoma"/>
                <w:sz w:val="20"/>
                <w:szCs w:val="20"/>
              </w:rPr>
              <w:t>Electric and Magnetic Fields</w:t>
            </w:r>
          </w:p>
        </w:tc>
      </w:tr>
      <w:tr w:rsidR="003B7905" w:rsidRPr="0068236B" w14:paraId="3942D651" w14:textId="77777777" w:rsidTr="00493264">
        <w:trPr>
          <w:trHeight w:val="288"/>
        </w:trPr>
        <w:tc>
          <w:tcPr>
            <w:tcW w:w="1422" w:type="pct"/>
            <w:shd w:val="clear" w:color="auto" w:fill="auto"/>
            <w:vAlign w:val="center"/>
          </w:tcPr>
          <w:p w14:paraId="5E164F73" w14:textId="77777777" w:rsidR="003B7905" w:rsidRPr="0068236B" w:rsidRDefault="003B7905" w:rsidP="003B7905">
            <w:pPr>
              <w:spacing w:before="60" w:after="60"/>
              <w:rPr>
                <w:rFonts w:cs="Tahoma"/>
                <w:sz w:val="20"/>
                <w:szCs w:val="20"/>
              </w:rPr>
            </w:pPr>
            <w:r w:rsidRPr="0068236B">
              <w:rPr>
                <w:rFonts w:cs="Tahoma"/>
                <w:sz w:val="20"/>
                <w:szCs w:val="20"/>
              </w:rPr>
              <w:t>EN</w:t>
            </w:r>
          </w:p>
        </w:tc>
        <w:tc>
          <w:tcPr>
            <w:tcW w:w="3578" w:type="pct"/>
            <w:shd w:val="clear" w:color="auto" w:fill="auto"/>
            <w:vAlign w:val="center"/>
          </w:tcPr>
          <w:p w14:paraId="18F2E4DE" w14:textId="77777777" w:rsidR="003B7905" w:rsidRPr="0068236B" w:rsidRDefault="003B7905" w:rsidP="003B7905">
            <w:pPr>
              <w:spacing w:before="60" w:after="60"/>
              <w:rPr>
                <w:rFonts w:cs="Tahoma"/>
                <w:sz w:val="20"/>
                <w:szCs w:val="20"/>
              </w:rPr>
            </w:pPr>
            <w:r w:rsidRPr="0068236B">
              <w:rPr>
                <w:sz w:val="20"/>
              </w:rPr>
              <w:t>European Standard(s) (European Norm(s))</w:t>
            </w:r>
          </w:p>
        </w:tc>
      </w:tr>
      <w:tr w:rsidR="00780CB9" w:rsidRPr="0068236B" w14:paraId="620C911A" w14:textId="77777777" w:rsidTr="00493264">
        <w:trPr>
          <w:trHeight w:val="288"/>
        </w:trPr>
        <w:tc>
          <w:tcPr>
            <w:tcW w:w="1422" w:type="pct"/>
            <w:shd w:val="clear" w:color="auto" w:fill="auto"/>
          </w:tcPr>
          <w:p w14:paraId="2FCFF74B" w14:textId="691742B8" w:rsidR="00780CB9" w:rsidRPr="0068236B" w:rsidRDefault="00780CB9" w:rsidP="00780CB9">
            <w:pPr>
              <w:spacing w:before="60" w:after="60"/>
              <w:jc w:val="left"/>
              <w:rPr>
                <w:rFonts w:cs="Tahoma"/>
                <w:sz w:val="20"/>
                <w:szCs w:val="20"/>
              </w:rPr>
            </w:pPr>
            <w:r w:rsidRPr="0068236B">
              <w:rPr>
                <w:rFonts w:cs="Tahoma"/>
                <w:sz w:val="20"/>
                <w:szCs w:val="20"/>
              </w:rPr>
              <w:t>ESP</w:t>
            </w:r>
          </w:p>
        </w:tc>
        <w:tc>
          <w:tcPr>
            <w:tcW w:w="3578" w:type="pct"/>
            <w:shd w:val="clear" w:color="auto" w:fill="auto"/>
            <w:vAlign w:val="center"/>
          </w:tcPr>
          <w:p w14:paraId="584ECC9D" w14:textId="70FD1FDA" w:rsidR="00780CB9" w:rsidRPr="0068236B" w:rsidRDefault="00780CB9" w:rsidP="00780CB9">
            <w:pPr>
              <w:spacing w:before="60" w:after="60"/>
              <w:jc w:val="left"/>
              <w:rPr>
                <w:sz w:val="20"/>
              </w:rPr>
            </w:pPr>
            <w:r w:rsidRPr="0068236B">
              <w:rPr>
                <w:rFonts w:eastAsia="Calibri"/>
                <w:sz w:val="20"/>
              </w:rPr>
              <w:t xml:space="preserve">Environmental and Social Policy </w:t>
            </w:r>
            <w:r w:rsidR="00DA1D1C" w:rsidRPr="0068236B">
              <w:rPr>
                <w:rFonts w:eastAsia="Calibri"/>
                <w:sz w:val="20"/>
              </w:rPr>
              <w:t>(</w:t>
            </w:r>
            <w:r w:rsidRPr="0068236B">
              <w:rPr>
                <w:rFonts w:eastAsia="Calibri"/>
                <w:sz w:val="20"/>
              </w:rPr>
              <w:t>of the European Bank for Reconstruction and Development</w:t>
            </w:r>
            <w:r w:rsidR="00DA1D1C" w:rsidRPr="0068236B">
              <w:rPr>
                <w:rFonts w:eastAsia="Calibri"/>
                <w:sz w:val="20"/>
              </w:rPr>
              <w:t>)</w:t>
            </w:r>
          </w:p>
        </w:tc>
      </w:tr>
      <w:tr w:rsidR="003B7905" w:rsidRPr="0068236B" w14:paraId="22DED3CE" w14:textId="77777777" w:rsidTr="00493264">
        <w:trPr>
          <w:trHeight w:val="288"/>
        </w:trPr>
        <w:tc>
          <w:tcPr>
            <w:tcW w:w="1422" w:type="pct"/>
            <w:shd w:val="clear" w:color="auto" w:fill="auto"/>
            <w:vAlign w:val="center"/>
          </w:tcPr>
          <w:p w14:paraId="5424A7B5" w14:textId="77777777" w:rsidR="003B7905" w:rsidRPr="0068236B" w:rsidRDefault="003B7905" w:rsidP="00562304">
            <w:pPr>
              <w:spacing w:before="60" w:after="60"/>
              <w:rPr>
                <w:rFonts w:cs="Tahoma"/>
                <w:sz w:val="20"/>
                <w:szCs w:val="20"/>
              </w:rPr>
            </w:pPr>
            <w:r w:rsidRPr="0068236B">
              <w:rPr>
                <w:rFonts w:cs="Tahoma"/>
                <w:sz w:val="20"/>
                <w:szCs w:val="20"/>
              </w:rPr>
              <w:t>ENTSO – E</w:t>
            </w:r>
          </w:p>
        </w:tc>
        <w:tc>
          <w:tcPr>
            <w:tcW w:w="3578" w:type="pct"/>
            <w:shd w:val="clear" w:color="auto" w:fill="auto"/>
            <w:vAlign w:val="center"/>
          </w:tcPr>
          <w:p w14:paraId="1D42B322" w14:textId="77777777" w:rsidR="003B7905" w:rsidRPr="0068236B" w:rsidRDefault="003B7905" w:rsidP="00562304">
            <w:pPr>
              <w:spacing w:before="60" w:after="60"/>
              <w:rPr>
                <w:rFonts w:cs="Tahoma"/>
                <w:sz w:val="20"/>
                <w:szCs w:val="20"/>
              </w:rPr>
            </w:pPr>
            <w:r w:rsidRPr="0068236B">
              <w:rPr>
                <w:rFonts w:cs="Tahoma"/>
                <w:sz w:val="20"/>
                <w:szCs w:val="20"/>
              </w:rPr>
              <w:t>European Network Transmission System Operators – Electricity</w:t>
            </w:r>
          </w:p>
        </w:tc>
      </w:tr>
      <w:tr w:rsidR="003B7905" w:rsidRPr="0068236B" w14:paraId="5713A0F5" w14:textId="77777777" w:rsidTr="00493264">
        <w:trPr>
          <w:trHeight w:val="288"/>
        </w:trPr>
        <w:tc>
          <w:tcPr>
            <w:tcW w:w="1422" w:type="pct"/>
            <w:shd w:val="clear" w:color="auto" w:fill="auto"/>
            <w:vAlign w:val="center"/>
          </w:tcPr>
          <w:p w14:paraId="39BCA993" w14:textId="77777777" w:rsidR="003B7905" w:rsidRPr="0068236B" w:rsidRDefault="003B7905" w:rsidP="00B973BB">
            <w:pPr>
              <w:spacing w:before="60" w:after="60"/>
              <w:rPr>
                <w:rFonts w:cs="Tahoma"/>
                <w:sz w:val="20"/>
                <w:szCs w:val="20"/>
              </w:rPr>
            </w:pPr>
            <w:r w:rsidRPr="0068236B">
              <w:rPr>
                <w:rFonts w:cs="Tahoma"/>
                <w:sz w:val="20"/>
                <w:szCs w:val="20"/>
              </w:rPr>
              <w:t>ESIA</w:t>
            </w:r>
          </w:p>
        </w:tc>
        <w:tc>
          <w:tcPr>
            <w:tcW w:w="3578" w:type="pct"/>
            <w:shd w:val="clear" w:color="auto" w:fill="auto"/>
            <w:vAlign w:val="center"/>
          </w:tcPr>
          <w:p w14:paraId="15C2390F" w14:textId="77777777" w:rsidR="003B7905" w:rsidRPr="0068236B" w:rsidRDefault="003B7905" w:rsidP="00B973BB">
            <w:pPr>
              <w:spacing w:before="60" w:after="60"/>
              <w:rPr>
                <w:rFonts w:cs="Tahoma"/>
                <w:sz w:val="20"/>
                <w:szCs w:val="20"/>
              </w:rPr>
            </w:pPr>
            <w:r w:rsidRPr="0068236B">
              <w:rPr>
                <w:rFonts w:cs="Tahoma"/>
                <w:sz w:val="20"/>
                <w:szCs w:val="20"/>
              </w:rPr>
              <w:t>Environmental and Social Impact Assessment</w:t>
            </w:r>
          </w:p>
        </w:tc>
      </w:tr>
      <w:tr w:rsidR="00126FF0" w:rsidRPr="0068236B" w14:paraId="23A023B5" w14:textId="77777777" w:rsidTr="00493264">
        <w:trPr>
          <w:trHeight w:val="288"/>
        </w:trPr>
        <w:tc>
          <w:tcPr>
            <w:tcW w:w="1422" w:type="pct"/>
            <w:shd w:val="clear" w:color="auto" w:fill="auto"/>
            <w:vAlign w:val="center"/>
          </w:tcPr>
          <w:p w14:paraId="109303CA" w14:textId="019F5E39" w:rsidR="00126FF0" w:rsidRPr="0068236B" w:rsidRDefault="00126FF0" w:rsidP="00B973BB">
            <w:pPr>
              <w:spacing w:before="60" w:after="60"/>
              <w:rPr>
                <w:rFonts w:cs="Tahoma"/>
                <w:sz w:val="20"/>
                <w:szCs w:val="20"/>
              </w:rPr>
            </w:pPr>
            <w:r w:rsidRPr="0068236B">
              <w:rPr>
                <w:rFonts w:cs="Tahoma"/>
                <w:sz w:val="20"/>
                <w:szCs w:val="20"/>
              </w:rPr>
              <w:t>ESMP</w:t>
            </w:r>
          </w:p>
        </w:tc>
        <w:tc>
          <w:tcPr>
            <w:tcW w:w="3578" w:type="pct"/>
            <w:shd w:val="clear" w:color="auto" w:fill="auto"/>
          </w:tcPr>
          <w:p w14:paraId="73050BBC" w14:textId="64789956" w:rsidR="00126FF0" w:rsidRPr="0068236B" w:rsidRDefault="00126FF0" w:rsidP="00B973BB">
            <w:pPr>
              <w:spacing w:before="60" w:after="60"/>
              <w:rPr>
                <w:rFonts w:cs="Tahoma"/>
                <w:sz w:val="20"/>
                <w:szCs w:val="20"/>
              </w:rPr>
            </w:pPr>
            <w:r w:rsidRPr="0068236B">
              <w:rPr>
                <w:rFonts w:cs="Tahoma"/>
                <w:sz w:val="20"/>
                <w:shd w:val="clear" w:color="auto" w:fill="FFFFFF"/>
              </w:rPr>
              <w:t>Environmental and Social Management Plan</w:t>
            </w:r>
          </w:p>
        </w:tc>
      </w:tr>
      <w:tr w:rsidR="00126FF0" w:rsidRPr="0068236B" w14:paraId="5E57C4D5" w14:textId="77777777" w:rsidTr="00493264">
        <w:trPr>
          <w:trHeight w:val="288"/>
        </w:trPr>
        <w:tc>
          <w:tcPr>
            <w:tcW w:w="1422" w:type="pct"/>
            <w:shd w:val="clear" w:color="auto" w:fill="auto"/>
            <w:vAlign w:val="center"/>
          </w:tcPr>
          <w:p w14:paraId="78ED8C0A" w14:textId="6827146A" w:rsidR="00126FF0" w:rsidRPr="0068236B" w:rsidRDefault="00126FF0" w:rsidP="00B973BB">
            <w:pPr>
              <w:spacing w:before="60" w:after="60"/>
              <w:rPr>
                <w:rFonts w:cs="Tahoma"/>
                <w:sz w:val="20"/>
                <w:szCs w:val="20"/>
              </w:rPr>
            </w:pPr>
            <w:r w:rsidRPr="0068236B">
              <w:rPr>
                <w:rFonts w:cs="Tahoma"/>
                <w:sz w:val="20"/>
                <w:szCs w:val="20"/>
              </w:rPr>
              <w:t>ESMS</w:t>
            </w:r>
          </w:p>
        </w:tc>
        <w:tc>
          <w:tcPr>
            <w:tcW w:w="3578" w:type="pct"/>
            <w:shd w:val="clear" w:color="auto" w:fill="auto"/>
          </w:tcPr>
          <w:p w14:paraId="4C2263B4" w14:textId="4E3E078A" w:rsidR="00126FF0" w:rsidRPr="0068236B" w:rsidRDefault="00126FF0" w:rsidP="00B973BB">
            <w:pPr>
              <w:spacing w:before="60" w:after="60"/>
              <w:rPr>
                <w:rFonts w:cs="Tahoma"/>
                <w:sz w:val="20"/>
                <w:shd w:val="clear" w:color="auto" w:fill="FFFFFF"/>
              </w:rPr>
            </w:pPr>
            <w:r w:rsidRPr="0068236B">
              <w:rPr>
                <w:rFonts w:cs="Tahoma"/>
                <w:sz w:val="20"/>
                <w:shd w:val="clear" w:color="auto" w:fill="FFFFFF"/>
              </w:rPr>
              <w:t>Environmental and Social Management System</w:t>
            </w:r>
          </w:p>
        </w:tc>
      </w:tr>
      <w:tr w:rsidR="00126FF0" w:rsidRPr="0068236B" w14:paraId="365E885F" w14:textId="77777777" w:rsidTr="00493264">
        <w:trPr>
          <w:trHeight w:val="288"/>
        </w:trPr>
        <w:tc>
          <w:tcPr>
            <w:tcW w:w="1422" w:type="pct"/>
            <w:shd w:val="clear" w:color="auto" w:fill="auto"/>
            <w:vAlign w:val="center"/>
          </w:tcPr>
          <w:p w14:paraId="2712ACCC" w14:textId="77777777" w:rsidR="00126FF0" w:rsidRPr="0068236B" w:rsidRDefault="00126FF0" w:rsidP="00B973BB">
            <w:pPr>
              <w:spacing w:before="60" w:after="60"/>
              <w:rPr>
                <w:rFonts w:cs="Tahoma"/>
                <w:sz w:val="20"/>
                <w:szCs w:val="20"/>
              </w:rPr>
            </w:pPr>
            <w:r w:rsidRPr="0068236B">
              <w:rPr>
                <w:rFonts w:cs="Tahoma"/>
                <w:sz w:val="20"/>
                <w:szCs w:val="20"/>
              </w:rPr>
              <w:t xml:space="preserve">EU </w:t>
            </w:r>
          </w:p>
        </w:tc>
        <w:tc>
          <w:tcPr>
            <w:tcW w:w="3578" w:type="pct"/>
            <w:shd w:val="clear" w:color="auto" w:fill="auto"/>
            <w:vAlign w:val="center"/>
          </w:tcPr>
          <w:p w14:paraId="127BE721" w14:textId="77777777" w:rsidR="00126FF0" w:rsidRPr="0068236B" w:rsidRDefault="00126FF0" w:rsidP="00B973BB">
            <w:pPr>
              <w:spacing w:before="60" w:after="60"/>
              <w:rPr>
                <w:rFonts w:cs="Tahoma"/>
                <w:sz w:val="20"/>
                <w:szCs w:val="20"/>
              </w:rPr>
            </w:pPr>
            <w:r w:rsidRPr="0068236B">
              <w:rPr>
                <w:rFonts w:cs="Tahoma"/>
                <w:sz w:val="20"/>
                <w:szCs w:val="20"/>
              </w:rPr>
              <w:t xml:space="preserve">European Union </w:t>
            </w:r>
          </w:p>
        </w:tc>
      </w:tr>
      <w:tr w:rsidR="00A02F26" w:rsidRPr="0068236B" w14:paraId="0779378A" w14:textId="77777777" w:rsidTr="00493264">
        <w:trPr>
          <w:trHeight w:val="288"/>
        </w:trPr>
        <w:tc>
          <w:tcPr>
            <w:tcW w:w="1422" w:type="pct"/>
            <w:shd w:val="clear" w:color="auto" w:fill="auto"/>
          </w:tcPr>
          <w:p w14:paraId="28C45B68" w14:textId="77777777" w:rsidR="00A02F26" w:rsidRPr="0068236B" w:rsidRDefault="00A02F26" w:rsidP="008562BA">
            <w:pPr>
              <w:pStyle w:val="TableTextLeft"/>
              <w:rPr>
                <w:rFonts w:ascii="Tahoma" w:hAnsi="Tahoma" w:cs="Tahoma"/>
                <w:sz w:val="20"/>
                <w:szCs w:val="22"/>
                <w:shd w:val="clear" w:color="auto" w:fill="FFFFFF"/>
              </w:rPr>
            </w:pPr>
            <w:r w:rsidRPr="0068236B">
              <w:rPr>
                <w:rFonts w:ascii="Tahoma" w:hAnsi="Tahoma" w:cs="Tahoma"/>
                <w:sz w:val="20"/>
                <w:szCs w:val="22"/>
              </w:rPr>
              <w:t>EVP</w:t>
            </w:r>
          </w:p>
        </w:tc>
        <w:tc>
          <w:tcPr>
            <w:tcW w:w="3578" w:type="pct"/>
            <w:shd w:val="clear" w:color="auto" w:fill="auto"/>
          </w:tcPr>
          <w:p w14:paraId="0FF36513" w14:textId="77777777" w:rsidR="00A02F26" w:rsidRPr="0068236B" w:rsidRDefault="00A02F26" w:rsidP="008562BA">
            <w:pPr>
              <w:spacing w:before="60" w:after="20" w:line="240" w:lineRule="auto"/>
              <w:jc w:val="left"/>
              <w:rPr>
                <w:rFonts w:cs="Tahoma"/>
                <w:sz w:val="20"/>
                <w:shd w:val="clear" w:color="auto" w:fill="FFFFFF"/>
              </w:rPr>
            </w:pPr>
            <w:r w:rsidRPr="0068236B">
              <w:rPr>
                <w:rFonts w:cs="Tahoma"/>
                <w:sz w:val="20"/>
              </w:rPr>
              <w:t>Electric Traction Plant (in Macedonian ‘</w:t>
            </w:r>
            <w:r w:rsidRPr="0068236B">
              <w:rPr>
                <w:rFonts w:cs="Tahoma"/>
                <w:i/>
                <w:sz w:val="20"/>
              </w:rPr>
              <w:t>Електровлечно построение</w:t>
            </w:r>
            <w:r w:rsidRPr="0068236B">
              <w:rPr>
                <w:rFonts w:cs="Tahoma"/>
                <w:sz w:val="20"/>
              </w:rPr>
              <w:t>’)</w:t>
            </w:r>
          </w:p>
        </w:tc>
      </w:tr>
      <w:tr w:rsidR="00126FF0" w:rsidRPr="0068236B" w14:paraId="08C63007" w14:textId="77777777" w:rsidTr="00493264">
        <w:trPr>
          <w:trHeight w:val="288"/>
        </w:trPr>
        <w:tc>
          <w:tcPr>
            <w:tcW w:w="1422" w:type="pct"/>
            <w:shd w:val="clear" w:color="auto" w:fill="auto"/>
            <w:vAlign w:val="center"/>
          </w:tcPr>
          <w:p w14:paraId="63A284DE" w14:textId="77777777" w:rsidR="00126FF0" w:rsidRPr="0068236B" w:rsidRDefault="00126FF0" w:rsidP="00562304">
            <w:pPr>
              <w:spacing w:before="60" w:after="60"/>
              <w:rPr>
                <w:rFonts w:cs="Tahoma"/>
                <w:sz w:val="20"/>
                <w:szCs w:val="20"/>
              </w:rPr>
            </w:pPr>
            <w:r w:rsidRPr="0068236B">
              <w:rPr>
                <w:rFonts w:cs="Tahoma"/>
                <w:sz w:val="20"/>
                <w:szCs w:val="20"/>
              </w:rPr>
              <w:t>FS</w:t>
            </w:r>
          </w:p>
        </w:tc>
        <w:tc>
          <w:tcPr>
            <w:tcW w:w="3578" w:type="pct"/>
            <w:shd w:val="clear" w:color="auto" w:fill="auto"/>
            <w:vAlign w:val="center"/>
          </w:tcPr>
          <w:p w14:paraId="6CD0291D" w14:textId="3C9D6B0A" w:rsidR="00126FF0" w:rsidRPr="0068236B" w:rsidRDefault="00126FF0" w:rsidP="00562304">
            <w:pPr>
              <w:spacing w:before="60" w:after="60"/>
              <w:rPr>
                <w:rFonts w:cs="Tahoma"/>
                <w:sz w:val="20"/>
                <w:szCs w:val="20"/>
              </w:rPr>
            </w:pPr>
            <w:r w:rsidRPr="0068236B">
              <w:rPr>
                <w:rFonts w:cs="Tahoma"/>
                <w:sz w:val="20"/>
                <w:szCs w:val="20"/>
              </w:rPr>
              <w:t>Feasibility Study</w:t>
            </w:r>
          </w:p>
        </w:tc>
      </w:tr>
      <w:tr w:rsidR="005C266A" w:rsidRPr="005C266A" w14:paraId="173A0FD9" w14:textId="77777777" w:rsidTr="00493264">
        <w:trPr>
          <w:trHeight w:val="288"/>
        </w:trPr>
        <w:tc>
          <w:tcPr>
            <w:tcW w:w="1422" w:type="pct"/>
            <w:shd w:val="clear" w:color="auto" w:fill="auto"/>
            <w:vAlign w:val="center"/>
          </w:tcPr>
          <w:p w14:paraId="074ADDF0" w14:textId="297EA52A" w:rsidR="005C266A" w:rsidRPr="005C266A" w:rsidRDefault="005C266A" w:rsidP="00562304">
            <w:pPr>
              <w:spacing w:before="60" w:after="60"/>
              <w:rPr>
                <w:rFonts w:cs="Tahoma"/>
                <w:sz w:val="20"/>
                <w:szCs w:val="20"/>
              </w:rPr>
            </w:pPr>
            <w:r w:rsidRPr="005C266A">
              <w:rPr>
                <w:rFonts w:cs="Tahoma"/>
                <w:sz w:val="20"/>
                <w:szCs w:val="20"/>
              </w:rPr>
              <w:t>GBVH</w:t>
            </w:r>
          </w:p>
        </w:tc>
        <w:tc>
          <w:tcPr>
            <w:tcW w:w="3578" w:type="pct"/>
            <w:shd w:val="clear" w:color="auto" w:fill="auto"/>
            <w:vAlign w:val="center"/>
          </w:tcPr>
          <w:p w14:paraId="5E30F529" w14:textId="73279B97" w:rsidR="005C266A" w:rsidRPr="005C266A" w:rsidRDefault="005C266A" w:rsidP="00562304">
            <w:pPr>
              <w:spacing w:before="60" w:after="60"/>
              <w:rPr>
                <w:rFonts w:cs="Tahoma"/>
                <w:sz w:val="20"/>
                <w:szCs w:val="20"/>
              </w:rPr>
            </w:pPr>
            <w:r w:rsidRPr="005C266A">
              <w:rPr>
                <w:rFonts w:cs="Tahoma"/>
                <w:sz w:val="20"/>
                <w:szCs w:val="20"/>
              </w:rPr>
              <w:t>Gender Based Violence and Harassment</w:t>
            </w:r>
          </w:p>
        </w:tc>
      </w:tr>
      <w:tr w:rsidR="0031472A" w:rsidRPr="0068236B" w14:paraId="18367580" w14:textId="77777777" w:rsidTr="00493264">
        <w:trPr>
          <w:trHeight w:val="288"/>
        </w:trPr>
        <w:tc>
          <w:tcPr>
            <w:tcW w:w="1422" w:type="pct"/>
            <w:shd w:val="clear" w:color="auto" w:fill="auto"/>
            <w:vAlign w:val="center"/>
          </w:tcPr>
          <w:p w14:paraId="62ED6409" w14:textId="1CCBD397" w:rsidR="0031472A" w:rsidRPr="0068236B" w:rsidRDefault="0031472A" w:rsidP="00562304">
            <w:pPr>
              <w:spacing w:before="60" w:after="60"/>
              <w:rPr>
                <w:rFonts w:cs="Tahoma"/>
                <w:sz w:val="20"/>
                <w:szCs w:val="20"/>
              </w:rPr>
            </w:pPr>
            <w:r w:rsidRPr="0068236B">
              <w:rPr>
                <w:rFonts w:cs="Tahoma"/>
                <w:sz w:val="20"/>
                <w:szCs w:val="20"/>
              </w:rPr>
              <w:t>GIP</w:t>
            </w:r>
          </w:p>
        </w:tc>
        <w:tc>
          <w:tcPr>
            <w:tcW w:w="3578" w:type="pct"/>
            <w:shd w:val="clear" w:color="auto" w:fill="auto"/>
            <w:vAlign w:val="center"/>
          </w:tcPr>
          <w:p w14:paraId="482395CB" w14:textId="26CB2131" w:rsidR="0031472A" w:rsidRPr="0068236B" w:rsidRDefault="0031472A" w:rsidP="00562304">
            <w:pPr>
              <w:spacing w:before="60" w:after="60"/>
              <w:rPr>
                <w:rFonts w:cs="Tahoma"/>
                <w:sz w:val="20"/>
                <w:szCs w:val="20"/>
              </w:rPr>
            </w:pPr>
            <w:r w:rsidRPr="0068236B">
              <w:rPr>
                <w:rFonts w:cs="Tahoma"/>
                <w:sz w:val="20"/>
                <w:szCs w:val="20"/>
                <w:shd w:val="clear" w:color="auto" w:fill="FFFFFF"/>
              </w:rPr>
              <w:t>Good International Practice</w:t>
            </w:r>
          </w:p>
        </w:tc>
      </w:tr>
      <w:tr w:rsidR="00126FF0" w:rsidRPr="0068236B" w14:paraId="4581C32F" w14:textId="77777777" w:rsidTr="00493264">
        <w:trPr>
          <w:trHeight w:val="288"/>
        </w:trPr>
        <w:tc>
          <w:tcPr>
            <w:tcW w:w="1422" w:type="pct"/>
            <w:shd w:val="clear" w:color="auto" w:fill="auto"/>
            <w:vAlign w:val="center"/>
          </w:tcPr>
          <w:p w14:paraId="362D4500" w14:textId="77777777" w:rsidR="00126FF0" w:rsidRPr="0068236B" w:rsidRDefault="00126FF0" w:rsidP="00562304">
            <w:pPr>
              <w:spacing w:before="60" w:after="60"/>
              <w:rPr>
                <w:rFonts w:cs="Tahoma"/>
                <w:sz w:val="20"/>
                <w:szCs w:val="20"/>
              </w:rPr>
            </w:pPr>
            <w:r w:rsidRPr="0068236B">
              <w:rPr>
                <w:sz w:val="20"/>
              </w:rPr>
              <w:t>HDV</w:t>
            </w:r>
          </w:p>
        </w:tc>
        <w:tc>
          <w:tcPr>
            <w:tcW w:w="3578" w:type="pct"/>
            <w:shd w:val="clear" w:color="auto" w:fill="auto"/>
            <w:vAlign w:val="center"/>
          </w:tcPr>
          <w:p w14:paraId="01BCDD48" w14:textId="77777777" w:rsidR="00126FF0" w:rsidRPr="0068236B" w:rsidRDefault="00126FF0" w:rsidP="00940CA5">
            <w:pPr>
              <w:spacing w:before="60" w:after="60"/>
              <w:rPr>
                <w:rFonts w:cs="Tahoma"/>
                <w:sz w:val="20"/>
                <w:szCs w:val="20"/>
              </w:rPr>
            </w:pPr>
            <w:r w:rsidRPr="0068236B">
              <w:rPr>
                <w:sz w:val="20"/>
              </w:rPr>
              <w:t>Heavy Duty Vehicles</w:t>
            </w:r>
          </w:p>
        </w:tc>
      </w:tr>
      <w:tr w:rsidR="00126FF0" w:rsidRPr="0068236B" w14:paraId="5026BBBC" w14:textId="77777777" w:rsidTr="00493264">
        <w:trPr>
          <w:trHeight w:val="288"/>
        </w:trPr>
        <w:tc>
          <w:tcPr>
            <w:tcW w:w="1422" w:type="pct"/>
            <w:shd w:val="clear" w:color="auto" w:fill="auto"/>
            <w:vAlign w:val="center"/>
          </w:tcPr>
          <w:p w14:paraId="1E29CC7A" w14:textId="77777777" w:rsidR="00126FF0" w:rsidRPr="0068236B" w:rsidRDefault="00126FF0" w:rsidP="001450C1">
            <w:pPr>
              <w:spacing w:before="60" w:after="60"/>
              <w:rPr>
                <w:rFonts w:cs="Tahoma"/>
                <w:sz w:val="20"/>
                <w:szCs w:val="20"/>
              </w:rPr>
            </w:pPr>
            <w:r w:rsidRPr="0068236B">
              <w:rPr>
                <w:rFonts w:cs="Tahoma"/>
                <w:sz w:val="20"/>
                <w:szCs w:val="20"/>
              </w:rPr>
              <w:t>IBA</w:t>
            </w:r>
          </w:p>
        </w:tc>
        <w:tc>
          <w:tcPr>
            <w:tcW w:w="3578" w:type="pct"/>
            <w:shd w:val="clear" w:color="auto" w:fill="auto"/>
            <w:vAlign w:val="center"/>
          </w:tcPr>
          <w:p w14:paraId="44962C1A" w14:textId="77777777" w:rsidR="00126FF0" w:rsidRPr="0068236B" w:rsidRDefault="00126FF0" w:rsidP="001450C1">
            <w:pPr>
              <w:spacing w:before="60" w:after="60"/>
              <w:rPr>
                <w:rFonts w:cs="Tahoma"/>
                <w:sz w:val="20"/>
                <w:szCs w:val="20"/>
              </w:rPr>
            </w:pPr>
            <w:r w:rsidRPr="0068236B">
              <w:rPr>
                <w:rFonts w:cs="Tahoma"/>
                <w:sz w:val="20"/>
                <w:szCs w:val="20"/>
              </w:rPr>
              <w:t>Important Bird Area</w:t>
            </w:r>
          </w:p>
        </w:tc>
      </w:tr>
      <w:tr w:rsidR="00346EA9" w:rsidRPr="0068236B" w14:paraId="1D97EAA5" w14:textId="77777777" w:rsidTr="00493264">
        <w:trPr>
          <w:trHeight w:val="288"/>
        </w:trPr>
        <w:tc>
          <w:tcPr>
            <w:tcW w:w="1422" w:type="pct"/>
            <w:shd w:val="clear" w:color="auto" w:fill="auto"/>
            <w:vAlign w:val="center"/>
          </w:tcPr>
          <w:p w14:paraId="342EC002" w14:textId="6811837F" w:rsidR="00346EA9" w:rsidRPr="0068236B" w:rsidRDefault="00346EA9" w:rsidP="001450C1">
            <w:pPr>
              <w:spacing w:before="60" w:after="60"/>
              <w:rPr>
                <w:rFonts w:cs="Tahoma"/>
                <w:sz w:val="20"/>
                <w:szCs w:val="20"/>
              </w:rPr>
            </w:pPr>
            <w:r w:rsidRPr="0068236B">
              <w:rPr>
                <w:rFonts w:cs="Tahoma"/>
                <w:sz w:val="20"/>
                <w:szCs w:val="20"/>
              </w:rPr>
              <w:t>IEC</w:t>
            </w:r>
          </w:p>
        </w:tc>
        <w:tc>
          <w:tcPr>
            <w:tcW w:w="3578" w:type="pct"/>
            <w:shd w:val="clear" w:color="auto" w:fill="auto"/>
            <w:vAlign w:val="center"/>
          </w:tcPr>
          <w:p w14:paraId="0088DD21" w14:textId="2B708959" w:rsidR="00346EA9" w:rsidRPr="0068236B" w:rsidRDefault="00346EA9" w:rsidP="001450C1">
            <w:pPr>
              <w:spacing w:before="60" w:after="60"/>
              <w:rPr>
                <w:rFonts w:cs="Tahoma"/>
                <w:sz w:val="20"/>
                <w:szCs w:val="20"/>
              </w:rPr>
            </w:pPr>
            <w:r w:rsidRPr="0068236B">
              <w:rPr>
                <w:rFonts w:cs="Tahoma"/>
                <w:sz w:val="20"/>
                <w:szCs w:val="20"/>
              </w:rPr>
              <w:t>International Electrotechnical Commission</w:t>
            </w:r>
          </w:p>
        </w:tc>
      </w:tr>
      <w:tr w:rsidR="00126FF0" w:rsidRPr="0068236B" w14:paraId="0634CD52" w14:textId="77777777" w:rsidTr="00493264">
        <w:trPr>
          <w:trHeight w:val="288"/>
        </w:trPr>
        <w:tc>
          <w:tcPr>
            <w:tcW w:w="1422" w:type="pct"/>
            <w:shd w:val="clear" w:color="auto" w:fill="auto"/>
            <w:vAlign w:val="center"/>
          </w:tcPr>
          <w:p w14:paraId="78FCF06A" w14:textId="77777777" w:rsidR="00126FF0" w:rsidRPr="0068236B" w:rsidRDefault="00126FF0" w:rsidP="001450C1">
            <w:pPr>
              <w:spacing w:before="60" w:after="60"/>
              <w:rPr>
                <w:rFonts w:cs="Tahoma"/>
                <w:sz w:val="20"/>
              </w:rPr>
            </w:pPr>
            <w:r w:rsidRPr="0068236B">
              <w:rPr>
                <w:rFonts w:cs="Arial"/>
                <w:sz w:val="20"/>
              </w:rPr>
              <w:t>ICNIRP</w:t>
            </w:r>
          </w:p>
        </w:tc>
        <w:tc>
          <w:tcPr>
            <w:tcW w:w="3578" w:type="pct"/>
            <w:shd w:val="clear" w:color="auto" w:fill="auto"/>
            <w:vAlign w:val="center"/>
          </w:tcPr>
          <w:p w14:paraId="1A9FF989" w14:textId="77777777" w:rsidR="00126FF0" w:rsidRPr="0068236B" w:rsidRDefault="00126FF0" w:rsidP="001450C1">
            <w:pPr>
              <w:spacing w:before="60" w:after="60"/>
              <w:rPr>
                <w:rFonts w:cs="Tahoma"/>
                <w:sz w:val="20"/>
              </w:rPr>
            </w:pPr>
            <w:r w:rsidRPr="0068236B">
              <w:rPr>
                <w:rFonts w:cs="Arial"/>
                <w:sz w:val="20"/>
              </w:rPr>
              <w:t>International Commission on Non-Ionizing Radiation Protection</w:t>
            </w:r>
          </w:p>
        </w:tc>
      </w:tr>
      <w:tr w:rsidR="00493264" w:rsidRPr="0068236B" w14:paraId="6F3E6E21" w14:textId="77777777" w:rsidTr="008562BA">
        <w:trPr>
          <w:trHeight w:val="288"/>
        </w:trPr>
        <w:tc>
          <w:tcPr>
            <w:tcW w:w="1422" w:type="pct"/>
            <w:shd w:val="clear" w:color="auto" w:fill="auto"/>
            <w:vAlign w:val="center"/>
          </w:tcPr>
          <w:p w14:paraId="2359DCC3" w14:textId="77777777" w:rsidR="00493264" w:rsidRPr="0068236B" w:rsidRDefault="00493264" w:rsidP="008562BA">
            <w:pPr>
              <w:spacing w:before="60" w:after="60"/>
              <w:rPr>
                <w:rFonts w:cs="Arial"/>
                <w:sz w:val="20"/>
                <w:szCs w:val="20"/>
              </w:rPr>
            </w:pPr>
            <w:r w:rsidRPr="0068236B">
              <w:rPr>
                <w:rFonts w:cs="Tahoma"/>
                <w:sz w:val="20"/>
                <w:szCs w:val="20"/>
                <w:lang w:eastAsia="en-US"/>
              </w:rPr>
              <w:t>IFC</w:t>
            </w:r>
          </w:p>
        </w:tc>
        <w:tc>
          <w:tcPr>
            <w:tcW w:w="3578" w:type="pct"/>
            <w:shd w:val="clear" w:color="auto" w:fill="auto"/>
            <w:vAlign w:val="center"/>
          </w:tcPr>
          <w:p w14:paraId="4976D7B7" w14:textId="77777777" w:rsidR="00493264" w:rsidRPr="0068236B" w:rsidRDefault="00493264" w:rsidP="008562BA">
            <w:pPr>
              <w:spacing w:before="60" w:after="60"/>
              <w:rPr>
                <w:rFonts w:cs="Arial"/>
                <w:sz w:val="20"/>
                <w:szCs w:val="20"/>
              </w:rPr>
            </w:pPr>
            <w:r w:rsidRPr="0068236B">
              <w:rPr>
                <w:rFonts w:cs="Arial"/>
                <w:sz w:val="20"/>
                <w:szCs w:val="20"/>
              </w:rPr>
              <w:t>International Finance Corporation</w:t>
            </w:r>
          </w:p>
        </w:tc>
      </w:tr>
      <w:tr w:rsidR="00126FF0" w:rsidRPr="0068236B" w14:paraId="567C7381" w14:textId="77777777" w:rsidTr="00493264">
        <w:trPr>
          <w:trHeight w:val="288"/>
        </w:trPr>
        <w:tc>
          <w:tcPr>
            <w:tcW w:w="1422" w:type="pct"/>
            <w:shd w:val="clear" w:color="auto" w:fill="auto"/>
            <w:vAlign w:val="center"/>
          </w:tcPr>
          <w:p w14:paraId="32B58062" w14:textId="77777777" w:rsidR="00126FF0" w:rsidRPr="0068236B" w:rsidRDefault="00126FF0" w:rsidP="00B973BB">
            <w:pPr>
              <w:spacing w:before="60" w:after="60"/>
              <w:rPr>
                <w:rFonts w:cs="Tahoma"/>
                <w:sz w:val="20"/>
                <w:szCs w:val="20"/>
              </w:rPr>
            </w:pPr>
            <w:r w:rsidRPr="0068236B">
              <w:rPr>
                <w:rFonts w:cs="Tahoma"/>
                <w:sz w:val="20"/>
                <w:szCs w:val="20"/>
              </w:rPr>
              <w:t xml:space="preserve">IFI </w:t>
            </w:r>
          </w:p>
        </w:tc>
        <w:tc>
          <w:tcPr>
            <w:tcW w:w="3578" w:type="pct"/>
            <w:shd w:val="clear" w:color="auto" w:fill="auto"/>
            <w:vAlign w:val="center"/>
          </w:tcPr>
          <w:p w14:paraId="780AEEEA" w14:textId="77777777" w:rsidR="00126FF0" w:rsidRPr="0068236B" w:rsidRDefault="00126FF0" w:rsidP="00B973BB">
            <w:pPr>
              <w:spacing w:before="60" w:after="60"/>
              <w:rPr>
                <w:rFonts w:cs="Tahoma"/>
                <w:sz w:val="20"/>
                <w:szCs w:val="20"/>
              </w:rPr>
            </w:pPr>
            <w:r w:rsidRPr="0068236B">
              <w:rPr>
                <w:rFonts w:cs="Tahoma"/>
                <w:sz w:val="20"/>
                <w:szCs w:val="20"/>
              </w:rPr>
              <w:t xml:space="preserve">International Financing Institution </w:t>
            </w:r>
          </w:p>
        </w:tc>
      </w:tr>
      <w:tr w:rsidR="00493264" w:rsidRPr="0068236B" w14:paraId="0A4850B9" w14:textId="77777777" w:rsidTr="008562BA">
        <w:trPr>
          <w:trHeight w:val="288"/>
        </w:trPr>
        <w:tc>
          <w:tcPr>
            <w:tcW w:w="1422" w:type="pct"/>
            <w:shd w:val="clear" w:color="auto" w:fill="auto"/>
            <w:vAlign w:val="center"/>
          </w:tcPr>
          <w:p w14:paraId="1279B77D" w14:textId="77777777" w:rsidR="00493264" w:rsidRPr="0068236B" w:rsidRDefault="00493264" w:rsidP="008562BA">
            <w:pPr>
              <w:spacing w:before="60" w:after="60"/>
              <w:rPr>
                <w:rFonts w:cs="Tahoma"/>
                <w:sz w:val="20"/>
                <w:szCs w:val="20"/>
              </w:rPr>
            </w:pPr>
            <w:r w:rsidRPr="0068236B">
              <w:rPr>
                <w:rFonts w:cs="Tahoma"/>
                <w:sz w:val="20"/>
                <w:szCs w:val="20"/>
              </w:rPr>
              <w:t>ILO</w:t>
            </w:r>
          </w:p>
        </w:tc>
        <w:tc>
          <w:tcPr>
            <w:tcW w:w="3578" w:type="pct"/>
            <w:shd w:val="clear" w:color="auto" w:fill="auto"/>
            <w:vAlign w:val="center"/>
          </w:tcPr>
          <w:p w14:paraId="62810276" w14:textId="77777777" w:rsidR="00493264" w:rsidRPr="0068236B" w:rsidRDefault="00493264" w:rsidP="008562BA">
            <w:pPr>
              <w:spacing w:before="60" w:after="60"/>
              <w:rPr>
                <w:rFonts w:cs="Tahoma"/>
                <w:sz w:val="20"/>
                <w:szCs w:val="20"/>
              </w:rPr>
            </w:pPr>
            <w:r w:rsidRPr="0068236B">
              <w:rPr>
                <w:rFonts w:cs="Tahoma"/>
                <w:sz w:val="20"/>
                <w:szCs w:val="20"/>
              </w:rPr>
              <w:t>International Labour Organisation</w:t>
            </w:r>
          </w:p>
        </w:tc>
      </w:tr>
      <w:tr w:rsidR="0031472A" w:rsidRPr="0068236B" w14:paraId="4605D238" w14:textId="77777777" w:rsidTr="00493264">
        <w:trPr>
          <w:trHeight w:val="288"/>
        </w:trPr>
        <w:tc>
          <w:tcPr>
            <w:tcW w:w="1422" w:type="pct"/>
            <w:shd w:val="clear" w:color="auto" w:fill="auto"/>
            <w:vAlign w:val="center"/>
          </w:tcPr>
          <w:p w14:paraId="327B0A43" w14:textId="5BC8FE9A" w:rsidR="0031472A" w:rsidRPr="0068236B" w:rsidRDefault="0031472A" w:rsidP="00B973BB">
            <w:pPr>
              <w:spacing w:before="60" w:after="60"/>
              <w:rPr>
                <w:rFonts w:cs="Tahoma"/>
                <w:sz w:val="20"/>
                <w:szCs w:val="20"/>
              </w:rPr>
            </w:pPr>
            <w:r w:rsidRPr="0068236B">
              <w:rPr>
                <w:rFonts w:cs="Tahoma"/>
                <w:sz w:val="20"/>
                <w:szCs w:val="20"/>
              </w:rPr>
              <w:lastRenderedPageBreak/>
              <w:t>IMS</w:t>
            </w:r>
          </w:p>
        </w:tc>
        <w:tc>
          <w:tcPr>
            <w:tcW w:w="3578" w:type="pct"/>
            <w:shd w:val="clear" w:color="auto" w:fill="auto"/>
            <w:vAlign w:val="center"/>
          </w:tcPr>
          <w:p w14:paraId="35457E2A" w14:textId="0F6B54E1" w:rsidR="0031472A" w:rsidRPr="0068236B" w:rsidRDefault="0031472A" w:rsidP="00B973BB">
            <w:pPr>
              <w:spacing w:before="60" w:after="60"/>
              <w:rPr>
                <w:rFonts w:cs="Tahoma"/>
                <w:sz w:val="20"/>
                <w:szCs w:val="20"/>
              </w:rPr>
            </w:pPr>
            <w:r w:rsidRPr="0068236B">
              <w:rPr>
                <w:rFonts w:cs="Tahoma"/>
                <w:sz w:val="20"/>
                <w:szCs w:val="20"/>
              </w:rPr>
              <w:t>Integrated Management System</w:t>
            </w:r>
          </w:p>
        </w:tc>
      </w:tr>
      <w:tr w:rsidR="00126FF0" w:rsidRPr="0068236B" w14:paraId="6659AA7A" w14:textId="77777777" w:rsidTr="00493264">
        <w:trPr>
          <w:trHeight w:val="288"/>
        </w:trPr>
        <w:tc>
          <w:tcPr>
            <w:tcW w:w="1422" w:type="pct"/>
            <w:shd w:val="clear" w:color="auto" w:fill="auto"/>
            <w:vAlign w:val="center"/>
          </w:tcPr>
          <w:p w14:paraId="7F67F64C" w14:textId="77777777" w:rsidR="00126FF0" w:rsidRPr="0068236B" w:rsidRDefault="00126FF0" w:rsidP="00B973BB">
            <w:pPr>
              <w:spacing w:before="60" w:after="60"/>
              <w:rPr>
                <w:rFonts w:cs="Tahoma"/>
                <w:sz w:val="20"/>
                <w:szCs w:val="20"/>
              </w:rPr>
            </w:pPr>
            <w:r w:rsidRPr="0068236B">
              <w:rPr>
                <w:rFonts w:cs="Tahoma"/>
                <w:sz w:val="20"/>
                <w:szCs w:val="20"/>
              </w:rPr>
              <w:t>IPA</w:t>
            </w:r>
          </w:p>
        </w:tc>
        <w:tc>
          <w:tcPr>
            <w:tcW w:w="3578" w:type="pct"/>
            <w:shd w:val="clear" w:color="auto" w:fill="auto"/>
            <w:vAlign w:val="center"/>
          </w:tcPr>
          <w:p w14:paraId="5260CB07" w14:textId="77777777" w:rsidR="00126FF0" w:rsidRPr="0068236B" w:rsidRDefault="00126FF0" w:rsidP="00B973BB">
            <w:pPr>
              <w:spacing w:before="60" w:after="60"/>
              <w:rPr>
                <w:rFonts w:cs="Tahoma"/>
                <w:sz w:val="20"/>
                <w:szCs w:val="20"/>
              </w:rPr>
            </w:pPr>
            <w:r w:rsidRPr="0068236B">
              <w:rPr>
                <w:rFonts w:cs="Tahoma"/>
                <w:sz w:val="20"/>
                <w:szCs w:val="20"/>
              </w:rPr>
              <w:t>Important Plant Area</w:t>
            </w:r>
          </w:p>
        </w:tc>
      </w:tr>
      <w:tr w:rsidR="00501616" w:rsidRPr="0068236B" w14:paraId="09E3A8B3" w14:textId="77777777" w:rsidTr="00493264">
        <w:trPr>
          <w:trHeight w:val="288"/>
        </w:trPr>
        <w:tc>
          <w:tcPr>
            <w:tcW w:w="1422" w:type="pct"/>
            <w:shd w:val="clear" w:color="auto" w:fill="auto"/>
            <w:vAlign w:val="center"/>
          </w:tcPr>
          <w:p w14:paraId="4755ACFA" w14:textId="7DCB9B03" w:rsidR="00501616" w:rsidRPr="0068236B" w:rsidRDefault="00501616" w:rsidP="00B973BB">
            <w:pPr>
              <w:spacing w:before="60" w:after="60"/>
              <w:rPr>
                <w:rFonts w:cs="Tahoma"/>
                <w:sz w:val="20"/>
                <w:szCs w:val="20"/>
              </w:rPr>
            </w:pPr>
            <w:r w:rsidRPr="0068236B">
              <w:rPr>
                <w:rFonts w:cs="Tahoma"/>
                <w:sz w:val="20"/>
                <w:szCs w:val="20"/>
              </w:rPr>
              <w:t>IPCC</w:t>
            </w:r>
          </w:p>
        </w:tc>
        <w:tc>
          <w:tcPr>
            <w:tcW w:w="3578" w:type="pct"/>
            <w:shd w:val="clear" w:color="auto" w:fill="auto"/>
            <w:vAlign w:val="center"/>
          </w:tcPr>
          <w:p w14:paraId="3CD9C83D" w14:textId="58203439" w:rsidR="00501616" w:rsidRPr="0068236B" w:rsidRDefault="00501616" w:rsidP="00B973BB">
            <w:pPr>
              <w:spacing w:before="60" w:after="60"/>
              <w:rPr>
                <w:rFonts w:cs="Tahoma"/>
                <w:sz w:val="20"/>
                <w:szCs w:val="20"/>
              </w:rPr>
            </w:pPr>
            <w:r w:rsidRPr="0068236B">
              <w:rPr>
                <w:rFonts w:cs="Tahoma"/>
                <w:sz w:val="20"/>
                <w:szCs w:val="20"/>
              </w:rPr>
              <w:t>Intergovernmental Panel on Climate Change</w:t>
            </w:r>
          </w:p>
        </w:tc>
      </w:tr>
      <w:tr w:rsidR="00126FF0" w:rsidRPr="0068236B" w14:paraId="272D544E" w14:textId="77777777" w:rsidTr="00493264">
        <w:trPr>
          <w:trHeight w:val="288"/>
        </w:trPr>
        <w:tc>
          <w:tcPr>
            <w:tcW w:w="1422" w:type="pct"/>
            <w:shd w:val="clear" w:color="auto" w:fill="auto"/>
            <w:vAlign w:val="center"/>
          </w:tcPr>
          <w:p w14:paraId="18EDE97B" w14:textId="77777777" w:rsidR="00126FF0" w:rsidRPr="0068236B" w:rsidRDefault="00126FF0" w:rsidP="00B973BB">
            <w:pPr>
              <w:spacing w:before="60" w:after="60"/>
              <w:rPr>
                <w:rFonts w:cs="Tahoma"/>
                <w:sz w:val="20"/>
                <w:szCs w:val="20"/>
              </w:rPr>
            </w:pPr>
            <w:r w:rsidRPr="0068236B">
              <w:rPr>
                <w:rFonts w:cs="Tahoma"/>
                <w:sz w:val="20"/>
                <w:szCs w:val="20"/>
              </w:rPr>
              <w:t xml:space="preserve">IPF7 </w:t>
            </w:r>
          </w:p>
        </w:tc>
        <w:tc>
          <w:tcPr>
            <w:tcW w:w="3578" w:type="pct"/>
            <w:shd w:val="clear" w:color="auto" w:fill="auto"/>
            <w:vAlign w:val="center"/>
          </w:tcPr>
          <w:p w14:paraId="7A22E162" w14:textId="77777777" w:rsidR="00126FF0" w:rsidRPr="0068236B" w:rsidRDefault="00126FF0" w:rsidP="00B973BB">
            <w:pPr>
              <w:spacing w:before="60" w:after="60"/>
              <w:rPr>
                <w:rFonts w:cs="Tahoma"/>
                <w:sz w:val="20"/>
                <w:szCs w:val="20"/>
              </w:rPr>
            </w:pPr>
            <w:r w:rsidRPr="0068236B">
              <w:rPr>
                <w:rFonts w:cs="Tahoma"/>
                <w:sz w:val="20"/>
                <w:szCs w:val="20"/>
              </w:rPr>
              <w:t>Infrastructure Project Facility, Technical Assistance 7</w:t>
            </w:r>
          </w:p>
        </w:tc>
      </w:tr>
      <w:tr w:rsidR="00493264" w:rsidRPr="0068236B" w14:paraId="078233FC" w14:textId="77777777" w:rsidTr="00493264">
        <w:trPr>
          <w:trHeight w:val="288"/>
        </w:trPr>
        <w:tc>
          <w:tcPr>
            <w:tcW w:w="1422" w:type="pct"/>
            <w:shd w:val="clear" w:color="auto" w:fill="auto"/>
            <w:vAlign w:val="center"/>
          </w:tcPr>
          <w:p w14:paraId="75DE6494" w14:textId="77777777" w:rsidR="00493264" w:rsidRPr="0068236B" w:rsidRDefault="00493264" w:rsidP="008562BA">
            <w:pPr>
              <w:spacing w:before="60" w:after="60"/>
              <w:rPr>
                <w:rFonts w:cs="Tahoma"/>
                <w:sz w:val="20"/>
                <w:szCs w:val="20"/>
              </w:rPr>
            </w:pPr>
            <w:r w:rsidRPr="0068236B">
              <w:rPr>
                <w:rFonts w:cs="Tahoma"/>
                <w:sz w:val="20"/>
                <w:szCs w:val="20"/>
              </w:rPr>
              <w:t>LARF</w:t>
            </w:r>
          </w:p>
        </w:tc>
        <w:tc>
          <w:tcPr>
            <w:tcW w:w="3578" w:type="pct"/>
            <w:shd w:val="clear" w:color="auto" w:fill="auto"/>
            <w:vAlign w:val="center"/>
          </w:tcPr>
          <w:p w14:paraId="6FC584BD" w14:textId="77777777" w:rsidR="00493264" w:rsidRPr="0068236B" w:rsidRDefault="00493264" w:rsidP="008562BA">
            <w:pPr>
              <w:spacing w:before="60" w:after="60"/>
              <w:rPr>
                <w:rFonts w:cs="Tahoma"/>
                <w:sz w:val="20"/>
                <w:szCs w:val="20"/>
              </w:rPr>
            </w:pPr>
            <w:r w:rsidRPr="0068236B">
              <w:rPr>
                <w:rFonts w:cs="Tahoma"/>
                <w:sz w:val="20"/>
                <w:szCs w:val="20"/>
              </w:rPr>
              <w:t>Land Acquisition and Resettlement Framework</w:t>
            </w:r>
          </w:p>
        </w:tc>
      </w:tr>
      <w:tr w:rsidR="007A5AC1" w:rsidRPr="0068236B" w14:paraId="16639D9A" w14:textId="77777777" w:rsidTr="007A5AC1">
        <w:trPr>
          <w:trHeight w:val="288"/>
        </w:trPr>
        <w:tc>
          <w:tcPr>
            <w:tcW w:w="1422" w:type="pct"/>
            <w:shd w:val="clear" w:color="auto" w:fill="auto"/>
          </w:tcPr>
          <w:p w14:paraId="27E0E2D6" w14:textId="15D37966" w:rsidR="007A5AC1" w:rsidRPr="0068236B" w:rsidRDefault="007A5AC1" w:rsidP="007A5AC1">
            <w:pPr>
              <w:spacing w:before="60" w:after="60"/>
              <w:rPr>
                <w:rFonts w:cs="Tahoma"/>
                <w:sz w:val="20"/>
                <w:szCs w:val="20"/>
              </w:rPr>
            </w:pPr>
            <w:r w:rsidRPr="0068236B">
              <w:rPr>
                <w:rFonts w:cs="Tahoma"/>
                <w:sz w:val="20"/>
                <w:szCs w:val="20"/>
              </w:rPr>
              <w:t>LARP</w:t>
            </w:r>
          </w:p>
        </w:tc>
        <w:tc>
          <w:tcPr>
            <w:tcW w:w="3578" w:type="pct"/>
            <w:shd w:val="clear" w:color="auto" w:fill="auto"/>
          </w:tcPr>
          <w:p w14:paraId="796AEF19" w14:textId="620E73AA" w:rsidR="007A5AC1" w:rsidRPr="0068236B" w:rsidRDefault="007A5AC1" w:rsidP="007A5AC1">
            <w:pPr>
              <w:spacing w:before="60" w:after="60"/>
              <w:rPr>
                <w:rFonts w:cs="Tahoma"/>
                <w:sz w:val="20"/>
                <w:szCs w:val="20"/>
              </w:rPr>
            </w:pPr>
            <w:r w:rsidRPr="0068236B">
              <w:rPr>
                <w:rFonts w:cs="Tahoma"/>
                <w:sz w:val="20"/>
                <w:szCs w:val="20"/>
              </w:rPr>
              <w:t>Land Acquisition and Resettlement Plan</w:t>
            </w:r>
          </w:p>
        </w:tc>
      </w:tr>
      <w:tr w:rsidR="00126FF0" w:rsidRPr="0068236B" w14:paraId="3660D952" w14:textId="77777777" w:rsidTr="00493264">
        <w:trPr>
          <w:trHeight w:val="288"/>
        </w:trPr>
        <w:tc>
          <w:tcPr>
            <w:tcW w:w="1422" w:type="pct"/>
            <w:shd w:val="clear" w:color="auto" w:fill="auto"/>
            <w:vAlign w:val="center"/>
          </w:tcPr>
          <w:p w14:paraId="1107F6CD" w14:textId="77777777" w:rsidR="00126FF0" w:rsidRPr="0068236B" w:rsidRDefault="00126FF0" w:rsidP="00B973BB">
            <w:pPr>
              <w:spacing w:before="60" w:after="60"/>
              <w:rPr>
                <w:rFonts w:cs="Tahoma"/>
                <w:sz w:val="20"/>
                <w:szCs w:val="20"/>
              </w:rPr>
            </w:pPr>
            <w:r w:rsidRPr="0068236B">
              <w:rPr>
                <w:rFonts w:cs="Tahoma"/>
                <w:sz w:val="20"/>
                <w:szCs w:val="20"/>
              </w:rPr>
              <w:t>LSG</w:t>
            </w:r>
          </w:p>
        </w:tc>
        <w:tc>
          <w:tcPr>
            <w:tcW w:w="3578" w:type="pct"/>
            <w:shd w:val="clear" w:color="auto" w:fill="auto"/>
            <w:vAlign w:val="center"/>
          </w:tcPr>
          <w:p w14:paraId="7993CE5E" w14:textId="77777777" w:rsidR="00126FF0" w:rsidRPr="0068236B" w:rsidRDefault="00126FF0" w:rsidP="00B973BB">
            <w:pPr>
              <w:spacing w:before="60" w:after="60"/>
              <w:rPr>
                <w:rFonts w:cs="Tahoma"/>
                <w:sz w:val="20"/>
                <w:szCs w:val="20"/>
              </w:rPr>
            </w:pPr>
            <w:r w:rsidRPr="0068236B">
              <w:rPr>
                <w:rFonts w:cs="Tahoma"/>
                <w:sz w:val="20"/>
                <w:szCs w:val="20"/>
              </w:rPr>
              <w:t>Local Self-Government Units</w:t>
            </w:r>
          </w:p>
        </w:tc>
      </w:tr>
      <w:tr w:rsidR="00126FF0" w:rsidRPr="0068236B" w14:paraId="6C8231E8" w14:textId="77777777" w:rsidTr="00493264">
        <w:trPr>
          <w:trHeight w:val="288"/>
        </w:trPr>
        <w:tc>
          <w:tcPr>
            <w:tcW w:w="1422" w:type="pct"/>
            <w:shd w:val="clear" w:color="auto" w:fill="auto"/>
            <w:vAlign w:val="center"/>
          </w:tcPr>
          <w:p w14:paraId="0693A046" w14:textId="34361262" w:rsidR="00126FF0" w:rsidRPr="0068236B" w:rsidRDefault="00126FF0" w:rsidP="00B973BB">
            <w:pPr>
              <w:spacing w:before="60" w:after="60"/>
              <w:rPr>
                <w:rFonts w:cs="Tahoma"/>
                <w:sz w:val="20"/>
                <w:szCs w:val="20"/>
              </w:rPr>
            </w:pPr>
            <w:r w:rsidRPr="0068236B">
              <w:rPr>
                <w:rFonts w:cs="Tahoma"/>
                <w:sz w:val="20"/>
                <w:szCs w:val="20"/>
              </w:rPr>
              <w:t>MCP</w:t>
            </w:r>
          </w:p>
        </w:tc>
        <w:tc>
          <w:tcPr>
            <w:tcW w:w="3578" w:type="pct"/>
            <w:shd w:val="clear" w:color="auto" w:fill="auto"/>
            <w:vAlign w:val="center"/>
          </w:tcPr>
          <w:p w14:paraId="68785C84" w14:textId="2BC3BE70" w:rsidR="00126FF0" w:rsidRPr="0068236B" w:rsidRDefault="00126FF0" w:rsidP="0099694E">
            <w:pPr>
              <w:spacing w:before="60" w:after="60"/>
              <w:rPr>
                <w:rFonts w:cs="Tahoma"/>
                <w:sz w:val="20"/>
                <w:szCs w:val="20"/>
              </w:rPr>
            </w:pPr>
            <w:r w:rsidRPr="0068236B">
              <w:rPr>
                <w:rFonts w:cs="Tahoma"/>
                <w:sz w:val="20"/>
                <w:szCs w:val="20"/>
              </w:rPr>
              <w:t>Management of Change Procedure</w:t>
            </w:r>
          </w:p>
        </w:tc>
      </w:tr>
      <w:tr w:rsidR="00126FF0" w:rsidRPr="0068236B" w14:paraId="4D74FFBF" w14:textId="77777777" w:rsidTr="00493264">
        <w:trPr>
          <w:trHeight w:val="288"/>
        </w:trPr>
        <w:tc>
          <w:tcPr>
            <w:tcW w:w="1422" w:type="pct"/>
            <w:shd w:val="clear" w:color="auto" w:fill="auto"/>
            <w:vAlign w:val="center"/>
          </w:tcPr>
          <w:p w14:paraId="3C7DEB4B" w14:textId="77777777" w:rsidR="00126FF0" w:rsidRPr="0068236B" w:rsidRDefault="00126FF0" w:rsidP="001450C1">
            <w:pPr>
              <w:spacing w:before="60" w:after="60"/>
              <w:rPr>
                <w:rFonts w:cs="Tahoma"/>
                <w:sz w:val="20"/>
              </w:rPr>
            </w:pPr>
            <w:r w:rsidRPr="0068236B">
              <w:rPr>
                <w:rFonts w:cs="Tahoma"/>
                <w:sz w:val="20"/>
              </w:rPr>
              <w:t>MEPP</w:t>
            </w:r>
          </w:p>
        </w:tc>
        <w:tc>
          <w:tcPr>
            <w:tcW w:w="3578" w:type="pct"/>
            <w:shd w:val="clear" w:color="auto" w:fill="auto"/>
            <w:vAlign w:val="center"/>
          </w:tcPr>
          <w:p w14:paraId="45B8612E" w14:textId="77777777" w:rsidR="00126FF0" w:rsidRPr="0068236B" w:rsidRDefault="00126FF0" w:rsidP="002C2CFF">
            <w:pPr>
              <w:spacing w:before="60" w:after="60"/>
              <w:rPr>
                <w:rFonts w:cs="Tahoma"/>
                <w:sz w:val="20"/>
              </w:rPr>
            </w:pPr>
            <w:r w:rsidRPr="0068236B">
              <w:rPr>
                <w:rFonts w:cs="Tahoma"/>
                <w:sz w:val="20"/>
              </w:rPr>
              <w:t>(Macedonian) Ministry for Environment and Physical Planning</w:t>
            </w:r>
          </w:p>
        </w:tc>
      </w:tr>
      <w:tr w:rsidR="00126FF0" w:rsidRPr="0068236B" w14:paraId="67E4D8B5" w14:textId="77777777" w:rsidTr="00493264">
        <w:trPr>
          <w:trHeight w:val="288"/>
        </w:trPr>
        <w:tc>
          <w:tcPr>
            <w:tcW w:w="1422" w:type="pct"/>
            <w:shd w:val="clear" w:color="auto" w:fill="auto"/>
            <w:vAlign w:val="center"/>
          </w:tcPr>
          <w:p w14:paraId="1C841AA8" w14:textId="77777777" w:rsidR="00126FF0" w:rsidRPr="0068236B" w:rsidRDefault="00126FF0" w:rsidP="001450C1">
            <w:pPr>
              <w:spacing w:before="60" w:after="60"/>
              <w:rPr>
                <w:rFonts w:cs="Tahoma"/>
                <w:sz w:val="20"/>
                <w:szCs w:val="20"/>
              </w:rPr>
            </w:pPr>
            <w:r w:rsidRPr="0068236B">
              <w:rPr>
                <w:rFonts w:cs="Tahoma"/>
                <w:sz w:val="20"/>
                <w:szCs w:val="20"/>
              </w:rPr>
              <w:t>MEPSO</w:t>
            </w:r>
          </w:p>
        </w:tc>
        <w:tc>
          <w:tcPr>
            <w:tcW w:w="3578" w:type="pct"/>
            <w:shd w:val="clear" w:color="auto" w:fill="auto"/>
            <w:vAlign w:val="center"/>
          </w:tcPr>
          <w:p w14:paraId="12FF5176" w14:textId="77777777" w:rsidR="00126FF0" w:rsidRPr="0068236B" w:rsidRDefault="00126FF0" w:rsidP="001450C1">
            <w:pPr>
              <w:spacing w:before="60" w:after="60"/>
              <w:rPr>
                <w:rFonts w:cs="Tahoma"/>
                <w:sz w:val="20"/>
                <w:szCs w:val="20"/>
              </w:rPr>
            </w:pPr>
            <w:r w:rsidRPr="0068236B">
              <w:rPr>
                <w:rFonts w:cs="Tahoma"/>
                <w:sz w:val="20"/>
                <w:szCs w:val="20"/>
              </w:rPr>
              <w:t>Transmission System Operator of North Macedonia</w:t>
            </w:r>
          </w:p>
        </w:tc>
      </w:tr>
      <w:tr w:rsidR="00126FF0" w:rsidRPr="0068236B" w14:paraId="416D31AA" w14:textId="77777777" w:rsidTr="00493264">
        <w:trPr>
          <w:trHeight w:val="288"/>
        </w:trPr>
        <w:tc>
          <w:tcPr>
            <w:tcW w:w="1422" w:type="pct"/>
            <w:shd w:val="clear" w:color="auto" w:fill="auto"/>
            <w:vAlign w:val="center"/>
          </w:tcPr>
          <w:p w14:paraId="515A8479" w14:textId="77777777" w:rsidR="00126FF0" w:rsidRPr="0068236B" w:rsidRDefault="00126FF0" w:rsidP="001450C1">
            <w:pPr>
              <w:spacing w:before="60" w:after="60"/>
              <w:rPr>
                <w:rFonts w:cs="Tahoma"/>
                <w:sz w:val="20"/>
                <w:szCs w:val="20"/>
              </w:rPr>
            </w:pPr>
            <w:r w:rsidRPr="0068236B">
              <w:rPr>
                <w:rFonts w:cs="Tahoma"/>
                <w:sz w:val="20"/>
                <w:szCs w:val="20"/>
              </w:rPr>
              <w:t>MKS</w:t>
            </w:r>
          </w:p>
        </w:tc>
        <w:tc>
          <w:tcPr>
            <w:tcW w:w="3578" w:type="pct"/>
            <w:shd w:val="clear" w:color="auto" w:fill="auto"/>
            <w:vAlign w:val="center"/>
          </w:tcPr>
          <w:p w14:paraId="1899054E" w14:textId="77777777" w:rsidR="00126FF0" w:rsidRPr="0068236B" w:rsidRDefault="00126FF0" w:rsidP="003B7905">
            <w:pPr>
              <w:spacing w:before="60" w:after="60"/>
              <w:rPr>
                <w:rFonts w:cs="Tahoma"/>
                <w:sz w:val="20"/>
                <w:szCs w:val="20"/>
              </w:rPr>
            </w:pPr>
            <w:r w:rsidRPr="0068236B">
              <w:rPr>
                <w:sz w:val="20"/>
              </w:rPr>
              <w:t>Macedonian Standard(s)</w:t>
            </w:r>
          </w:p>
        </w:tc>
      </w:tr>
      <w:tr w:rsidR="00126FF0" w:rsidRPr="0068236B" w14:paraId="490EAA12" w14:textId="77777777" w:rsidTr="00493264">
        <w:trPr>
          <w:trHeight w:val="288"/>
        </w:trPr>
        <w:tc>
          <w:tcPr>
            <w:tcW w:w="1422" w:type="pct"/>
            <w:shd w:val="clear" w:color="auto" w:fill="auto"/>
            <w:vAlign w:val="center"/>
          </w:tcPr>
          <w:p w14:paraId="6658C703" w14:textId="77777777" w:rsidR="00126FF0" w:rsidRPr="0068236B" w:rsidRDefault="00126FF0" w:rsidP="001450C1">
            <w:pPr>
              <w:spacing w:before="60" w:after="60"/>
              <w:rPr>
                <w:rFonts w:cs="Tahoma"/>
                <w:sz w:val="20"/>
                <w:szCs w:val="20"/>
              </w:rPr>
            </w:pPr>
            <w:r w:rsidRPr="0068236B">
              <w:rPr>
                <w:rFonts w:cs="Tahoma"/>
                <w:sz w:val="20"/>
                <w:szCs w:val="20"/>
              </w:rPr>
              <w:t>NPV</w:t>
            </w:r>
          </w:p>
        </w:tc>
        <w:tc>
          <w:tcPr>
            <w:tcW w:w="3578" w:type="pct"/>
            <w:shd w:val="clear" w:color="auto" w:fill="auto"/>
            <w:vAlign w:val="center"/>
          </w:tcPr>
          <w:p w14:paraId="76D79F7E" w14:textId="77777777" w:rsidR="00126FF0" w:rsidRPr="0068236B" w:rsidRDefault="00126FF0" w:rsidP="001450C1">
            <w:pPr>
              <w:spacing w:before="60" w:after="60"/>
              <w:rPr>
                <w:rFonts w:cs="Tahoma"/>
                <w:sz w:val="20"/>
                <w:szCs w:val="20"/>
              </w:rPr>
            </w:pPr>
            <w:r w:rsidRPr="0068236B">
              <w:rPr>
                <w:sz w:val="20"/>
              </w:rPr>
              <w:t>Net Present Value</w:t>
            </w:r>
          </w:p>
        </w:tc>
      </w:tr>
      <w:tr w:rsidR="00126FF0" w:rsidRPr="0068236B" w14:paraId="34F37C2A" w14:textId="77777777" w:rsidTr="00493264">
        <w:trPr>
          <w:trHeight w:val="288"/>
        </w:trPr>
        <w:tc>
          <w:tcPr>
            <w:tcW w:w="1422" w:type="pct"/>
            <w:shd w:val="clear" w:color="auto" w:fill="auto"/>
            <w:vAlign w:val="center"/>
          </w:tcPr>
          <w:p w14:paraId="529F53C6" w14:textId="77777777" w:rsidR="00126FF0" w:rsidRPr="0068236B" w:rsidRDefault="00126FF0" w:rsidP="001450C1">
            <w:pPr>
              <w:spacing w:before="60" w:after="60"/>
              <w:rPr>
                <w:rFonts w:cs="Tahoma"/>
                <w:sz w:val="20"/>
                <w:szCs w:val="20"/>
              </w:rPr>
            </w:pPr>
            <w:r w:rsidRPr="0068236B">
              <w:rPr>
                <w:rFonts w:cs="Tahoma"/>
                <w:sz w:val="20"/>
                <w:szCs w:val="20"/>
              </w:rPr>
              <w:t>OG</w:t>
            </w:r>
          </w:p>
        </w:tc>
        <w:tc>
          <w:tcPr>
            <w:tcW w:w="3578" w:type="pct"/>
            <w:shd w:val="clear" w:color="auto" w:fill="auto"/>
            <w:vAlign w:val="center"/>
          </w:tcPr>
          <w:p w14:paraId="455DA799" w14:textId="77777777" w:rsidR="00126FF0" w:rsidRPr="0068236B" w:rsidRDefault="00126FF0" w:rsidP="001450C1">
            <w:pPr>
              <w:spacing w:before="60" w:after="60"/>
              <w:rPr>
                <w:rFonts w:cs="Tahoma"/>
                <w:sz w:val="20"/>
                <w:szCs w:val="20"/>
              </w:rPr>
            </w:pPr>
            <w:r w:rsidRPr="0068236B">
              <w:rPr>
                <w:rFonts w:cs="Tahoma"/>
                <w:sz w:val="20"/>
                <w:szCs w:val="20"/>
              </w:rPr>
              <w:t>Official Gazette</w:t>
            </w:r>
          </w:p>
        </w:tc>
      </w:tr>
      <w:tr w:rsidR="00126FF0" w:rsidRPr="0068236B" w14:paraId="1C179226" w14:textId="77777777" w:rsidTr="00493264">
        <w:trPr>
          <w:trHeight w:val="288"/>
        </w:trPr>
        <w:tc>
          <w:tcPr>
            <w:tcW w:w="1422" w:type="pct"/>
            <w:shd w:val="clear" w:color="auto" w:fill="auto"/>
            <w:vAlign w:val="center"/>
          </w:tcPr>
          <w:p w14:paraId="7BEF1A17" w14:textId="77777777" w:rsidR="00126FF0" w:rsidRPr="0068236B" w:rsidRDefault="00126FF0" w:rsidP="00B973BB">
            <w:pPr>
              <w:spacing w:before="60" w:after="60"/>
              <w:rPr>
                <w:rFonts w:cs="Tahoma"/>
                <w:sz w:val="20"/>
                <w:szCs w:val="20"/>
              </w:rPr>
            </w:pPr>
            <w:r w:rsidRPr="0068236B">
              <w:rPr>
                <w:rFonts w:cs="Tahoma"/>
                <w:sz w:val="20"/>
                <w:szCs w:val="20"/>
              </w:rPr>
              <w:t>OHL</w:t>
            </w:r>
          </w:p>
        </w:tc>
        <w:tc>
          <w:tcPr>
            <w:tcW w:w="3578" w:type="pct"/>
            <w:shd w:val="clear" w:color="auto" w:fill="auto"/>
            <w:vAlign w:val="center"/>
          </w:tcPr>
          <w:p w14:paraId="1EC8E576" w14:textId="77777777" w:rsidR="00126FF0" w:rsidRPr="0068236B" w:rsidRDefault="00126FF0" w:rsidP="00B973BB">
            <w:pPr>
              <w:spacing w:before="60" w:after="60"/>
              <w:rPr>
                <w:rFonts w:cs="Tahoma"/>
                <w:sz w:val="20"/>
                <w:szCs w:val="20"/>
              </w:rPr>
            </w:pPr>
            <w:r w:rsidRPr="0068236B">
              <w:rPr>
                <w:rFonts w:cs="Tahoma"/>
                <w:sz w:val="20"/>
                <w:szCs w:val="20"/>
              </w:rPr>
              <w:t>Overhead Line</w:t>
            </w:r>
          </w:p>
        </w:tc>
      </w:tr>
      <w:tr w:rsidR="0031472A" w:rsidRPr="0068236B" w14:paraId="14D63702" w14:textId="77777777" w:rsidTr="00493264">
        <w:trPr>
          <w:trHeight w:val="288"/>
        </w:trPr>
        <w:tc>
          <w:tcPr>
            <w:tcW w:w="1422" w:type="pct"/>
            <w:shd w:val="clear" w:color="auto" w:fill="auto"/>
            <w:vAlign w:val="center"/>
          </w:tcPr>
          <w:p w14:paraId="7196D686" w14:textId="7908F3C8" w:rsidR="0031472A" w:rsidRPr="0068236B" w:rsidRDefault="0031472A" w:rsidP="00B973BB">
            <w:pPr>
              <w:spacing w:before="60" w:after="60"/>
              <w:rPr>
                <w:rFonts w:cs="Tahoma"/>
                <w:sz w:val="20"/>
                <w:szCs w:val="20"/>
              </w:rPr>
            </w:pPr>
            <w:r w:rsidRPr="0068236B">
              <w:rPr>
                <w:rFonts w:cs="Tahoma"/>
                <w:sz w:val="20"/>
                <w:szCs w:val="20"/>
              </w:rPr>
              <w:t>OHS</w:t>
            </w:r>
          </w:p>
        </w:tc>
        <w:tc>
          <w:tcPr>
            <w:tcW w:w="3578" w:type="pct"/>
            <w:shd w:val="clear" w:color="auto" w:fill="auto"/>
            <w:vAlign w:val="center"/>
          </w:tcPr>
          <w:p w14:paraId="42B0D488" w14:textId="56944E4B" w:rsidR="0031472A" w:rsidRPr="0068236B" w:rsidRDefault="0031472A" w:rsidP="0031472A">
            <w:pPr>
              <w:spacing w:before="60" w:after="60"/>
              <w:rPr>
                <w:rFonts w:cs="Tahoma"/>
                <w:sz w:val="20"/>
                <w:szCs w:val="20"/>
              </w:rPr>
            </w:pPr>
            <w:r w:rsidRPr="0068236B">
              <w:rPr>
                <w:rFonts w:cs="Tahoma"/>
                <w:sz w:val="20"/>
                <w:szCs w:val="20"/>
              </w:rPr>
              <w:t>Occupational Health and Safety</w:t>
            </w:r>
          </w:p>
        </w:tc>
      </w:tr>
      <w:tr w:rsidR="00126FF0" w:rsidRPr="0068236B" w14:paraId="44F84B88" w14:textId="77777777" w:rsidTr="00493264">
        <w:trPr>
          <w:trHeight w:val="288"/>
        </w:trPr>
        <w:tc>
          <w:tcPr>
            <w:tcW w:w="1422" w:type="pct"/>
            <w:shd w:val="clear" w:color="auto" w:fill="auto"/>
            <w:vAlign w:val="center"/>
          </w:tcPr>
          <w:p w14:paraId="5E62ACA2" w14:textId="4E6DC961" w:rsidR="00126FF0" w:rsidRPr="0068236B" w:rsidRDefault="00126FF0" w:rsidP="00B973BB">
            <w:pPr>
              <w:spacing w:before="60" w:after="60"/>
              <w:rPr>
                <w:rFonts w:cs="Tahoma"/>
                <w:sz w:val="20"/>
              </w:rPr>
            </w:pPr>
            <w:r w:rsidRPr="0068236B">
              <w:rPr>
                <w:rFonts w:cs="Tahoma"/>
                <w:sz w:val="20"/>
              </w:rPr>
              <w:t>PBF</w:t>
            </w:r>
          </w:p>
        </w:tc>
        <w:tc>
          <w:tcPr>
            <w:tcW w:w="3578" w:type="pct"/>
            <w:shd w:val="clear" w:color="auto" w:fill="auto"/>
            <w:vAlign w:val="center"/>
          </w:tcPr>
          <w:p w14:paraId="0A85AADB" w14:textId="3A1965AE" w:rsidR="00126FF0" w:rsidRPr="0068236B" w:rsidRDefault="00126FF0" w:rsidP="00B973BB">
            <w:pPr>
              <w:spacing w:before="60" w:after="60"/>
              <w:rPr>
                <w:rFonts w:cs="Tahoma"/>
                <w:sz w:val="20"/>
              </w:rPr>
            </w:pPr>
            <w:r w:rsidRPr="0068236B">
              <w:rPr>
                <w:rFonts w:cs="Tahoma"/>
                <w:bCs/>
                <w:sz w:val="20"/>
              </w:rPr>
              <w:t>Priority Biodiversity Features</w:t>
            </w:r>
          </w:p>
        </w:tc>
      </w:tr>
      <w:tr w:rsidR="00126FF0" w:rsidRPr="0068236B" w14:paraId="5C2FD046" w14:textId="77777777" w:rsidTr="00493264">
        <w:trPr>
          <w:trHeight w:val="288"/>
        </w:trPr>
        <w:tc>
          <w:tcPr>
            <w:tcW w:w="1422" w:type="pct"/>
            <w:shd w:val="clear" w:color="auto" w:fill="auto"/>
            <w:vAlign w:val="center"/>
          </w:tcPr>
          <w:p w14:paraId="05A034F7" w14:textId="77777777" w:rsidR="00126FF0" w:rsidRPr="0068236B" w:rsidRDefault="00126FF0" w:rsidP="006D2623">
            <w:pPr>
              <w:spacing w:before="60" w:after="60"/>
              <w:rPr>
                <w:rFonts w:cs="Tahoma"/>
                <w:sz w:val="20"/>
                <w:szCs w:val="20"/>
              </w:rPr>
            </w:pPr>
            <w:r w:rsidRPr="0068236B">
              <w:rPr>
                <w:rFonts w:cs="Tahoma"/>
                <w:sz w:val="20"/>
                <w:szCs w:val="20"/>
              </w:rPr>
              <w:t>PM10 / PM2.5</w:t>
            </w:r>
          </w:p>
        </w:tc>
        <w:tc>
          <w:tcPr>
            <w:tcW w:w="3578" w:type="pct"/>
            <w:shd w:val="clear" w:color="auto" w:fill="auto"/>
            <w:vAlign w:val="center"/>
          </w:tcPr>
          <w:p w14:paraId="6E1CA697" w14:textId="77777777" w:rsidR="00126FF0" w:rsidRPr="0068236B" w:rsidRDefault="00126FF0" w:rsidP="006D2623">
            <w:pPr>
              <w:spacing w:before="60" w:after="60"/>
              <w:rPr>
                <w:rFonts w:cs="Tahoma"/>
                <w:sz w:val="20"/>
                <w:szCs w:val="20"/>
              </w:rPr>
            </w:pPr>
            <w:r w:rsidRPr="0068236B">
              <w:rPr>
                <w:rFonts w:cs="Tahoma"/>
                <w:sz w:val="20"/>
                <w:szCs w:val="20"/>
              </w:rPr>
              <w:t>Particulate Matter (Suspended Particles)</w:t>
            </w:r>
          </w:p>
        </w:tc>
      </w:tr>
      <w:tr w:rsidR="00126FF0" w:rsidRPr="0068236B" w14:paraId="2A82D914" w14:textId="77777777" w:rsidTr="00493264">
        <w:trPr>
          <w:trHeight w:val="288"/>
        </w:trPr>
        <w:tc>
          <w:tcPr>
            <w:tcW w:w="1422" w:type="pct"/>
            <w:shd w:val="clear" w:color="auto" w:fill="auto"/>
            <w:vAlign w:val="center"/>
          </w:tcPr>
          <w:p w14:paraId="4F4E6AB6" w14:textId="77777777" w:rsidR="00126FF0" w:rsidRPr="0068236B" w:rsidRDefault="00126FF0" w:rsidP="00B973BB">
            <w:pPr>
              <w:spacing w:before="60" w:after="60"/>
              <w:rPr>
                <w:rFonts w:cs="Tahoma"/>
                <w:sz w:val="20"/>
                <w:szCs w:val="20"/>
              </w:rPr>
            </w:pPr>
            <w:r w:rsidRPr="0068236B">
              <w:rPr>
                <w:rFonts w:cs="Tahoma"/>
                <w:sz w:val="20"/>
                <w:szCs w:val="20"/>
              </w:rPr>
              <w:t>Ref.</w:t>
            </w:r>
          </w:p>
        </w:tc>
        <w:tc>
          <w:tcPr>
            <w:tcW w:w="3578" w:type="pct"/>
            <w:shd w:val="clear" w:color="auto" w:fill="auto"/>
            <w:vAlign w:val="center"/>
          </w:tcPr>
          <w:p w14:paraId="0E6096B8" w14:textId="77777777" w:rsidR="00126FF0" w:rsidRPr="0068236B" w:rsidRDefault="00126FF0" w:rsidP="00B973BB">
            <w:pPr>
              <w:spacing w:before="60" w:after="60"/>
              <w:rPr>
                <w:rFonts w:cs="Tahoma"/>
                <w:sz w:val="20"/>
                <w:szCs w:val="20"/>
              </w:rPr>
            </w:pPr>
            <w:r w:rsidRPr="0068236B">
              <w:rPr>
                <w:rFonts w:cs="Tahoma"/>
                <w:sz w:val="20"/>
                <w:szCs w:val="20"/>
              </w:rPr>
              <w:t>Reference</w:t>
            </w:r>
          </w:p>
        </w:tc>
      </w:tr>
      <w:tr w:rsidR="00126FF0" w:rsidRPr="0068236B" w14:paraId="0D43E985" w14:textId="77777777" w:rsidTr="00493264">
        <w:trPr>
          <w:trHeight w:val="288"/>
        </w:trPr>
        <w:tc>
          <w:tcPr>
            <w:tcW w:w="1422" w:type="pct"/>
            <w:shd w:val="clear" w:color="auto" w:fill="auto"/>
            <w:vAlign w:val="center"/>
          </w:tcPr>
          <w:p w14:paraId="78CE8BA2" w14:textId="77777777" w:rsidR="00126FF0" w:rsidRPr="0068236B" w:rsidRDefault="00126FF0" w:rsidP="005D7550">
            <w:pPr>
              <w:spacing w:before="60" w:after="60"/>
              <w:rPr>
                <w:rFonts w:cs="Tahoma"/>
                <w:sz w:val="20"/>
                <w:szCs w:val="20"/>
              </w:rPr>
            </w:pPr>
            <w:r w:rsidRPr="0068236B">
              <w:rPr>
                <w:rFonts w:cs="Tahoma"/>
                <w:sz w:val="20"/>
                <w:szCs w:val="20"/>
              </w:rPr>
              <w:t>RES</w:t>
            </w:r>
          </w:p>
        </w:tc>
        <w:tc>
          <w:tcPr>
            <w:tcW w:w="3578" w:type="pct"/>
            <w:shd w:val="clear" w:color="auto" w:fill="auto"/>
            <w:vAlign w:val="center"/>
          </w:tcPr>
          <w:p w14:paraId="26CFCEF9" w14:textId="77777777" w:rsidR="00126FF0" w:rsidRPr="0068236B" w:rsidRDefault="00126FF0" w:rsidP="005D7550">
            <w:pPr>
              <w:spacing w:before="60" w:after="60"/>
              <w:rPr>
                <w:rFonts w:cs="Tahoma"/>
                <w:sz w:val="20"/>
                <w:szCs w:val="20"/>
              </w:rPr>
            </w:pPr>
            <w:r w:rsidRPr="0068236B">
              <w:rPr>
                <w:rFonts w:cs="Tahoma"/>
                <w:sz w:val="20"/>
                <w:szCs w:val="20"/>
              </w:rPr>
              <w:t>Renewable Energy Sources</w:t>
            </w:r>
          </w:p>
        </w:tc>
      </w:tr>
      <w:tr w:rsidR="006E2B08" w:rsidRPr="0068236B" w14:paraId="53D99BE1" w14:textId="77777777" w:rsidTr="00493264">
        <w:trPr>
          <w:trHeight w:val="288"/>
        </w:trPr>
        <w:tc>
          <w:tcPr>
            <w:tcW w:w="1422" w:type="pct"/>
            <w:shd w:val="clear" w:color="auto" w:fill="auto"/>
            <w:vAlign w:val="center"/>
          </w:tcPr>
          <w:p w14:paraId="4560D2AC" w14:textId="113C86D4" w:rsidR="006E2B08" w:rsidRPr="0068236B" w:rsidRDefault="006E2B08" w:rsidP="005D7550">
            <w:pPr>
              <w:spacing w:before="60" w:after="60"/>
              <w:rPr>
                <w:rFonts w:cs="Tahoma"/>
                <w:sz w:val="20"/>
                <w:szCs w:val="20"/>
              </w:rPr>
            </w:pPr>
            <w:r w:rsidRPr="0068236B">
              <w:rPr>
                <w:rFonts w:cs="Tahoma"/>
                <w:sz w:val="20"/>
                <w:szCs w:val="20"/>
              </w:rPr>
              <w:t>RoW</w:t>
            </w:r>
          </w:p>
        </w:tc>
        <w:tc>
          <w:tcPr>
            <w:tcW w:w="3578" w:type="pct"/>
            <w:shd w:val="clear" w:color="auto" w:fill="auto"/>
            <w:vAlign w:val="center"/>
          </w:tcPr>
          <w:p w14:paraId="2E7EDC63" w14:textId="0E776E18" w:rsidR="006E2B08" w:rsidRPr="0068236B" w:rsidRDefault="006E2B08" w:rsidP="005D7550">
            <w:pPr>
              <w:spacing w:before="60" w:after="60"/>
              <w:rPr>
                <w:rFonts w:cs="Tahoma"/>
                <w:sz w:val="20"/>
                <w:szCs w:val="20"/>
              </w:rPr>
            </w:pPr>
            <w:r w:rsidRPr="0068236B">
              <w:rPr>
                <w:rFonts w:cs="Tahoma"/>
                <w:sz w:val="20"/>
                <w:szCs w:val="20"/>
              </w:rPr>
              <w:t>Right of Way</w:t>
            </w:r>
          </w:p>
        </w:tc>
      </w:tr>
      <w:tr w:rsidR="00126FF0" w:rsidRPr="0068236B" w14:paraId="1427B1C7" w14:textId="77777777" w:rsidTr="00493264">
        <w:trPr>
          <w:trHeight w:val="288"/>
        </w:trPr>
        <w:tc>
          <w:tcPr>
            <w:tcW w:w="1422" w:type="pct"/>
            <w:shd w:val="clear" w:color="auto" w:fill="auto"/>
            <w:vAlign w:val="center"/>
          </w:tcPr>
          <w:p w14:paraId="4A01850C" w14:textId="788808DE" w:rsidR="00126FF0" w:rsidRPr="0068236B" w:rsidRDefault="00126FF0" w:rsidP="008909D8">
            <w:pPr>
              <w:spacing w:before="60" w:after="60"/>
              <w:rPr>
                <w:rFonts w:cs="Tahoma"/>
                <w:sz w:val="20"/>
                <w:szCs w:val="20"/>
                <w:lang w:eastAsia="sr-Latn-RS"/>
              </w:rPr>
            </w:pPr>
            <w:r w:rsidRPr="0068236B">
              <w:rPr>
                <w:rFonts w:cs="Tahoma"/>
                <w:sz w:val="20"/>
                <w:szCs w:val="20"/>
                <w:lang w:eastAsia="sr-Latn-RS"/>
              </w:rPr>
              <w:t>SCADA</w:t>
            </w:r>
          </w:p>
        </w:tc>
        <w:tc>
          <w:tcPr>
            <w:tcW w:w="3578" w:type="pct"/>
            <w:shd w:val="clear" w:color="auto" w:fill="auto"/>
            <w:vAlign w:val="center"/>
          </w:tcPr>
          <w:p w14:paraId="375A0968" w14:textId="3E600118" w:rsidR="00126FF0" w:rsidRPr="0068236B" w:rsidRDefault="00126FF0" w:rsidP="008909D8">
            <w:pPr>
              <w:spacing w:before="60" w:after="60"/>
              <w:rPr>
                <w:rFonts w:cs="Tahoma"/>
                <w:sz w:val="20"/>
                <w:szCs w:val="20"/>
              </w:rPr>
            </w:pPr>
            <w:r w:rsidRPr="0068236B">
              <w:rPr>
                <w:rFonts w:cs="Tahoma"/>
                <w:sz w:val="20"/>
                <w:szCs w:val="20"/>
                <w:shd w:val="clear" w:color="auto" w:fill="FFFFFF"/>
              </w:rPr>
              <w:t>Supervisory Control and Data Acquisition (control system)</w:t>
            </w:r>
          </w:p>
        </w:tc>
      </w:tr>
      <w:tr w:rsidR="00126FF0" w:rsidRPr="0068236B" w14:paraId="2EA1E9FC" w14:textId="77777777" w:rsidTr="00493264">
        <w:trPr>
          <w:trHeight w:val="288"/>
        </w:trPr>
        <w:tc>
          <w:tcPr>
            <w:tcW w:w="1422" w:type="pct"/>
            <w:shd w:val="clear" w:color="auto" w:fill="auto"/>
            <w:vAlign w:val="center"/>
          </w:tcPr>
          <w:p w14:paraId="41776C09" w14:textId="77777777" w:rsidR="00126FF0" w:rsidRPr="0068236B" w:rsidRDefault="00126FF0" w:rsidP="00B973BB">
            <w:pPr>
              <w:spacing w:before="60" w:after="60"/>
              <w:rPr>
                <w:rFonts w:cs="Tahoma"/>
                <w:sz w:val="20"/>
                <w:szCs w:val="20"/>
              </w:rPr>
            </w:pPr>
            <w:r w:rsidRPr="0068236B">
              <w:rPr>
                <w:rFonts w:cs="Tahoma"/>
                <w:sz w:val="20"/>
                <w:szCs w:val="20"/>
              </w:rPr>
              <w:t>SEP</w:t>
            </w:r>
          </w:p>
        </w:tc>
        <w:tc>
          <w:tcPr>
            <w:tcW w:w="3578" w:type="pct"/>
            <w:shd w:val="clear" w:color="auto" w:fill="auto"/>
            <w:vAlign w:val="center"/>
          </w:tcPr>
          <w:p w14:paraId="1D786406" w14:textId="77777777" w:rsidR="00126FF0" w:rsidRPr="0068236B" w:rsidRDefault="00126FF0" w:rsidP="00B973BB">
            <w:pPr>
              <w:spacing w:before="60" w:after="60"/>
              <w:rPr>
                <w:rFonts w:cs="Tahoma"/>
                <w:sz w:val="20"/>
                <w:szCs w:val="20"/>
              </w:rPr>
            </w:pPr>
            <w:r w:rsidRPr="0068236B">
              <w:rPr>
                <w:rFonts w:cs="Tahoma"/>
                <w:sz w:val="20"/>
                <w:szCs w:val="20"/>
              </w:rPr>
              <w:t>Stakeholder Engagement Plan</w:t>
            </w:r>
          </w:p>
        </w:tc>
      </w:tr>
      <w:tr w:rsidR="00126FF0" w:rsidRPr="0068236B" w14:paraId="60DEC5F2" w14:textId="77777777" w:rsidTr="00493264">
        <w:trPr>
          <w:trHeight w:val="288"/>
        </w:trPr>
        <w:tc>
          <w:tcPr>
            <w:tcW w:w="1422" w:type="pct"/>
            <w:shd w:val="clear" w:color="auto" w:fill="auto"/>
            <w:vAlign w:val="center"/>
          </w:tcPr>
          <w:p w14:paraId="149A3E0B" w14:textId="77777777" w:rsidR="00126FF0" w:rsidRPr="0068236B" w:rsidRDefault="00126FF0" w:rsidP="00ED0757">
            <w:pPr>
              <w:spacing w:before="60" w:after="60"/>
              <w:rPr>
                <w:rFonts w:cs="Tahoma"/>
                <w:sz w:val="20"/>
                <w:szCs w:val="20"/>
              </w:rPr>
            </w:pPr>
            <w:r w:rsidRPr="0068236B">
              <w:rPr>
                <w:rFonts w:cs="Tahoma"/>
                <w:sz w:val="20"/>
                <w:szCs w:val="20"/>
              </w:rPr>
              <w:t>SEW</w:t>
            </w:r>
          </w:p>
        </w:tc>
        <w:tc>
          <w:tcPr>
            <w:tcW w:w="3578" w:type="pct"/>
            <w:shd w:val="clear" w:color="auto" w:fill="auto"/>
            <w:vAlign w:val="center"/>
          </w:tcPr>
          <w:p w14:paraId="7C4AE922" w14:textId="77777777" w:rsidR="00126FF0" w:rsidRPr="0068236B" w:rsidRDefault="00126FF0" w:rsidP="00ED0757">
            <w:pPr>
              <w:spacing w:before="60" w:after="60"/>
              <w:rPr>
                <w:rFonts w:cs="Tahoma"/>
                <w:sz w:val="20"/>
                <w:szCs w:val="20"/>
              </w:rPr>
            </w:pPr>
            <w:r w:rsidRPr="0068236B">
              <w:rPr>
                <w:rFonts w:cs="Tahoma"/>
                <w:sz w:val="20"/>
                <w:szCs w:val="20"/>
              </w:rPr>
              <w:t>Social Economic Welfare</w:t>
            </w:r>
          </w:p>
        </w:tc>
      </w:tr>
      <w:tr w:rsidR="00126FF0" w:rsidRPr="0068236B" w14:paraId="02515FFA" w14:textId="77777777" w:rsidTr="00493264">
        <w:trPr>
          <w:trHeight w:val="288"/>
        </w:trPr>
        <w:tc>
          <w:tcPr>
            <w:tcW w:w="1422" w:type="pct"/>
            <w:shd w:val="clear" w:color="auto" w:fill="auto"/>
            <w:vAlign w:val="center"/>
          </w:tcPr>
          <w:p w14:paraId="5D5CB3D9" w14:textId="77777777" w:rsidR="00126FF0" w:rsidRPr="0068236B" w:rsidRDefault="00126FF0" w:rsidP="00B973BB">
            <w:pPr>
              <w:spacing w:before="60" w:after="60"/>
              <w:rPr>
                <w:rFonts w:cs="Tahoma"/>
                <w:sz w:val="20"/>
                <w:szCs w:val="20"/>
              </w:rPr>
            </w:pPr>
            <w:r w:rsidRPr="0068236B">
              <w:rPr>
                <w:rFonts w:cs="Tahoma"/>
                <w:sz w:val="20"/>
                <w:szCs w:val="20"/>
              </w:rPr>
              <w:t>SS</w:t>
            </w:r>
          </w:p>
        </w:tc>
        <w:tc>
          <w:tcPr>
            <w:tcW w:w="3578" w:type="pct"/>
            <w:shd w:val="clear" w:color="auto" w:fill="auto"/>
            <w:vAlign w:val="center"/>
          </w:tcPr>
          <w:p w14:paraId="486C6AFE" w14:textId="77777777" w:rsidR="00126FF0" w:rsidRPr="0068236B" w:rsidRDefault="00126FF0" w:rsidP="00B973BB">
            <w:pPr>
              <w:spacing w:before="60" w:after="60"/>
              <w:rPr>
                <w:rFonts w:cs="Tahoma"/>
                <w:sz w:val="20"/>
                <w:szCs w:val="20"/>
              </w:rPr>
            </w:pPr>
            <w:r w:rsidRPr="0068236B">
              <w:rPr>
                <w:rFonts w:cs="Tahoma"/>
                <w:sz w:val="20"/>
                <w:szCs w:val="20"/>
              </w:rPr>
              <w:t>Substation</w:t>
            </w:r>
          </w:p>
        </w:tc>
      </w:tr>
      <w:tr w:rsidR="00126FF0" w:rsidRPr="0068236B" w14:paraId="5FD7564F" w14:textId="77777777" w:rsidTr="00493264">
        <w:trPr>
          <w:trHeight w:val="288"/>
        </w:trPr>
        <w:tc>
          <w:tcPr>
            <w:tcW w:w="1422" w:type="pct"/>
            <w:shd w:val="clear" w:color="auto" w:fill="auto"/>
            <w:vAlign w:val="center"/>
          </w:tcPr>
          <w:p w14:paraId="06DBBB29" w14:textId="77777777" w:rsidR="00126FF0" w:rsidRPr="0068236B" w:rsidRDefault="00126FF0" w:rsidP="00B973BB">
            <w:pPr>
              <w:spacing w:before="60" w:after="60"/>
              <w:rPr>
                <w:rFonts w:cs="Tahoma"/>
                <w:sz w:val="20"/>
                <w:szCs w:val="20"/>
              </w:rPr>
            </w:pPr>
            <w:r w:rsidRPr="0068236B">
              <w:rPr>
                <w:rFonts w:cs="Tahoma"/>
                <w:sz w:val="20"/>
                <w:szCs w:val="20"/>
              </w:rPr>
              <w:t>TSO</w:t>
            </w:r>
          </w:p>
        </w:tc>
        <w:tc>
          <w:tcPr>
            <w:tcW w:w="3578" w:type="pct"/>
            <w:shd w:val="clear" w:color="auto" w:fill="auto"/>
            <w:vAlign w:val="center"/>
          </w:tcPr>
          <w:p w14:paraId="36A7D65C" w14:textId="77777777" w:rsidR="00126FF0" w:rsidRPr="0068236B" w:rsidRDefault="00126FF0" w:rsidP="00B973BB">
            <w:pPr>
              <w:spacing w:before="60" w:after="60"/>
              <w:rPr>
                <w:rFonts w:cs="Tahoma"/>
                <w:sz w:val="20"/>
                <w:szCs w:val="20"/>
              </w:rPr>
            </w:pPr>
            <w:r w:rsidRPr="0068236B">
              <w:rPr>
                <w:rFonts w:cs="Tahoma"/>
                <w:sz w:val="20"/>
                <w:szCs w:val="20"/>
              </w:rPr>
              <w:t>Transmission System Operator</w:t>
            </w:r>
          </w:p>
        </w:tc>
      </w:tr>
      <w:tr w:rsidR="00126FF0" w:rsidRPr="0068236B" w14:paraId="6C4DCA91" w14:textId="77777777" w:rsidTr="00493264">
        <w:trPr>
          <w:trHeight w:val="288"/>
        </w:trPr>
        <w:tc>
          <w:tcPr>
            <w:tcW w:w="1422" w:type="pct"/>
            <w:shd w:val="clear" w:color="auto" w:fill="auto"/>
            <w:vAlign w:val="center"/>
          </w:tcPr>
          <w:p w14:paraId="63170FE1" w14:textId="77777777" w:rsidR="00126FF0" w:rsidRPr="0068236B" w:rsidRDefault="00126FF0" w:rsidP="00B973BB">
            <w:pPr>
              <w:spacing w:before="60" w:after="60"/>
              <w:rPr>
                <w:rFonts w:cs="Tahoma"/>
                <w:sz w:val="20"/>
                <w:szCs w:val="20"/>
              </w:rPr>
            </w:pPr>
            <w:r w:rsidRPr="0068236B">
              <w:rPr>
                <w:rFonts w:cs="Tahoma"/>
                <w:sz w:val="20"/>
                <w:szCs w:val="20"/>
              </w:rPr>
              <w:t>WB</w:t>
            </w:r>
          </w:p>
        </w:tc>
        <w:tc>
          <w:tcPr>
            <w:tcW w:w="3578" w:type="pct"/>
            <w:shd w:val="clear" w:color="auto" w:fill="auto"/>
            <w:vAlign w:val="center"/>
          </w:tcPr>
          <w:p w14:paraId="06C91C42" w14:textId="77777777" w:rsidR="00126FF0" w:rsidRPr="0068236B" w:rsidRDefault="00126FF0" w:rsidP="00B973BB">
            <w:pPr>
              <w:spacing w:before="60" w:after="60"/>
              <w:rPr>
                <w:rFonts w:cs="Tahoma"/>
                <w:sz w:val="20"/>
                <w:szCs w:val="20"/>
              </w:rPr>
            </w:pPr>
            <w:r w:rsidRPr="0068236B">
              <w:rPr>
                <w:rFonts w:cs="Tahoma"/>
                <w:sz w:val="20"/>
                <w:szCs w:val="20"/>
              </w:rPr>
              <w:t xml:space="preserve">Western Balkans </w:t>
            </w:r>
          </w:p>
        </w:tc>
      </w:tr>
      <w:tr w:rsidR="00126FF0" w:rsidRPr="0068236B" w14:paraId="76555012" w14:textId="77777777" w:rsidTr="00493264">
        <w:trPr>
          <w:trHeight w:val="288"/>
        </w:trPr>
        <w:tc>
          <w:tcPr>
            <w:tcW w:w="1422" w:type="pct"/>
            <w:shd w:val="clear" w:color="auto" w:fill="auto"/>
            <w:vAlign w:val="center"/>
          </w:tcPr>
          <w:p w14:paraId="7F611E86" w14:textId="77777777" w:rsidR="00126FF0" w:rsidRPr="0068236B" w:rsidRDefault="00126FF0" w:rsidP="00B973BB">
            <w:pPr>
              <w:spacing w:before="60" w:after="60"/>
              <w:rPr>
                <w:rFonts w:cs="Tahoma"/>
                <w:sz w:val="20"/>
                <w:szCs w:val="20"/>
              </w:rPr>
            </w:pPr>
            <w:r w:rsidRPr="0068236B">
              <w:rPr>
                <w:rFonts w:cs="Tahoma"/>
                <w:sz w:val="20"/>
                <w:szCs w:val="20"/>
              </w:rPr>
              <w:t xml:space="preserve">WBIF </w:t>
            </w:r>
          </w:p>
        </w:tc>
        <w:tc>
          <w:tcPr>
            <w:tcW w:w="3578" w:type="pct"/>
            <w:shd w:val="clear" w:color="auto" w:fill="auto"/>
            <w:vAlign w:val="center"/>
          </w:tcPr>
          <w:p w14:paraId="4BDCF2A4" w14:textId="77777777" w:rsidR="00126FF0" w:rsidRPr="0068236B" w:rsidRDefault="00126FF0" w:rsidP="00B973BB">
            <w:pPr>
              <w:spacing w:before="60" w:after="60"/>
              <w:rPr>
                <w:rFonts w:cs="Tahoma"/>
                <w:sz w:val="20"/>
                <w:szCs w:val="20"/>
              </w:rPr>
            </w:pPr>
            <w:r w:rsidRPr="0068236B">
              <w:rPr>
                <w:rFonts w:cs="Tahoma"/>
                <w:sz w:val="20"/>
                <w:szCs w:val="20"/>
              </w:rPr>
              <w:t xml:space="preserve">Western Balkans Investment framework </w:t>
            </w:r>
          </w:p>
        </w:tc>
      </w:tr>
      <w:tr w:rsidR="008E603D" w:rsidRPr="0068236B" w14:paraId="355E2768" w14:textId="77777777" w:rsidTr="00493264">
        <w:trPr>
          <w:trHeight w:val="288"/>
        </w:trPr>
        <w:tc>
          <w:tcPr>
            <w:tcW w:w="1422" w:type="pct"/>
            <w:shd w:val="clear" w:color="auto" w:fill="auto"/>
            <w:vAlign w:val="center"/>
          </w:tcPr>
          <w:p w14:paraId="7C146CD4" w14:textId="4D58A5E4" w:rsidR="008E603D" w:rsidRPr="0068236B" w:rsidRDefault="008E603D" w:rsidP="00B973BB">
            <w:pPr>
              <w:spacing w:before="60" w:after="60"/>
              <w:rPr>
                <w:rFonts w:cs="Tahoma"/>
                <w:sz w:val="20"/>
                <w:szCs w:val="20"/>
              </w:rPr>
            </w:pPr>
            <w:r w:rsidRPr="0068236B">
              <w:rPr>
                <w:rFonts w:cs="Tahoma"/>
                <w:sz w:val="20"/>
                <w:szCs w:val="20"/>
              </w:rPr>
              <w:t>WCRP</w:t>
            </w:r>
          </w:p>
        </w:tc>
        <w:tc>
          <w:tcPr>
            <w:tcW w:w="3578" w:type="pct"/>
            <w:shd w:val="clear" w:color="auto" w:fill="auto"/>
            <w:vAlign w:val="center"/>
          </w:tcPr>
          <w:p w14:paraId="36A00EA2" w14:textId="18B76CCD" w:rsidR="008E603D" w:rsidRPr="0068236B" w:rsidRDefault="008E603D" w:rsidP="008E603D">
            <w:pPr>
              <w:spacing w:before="60" w:after="60"/>
              <w:rPr>
                <w:rFonts w:cs="Tahoma"/>
                <w:sz w:val="20"/>
                <w:szCs w:val="20"/>
              </w:rPr>
            </w:pPr>
            <w:r w:rsidRPr="0068236B">
              <w:rPr>
                <w:rFonts w:cs="Tahoma"/>
                <w:sz w:val="20"/>
                <w:szCs w:val="20"/>
              </w:rPr>
              <w:t>World Climate Research Program</w:t>
            </w:r>
          </w:p>
        </w:tc>
      </w:tr>
      <w:tr w:rsidR="00126FF0" w:rsidRPr="0068236B" w14:paraId="201DD4D2" w14:textId="77777777" w:rsidTr="00493264">
        <w:trPr>
          <w:trHeight w:val="288"/>
        </w:trPr>
        <w:tc>
          <w:tcPr>
            <w:tcW w:w="1422" w:type="pct"/>
            <w:shd w:val="clear" w:color="auto" w:fill="auto"/>
            <w:vAlign w:val="center"/>
          </w:tcPr>
          <w:p w14:paraId="41EDC238" w14:textId="77777777" w:rsidR="00126FF0" w:rsidRPr="0068236B" w:rsidRDefault="00126FF0" w:rsidP="00B973BB">
            <w:pPr>
              <w:spacing w:before="60" w:after="60"/>
              <w:rPr>
                <w:rFonts w:cs="Tahoma"/>
                <w:sz w:val="20"/>
                <w:szCs w:val="20"/>
              </w:rPr>
            </w:pPr>
            <w:r w:rsidRPr="0068236B">
              <w:rPr>
                <w:rFonts w:cs="Tahoma"/>
                <w:sz w:val="20"/>
                <w:szCs w:val="20"/>
              </w:rPr>
              <w:t>WHO</w:t>
            </w:r>
          </w:p>
        </w:tc>
        <w:tc>
          <w:tcPr>
            <w:tcW w:w="3578" w:type="pct"/>
            <w:shd w:val="clear" w:color="auto" w:fill="auto"/>
            <w:vAlign w:val="center"/>
          </w:tcPr>
          <w:p w14:paraId="5940A599" w14:textId="77777777" w:rsidR="00126FF0" w:rsidRPr="0068236B" w:rsidRDefault="00126FF0" w:rsidP="00B973BB">
            <w:pPr>
              <w:spacing w:before="60" w:after="60"/>
              <w:rPr>
                <w:rFonts w:cs="Tahoma"/>
                <w:sz w:val="20"/>
                <w:szCs w:val="20"/>
              </w:rPr>
            </w:pPr>
            <w:r w:rsidRPr="0068236B">
              <w:rPr>
                <w:rFonts w:cs="Tahoma"/>
                <w:sz w:val="20"/>
                <w:szCs w:val="20"/>
              </w:rPr>
              <w:t>World Health Organization</w:t>
            </w:r>
          </w:p>
        </w:tc>
      </w:tr>
    </w:tbl>
    <w:p w14:paraId="337A47E5" w14:textId="77777777" w:rsidR="006A782C" w:rsidRPr="0068236B" w:rsidRDefault="006A782C">
      <w:pPr>
        <w:spacing w:before="0" w:after="0"/>
        <w:jc w:val="left"/>
        <w:rPr>
          <w:sz w:val="12"/>
          <w:szCs w:val="12"/>
        </w:rPr>
      </w:pPr>
      <w:r w:rsidRPr="0068236B">
        <w:rPr>
          <w:sz w:val="12"/>
          <w:szCs w:val="12"/>
        </w:rPr>
        <w:br w:type="page"/>
      </w:r>
    </w:p>
    <w:p w14:paraId="7524DA3B" w14:textId="77777777" w:rsidR="008557E3" w:rsidRPr="0068236B" w:rsidRDefault="00386259" w:rsidP="00E44ED8">
      <w:pPr>
        <w:pStyle w:val="Heading1"/>
      </w:pPr>
      <w:bookmarkStart w:id="1" w:name="_Toc24973955"/>
      <w:bookmarkStart w:id="2" w:name="_Toc24973956"/>
      <w:bookmarkStart w:id="3" w:name="_Toc71559711"/>
      <w:bookmarkStart w:id="4" w:name="_Toc112852179"/>
      <w:bookmarkEnd w:id="1"/>
      <w:bookmarkEnd w:id="2"/>
      <w:r w:rsidRPr="0068236B">
        <w:lastRenderedPageBreak/>
        <w:t xml:space="preserve">Executive </w:t>
      </w:r>
      <w:r w:rsidR="008557E3" w:rsidRPr="0068236B">
        <w:t>Summary</w:t>
      </w:r>
      <w:bookmarkEnd w:id="3"/>
      <w:bookmarkEnd w:id="4"/>
    </w:p>
    <w:p w14:paraId="21D4F28F" w14:textId="77777777" w:rsidR="008557E3" w:rsidRPr="0068236B" w:rsidRDefault="00B77BEC" w:rsidP="00B55FB1">
      <w:pPr>
        <w:pStyle w:val="Heading2"/>
      </w:pPr>
      <w:bookmarkStart w:id="5" w:name="_Toc71559712"/>
      <w:bookmarkStart w:id="6" w:name="_Toc112852180"/>
      <w:r w:rsidRPr="0068236B">
        <w:t>Objective of</w:t>
      </w:r>
      <w:r w:rsidR="008557E3" w:rsidRPr="0068236B">
        <w:t xml:space="preserve"> the Proposed Project</w:t>
      </w:r>
      <w:bookmarkEnd w:id="5"/>
      <w:bookmarkEnd w:id="6"/>
    </w:p>
    <w:p w14:paraId="5D9A2615" w14:textId="0D064253" w:rsidR="007B0FB2" w:rsidRPr="0068236B" w:rsidRDefault="007B0FB2" w:rsidP="007B0FB2">
      <w:pPr>
        <w:autoSpaceDE w:val="0"/>
        <w:autoSpaceDN w:val="0"/>
        <w:adjustRightInd w:val="0"/>
        <w:rPr>
          <w:sz w:val="20"/>
        </w:rPr>
      </w:pPr>
      <w:r w:rsidRPr="0068236B">
        <w:rPr>
          <w:sz w:val="20"/>
        </w:rPr>
        <w:t xml:space="preserve">The main objective of this project is to design, construct and operate a new 400/110 kV substation (SS) Miletkovo in the area of the village Miletkovo, in </w:t>
      </w:r>
      <w:r w:rsidR="00CA1C6C" w:rsidRPr="0068236B">
        <w:rPr>
          <w:sz w:val="20"/>
        </w:rPr>
        <w:t>Gevgelija</w:t>
      </w:r>
      <w:r w:rsidRPr="0068236B">
        <w:rPr>
          <w:sz w:val="20"/>
        </w:rPr>
        <w:t xml:space="preserve"> municipality</w:t>
      </w:r>
      <w:r w:rsidR="00D32878" w:rsidRPr="0068236B">
        <w:rPr>
          <w:sz w:val="20"/>
        </w:rPr>
        <w:t>,</w:t>
      </w:r>
      <w:r w:rsidRPr="0068236B">
        <w:rPr>
          <w:sz w:val="20"/>
        </w:rPr>
        <w:t xml:space="preserve"> and connection of this new subst</w:t>
      </w:r>
      <w:r w:rsidRPr="0068236B">
        <w:rPr>
          <w:sz w:val="20"/>
        </w:rPr>
        <w:t>a</w:t>
      </w:r>
      <w:r w:rsidRPr="0068236B">
        <w:rPr>
          <w:sz w:val="20"/>
        </w:rPr>
        <w:t xml:space="preserve">tion with the existing 110 kV transmission network in the region and with the existing 400 kV transmission line </w:t>
      </w:r>
      <w:r w:rsidRPr="0068236B">
        <w:rPr>
          <w:rFonts w:cs="Tahoma"/>
          <w:sz w:val="20"/>
        </w:rPr>
        <w:t xml:space="preserve">Dubrovo – Thessalonica (GR), </w:t>
      </w:r>
      <w:r w:rsidRPr="0068236B">
        <w:rPr>
          <w:sz w:val="20"/>
        </w:rPr>
        <w:t>by in-out connection</w:t>
      </w:r>
      <w:r w:rsidR="00D32878" w:rsidRPr="0068236B">
        <w:rPr>
          <w:sz w:val="20"/>
        </w:rPr>
        <w:t xml:space="preserve"> (‘Project’).</w:t>
      </w:r>
    </w:p>
    <w:p w14:paraId="7DB3CD3D" w14:textId="4C94F0D4" w:rsidR="007B0FB2" w:rsidRPr="0068236B" w:rsidRDefault="007B0FB2" w:rsidP="007B0FB2">
      <w:pPr>
        <w:autoSpaceDE w:val="0"/>
        <w:autoSpaceDN w:val="0"/>
        <w:adjustRightInd w:val="0"/>
        <w:rPr>
          <w:sz w:val="20"/>
        </w:rPr>
      </w:pPr>
      <w:r w:rsidRPr="0068236B">
        <w:rPr>
          <w:sz w:val="20"/>
        </w:rPr>
        <w:t>The Project is a component of a wider development scheme for strengthening the transmission network in the Southeast Region of North Macedonia, which also includes a project for reconstruction of the existing 110 kV transmission line SS Valandovo – SS Strumica 2 – SS Strumica 1 by upgrading its transmission capa</w:t>
      </w:r>
      <w:r w:rsidRPr="0068236B">
        <w:rPr>
          <w:sz w:val="20"/>
        </w:rPr>
        <w:t>c</w:t>
      </w:r>
      <w:r w:rsidRPr="0068236B">
        <w:rPr>
          <w:sz w:val="20"/>
        </w:rPr>
        <w:t>ity and partial cabling in the urban zones of Strumica</w:t>
      </w:r>
      <w:r w:rsidR="00E1530A" w:rsidRPr="0068236B">
        <w:rPr>
          <w:sz w:val="20"/>
        </w:rPr>
        <w:t>.</w:t>
      </w:r>
      <w:r w:rsidRPr="0068236B">
        <w:rPr>
          <w:sz w:val="20"/>
        </w:rPr>
        <w:t xml:space="preserve"> </w:t>
      </w:r>
    </w:p>
    <w:p w14:paraId="794EA7FD" w14:textId="77777777" w:rsidR="00B55FB1" w:rsidRPr="0068236B" w:rsidRDefault="00B55FB1" w:rsidP="007B0FB2">
      <w:pPr>
        <w:autoSpaceDE w:val="0"/>
        <w:autoSpaceDN w:val="0"/>
        <w:adjustRightInd w:val="0"/>
        <w:rPr>
          <w:sz w:val="20"/>
        </w:rPr>
      </w:pPr>
    </w:p>
    <w:p w14:paraId="4DCAFFCA" w14:textId="77777777" w:rsidR="00E459B0" w:rsidRPr="0068236B" w:rsidRDefault="00E459B0" w:rsidP="00B55FB1">
      <w:pPr>
        <w:pStyle w:val="Heading2"/>
      </w:pPr>
      <w:bookmarkStart w:id="7" w:name="_Toc112852181"/>
      <w:r w:rsidRPr="0068236B">
        <w:t>Project Developer</w:t>
      </w:r>
      <w:bookmarkEnd w:id="7"/>
    </w:p>
    <w:p w14:paraId="7FC3B960" w14:textId="77777777" w:rsidR="00E459B0" w:rsidRPr="0068236B" w:rsidRDefault="00E459B0" w:rsidP="00E459B0">
      <w:pPr>
        <w:rPr>
          <w:rFonts w:cs="Tahoma"/>
          <w:sz w:val="20"/>
        </w:rPr>
      </w:pPr>
      <w:r w:rsidRPr="0068236B">
        <w:rPr>
          <w:rFonts w:cs="Arial"/>
          <w:sz w:val="20"/>
          <w:szCs w:val="20"/>
        </w:rPr>
        <w:t xml:space="preserve">The project developer is the Macedonian Transmission System Operator (MEPSO). </w:t>
      </w:r>
      <w:r w:rsidRPr="0068236B">
        <w:rPr>
          <w:rFonts w:cs="Tahoma"/>
          <w:sz w:val="20"/>
        </w:rPr>
        <w:t>MEPSO is a Joint Stock company fully state-owned, established in 2005 after the transformation of the Electric Power Comp</w:t>
      </w:r>
      <w:r w:rsidRPr="0068236B">
        <w:rPr>
          <w:rFonts w:cs="Tahoma"/>
          <w:sz w:val="20"/>
        </w:rPr>
        <w:t>a</w:t>
      </w:r>
      <w:r w:rsidRPr="0068236B">
        <w:rPr>
          <w:rFonts w:cs="Tahoma"/>
          <w:sz w:val="20"/>
        </w:rPr>
        <w:t>ny of Macedonia (‘Elektro-stopanstvo na Makedonija’). The core activity of MEPSO is a reliable electricity transmission via the national high voltage network, electric power system control and regular and duly ele</w:t>
      </w:r>
      <w:r w:rsidRPr="0068236B">
        <w:rPr>
          <w:rFonts w:cs="Tahoma"/>
          <w:sz w:val="20"/>
        </w:rPr>
        <w:t>c</w:t>
      </w:r>
      <w:r w:rsidRPr="0068236B">
        <w:rPr>
          <w:rFonts w:cs="Tahoma"/>
          <w:sz w:val="20"/>
        </w:rPr>
        <w:t>tricity flow to its clients such as the large industrial consumers, and to the low voltage grid of the Macedon</w:t>
      </w:r>
      <w:r w:rsidRPr="0068236B">
        <w:rPr>
          <w:rFonts w:cs="Tahoma"/>
          <w:sz w:val="20"/>
        </w:rPr>
        <w:t>i</w:t>
      </w:r>
      <w:r w:rsidRPr="0068236B">
        <w:rPr>
          <w:rFonts w:cs="Tahoma"/>
          <w:sz w:val="20"/>
        </w:rPr>
        <w:t>an electricity distribution system operator (EVN Macedonia). To perform its activity MEPSO has been granted the following relevant licenses from the national Energy Regulatory Commission:</w:t>
      </w:r>
    </w:p>
    <w:p w14:paraId="12ABA5A4" w14:textId="77777777" w:rsidR="00E459B0" w:rsidRPr="0068236B" w:rsidRDefault="00E459B0" w:rsidP="00E459B0">
      <w:pPr>
        <w:pStyle w:val="ListBullet"/>
        <w:jc w:val="left"/>
        <w:rPr>
          <w:sz w:val="20"/>
        </w:rPr>
      </w:pPr>
      <w:r w:rsidRPr="0068236B">
        <w:rPr>
          <w:rFonts w:cs="Tahoma"/>
          <w:sz w:val="20"/>
        </w:rPr>
        <w:t>A license of doing the energy business and activity in terms of electricity transmission and acti</w:t>
      </w:r>
      <w:r w:rsidRPr="0068236B">
        <w:rPr>
          <w:rFonts w:cs="Tahoma"/>
          <w:sz w:val="20"/>
        </w:rPr>
        <w:t>v</w:t>
      </w:r>
      <w:r w:rsidRPr="0068236B">
        <w:rPr>
          <w:rFonts w:cs="Tahoma"/>
          <w:sz w:val="20"/>
        </w:rPr>
        <w:t>ity transmission system control.</w:t>
      </w:r>
    </w:p>
    <w:p w14:paraId="5DFE5187" w14:textId="77777777" w:rsidR="00E459B0" w:rsidRPr="0068236B" w:rsidRDefault="00E459B0" w:rsidP="00E459B0">
      <w:pPr>
        <w:pStyle w:val="ListBullet"/>
        <w:jc w:val="left"/>
        <w:rPr>
          <w:sz w:val="20"/>
        </w:rPr>
      </w:pPr>
      <w:r w:rsidRPr="0068236B">
        <w:rPr>
          <w:rFonts w:cs="Tahoma"/>
          <w:sz w:val="20"/>
        </w:rPr>
        <w:t>A license of doing power business and activity, organization and electricity market control.</w:t>
      </w:r>
    </w:p>
    <w:p w14:paraId="1BD28218" w14:textId="77777777" w:rsidR="008E7326" w:rsidRPr="0068236B" w:rsidRDefault="008E7326" w:rsidP="008E7326">
      <w:pPr>
        <w:pStyle w:val="ListBullet"/>
        <w:numPr>
          <w:ilvl w:val="0"/>
          <w:numId w:val="0"/>
        </w:numPr>
        <w:spacing w:before="120" w:after="120"/>
        <w:jc w:val="left"/>
        <w:rPr>
          <w:sz w:val="20"/>
        </w:rPr>
      </w:pPr>
    </w:p>
    <w:p w14:paraId="008A96CB" w14:textId="77777777" w:rsidR="00E459B0" w:rsidRPr="0068236B" w:rsidRDefault="00E459B0" w:rsidP="008E7326">
      <w:pPr>
        <w:pStyle w:val="Heading2"/>
      </w:pPr>
      <w:bookmarkStart w:id="8" w:name="_Toc112852182"/>
      <w:r w:rsidRPr="0068236B">
        <w:t>Need for the Proposed Project</w:t>
      </w:r>
      <w:bookmarkEnd w:id="8"/>
    </w:p>
    <w:p w14:paraId="5FC788B1" w14:textId="77777777" w:rsidR="00940EF7" w:rsidRPr="0068236B" w:rsidRDefault="00940EF7" w:rsidP="00940EF7">
      <w:pPr>
        <w:autoSpaceDE w:val="0"/>
        <w:autoSpaceDN w:val="0"/>
        <w:adjustRightInd w:val="0"/>
        <w:rPr>
          <w:rFonts w:cs="Tahoma"/>
          <w:sz w:val="20"/>
          <w:szCs w:val="20"/>
        </w:rPr>
      </w:pPr>
      <w:r w:rsidRPr="0068236B">
        <w:rPr>
          <w:rFonts w:cs="Tahoma"/>
          <w:sz w:val="20"/>
          <w:szCs w:val="20"/>
        </w:rPr>
        <w:t>In order to meet the goals of the European Union for the integration of energy from Renewable Energy Sources (RES), North Macedonia makes efforts to maximize the integration of these energy sources into the national power system. Due to the favourable climate conditions, the investments in the RES (wind power, solar power and hydropower) are most cost-effective in the south-eastern region of North Macedonia. Therefore, it is expected that the most significant investments in utilization of RES are/will be located mostly in this region (Figure below).</w:t>
      </w:r>
    </w:p>
    <w:p w14:paraId="04D3C8D2" w14:textId="6A71BC53" w:rsidR="00E459B0" w:rsidRPr="0068236B" w:rsidRDefault="00E1530A" w:rsidP="00E1530A">
      <w:pPr>
        <w:rPr>
          <w:rFonts w:cs="Tahoma"/>
          <w:sz w:val="20"/>
          <w:szCs w:val="20"/>
        </w:rPr>
      </w:pPr>
      <w:r w:rsidRPr="0068236B">
        <w:rPr>
          <w:rFonts w:cs="Tahoma"/>
          <w:sz w:val="20"/>
          <w:szCs w:val="20"/>
        </w:rPr>
        <w:t xml:space="preserve">MEPSO already faces several requests for new connections of RES in the local transmission grid in the wider Project region. Newly installed capacities of RES – wind power plants (WPP), big and small hydro power plants (HPP) as well as solar power plants (SPP) - up to 350 MW, are expected in a mid-term horizon in this region. In addition, </w:t>
      </w:r>
      <w:r w:rsidRPr="0068236B">
        <w:rPr>
          <w:sz w:val="20"/>
        </w:rPr>
        <w:t>new WPP - 536 MW, HPP - 185 MW SPP - 250 MW are foreseen until year 2040, in a long-term horizon.</w:t>
      </w:r>
    </w:p>
    <w:p w14:paraId="4BCBC90D" w14:textId="0684CB61" w:rsidR="00E459B0" w:rsidRPr="0068236B" w:rsidRDefault="0068236B" w:rsidP="00940EF7">
      <w:pPr>
        <w:rPr>
          <w:rFonts w:cs="Tahoma"/>
          <w:sz w:val="20"/>
          <w:szCs w:val="20"/>
        </w:rPr>
      </w:pPr>
      <w:r w:rsidRPr="0068236B">
        <w:rPr>
          <w:rFonts w:cs="Tahoma"/>
          <w:sz w:val="20"/>
          <w:szCs w:val="20"/>
        </w:rPr>
        <w:t>Transmission grid in the southeast region of Macedonia (110 kV transmission line Dubrovo – Valandovo – Strumica 2 – Strumica 1, approx. 57.5 km long line) is approaching the end of the lifecycle and lacks capac</w:t>
      </w:r>
      <w:r w:rsidRPr="0068236B">
        <w:rPr>
          <w:rFonts w:cs="Tahoma"/>
          <w:sz w:val="20"/>
          <w:szCs w:val="20"/>
        </w:rPr>
        <w:t>i</w:t>
      </w:r>
      <w:r w:rsidRPr="0068236B">
        <w:rPr>
          <w:rFonts w:cs="Tahoma"/>
          <w:sz w:val="20"/>
          <w:szCs w:val="20"/>
        </w:rPr>
        <w:t xml:space="preserve">ty for connection of </w:t>
      </w:r>
      <w:r w:rsidRPr="0068236B">
        <w:rPr>
          <w:rFonts w:cs="Arial"/>
          <w:sz w:val="20"/>
        </w:rPr>
        <w:t xml:space="preserve">new renewable electricity sources to the network. As such, it </w:t>
      </w:r>
      <w:r w:rsidRPr="0068236B">
        <w:rPr>
          <w:rFonts w:cs="Tahoma"/>
          <w:sz w:val="20"/>
          <w:szCs w:val="20"/>
        </w:rPr>
        <w:t>is a candidate for reco</w:t>
      </w:r>
      <w:r w:rsidRPr="0068236B">
        <w:rPr>
          <w:rFonts w:cs="Tahoma"/>
          <w:sz w:val="20"/>
          <w:szCs w:val="20"/>
        </w:rPr>
        <w:t>n</w:t>
      </w:r>
      <w:r w:rsidRPr="0068236B">
        <w:rPr>
          <w:rFonts w:cs="Tahoma"/>
          <w:sz w:val="20"/>
          <w:szCs w:val="20"/>
        </w:rPr>
        <w:t>struction due to ageing process. In addition, in the midterm forecasted regimes, there are contingency cases with a higher risk to the security of supply.</w:t>
      </w:r>
    </w:p>
    <w:p w14:paraId="63ECCA5E" w14:textId="77777777" w:rsidR="00E459B0" w:rsidRPr="0068236B" w:rsidRDefault="00E459B0" w:rsidP="00CF67B7">
      <w:pPr>
        <w:spacing w:after="0"/>
        <w:rPr>
          <w:rFonts w:cs="Tahoma"/>
          <w:sz w:val="20"/>
          <w:szCs w:val="20"/>
        </w:rPr>
      </w:pPr>
      <w:r w:rsidRPr="0068236B">
        <w:rPr>
          <w:rFonts w:cs="Tahoma"/>
          <w:noProof/>
          <w:sz w:val="20"/>
          <w:szCs w:val="20"/>
          <w:lang w:val="mk-MK" w:eastAsia="mk-MK"/>
        </w:rPr>
        <w:lastRenderedPageBreak/>
        <w:drawing>
          <wp:inline distT="0" distB="0" distL="0" distR="0" wp14:anchorId="03F4B861" wp14:editId="28925009">
            <wp:extent cx="5327650" cy="4254500"/>
            <wp:effectExtent l="19050" t="0" r="6350" b="0"/>
            <wp:docPr id="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email">
                      <a:extLst>
                        <a:ext uri="{28A0092B-C50C-407E-A947-70E740481C1C}">
                          <a14:useLocalDpi xmlns:a14="http://schemas.microsoft.com/office/drawing/2010/main" val="0"/>
                        </a:ext>
                      </a:extLst>
                    </a:blip>
                    <a:srcRect/>
                    <a:stretch>
                      <a:fillRect/>
                    </a:stretch>
                  </pic:blipFill>
                  <pic:spPr bwMode="auto">
                    <a:xfrm>
                      <a:off x="0" y="0"/>
                      <a:ext cx="5327650" cy="4254500"/>
                    </a:xfrm>
                    <a:prstGeom prst="rect">
                      <a:avLst/>
                    </a:prstGeom>
                    <a:noFill/>
                    <a:ln>
                      <a:noFill/>
                    </a:ln>
                  </pic:spPr>
                </pic:pic>
              </a:graphicData>
            </a:graphic>
          </wp:inline>
        </w:drawing>
      </w:r>
    </w:p>
    <w:p w14:paraId="0E1C5F67" w14:textId="77777777" w:rsidR="00E459B0" w:rsidRPr="0068236B" w:rsidRDefault="00E22CAD" w:rsidP="00CF67B7">
      <w:pPr>
        <w:spacing w:before="60" w:after="0"/>
        <w:rPr>
          <w:sz w:val="18"/>
          <w:szCs w:val="18"/>
        </w:rPr>
      </w:pPr>
      <w:bookmarkStart w:id="9" w:name="_Toc112928839"/>
      <w:bookmarkStart w:id="10" w:name="_Toc57667841"/>
      <w:r w:rsidRPr="0068236B">
        <w:rPr>
          <w:rFonts w:cs="Arial"/>
          <w:iCs/>
          <w:sz w:val="18"/>
          <w:szCs w:val="18"/>
        </w:rPr>
        <w:t xml:space="preserve">Figure </w:t>
      </w:r>
      <w:r w:rsidR="00377E43" w:rsidRPr="0068236B">
        <w:rPr>
          <w:rFonts w:cs="Arial"/>
          <w:iCs/>
          <w:sz w:val="18"/>
          <w:szCs w:val="18"/>
        </w:rPr>
        <w:fldChar w:fldCharType="begin"/>
      </w:r>
      <w:r w:rsidRPr="0068236B">
        <w:rPr>
          <w:rFonts w:cs="Arial"/>
          <w:iCs/>
          <w:sz w:val="18"/>
          <w:szCs w:val="18"/>
        </w:rPr>
        <w:instrText xml:space="preserve"> STYLEREF 1 \s </w:instrText>
      </w:r>
      <w:r w:rsidR="00377E43" w:rsidRPr="0068236B">
        <w:rPr>
          <w:rFonts w:cs="Arial"/>
          <w:iCs/>
          <w:sz w:val="18"/>
          <w:szCs w:val="18"/>
        </w:rPr>
        <w:fldChar w:fldCharType="separate"/>
      </w:r>
      <w:r w:rsidR="00234EBE" w:rsidRPr="0068236B">
        <w:rPr>
          <w:rFonts w:cs="Arial"/>
          <w:iCs/>
          <w:noProof/>
          <w:sz w:val="18"/>
          <w:szCs w:val="18"/>
        </w:rPr>
        <w:t>1</w:t>
      </w:r>
      <w:r w:rsidR="00377E43" w:rsidRPr="0068236B">
        <w:rPr>
          <w:rFonts w:cs="Arial"/>
          <w:iCs/>
          <w:sz w:val="18"/>
          <w:szCs w:val="18"/>
        </w:rPr>
        <w:fldChar w:fldCharType="end"/>
      </w:r>
      <w:r w:rsidRPr="0068236B">
        <w:rPr>
          <w:rFonts w:cs="Arial"/>
          <w:iCs/>
          <w:sz w:val="18"/>
          <w:szCs w:val="18"/>
        </w:rPr>
        <w:t>.</w:t>
      </w:r>
      <w:r w:rsidR="00377E43" w:rsidRPr="0068236B">
        <w:rPr>
          <w:rFonts w:cs="Arial"/>
          <w:iCs/>
          <w:sz w:val="18"/>
          <w:szCs w:val="18"/>
        </w:rPr>
        <w:fldChar w:fldCharType="begin"/>
      </w:r>
      <w:r w:rsidRPr="0068236B">
        <w:rPr>
          <w:rFonts w:cs="Arial"/>
          <w:iCs/>
          <w:sz w:val="18"/>
          <w:szCs w:val="18"/>
        </w:rPr>
        <w:instrText xml:space="preserve"> SEQ Figure \* ARABIC \s 1 </w:instrText>
      </w:r>
      <w:r w:rsidR="00377E43" w:rsidRPr="0068236B">
        <w:rPr>
          <w:rFonts w:cs="Arial"/>
          <w:iCs/>
          <w:sz w:val="18"/>
          <w:szCs w:val="18"/>
        </w:rPr>
        <w:fldChar w:fldCharType="separate"/>
      </w:r>
      <w:r w:rsidR="00234EBE" w:rsidRPr="0068236B">
        <w:rPr>
          <w:rFonts w:cs="Arial"/>
          <w:iCs/>
          <w:noProof/>
          <w:sz w:val="18"/>
          <w:szCs w:val="18"/>
        </w:rPr>
        <w:t>1</w:t>
      </w:r>
      <w:r w:rsidR="00377E43" w:rsidRPr="0068236B">
        <w:rPr>
          <w:rFonts w:cs="Arial"/>
          <w:iCs/>
          <w:sz w:val="18"/>
          <w:szCs w:val="18"/>
        </w:rPr>
        <w:fldChar w:fldCharType="end"/>
      </w:r>
      <w:r w:rsidRPr="0068236B">
        <w:rPr>
          <w:sz w:val="18"/>
          <w:szCs w:val="18"/>
        </w:rPr>
        <w:t>:</w:t>
      </w:r>
      <w:r w:rsidR="00E459B0" w:rsidRPr="0068236B">
        <w:rPr>
          <w:sz w:val="18"/>
          <w:szCs w:val="18"/>
        </w:rPr>
        <w:t xml:space="preserve"> Macedonian grid and project area mid-term topology</w:t>
      </w:r>
      <w:bookmarkEnd w:id="9"/>
    </w:p>
    <w:p w14:paraId="7AAB91D5" w14:textId="00382F8C" w:rsidR="00940EF7" w:rsidRPr="0068236B" w:rsidRDefault="00E459B0" w:rsidP="0068236B">
      <w:pPr>
        <w:spacing w:before="60" w:after="240"/>
        <w:rPr>
          <w:rFonts w:cs="Tahoma"/>
          <w:sz w:val="16"/>
          <w:szCs w:val="18"/>
        </w:rPr>
      </w:pPr>
      <w:r w:rsidRPr="0068236B">
        <w:rPr>
          <w:sz w:val="16"/>
          <w:szCs w:val="18"/>
        </w:rPr>
        <w:t>Source: MEPSO</w:t>
      </w:r>
      <w:bookmarkEnd w:id="10"/>
    </w:p>
    <w:p w14:paraId="4511D44F" w14:textId="3D48B1EA" w:rsidR="00E1530A" w:rsidRPr="0068236B" w:rsidRDefault="00E1530A" w:rsidP="00E1530A">
      <w:pPr>
        <w:autoSpaceDE w:val="0"/>
        <w:autoSpaceDN w:val="0"/>
        <w:adjustRightInd w:val="0"/>
        <w:rPr>
          <w:sz w:val="20"/>
        </w:rPr>
      </w:pPr>
      <w:bookmarkStart w:id="11" w:name="_Toc71559713"/>
      <w:r w:rsidRPr="0068236B">
        <w:rPr>
          <w:sz w:val="20"/>
        </w:rPr>
        <w:t>The main objective of the Project is to design, construct and operate a new 400/110 kV substation (SS) M</w:t>
      </w:r>
      <w:r w:rsidRPr="0068236B">
        <w:rPr>
          <w:sz w:val="20"/>
        </w:rPr>
        <w:t>i</w:t>
      </w:r>
      <w:r w:rsidRPr="0068236B">
        <w:rPr>
          <w:sz w:val="20"/>
        </w:rPr>
        <w:t xml:space="preserve">letkovo in the area of the village Miletkovo, in </w:t>
      </w:r>
      <w:r w:rsidR="00CA1C6C" w:rsidRPr="0068236B">
        <w:rPr>
          <w:sz w:val="20"/>
        </w:rPr>
        <w:t>Gevgelija</w:t>
      </w:r>
      <w:r w:rsidRPr="0068236B">
        <w:rPr>
          <w:sz w:val="20"/>
        </w:rPr>
        <w:t xml:space="preserve"> municipality. This new substation will be connected with the existing 110 kV transmission network in the Project region and with the existing 400 kV transmi</w:t>
      </w:r>
      <w:r w:rsidRPr="0068236B">
        <w:rPr>
          <w:sz w:val="20"/>
        </w:rPr>
        <w:t>s</w:t>
      </w:r>
      <w:r w:rsidRPr="0068236B">
        <w:rPr>
          <w:sz w:val="20"/>
        </w:rPr>
        <w:t xml:space="preserve">sion line </w:t>
      </w:r>
      <w:r w:rsidRPr="0068236B">
        <w:rPr>
          <w:rFonts w:cs="Tahoma"/>
          <w:sz w:val="20"/>
        </w:rPr>
        <w:t xml:space="preserve">Dubrovo – Thessalonica (GR), </w:t>
      </w:r>
      <w:r w:rsidRPr="0068236B">
        <w:rPr>
          <w:sz w:val="20"/>
        </w:rPr>
        <w:t>by in-out connection.</w:t>
      </w:r>
    </w:p>
    <w:p w14:paraId="580ABAFB" w14:textId="4840707E" w:rsidR="00E1530A" w:rsidRPr="0068236B" w:rsidRDefault="00E1530A" w:rsidP="00E1530A">
      <w:pPr>
        <w:autoSpaceDE w:val="0"/>
        <w:autoSpaceDN w:val="0"/>
        <w:adjustRightInd w:val="0"/>
        <w:rPr>
          <w:sz w:val="20"/>
        </w:rPr>
      </w:pPr>
      <w:r w:rsidRPr="0068236B">
        <w:rPr>
          <w:sz w:val="20"/>
        </w:rPr>
        <w:t>As noted, this Project is a component of a wider development scheme for strengthening the transmission network in the Southeast Region of North Macedonia, which also includes a project for reconstruction of the existing 110 kV transmission line SS Valandovo – SS Strumica 2 – SS Strumica 1 by upgrading its transmi</w:t>
      </w:r>
      <w:r w:rsidRPr="0068236B">
        <w:rPr>
          <w:sz w:val="20"/>
        </w:rPr>
        <w:t>s</w:t>
      </w:r>
      <w:r w:rsidRPr="0068236B">
        <w:rPr>
          <w:sz w:val="20"/>
        </w:rPr>
        <w:t xml:space="preserve">sion capacity and partial cabling in the urban zones of Strumica. </w:t>
      </w:r>
    </w:p>
    <w:p w14:paraId="2EB418AF" w14:textId="77777777" w:rsidR="00E1530A" w:rsidRPr="0068236B" w:rsidRDefault="00E1530A" w:rsidP="00E1530A">
      <w:pPr>
        <w:rPr>
          <w:rFonts w:cs="Tahoma"/>
          <w:sz w:val="20"/>
        </w:rPr>
      </w:pPr>
      <w:r w:rsidRPr="0068236B">
        <w:rPr>
          <w:rFonts w:cs="Tahoma"/>
          <w:sz w:val="20"/>
        </w:rPr>
        <w:t>This wider development scheme is also expected to provide:</w:t>
      </w:r>
    </w:p>
    <w:p w14:paraId="4E23C1D2" w14:textId="374CFCA7" w:rsidR="00E1530A" w:rsidRPr="0068236B" w:rsidRDefault="00E1530A" w:rsidP="00E1530A">
      <w:pPr>
        <w:pStyle w:val="ListBullet"/>
        <w:jc w:val="left"/>
        <w:rPr>
          <w:rFonts w:cs="Tahoma"/>
          <w:sz w:val="20"/>
        </w:rPr>
      </w:pPr>
      <w:r w:rsidRPr="0068236B">
        <w:rPr>
          <w:rFonts w:cs="Tahoma"/>
          <w:sz w:val="20"/>
        </w:rPr>
        <w:t>Incre</w:t>
      </w:r>
      <w:r w:rsidR="000D7F2A" w:rsidRPr="0068236B">
        <w:rPr>
          <w:rFonts w:cs="Tahoma"/>
          <w:sz w:val="20"/>
        </w:rPr>
        <w:t>ased security of supply.</w:t>
      </w:r>
    </w:p>
    <w:p w14:paraId="4CCF83BC" w14:textId="77777777" w:rsidR="00E1530A" w:rsidRPr="0068236B" w:rsidRDefault="00E1530A" w:rsidP="00E1530A">
      <w:pPr>
        <w:pStyle w:val="ListBullet"/>
        <w:jc w:val="left"/>
        <w:rPr>
          <w:rFonts w:cs="Tahoma"/>
          <w:sz w:val="20"/>
        </w:rPr>
      </w:pPr>
      <w:r w:rsidRPr="0068236B">
        <w:rPr>
          <w:rFonts w:cs="Tahoma"/>
          <w:sz w:val="20"/>
        </w:rPr>
        <w:t xml:space="preserve">Secure and reliable integration of planned RES in the southeast region of the country, which </w:t>
      </w:r>
      <w:r w:rsidRPr="0068236B">
        <w:rPr>
          <w:sz w:val="20"/>
        </w:rPr>
        <w:t>consequently contribute towards reduction in CO</w:t>
      </w:r>
      <w:r w:rsidRPr="0068236B">
        <w:rPr>
          <w:sz w:val="20"/>
          <w:vertAlign w:val="subscript"/>
        </w:rPr>
        <w:t>2</w:t>
      </w:r>
      <w:r w:rsidRPr="0068236B">
        <w:rPr>
          <w:sz w:val="20"/>
        </w:rPr>
        <w:t xml:space="preserve"> emissions.</w:t>
      </w:r>
    </w:p>
    <w:p w14:paraId="4FFD9318" w14:textId="77777777" w:rsidR="00E1530A" w:rsidRPr="0068236B" w:rsidRDefault="00E1530A" w:rsidP="00E1530A">
      <w:pPr>
        <w:pStyle w:val="ListBullet"/>
        <w:jc w:val="left"/>
        <w:rPr>
          <w:rFonts w:cs="Tahoma"/>
          <w:sz w:val="20"/>
        </w:rPr>
      </w:pPr>
      <w:r w:rsidRPr="0068236B">
        <w:rPr>
          <w:rFonts w:cs="Tahoma"/>
          <w:sz w:val="20"/>
        </w:rPr>
        <w:t>Increased efficiency and capacity of the transmission grid with smart grid solutions (Dynamic Line Rate (DLR) &amp; asset management).</w:t>
      </w:r>
    </w:p>
    <w:p w14:paraId="625B3CBD" w14:textId="77777777" w:rsidR="008E7326" w:rsidRPr="0068236B" w:rsidRDefault="008E7326" w:rsidP="008E7326">
      <w:pPr>
        <w:pStyle w:val="ListBullet"/>
        <w:numPr>
          <w:ilvl w:val="0"/>
          <w:numId w:val="0"/>
        </w:numPr>
        <w:spacing w:before="120" w:after="120"/>
        <w:jc w:val="left"/>
        <w:rPr>
          <w:rFonts w:cs="Tahoma"/>
          <w:sz w:val="20"/>
        </w:rPr>
      </w:pPr>
    </w:p>
    <w:p w14:paraId="668A1AC1" w14:textId="361AEDBF" w:rsidR="008557E3" w:rsidRPr="0068236B" w:rsidRDefault="008557E3" w:rsidP="008E7326">
      <w:pPr>
        <w:pStyle w:val="Heading2"/>
      </w:pPr>
      <w:bookmarkStart w:id="12" w:name="_Toc112852183"/>
      <w:r w:rsidRPr="0068236B">
        <w:t xml:space="preserve">Purpose </w:t>
      </w:r>
      <w:r w:rsidR="005C1605" w:rsidRPr="0068236B">
        <w:t xml:space="preserve">and Structure </w:t>
      </w:r>
      <w:r w:rsidRPr="0068236B">
        <w:t>of the Report</w:t>
      </w:r>
      <w:bookmarkEnd w:id="11"/>
      <w:bookmarkEnd w:id="12"/>
    </w:p>
    <w:p w14:paraId="41EFFF11" w14:textId="792A928B" w:rsidR="00CF67B7" w:rsidRPr="0068236B" w:rsidRDefault="00AB498C" w:rsidP="00AB498C">
      <w:pPr>
        <w:pStyle w:val="BodyText0"/>
        <w:spacing w:before="120" w:line="276" w:lineRule="auto"/>
        <w:jc w:val="both"/>
        <w:rPr>
          <w:rFonts w:ascii="Tahoma" w:hAnsi="Tahoma" w:cs="Tahoma"/>
          <w:sz w:val="20"/>
        </w:rPr>
      </w:pPr>
      <w:bookmarkStart w:id="13" w:name="_Toc71559714"/>
      <w:r w:rsidRPr="0068236B">
        <w:rPr>
          <w:rFonts w:ascii="Tahoma" w:hAnsi="Tahoma" w:cs="Tahoma"/>
          <w:sz w:val="20"/>
        </w:rPr>
        <w:t>This document represents an Environmental and Social Assessme</w:t>
      </w:r>
      <w:r w:rsidR="00493264" w:rsidRPr="0068236B">
        <w:rPr>
          <w:rFonts w:ascii="Tahoma" w:hAnsi="Tahoma" w:cs="Tahoma"/>
          <w:sz w:val="20"/>
        </w:rPr>
        <w:t xml:space="preserve">nt </w:t>
      </w:r>
      <w:r w:rsidR="00A87796" w:rsidRPr="0068236B">
        <w:rPr>
          <w:rFonts w:ascii="Tahoma" w:hAnsi="Tahoma" w:cs="Tahoma"/>
          <w:sz w:val="20"/>
        </w:rPr>
        <w:t xml:space="preserve">Report for the Project - </w:t>
      </w:r>
      <w:r w:rsidR="00CF67B7" w:rsidRPr="0068236B">
        <w:rPr>
          <w:rFonts w:ascii="Tahoma" w:hAnsi="Tahoma" w:cs="Tahoma"/>
          <w:sz w:val="20"/>
        </w:rPr>
        <w:t xml:space="preserve">New 400/110 kV Substation Miletkovo with Connection to the existing 400 kV and 110 kV Transmission Network, which is a </w:t>
      </w:r>
      <w:r w:rsidR="00CF67B7" w:rsidRPr="0068236B">
        <w:rPr>
          <w:rFonts w:ascii="Tahoma" w:hAnsi="Tahoma" w:cs="Tahoma"/>
          <w:sz w:val="20"/>
        </w:rPr>
        <w:lastRenderedPageBreak/>
        <w:t>component (sub-project) of a wider development scheme for strengthening the transmission network in the Southeast Region of North Macedonia</w:t>
      </w:r>
      <w:r w:rsidR="00CF67B7" w:rsidRPr="0068236B">
        <w:rPr>
          <w:rStyle w:val="FootnoteReference"/>
          <w:rFonts w:ascii="Tahoma" w:hAnsi="Tahoma" w:cs="Tahoma"/>
          <w:sz w:val="20"/>
        </w:rPr>
        <w:footnoteReference w:id="2"/>
      </w:r>
      <w:r w:rsidR="00CF67B7" w:rsidRPr="0068236B">
        <w:rPr>
          <w:rFonts w:ascii="Tahoma" w:hAnsi="Tahoma" w:cs="Tahoma"/>
          <w:sz w:val="20"/>
        </w:rPr>
        <w:t>.</w:t>
      </w:r>
    </w:p>
    <w:p w14:paraId="699FEC23" w14:textId="10DA5AFD" w:rsidR="00AB498C" w:rsidRPr="0068236B" w:rsidRDefault="00AB498C" w:rsidP="00AB498C">
      <w:pPr>
        <w:pStyle w:val="BodyText0"/>
        <w:spacing w:before="120" w:line="276" w:lineRule="auto"/>
        <w:jc w:val="both"/>
        <w:rPr>
          <w:rFonts w:ascii="Tahoma" w:hAnsi="Tahoma" w:cs="Tahoma"/>
          <w:sz w:val="20"/>
        </w:rPr>
      </w:pPr>
      <w:r w:rsidRPr="0068236B">
        <w:rPr>
          <w:rFonts w:ascii="Tahoma" w:hAnsi="Tahoma" w:cs="Tahoma"/>
          <w:sz w:val="20"/>
        </w:rPr>
        <w:t>The Report has been prepared as part of the environmental and social (E&amp;S) assessment process in accor</w:t>
      </w:r>
      <w:r w:rsidRPr="0068236B">
        <w:rPr>
          <w:rFonts w:ascii="Tahoma" w:hAnsi="Tahoma" w:cs="Tahoma"/>
          <w:sz w:val="20"/>
        </w:rPr>
        <w:t>d</w:t>
      </w:r>
      <w:r w:rsidRPr="0068236B">
        <w:rPr>
          <w:rFonts w:ascii="Tahoma" w:hAnsi="Tahoma" w:cs="Tahoma"/>
          <w:sz w:val="20"/>
        </w:rPr>
        <w:t xml:space="preserve">ance with the international requirements as required by the potential Project </w:t>
      </w:r>
      <w:r w:rsidR="00352F26" w:rsidRPr="0068236B">
        <w:rPr>
          <w:rFonts w:ascii="Tahoma" w:hAnsi="Tahoma" w:cs="Tahoma"/>
          <w:sz w:val="20"/>
        </w:rPr>
        <w:t>L</w:t>
      </w:r>
      <w:r w:rsidRPr="0068236B">
        <w:rPr>
          <w:rFonts w:ascii="Tahoma" w:hAnsi="Tahoma" w:cs="Tahoma"/>
          <w:sz w:val="20"/>
        </w:rPr>
        <w:t>ender – the European Bank for Reconstruction and Development (EBRD)</w:t>
      </w:r>
      <w:r w:rsidR="007B3672" w:rsidRPr="0068236B">
        <w:rPr>
          <w:rStyle w:val="FootnoteReference"/>
          <w:rFonts w:ascii="Tahoma" w:hAnsi="Tahoma" w:cs="Tahoma"/>
          <w:sz w:val="20"/>
        </w:rPr>
        <w:footnoteReference w:id="3"/>
      </w:r>
      <w:r w:rsidRPr="0068236B">
        <w:rPr>
          <w:rFonts w:ascii="Tahoma" w:hAnsi="Tahoma" w:cs="Tahoma"/>
          <w:sz w:val="20"/>
        </w:rPr>
        <w:t xml:space="preserve"> and based on the respective outcomes of the E&amp;S scoping process</w:t>
      </w:r>
      <w:r w:rsidRPr="0068236B">
        <w:rPr>
          <w:rStyle w:val="FootnoteReference"/>
          <w:rFonts w:ascii="Tahoma" w:hAnsi="Tahoma" w:cs="Tahoma"/>
          <w:sz w:val="20"/>
        </w:rPr>
        <w:footnoteReference w:id="4"/>
      </w:r>
      <w:r w:rsidRPr="0068236B">
        <w:rPr>
          <w:rFonts w:ascii="Tahoma" w:hAnsi="Tahoma" w:cs="Tahoma"/>
          <w:sz w:val="20"/>
        </w:rPr>
        <w:t>.</w:t>
      </w:r>
      <w:r w:rsidR="00111F7F" w:rsidRPr="0068236B">
        <w:rPr>
          <w:rFonts w:ascii="Tahoma" w:hAnsi="Tahoma" w:cs="Tahoma"/>
          <w:sz w:val="20"/>
        </w:rPr>
        <w:t xml:space="preserve"> </w:t>
      </w:r>
    </w:p>
    <w:p w14:paraId="3732DCF2" w14:textId="33492383" w:rsidR="00AB498C" w:rsidRPr="0068236B" w:rsidRDefault="00AB498C" w:rsidP="00AB498C">
      <w:pPr>
        <w:pStyle w:val="BodyText0"/>
        <w:spacing w:before="120" w:line="276" w:lineRule="auto"/>
        <w:jc w:val="both"/>
        <w:rPr>
          <w:rFonts w:ascii="Tahoma" w:hAnsi="Tahoma" w:cs="Tahoma"/>
          <w:color w:val="595959"/>
          <w:sz w:val="20"/>
          <w:szCs w:val="22"/>
        </w:rPr>
      </w:pPr>
      <w:r w:rsidRPr="0068236B">
        <w:rPr>
          <w:rFonts w:ascii="Tahoma" w:hAnsi="Tahoma" w:cs="Tahoma"/>
          <w:sz w:val="20"/>
          <w:szCs w:val="22"/>
        </w:rPr>
        <w:t>This Report is based on the Technical Assessment (Conceptual Solution) for the proposed transmission d</w:t>
      </w:r>
      <w:r w:rsidRPr="0068236B">
        <w:rPr>
          <w:rFonts w:ascii="Tahoma" w:hAnsi="Tahoma" w:cs="Tahoma"/>
          <w:sz w:val="20"/>
          <w:szCs w:val="22"/>
        </w:rPr>
        <w:t>e</w:t>
      </w:r>
      <w:r w:rsidRPr="0068236B">
        <w:rPr>
          <w:rFonts w:ascii="Tahoma" w:hAnsi="Tahoma" w:cs="Tahoma"/>
          <w:sz w:val="20"/>
          <w:szCs w:val="22"/>
        </w:rPr>
        <w:t xml:space="preserve">velopment. The Project is to be developed further through </w:t>
      </w:r>
      <w:r w:rsidR="003553E2" w:rsidRPr="0068236B">
        <w:rPr>
          <w:rFonts w:ascii="Tahoma" w:hAnsi="Tahoma" w:cs="Tahoma"/>
          <w:sz w:val="20"/>
          <w:szCs w:val="22"/>
        </w:rPr>
        <w:t>reference design stages (i.e. Pr</w:t>
      </w:r>
      <w:r w:rsidRPr="0068236B">
        <w:rPr>
          <w:rFonts w:ascii="Tahoma" w:hAnsi="Tahoma" w:cs="Tahoma"/>
          <w:sz w:val="20"/>
          <w:szCs w:val="22"/>
        </w:rPr>
        <w:t xml:space="preserve">eliminary </w:t>
      </w:r>
      <w:r w:rsidR="003553E2" w:rsidRPr="0068236B">
        <w:rPr>
          <w:rFonts w:ascii="Tahoma" w:hAnsi="Tahoma" w:cs="Tahoma"/>
          <w:sz w:val="20"/>
          <w:szCs w:val="22"/>
        </w:rPr>
        <w:t>D</w:t>
      </w:r>
      <w:r w:rsidRPr="0068236B">
        <w:rPr>
          <w:rFonts w:ascii="Tahoma" w:hAnsi="Tahoma" w:cs="Tahoma"/>
          <w:sz w:val="20"/>
          <w:szCs w:val="22"/>
        </w:rPr>
        <w:t>e</w:t>
      </w:r>
      <w:r w:rsidR="003553E2" w:rsidRPr="0068236B">
        <w:rPr>
          <w:rFonts w:ascii="Tahoma" w:hAnsi="Tahoma" w:cs="Tahoma"/>
          <w:sz w:val="20"/>
          <w:szCs w:val="22"/>
        </w:rPr>
        <w:t>sign and D</w:t>
      </w:r>
      <w:r w:rsidRPr="0068236B">
        <w:rPr>
          <w:rFonts w:ascii="Tahoma" w:hAnsi="Tahoma" w:cs="Tahoma"/>
          <w:sz w:val="20"/>
          <w:szCs w:val="22"/>
        </w:rPr>
        <w:t xml:space="preserve">etailed </w:t>
      </w:r>
      <w:r w:rsidR="003553E2" w:rsidRPr="0068236B">
        <w:rPr>
          <w:rFonts w:ascii="Tahoma" w:hAnsi="Tahoma" w:cs="Tahoma"/>
          <w:sz w:val="20"/>
          <w:szCs w:val="22"/>
        </w:rPr>
        <w:t>D</w:t>
      </w:r>
      <w:r w:rsidRPr="0068236B">
        <w:rPr>
          <w:rFonts w:ascii="Tahoma" w:hAnsi="Tahoma" w:cs="Tahoma"/>
          <w:sz w:val="20"/>
          <w:szCs w:val="22"/>
        </w:rPr>
        <w:t>esign) which will form the basis for the detailed environmental and social appraisal and appl</w:t>
      </w:r>
      <w:r w:rsidRPr="0068236B">
        <w:rPr>
          <w:rFonts w:ascii="Tahoma" w:hAnsi="Tahoma" w:cs="Tahoma"/>
          <w:sz w:val="20"/>
          <w:szCs w:val="22"/>
        </w:rPr>
        <w:t>i</w:t>
      </w:r>
      <w:r w:rsidRPr="0068236B">
        <w:rPr>
          <w:rFonts w:ascii="Tahoma" w:hAnsi="Tahoma" w:cs="Tahoma"/>
          <w:sz w:val="20"/>
          <w:szCs w:val="22"/>
        </w:rPr>
        <w:t>cation to the Macedonian competent authority for consenting purposes.</w:t>
      </w:r>
    </w:p>
    <w:p w14:paraId="03D2FF79" w14:textId="0074532C" w:rsidR="008E7326" w:rsidRPr="0068236B" w:rsidRDefault="008E7326" w:rsidP="008E7326">
      <w:pPr>
        <w:rPr>
          <w:rFonts w:cs="Tahoma"/>
          <w:sz w:val="20"/>
          <w:szCs w:val="20"/>
        </w:rPr>
      </w:pPr>
      <w:r w:rsidRPr="0068236B">
        <w:rPr>
          <w:rFonts w:cs="Tahoma"/>
          <w:sz w:val="20"/>
          <w:szCs w:val="20"/>
        </w:rPr>
        <w:t>The main text of this E&amp;S Assessment Report divides in several parts:</w:t>
      </w:r>
    </w:p>
    <w:p w14:paraId="1140A779" w14:textId="6F75C96F" w:rsidR="008E7326" w:rsidRPr="0068236B" w:rsidRDefault="008E7326" w:rsidP="008E7326">
      <w:pPr>
        <w:pStyle w:val="ListParagraph"/>
        <w:numPr>
          <w:ilvl w:val="0"/>
          <w:numId w:val="9"/>
        </w:numPr>
        <w:autoSpaceDE w:val="0"/>
        <w:autoSpaceDN w:val="0"/>
        <w:adjustRightInd w:val="0"/>
        <w:spacing w:before="0"/>
        <w:jc w:val="left"/>
        <w:rPr>
          <w:rFonts w:cs="Tahoma"/>
          <w:sz w:val="20"/>
          <w:szCs w:val="20"/>
          <w:lang w:eastAsia="en-US"/>
        </w:rPr>
      </w:pPr>
      <w:r w:rsidRPr="0068236B">
        <w:rPr>
          <w:rFonts w:cs="Tahoma"/>
          <w:sz w:val="20"/>
          <w:szCs w:val="20"/>
        </w:rPr>
        <w:t xml:space="preserve">Chapter 2 </w:t>
      </w:r>
      <w:r w:rsidRPr="0068236B">
        <w:rPr>
          <w:rFonts w:cs="Tahoma"/>
          <w:sz w:val="20"/>
          <w:szCs w:val="20"/>
          <w:lang w:eastAsia="en-US"/>
        </w:rPr>
        <w:t xml:space="preserve">describes the Project </w:t>
      </w:r>
      <w:r w:rsidRPr="0068236B">
        <w:rPr>
          <w:sz w:val="20"/>
          <w:szCs w:val="20"/>
        </w:rPr>
        <w:t>and its components. It outlines the Project history and the d</w:t>
      </w:r>
      <w:r w:rsidRPr="0068236B">
        <w:rPr>
          <w:sz w:val="20"/>
          <w:szCs w:val="20"/>
        </w:rPr>
        <w:t>e</w:t>
      </w:r>
      <w:r w:rsidRPr="0068236B">
        <w:rPr>
          <w:sz w:val="20"/>
          <w:szCs w:val="20"/>
        </w:rPr>
        <w:t>sign process to date and summarises the Project structures and elements which will be further designed and subsequently constructed.</w:t>
      </w:r>
    </w:p>
    <w:p w14:paraId="78658932" w14:textId="433AEB3D" w:rsidR="008E7326" w:rsidRPr="0068236B" w:rsidRDefault="008E7326" w:rsidP="008E7326">
      <w:pPr>
        <w:pStyle w:val="ListParagraph"/>
        <w:numPr>
          <w:ilvl w:val="0"/>
          <w:numId w:val="9"/>
        </w:numPr>
        <w:autoSpaceDE w:val="0"/>
        <w:autoSpaceDN w:val="0"/>
        <w:adjustRightInd w:val="0"/>
        <w:spacing w:before="0"/>
        <w:jc w:val="left"/>
        <w:rPr>
          <w:rFonts w:cs="Tahoma"/>
          <w:sz w:val="20"/>
          <w:szCs w:val="20"/>
          <w:lang w:eastAsia="en-US"/>
        </w:rPr>
      </w:pPr>
      <w:r w:rsidRPr="0068236B">
        <w:rPr>
          <w:rFonts w:cs="Tahoma"/>
          <w:sz w:val="20"/>
          <w:szCs w:val="20"/>
          <w:lang w:eastAsia="en-US"/>
        </w:rPr>
        <w:t>Chapter 3 presents the Project options and alternatives considered, including the ‘do-nothing’ option, and the selection process of the preferred Project option.</w:t>
      </w:r>
    </w:p>
    <w:p w14:paraId="5983C767" w14:textId="4C596550" w:rsidR="008E7326" w:rsidRPr="0068236B" w:rsidRDefault="008E7326" w:rsidP="008E7326">
      <w:pPr>
        <w:pStyle w:val="ListParagraph"/>
        <w:numPr>
          <w:ilvl w:val="0"/>
          <w:numId w:val="9"/>
        </w:numPr>
        <w:autoSpaceDE w:val="0"/>
        <w:autoSpaceDN w:val="0"/>
        <w:adjustRightInd w:val="0"/>
        <w:spacing w:before="0"/>
        <w:jc w:val="left"/>
        <w:rPr>
          <w:rFonts w:cs="Tahoma"/>
          <w:sz w:val="20"/>
          <w:szCs w:val="20"/>
          <w:lang w:eastAsia="en-US"/>
        </w:rPr>
      </w:pPr>
      <w:r w:rsidRPr="0068236B">
        <w:rPr>
          <w:rFonts w:cs="Tahoma"/>
          <w:sz w:val="20"/>
          <w:szCs w:val="20"/>
          <w:lang w:eastAsia="en-US"/>
        </w:rPr>
        <w:t>Chapter 4 presents the key legal and planning policy framework relevant for the Project</w:t>
      </w:r>
    </w:p>
    <w:p w14:paraId="729A597B" w14:textId="353633DA" w:rsidR="008E7326" w:rsidRPr="0068236B" w:rsidRDefault="008E7326" w:rsidP="008E7326">
      <w:pPr>
        <w:pStyle w:val="ListParagraph"/>
        <w:numPr>
          <w:ilvl w:val="0"/>
          <w:numId w:val="9"/>
        </w:numPr>
        <w:autoSpaceDE w:val="0"/>
        <w:autoSpaceDN w:val="0"/>
        <w:adjustRightInd w:val="0"/>
        <w:spacing w:before="0"/>
        <w:jc w:val="left"/>
        <w:rPr>
          <w:rFonts w:cs="Tahoma"/>
          <w:sz w:val="20"/>
          <w:szCs w:val="20"/>
          <w:lang w:eastAsia="en-US"/>
        </w:rPr>
      </w:pPr>
      <w:r w:rsidRPr="0068236B">
        <w:rPr>
          <w:rFonts w:cs="Tahoma"/>
          <w:sz w:val="20"/>
          <w:szCs w:val="20"/>
          <w:lang w:eastAsia="en-US"/>
        </w:rPr>
        <w:t>Chapter 5 presents the approach taken to the E&amp;S assessment.</w:t>
      </w:r>
    </w:p>
    <w:p w14:paraId="6A4D44DD" w14:textId="77777777" w:rsidR="008E7326" w:rsidRPr="0068236B" w:rsidRDefault="008E7326" w:rsidP="008E7326">
      <w:pPr>
        <w:pStyle w:val="ListParagraph"/>
        <w:numPr>
          <w:ilvl w:val="0"/>
          <w:numId w:val="9"/>
        </w:numPr>
        <w:autoSpaceDE w:val="0"/>
        <w:autoSpaceDN w:val="0"/>
        <w:adjustRightInd w:val="0"/>
        <w:spacing w:before="0"/>
        <w:jc w:val="left"/>
        <w:rPr>
          <w:rFonts w:cs="Tahoma"/>
          <w:sz w:val="20"/>
          <w:szCs w:val="20"/>
          <w:lang w:eastAsia="en-US"/>
        </w:rPr>
      </w:pPr>
      <w:r w:rsidRPr="0068236B">
        <w:rPr>
          <w:rFonts w:cs="Tahoma"/>
          <w:sz w:val="20"/>
          <w:szCs w:val="20"/>
          <w:lang w:eastAsia="en-US"/>
        </w:rPr>
        <w:t>Chapter 6 presents the stakeholder engagement process – consultation and participation a</w:t>
      </w:r>
      <w:r w:rsidRPr="0068236B">
        <w:rPr>
          <w:rFonts w:cs="Tahoma"/>
          <w:sz w:val="20"/>
          <w:szCs w:val="20"/>
          <w:lang w:eastAsia="en-US"/>
        </w:rPr>
        <w:t>r</w:t>
      </w:r>
      <w:r w:rsidRPr="0068236B">
        <w:rPr>
          <w:rFonts w:cs="Tahoma"/>
          <w:sz w:val="20"/>
          <w:szCs w:val="20"/>
          <w:lang w:eastAsia="en-US"/>
        </w:rPr>
        <w:t>rangement taken to date.</w:t>
      </w:r>
    </w:p>
    <w:p w14:paraId="0DDFFD5E" w14:textId="157BFC15" w:rsidR="008E7326" w:rsidRPr="0068236B" w:rsidRDefault="008E7326" w:rsidP="008E7326">
      <w:pPr>
        <w:pStyle w:val="ListParagraph"/>
        <w:numPr>
          <w:ilvl w:val="0"/>
          <w:numId w:val="9"/>
        </w:numPr>
        <w:autoSpaceDE w:val="0"/>
        <w:autoSpaceDN w:val="0"/>
        <w:adjustRightInd w:val="0"/>
        <w:spacing w:before="0"/>
        <w:jc w:val="left"/>
        <w:rPr>
          <w:rFonts w:cs="Tahoma"/>
          <w:sz w:val="20"/>
          <w:szCs w:val="20"/>
          <w:lang w:eastAsia="en-US"/>
        </w:rPr>
      </w:pPr>
      <w:r w:rsidRPr="0068236B">
        <w:rPr>
          <w:rFonts w:cs="Tahoma"/>
          <w:sz w:val="20"/>
          <w:szCs w:val="20"/>
          <w:lang w:eastAsia="en-US"/>
        </w:rPr>
        <w:t xml:space="preserve">Chapter 7 describes </w:t>
      </w:r>
      <w:r w:rsidRPr="0068236B">
        <w:rPr>
          <w:rFonts w:cs="Tahoma"/>
          <w:sz w:val="20"/>
          <w:szCs w:val="20"/>
        </w:rPr>
        <w:t>the main components of the physical and natural baseline environment and the social context in the area likely to be affected by the implementation of the Project.</w:t>
      </w:r>
    </w:p>
    <w:p w14:paraId="6507AA61" w14:textId="460495A8" w:rsidR="008E7326" w:rsidRPr="0068236B" w:rsidRDefault="008E7326" w:rsidP="008E7326">
      <w:pPr>
        <w:pStyle w:val="ListParagraph"/>
        <w:numPr>
          <w:ilvl w:val="0"/>
          <w:numId w:val="9"/>
        </w:numPr>
        <w:autoSpaceDE w:val="0"/>
        <w:autoSpaceDN w:val="0"/>
        <w:adjustRightInd w:val="0"/>
        <w:spacing w:before="0"/>
        <w:jc w:val="left"/>
        <w:rPr>
          <w:rFonts w:cs="Tahoma"/>
          <w:sz w:val="20"/>
          <w:szCs w:val="20"/>
          <w:lang w:eastAsia="en-US"/>
        </w:rPr>
      </w:pPr>
      <w:r w:rsidRPr="0068236B">
        <w:rPr>
          <w:rFonts w:cs="Tahoma"/>
          <w:sz w:val="20"/>
          <w:szCs w:val="20"/>
          <w:lang w:eastAsia="en-US"/>
        </w:rPr>
        <w:t xml:space="preserve">Chapters 8 </w:t>
      </w:r>
      <w:r w:rsidR="00FD1D4C" w:rsidRPr="0068236B">
        <w:rPr>
          <w:rFonts w:cs="Tahoma"/>
          <w:sz w:val="20"/>
          <w:szCs w:val="20"/>
          <w:lang w:eastAsia="en-US"/>
        </w:rPr>
        <w:t>-10</w:t>
      </w:r>
      <w:r w:rsidRPr="0068236B">
        <w:rPr>
          <w:rFonts w:cs="Tahoma"/>
          <w:sz w:val="20"/>
          <w:szCs w:val="20"/>
          <w:lang w:eastAsia="en-US"/>
        </w:rPr>
        <w:t xml:space="preserve"> present the assessment of the likely significant effects of the Project and the proposed mitigation in relation to the relevant specialist topics covering particular aspects of the physical and natural environment as well as the societal environment.</w:t>
      </w:r>
    </w:p>
    <w:p w14:paraId="72204405" w14:textId="273C39D3" w:rsidR="008E7326" w:rsidRPr="0068236B" w:rsidRDefault="00FD1D4C" w:rsidP="008E7326">
      <w:pPr>
        <w:pStyle w:val="ListParagraph"/>
        <w:numPr>
          <w:ilvl w:val="0"/>
          <w:numId w:val="9"/>
        </w:numPr>
        <w:autoSpaceDE w:val="0"/>
        <w:autoSpaceDN w:val="0"/>
        <w:adjustRightInd w:val="0"/>
        <w:spacing w:before="0"/>
        <w:jc w:val="left"/>
        <w:rPr>
          <w:rFonts w:cs="Tahoma"/>
          <w:sz w:val="20"/>
          <w:szCs w:val="20"/>
          <w:lang w:eastAsia="en-US"/>
        </w:rPr>
      </w:pPr>
      <w:r w:rsidRPr="0068236B">
        <w:rPr>
          <w:rFonts w:cs="Tahoma"/>
          <w:sz w:val="20"/>
          <w:szCs w:val="20"/>
          <w:lang w:eastAsia="en-US"/>
        </w:rPr>
        <w:t>Chapter 11</w:t>
      </w:r>
      <w:r w:rsidR="008E7326" w:rsidRPr="0068236B">
        <w:rPr>
          <w:rFonts w:cs="Tahoma"/>
          <w:sz w:val="20"/>
          <w:szCs w:val="20"/>
          <w:lang w:eastAsia="en-US"/>
        </w:rPr>
        <w:t xml:space="preserve"> outlines the Project’s emergency response planning.</w:t>
      </w:r>
    </w:p>
    <w:p w14:paraId="5ADE6C86" w14:textId="5BF9F489" w:rsidR="008E7326" w:rsidRPr="0068236B" w:rsidRDefault="008E7326" w:rsidP="008E7326">
      <w:pPr>
        <w:pStyle w:val="ListParagraph"/>
        <w:numPr>
          <w:ilvl w:val="0"/>
          <w:numId w:val="9"/>
        </w:numPr>
        <w:autoSpaceDE w:val="0"/>
        <w:autoSpaceDN w:val="0"/>
        <w:adjustRightInd w:val="0"/>
        <w:spacing w:before="0"/>
        <w:jc w:val="left"/>
        <w:rPr>
          <w:rFonts w:cs="Tahoma"/>
          <w:sz w:val="20"/>
          <w:szCs w:val="20"/>
          <w:lang w:eastAsia="en-US"/>
        </w:rPr>
      </w:pPr>
      <w:r w:rsidRPr="0068236B">
        <w:rPr>
          <w:rFonts w:cs="Tahoma"/>
          <w:sz w:val="20"/>
          <w:szCs w:val="20"/>
          <w:lang w:eastAsia="en-US"/>
        </w:rPr>
        <w:t>Chapter 1</w:t>
      </w:r>
      <w:r w:rsidR="00FD1D4C" w:rsidRPr="0068236B">
        <w:rPr>
          <w:rFonts w:cs="Tahoma"/>
          <w:sz w:val="20"/>
          <w:szCs w:val="20"/>
          <w:lang w:eastAsia="en-US"/>
        </w:rPr>
        <w:t>2</w:t>
      </w:r>
      <w:r w:rsidRPr="0068236B">
        <w:rPr>
          <w:rFonts w:cs="Tahoma"/>
          <w:sz w:val="20"/>
          <w:szCs w:val="20"/>
          <w:lang w:eastAsia="en-US"/>
        </w:rPr>
        <w:t xml:space="preserve"> outlines the Project’s environmental and social management.</w:t>
      </w:r>
    </w:p>
    <w:p w14:paraId="17E42997" w14:textId="77777777" w:rsidR="008E7326" w:rsidRPr="0068236B" w:rsidRDefault="008E7326" w:rsidP="00AB498C">
      <w:pPr>
        <w:pStyle w:val="BodyText0"/>
        <w:spacing w:before="120" w:line="276" w:lineRule="auto"/>
        <w:jc w:val="both"/>
        <w:rPr>
          <w:rFonts w:ascii="Tahoma" w:hAnsi="Tahoma" w:cs="Tahoma"/>
          <w:color w:val="595959"/>
          <w:sz w:val="20"/>
          <w:szCs w:val="20"/>
        </w:rPr>
      </w:pPr>
    </w:p>
    <w:p w14:paraId="587A4CF8" w14:textId="123A8805" w:rsidR="0039623F" w:rsidRPr="0068236B" w:rsidRDefault="00071487" w:rsidP="008E7326">
      <w:pPr>
        <w:pStyle w:val="Heading2"/>
      </w:pPr>
      <w:bookmarkStart w:id="14" w:name="_Toc112852184"/>
      <w:r w:rsidRPr="0068236B">
        <w:t xml:space="preserve">Project Design Status and </w:t>
      </w:r>
      <w:r w:rsidR="0039623F" w:rsidRPr="0068236B">
        <w:t>Level of Details</w:t>
      </w:r>
      <w:bookmarkEnd w:id="13"/>
      <w:bookmarkEnd w:id="14"/>
    </w:p>
    <w:p w14:paraId="705A9086" w14:textId="1DD9433D" w:rsidR="00071487" w:rsidRPr="0068236B" w:rsidRDefault="0039623F" w:rsidP="00071487">
      <w:pPr>
        <w:rPr>
          <w:rFonts w:cs="Tahoma"/>
          <w:sz w:val="20"/>
        </w:rPr>
      </w:pPr>
      <w:r w:rsidRPr="0068236B">
        <w:rPr>
          <w:rFonts w:cs="Tahoma"/>
          <w:sz w:val="20"/>
        </w:rPr>
        <w:t>In this stage, the Pro</w:t>
      </w:r>
      <w:r w:rsidR="00E95301" w:rsidRPr="0068236B">
        <w:rPr>
          <w:rFonts w:cs="Tahoma"/>
          <w:sz w:val="20"/>
        </w:rPr>
        <w:t xml:space="preserve">ject </w:t>
      </w:r>
      <w:r w:rsidR="00E1530A" w:rsidRPr="0068236B">
        <w:rPr>
          <w:rFonts w:cs="Tahoma"/>
          <w:sz w:val="20"/>
        </w:rPr>
        <w:t xml:space="preserve">is </w:t>
      </w:r>
      <w:r w:rsidR="00E95301" w:rsidRPr="0068236B">
        <w:rPr>
          <w:rFonts w:cs="Tahoma"/>
          <w:sz w:val="20"/>
        </w:rPr>
        <w:t xml:space="preserve">developed to a </w:t>
      </w:r>
      <w:r w:rsidRPr="0068236B">
        <w:rPr>
          <w:rFonts w:cs="Tahoma"/>
          <w:sz w:val="20"/>
        </w:rPr>
        <w:t>feasibility level - to a detail considered sufficient to establish that the proposed development</w:t>
      </w:r>
      <w:r w:rsidR="007F6A9C" w:rsidRPr="0068236B">
        <w:rPr>
          <w:rFonts w:cs="Tahoma"/>
          <w:sz w:val="20"/>
        </w:rPr>
        <w:t>s</w:t>
      </w:r>
      <w:r w:rsidRPr="0068236B">
        <w:rPr>
          <w:rFonts w:cs="Tahoma"/>
          <w:sz w:val="20"/>
        </w:rPr>
        <w:t xml:space="preserve"> </w:t>
      </w:r>
      <w:r w:rsidR="007F6A9C" w:rsidRPr="0068236B">
        <w:rPr>
          <w:rFonts w:cs="Tahoma"/>
          <w:sz w:val="20"/>
        </w:rPr>
        <w:t>are</w:t>
      </w:r>
      <w:r w:rsidRPr="0068236B">
        <w:rPr>
          <w:rFonts w:cs="Tahoma"/>
          <w:sz w:val="20"/>
        </w:rPr>
        <w:t xml:space="preserve"> technically feasible and to allow initial assess</w:t>
      </w:r>
      <w:r w:rsidR="007F6A9C" w:rsidRPr="0068236B">
        <w:rPr>
          <w:rFonts w:cs="Tahoma"/>
          <w:sz w:val="20"/>
        </w:rPr>
        <w:t>ment of their</w:t>
      </w:r>
      <w:r w:rsidRPr="0068236B">
        <w:rPr>
          <w:rFonts w:cs="Tahoma"/>
          <w:sz w:val="20"/>
        </w:rPr>
        <w:t xml:space="preserve"> environmental and social integrity and effects, i.e. to a level of</w:t>
      </w:r>
      <w:r w:rsidR="007F6A9C" w:rsidRPr="0068236B">
        <w:rPr>
          <w:rFonts w:cs="Tahoma"/>
          <w:sz w:val="20"/>
        </w:rPr>
        <w:t xml:space="preserve"> </w:t>
      </w:r>
      <w:r w:rsidR="00E95301" w:rsidRPr="0068236B">
        <w:rPr>
          <w:rFonts w:cs="Tahoma"/>
          <w:sz w:val="20"/>
        </w:rPr>
        <w:t>Technical Assessment</w:t>
      </w:r>
      <w:r w:rsidR="003553E2" w:rsidRPr="0068236B">
        <w:rPr>
          <w:rStyle w:val="FootnoteReference"/>
          <w:rFonts w:cs="Tahoma"/>
          <w:sz w:val="20"/>
          <w:szCs w:val="20"/>
        </w:rPr>
        <w:footnoteReference w:id="5"/>
      </w:r>
      <w:r w:rsidR="00E95301" w:rsidRPr="0068236B">
        <w:rPr>
          <w:rFonts w:cs="Tahoma"/>
          <w:sz w:val="20"/>
        </w:rPr>
        <w:t xml:space="preserve"> </w:t>
      </w:r>
      <w:r w:rsidR="007F6A9C" w:rsidRPr="0068236B">
        <w:rPr>
          <w:rFonts w:cs="Tahoma"/>
          <w:sz w:val="20"/>
        </w:rPr>
        <w:t>(</w:t>
      </w:r>
      <w:r w:rsidR="00386259" w:rsidRPr="0068236B">
        <w:rPr>
          <w:rFonts w:cs="Tahoma"/>
          <w:sz w:val="20"/>
        </w:rPr>
        <w:t>Conceptual Solution</w:t>
      </w:r>
      <w:r w:rsidR="007F6A9C" w:rsidRPr="0068236B">
        <w:rPr>
          <w:rFonts w:cs="Tahoma"/>
          <w:sz w:val="20"/>
        </w:rPr>
        <w:t>) that corr</w:t>
      </w:r>
      <w:r w:rsidR="007F6A9C" w:rsidRPr="0068236B">
        <w:rPr>
          <w:rFonts w:cs="Tahoma"/>
          <w:sz w:val="20"/>
        </w:rPr>
        <w:t>e</w:t>
      </w:r>
      <w:r w:rsidR="007F6A9C" w:rsidRPr="0068236B">
        <w:rPr>
          <w:rFonts w:cs="Tahoma"/>
          <w:sz w:val="20"/>
        </w:rPr>
        <w:t>sponds to a Feasibility Study</w:t>
      </w:r>
      <w:r w:rsidRPr="0068236B">
        <w:rPr>
          <w:rFonts w:cs="Tahoma"/>
          <w:sz w:val="20"/>
        </w:rPr>
        <w:t xml:space="preserve">. Therefore, the level of detail of the </w:t>
      </w:r>
      <w:r w:rsidR="005E7ED5" w:rsidRPr="0068236B">
        <w:rPr>
          <w:rFonts w:cs="Tahoma"/>
          <w:sz w:val="20"/>
        </w:rPr>
        <w:t xml:space="preserve">present </w:t>
      </w:r>
      <w:r w:rsidR="00E1530A" w:rsidRPr="0068236B">
        <w:rPr>
          <w:rFonts w:cs="Tahoma"/>
          <w:sz w:val="20"/>
        </w:rPr>
        <w:t>E&amp;S assessment is</w:t>
      </w:r>
      <w:r w:rsidRPr="0068236B">
        <w:rPr>
          <w:rFonts w:cs="Tahoma"/>
          <w:sz w:val="20"/>
        </w:rPr>
        <w:t xml:space="preserve"> compliant with that of the Project’s </w:t>
      </w:r>
      <w:r w:rsidR="00386259" w:rsidRPr="0068236B">
        <w:rPr>
          <w:rFonts w:cs="Tahoma"/>
          <w:sz w:val="20"/>
        </w:rPr>
        <w:t>Conceptual Solution</w:t>
      </w:r>
      <w:r w:rsidR="00616805" w:rsidRPr="0068236B">
        <w:rPr>
          <w:rFonts w:cs="Tahoma"/>
          <w:sz w:val="20"/>
        </w:rPr>
        <w:t xml:space="preserve"> whose content and scope are not specifically regulated by the rel</w:t>
      </w:r>
      <w:r w:rsidR="00616805" w:rsidRPr="0068236B">
        <w:rPr>
          <w:rFonts w:cs="Tahoma"/>
          <w:sz w:val="20"/>
        </w:rPr>
        <w:t>e</w:t>
      </w:r>
      <w:r w:rsidR="00616805" w:rsidRPr="0068236B">
        <w:rPr>
          <w:rFonts w:cs="Tahoma"/>
          <w:sz w:val="20"/>
        </w:rPr>
        <w:lastRenderedPageBreak/>
        <w:t>vant Macedonian legislation</w:t>
      </w:r>
      <w:r w:rsidR="00616805" w:rsidRPr="0068236B">
        <w:rPr>
          <w:rFonts w:cs="Tahoma"/>
          <w:sz w:val="20"/>
          <w:vertAlign w:val="superscript"/>
        </w:rPr>
        <w:footnoteReference w:id="6"/>
      </w:r>
      <w:r w:rsidR="00616805" w:rsidRPr="0068236B">
        <w:rPr>
          <w:rFonts w:cs="Tahoma"/>
          <w:sz w:val="20"/>
        </w:rPr>
        <w:t>. As such, the Conceptual Solution is not considered as formalised design doc</w:t>
      </w:r>
      <w:r w:rsidR="00616805" w:rsidRPr="0068236B">
        <w:rPr>
          <w:rFonts w:cs="Tahoma"/>
          <w:sz w:val="20"/>
        </w:rPr>
        <w:t>u</w:t>
      </w:r>
      <w:r w:rsidR="00616805" w:rsidRPr="0068236B">
        <w:rPr>
          <w:rFonts w:cs="Tahoma"/>
          <w:sz w:val="20"/>
        </w:rPr>
        <w:t>ment and no administrative consenting process for its adoption by the competent authorities is required. According to the general practice, this Conceptual Solution (in Macedonian: ‘Konceptualno reshenie’</w:t>
      </w:r>
      <w:r w:rsidR="00E1530A" w:rsidRPr="0068236B">
        <w:rPr>
          <w:rStyle w:val="FootnoteReference"/>
          <w:rFonts w:cs="Tahoma"/>
          <w:sz w:val="20"/>
        </w:rPr>
        <w:footnoteReference w:id="7"/>
      </w:r>
      <w:r w:rsidR="00616805" w:rsidRPr="0068236B">
        <w:rPr>
          <w:rFonts w:cs="Tahoma"/>
          <w:sz w:val="20"/>
        </w:rPr>
        <w:t>) co</w:t>
      </w:r>
      <w:r w:rsidR="00616805" w:rsidRPr="0068236B">
        <w:rPr>
          <w:rFonts w:cs="Tahoma"/>
          <w:sz w:val="20"/>
        </w:rPr>
        <w:t>n</w:t>
      </w:r>
      <w:r w:rsidR="00616805" w:rsidRPr="0068236B">
        <w:rPr>
          <w:rFonts w:cs="Tahoma"/>
          <w:sz w:val="20"/>
        </w:rPr>
        <w:t>tains in particular data on: macro-location and general disposition of the facility / infrastructure; technical-technological conception of the facility / infrastructure; the manner of providing the supporting infrastru</w:t>
      </w:r>
      <w:r w:rsidR="00616805" w:rsidRPr="0068236B">
        <w:rPr>
          <w:rFonts w:cs="Tahoma"/>
          <w:sz w:val="20"/>
        </w:rPr>
        <w:t>c</w:t>
      </w:r>
      <w:r w:rsidR="00616805" w:rsidRPr="0068236B">
        <w:rPr>
          <w:rFonts w:cs="Tahoma"/>
          <w:sz w:val="20"/>
        </w:rPr>
        <w:t>ture; possible variants of spatial and technical solutions from the point of view of fitting into space; natural conditions; functionality and rationality of the project solution.’</w:t>
      </w:r>
      <w:r w:rsidR="00071487" w:rsidRPr="0068236B">
        <w:rPr>
          <w:rFonts w:cs="Tahoma"/>
          <w:sz w:val="20"/>
        </w:rPr>
        <w:t xml:space="preserve"> The Feasibility Study and the Technical A</w:t>
      </w:r>
      <w:r w:rsidR="00071487" w:rsidRPr="0068236B">
        <w:rPr>
          <w:rFonts w:cs="Tahoma"/>
          <w:sz w:val="20"/>
        </w:rPr>
        <w:t>s</w:t>
      </w:r>
      <w:r w:rsidR="00071487" w:rsidRPr="0068236B">
        <w:rPr>
          <w:rFonts w:cs="Tahoma"/>
          <w:sz w:val="20"/>
        </w:rPr>
        <w:t>sessment (Conceptual Solution) comply with the respective EBRD requirements.</w:t>
      </w:r>
    </w:p>
    <w:p w14:paraId="1CE12776" w14:textId="259697FD" w:rsidR="0099694E" w:rsidRPr="0068236B" w:rsidRDefault="0099694E" w:rsidP="0099694E">
      <w:pPr>
        <w:rPr>
          <w:rFonts w:cs="Arial"/>
          <w:sz w:val="20"/>
          <w:szCs w:val="20"/>
        </w:rPr>
      </w:pPr>
      <w:bookmarkStart w:id="15" w:name="_Toc71559715"/>
      <w:r w:rsidRPr="0068236B">
        <w:rPr>
          <w:rFonts w:cs="Arial"/>
          <w:sz w:val="20"/>
          <w:szCs w:val="20"/>
        </w:rPr>
        <w:t xml:space="preserve">Further design, including precise location of towers </w:t>
      </w:r>
      <w:r w:rsidR="00D538FE" w:rsidRPr="0068236B">
        <w:rPr>
          <w:rFonts w:cs="Arial"/>
          <w:sz w:val="20"/>
          <w:szCs w:val="20"/>
        </w:rPr>
        <w:t xml:space="preserve">(for new transmission lines) </w:t>
      </w:r>
      <w:r w:rsidRPr="0068236B">
        <w:rPr>
          <w:rFonts w:cs="Arial"/>
          <w:sz w:val="20"/>
          <w:szCs w:val="20"/>
        </w:rPr>
        <w:t xml:space="preserve">and </w:t>
      </w:r>
      <w:r w:rsidR="00D538FE" w:rsidRPr="0068236B">
        <w:rPr>
          <w:rFonts w:cs="Arial"/>
          <w:sz w:val="20"/>
          <w:szCs w:val="20"/>
        </w:rPr>
        <w:t xml:space="preserve">new </w:t>
      </w:r>
      <w:r w:rsidRPr="0068236B">
        <w:rPr>
          <w:rFonts w:cs="Arial"/>
          <w:sz w:val="20"/>
          <w:szCs w:val="20"/>
        </w:rPr>
        <w:t xml:space="preserve">access roads </w:t>
      </w:r>
      <w:r w:rsidR="00D538FE" w:rsidRPr="0068236B">
        <w:rPr>
          <w:rFonts w:cs="Arial"/>
          <w:sz w:val="20"/>
          <w:szCs w:val="20"/>
        </w:rPr>
        <w:t xml:space="preserve">(where necessary) </w:t>
      </w:r>
      <w:r w:rsidRPr="0068236B">
        <w:rPr>
          <w:rFonts w:cs="Arial"/>
          <w:sz w:val="20"/>
          <w:szCs w:val="20"/>
        </w:rPr>
        <w:t>will be undertaken once the more detailed technical design</w:t>
      </w:r>
      <w:r w:rsidRPr="0068236B">
        <w:rPr>
          <w:sz w:val="20"/>
          <w:szCs w:val="20"/>
        </w:rPr>
        <w:t xml:space="preserve"> </w:t>
      </w:r>
      <w:r w:rsidRPr="0068236B">
        <w:rPr>
          <w:rFonts w:cs="Arial"/>
          <w:sz w:val="20"/>
          <w:szCs w:val="20"/>
        </w:rPr>
        <w:t xml:space="preserve">(Preliminary Design and </w:t>
      </w:r>
      <w:r w:rsidR="003553E2" w:rsidRPr="0068236B">
        <w:rPr>
          <w:rFonts w:cs="Arial"/>
          <w:sz w:val="20"/>
          <w:szCs w:val="20"/>
        </w:rPr>
        <w:t>D</w:t>
      </w:r>
      <w:r w:rsidR="003553E2" w:rsidRPr="0068236B">
        <w:rPr>
          <w:rFonts w:cs="Arial"/>
          <w:sz w:val="20"/>
          <w:szCs w:val="20"/>
        </w:rPr>
        <w:t>e</w:t>
      </w:r>
      <w:r w:rsidR="003553E2" w:rsidRPr="0068236B">
        <w:rPr>
          <w:rFonts w:cs="Arial"/>
          <w:sz w:val="20"/>
          <w:szCs w:val="20"/>
        </w:rPr>
        <w:t>tailed</w:t>
      </w:r>
      <w:r w:rsidRPr="0068236B">
        <w:rPr>
          <w:rFonts w:cs="Arial"/>
          <w:sz w:val="20"/>
          <w:szCs w:val="20"/>
        </w:rPr>
        <w:t xml:space="preserve"> Design) as required by the Macedonian relevant legislation are developed and prior to construction commencing. </w:t>
      </w:r>
      <w:r w:rsidRPr="0068236B">
        <w:rPr>
          <w:sz w:val="20"/>
        </w:rPr>
        <w:t xml:space="preserve">This change or refinement of the feasibility design (Conceptual Solution) will be within the limits of deviation defined as a 500 m wide planning corridor along the </w:t>
      </w:r>
      <w:r w:rsidR="00D538FE" w:rsidRPr="0068236B">
        <w:rPr>
          <w:sz w:val="20"/>
        </w:rPr>
        <w:t xml:space="preserve">new </w:t>
      </w:r>
      <w:r w:rsidRPr="0068236B">
        <w:rPr>
          <w:sz w:val="20"/>
        </w:rPr>
        <w:t xml:space="preserve">transmission lines where </w:t>
      </w:r>
      <w:r w:rsidRPr="0068236B">
        <w:rPr>
          <w:rFonts w:cs="Arial"/>
          <w:sz w:val="20"/>
          <w:szCs w:val="20"/>
        </w:rPr>
        <w:t>ind</w:t>
      </w:r>
      <w:r w:rsidRPr="0068236B">
        <w:rPr>
          <w:rFonts w:cs="Arial"/>
          <w:sz w:val="20"/>
          <w:szCs w:val="20"/>
        </w:rPr>
        <w:t>i</w:t>
      </w:r>
      <w:r w:rsidRPr="0068236B">
        <w:rPr>
          <w:rFonts w:cs="Arial"/>
          <w:sz w:val="20"/>
          <w:szCs w:val="20"/>
        </w:rPr>
        <w:t xml:space="preserve">vidual towers can be moved laterally or longitudinally </w:t>
      </w:r>
      <w:r w:rsidRPr="0068236B">
        <w:rPr>
          <w:sz w:val="20"/>
        </w:rPr>
        <w:t>and a 100 m buffer around proposed substation loc</w:t>
      </w:r>
      <w:r w:rsidRPr="0068236B">
        <w:rPr>
          <w:sz w:val="20"/>
        </w:rPr>
        <w:t>a</w:t>
      </w:r>
      <w:r w:rsidRPr="0068236B">
        <w:rPr>
          <w:sz w:val="20"/>
        </w:rPr>
        <w:t>tion.</w:t>
      </w:r>
      <w:r w:rsidRPr="0068236B">
        <w:rPr>
          <w:rFonts w:cs="Arial"/>
          <w:sz w:val="20"/>
          <w:szCs w:val="20"/>
        </w:rPr>
        <w:t xml:space="preserve"> </w:t>
      </w:r>
      <w:r w:rsidRPr="0068236B">
        <w:rPr>
          <w:sz w:val="20"/>
        </w:rPr>
        <w:t xml:space="preserve">It is anticipated that the majority of the refinement of the current feasibility design will be within this corridor/buffer and, taken into the consideration the nature and the scale of Project, </w:t>
      </w:r>
      <w:r w:rsidRPr="0068236B">
        <w:rPr>
          <w:rFonts w:cs="Tahoma"/>
          <w:sz w:val="20"/>
          <w:szCs w:val="20"/>
        </w:rPr>
        <w:t>further design deve</w:t>
      </w:r>
      <w:r w:rsidRPr="0068236B">
        <w:rPr>
          <w:rFonts w:cs="Tahoma"/>
          <w:sz w:val="20"/>
          <w:szCs w:val="20"/>
        </w:rPr>
        <w:t>l</w:t>
      </w:r>
      <w:r w:rsidRPr="0068236B">
        <w:rPr>
          <w:rFonts w:cs="Tahoma"/>
          <w:sz w:val="20"/>
          <w:szCs w:val="20"/>
        </w:rPr>
        <w:t>opment or refinement in this regard is not likely to be undertaken.</w:t>
      </w:r>
      <w:r w:rsidRPr="0068236B">
        <w:rPr>
          <w:rFonts w:cs="Arial"/>
          <w:sz w:val="20"/>
          <w:szCs w:val="20"/>
        </w:rPr>
        <w:t xml:space="preserve"> </w:t>
      </w:r>
      <w:r w:rsidR="007B3672" w:rsidRPr="0068236B">
        <w:rPr>
          <w:rFonts w:cs="Tahoma"/>
          <w:sz w:val="20"/>
          <w:szCs w:val="20"/>
        </w:rPr>
        <w:t>However, if changes to design beyond these limits occur, they will require further E&amp;S consideration and may be subject to supplementary asses</w:t>
      </w:r>
      <w:r w:rsidR="007B3672" w:rsidRPr="0068236B">
        <w:rPr>
          <w:rFonts w:cs="Tahoma"/>
          <w:sz w:val="20"/>
          <w:szCs w:val="20"/>
        </w:rPr>
        <w:t>s</w:t>
      </w:r>
      <w:r w:rsidR="007B3672" w:rsidRPr="0068236B">
        <w:rPr>
          <w:rFonts w:cs="Tahoma"/>
          <w:sz w:val="20"/>
          <w:szCs w:val="20"/>
        </w:rPr>
        <w:t xml:space="preserve">ment. If these changes are material, they may require approval by Project parties. This process is described in the Management of Change Procedure (MCP) as described in this report. </w:t>
      </w:r>
      <w:r w:rsidRPr="0068236B">
        <w:rPr>
          <w:rFonts w:cs="Arial"/>
          <w:sz w:val="20"/>
          <w:szCs w:val="20"/>
        </w:rPr>
        <w:t>Where technical details of the Project have still to be finalized, such as detailed construction methods, etc., standard practice assumptions are made in the E&amp;S assessment to allow potential impacts to be identified and appropriate mitigation fo</w:t>
      </w:r>
      <w:r w:rsidRPr="0068236B">
        <w:rPr>
          <w:rFonts w:cs="Arial"/>
          <w:sz w:val="20"/>
          <w:szCs w:val="20"/>
        </w:rPr>
        <w:t>r</w:t>
      </w:r>
      <w:r w:rsidRPr="0068236B">
        <w:rPr>
          <w:rFonts w:cs="Arial"/>
          <w:sz w:val="20"/>
          <w:szCs w:val="20"/>
        </w:rPr>
        <w:t>mulated</w:t>
      </w:r>
      <w:r w:rsidR="000C4FB7" w:rsidRPr="0068236B">
        <w:rPr>
          <w:rFonts w:cs="Arial"/>
          <w:sz w:val="20"/>
          <w:szCs w:val="20"/>
        </w:rPr>
        <w:t xml:space="preserve"> (see Section 5.9)</w:t>
      </w:r>
      <w:r w:rsidRPr="0068236B">
        <w:rPr>
          <w:rFonts w:cs="Arial"/>
          <w:sz w:val="20"/>
          <w:szCs w:val="20"/>
        </w:rPr>
        <w:t>.</w:t>
      </w:r>
    </w:p>
    <w:p w14:paraId="2C29617A" w14:textId="77777777" w:rsidR="005C1605" w:rsidRPr="0068236B" w:rsidRDefault="005C1605" w:rsidP="0099694E">
      <w:pPr>
        <w:rPr>
          <w:rFonts w:cs="Arial"/>
          <w:sz w:val="20"/>
          <w:szCs w:val="20"/>
        </w:rPr>
      </w:pPr>
    </w:p>
    <w:p w14:paraId="5E994061" w14:textId="631A6454" w:rsidR="00BF7E0B" w:rsidRPr="0068236B" w:rsidRDefault="00BF7E0B" w:rsidP="005C1605">
      <w:pPr>
        <w:pStyle w:val="Heading2"/>
      </w:pPr>
      <w:bookmarkStart w:id="16" w:name="_Toc112852185"/>
      <w:r w:rsidRPr="0068236B">
        <w:t>The Proposed Project</w:t>
      </w:r>
      <w:bookmarkEnd w:id="15"/>
      <w:bookmarkEnd w:id="16"/>
    </w:p>
    <w:p w14:paraId="3847A21B" w14:textId="77777777" w:rsidR="00D27C43" w:rsidRPr="0068236B" w:rsidRDefault="00BF7E0B" w:rsidP="005C1605">
      <w:pPr>
        <w:pStyle w:val="Heading3"/>
      </w:pPr>
      <w:bookmarkStart w:id="17" w:name="_Toc71559716"/>
      <w:bookmarkStart w:id="18" w:name="_Toc112852186"/>
      <w:r w:rsidRPr="0068236B">
        <w:t>Project Location</w:t>
      </w:r>
      <w:bookmarkEnd w:id="17"/>
      <w:bookmarkEnd w:id="18"/>
    </w:p>
    <w:p w14:paraId="4593752B" w14:textId="21474DB9" w:rsidR="00E1530A" w:rsidRPr="0068236B" w:rsidRDefault="00E1530A" w:rsidP="00E1530A">
      <w:pPr>
        <w:rPr>
          <w:rFonts w:cs="Tahoma"/>
          <w:sz w:val="20"/>
        </w:rPr>
      </w:pPr>
      <w:r w:rsidRPr="0068236B">
        <w:rPr>
          <w:rFonts w:cs="Tahoma"/>
          <w:bCs/>
          <w:kern w:val="32"/>
          <w:sz w:val="20"/>
          <w:szCs w:val="20"/>
        </w:rPr>
        <w:t xml:space="preserve">The Project area is situated in Southeast Region of North Macedonia, in two </w:t>
      </w:r>
      <w:r w:rsidRPr="0068236B">
        <w:rPr>
          <w:rFonts w:cs="Tahoma"/>
          <w:sz w:val="20"/>
        </w:rPr>
        <w:t>Macedonian local self-government (LSG) units - the municipalities of Gevgelija and Valandovo.</w:t>
      </w:r>
    </w:p>
    <w:p w14:paraId="0AC8CC08" w14:textId="39F2A040" w:rsidR="001D7A41" w:rsidRPr="0068236B" w:rsidRDefault="001D7A41" w:rsidP="001D7A41">
      <w:pPr>
        <w:pStyle w:val="NumberedParagraph"/>
        <w:rPr>
          <w:sz w:val="20"/>
        </w:rPr>
      </w:pPr>
      <w:r w:rsidRPr="0068236B">
        <w:rPr>
          <w:sz w:val="20"/>
        </w:rPr>
        <w:t xml:space="preserve">The location of the proposed </w:t>
      </w:r>
      <w:r w:rsidR="00B91B1E" w:rsidRPr="0068236B">
        <w:rPr>
          <w:sz w:val="20"/>
        </w:rPr>
        <w:t>400/110 kV SS Miletkovo</w:t>
      </w:r>
      <w:r w:rsidRPr="0068236B">
        <w:rPr>
          <w:sz w:val="20"/>
        </w:rPr>
        <w:t xml:space="preserve"> (is situated in the wider area of the settlement M</w:t>
      </w:r>
      <w:r w:rsidRPr="0068236B">
        <w:rPr>
          <w:sz w:val="20"/>
        </w:rPr>
        <w:t>i</w:t>
      </w:r>
      <w:r w:rsidRPr="0068236B">
        <w:rPr>
          <w:sz w:val="20"/>
        </w:rPr>
        <w:t xml:space="preserve">letkovo (at relative distance of approximately 1 km), in the municipality of Gevgelija, in immediate proximity to the </w:t>
      </w:r>
      <w:r w:rsidRPr="0068236B">
        <w:rPr>
          <w:rFonts w:cs="Arial"/>
          <w:sz w:val="20"/>
          <w:szCs w:val="20"/>
        </w:rPr>
        <w:t xml:space="preserve">A1 highway Skopje – Gevgelija (further to Thessalonica, Greece), at approx. 7.5 km from the existing 110/35/10 kV substation in Valandovo (Figure below). </w:t>
      </w:r>
      <w:r w:rsidRPr="0068236B">
        <w:rPr>
          <w:sz w:val="20"/>
        </w:rPr>
        <w:t xml:space="preserve">There are no other existing structures or transmission or other infrastructure in proximity to the location of the new substation. </w:t>
      </w:r>
      <w:r w:rsidR="00F7452B" w:rsidRPr="0068236B">
        <w:rPr>
          <w:sz w:val="20"/>
        </w:rPr>
        <w:t>According to the publicaly available information and information from the relevant spatial and urban planning authorities obtained throughout the stakeholder engagement process to date, there are no future development plans associated to the pr</w:t>
      </w:r>
      <w:r w:rsidR="00F7452B" w:rsidRPr="0068236B">
        <w:rPr>
          <w:sz w:val="20"/>
        </w:rPr>
        <w:t>o</w:t>
      </w:r>
      <w:r w:rsidR="00F7452B" w:rsidRPr="0068236B">
        <w:rPr>
          <w:sz w:val="20"/>
        </w:rPr>
        <w:t xml:space="preserve">posed location for the new substation. </w:t>
      </w:r>
      <w:r w:rsidRPr="0068236B">
        <w:rPr>
          <w:sz w:val="20"/>
        </w:rPr>
        <w:t xml:space="preserve">This new substation would be connected with the existing 400 kV transmission network via ‘in-out’ </w:t>
      </w:r>
      <w:r w:rsidR="00602429" w:rsidRPr="0068236B">
        <w:rPr>
          <w:sz w:val="20"/>
        </w:rPr>
        <w:t xml:space="preserve">approx. 500 metres long </w:t>
      </w:r>
      <w:r w:rsidRPr="0068236B">
        <w:rPr>
          <w:sz w:val="20"/>
        </w:rPr>
        <w:t>connection with the existing 400 kV OHL from Dubrovo to Thessalonica (GR) which passes in the immediate proximity to the proposed substation location.</w:t>
      </w:r>
    </w:p>
    <w:p w14:paraId="5BC28E3A" w14:textId="763FAF96" w:rsidR="00D27C43" w:rsidRPr="0068236B" w:rsidRDefault="00CD23DA" w:rsidP="00D27C43">
      <w:pPr>
        <w:pStyle w:val="NumberedParagraph"/>
        <w:rPr>
          <w:sz w:val="20"/>
        </w:rPr>
      </w:pPr>
      <w:r w:rsidRPr="0068236B">
        <w:rPr>
          <w:noProof/>
          <w:lang w:val="mk-MK" w:eastAsia="mk-MK"/>
        </w:rPr>
        <w:lastRenderedPageBreak/>
        <mc:AlternateContent>
          <mc:Choice Requires="wpg">
            <w:drawing>
              <wp:anchor distT="0" distB="0" distL="114300" distR="114300" simplePos="0" relativeHeight="251670537" behindDoc="0" locked="0" layoutInCell="1" allowOverlap="1" wp14:anchorId="04401617" wp14:editId="0B1177B0">
                <wp:simplePos x="0" y="0"/>
                <wp:positionH relativeFrom="column">
                  <wp:posOffset>49530</wp:posOffset>
                </wp:positionH>
                <wp:positionV relativeFrom="paragraph">
                  <wp:posOffset>92710</wp:posOffset>
                </wp:positionV>
                <wp:extent cx="3467100" cy="3200400"/>
                <wp:effectExtent l="57150" t="0" r="19050" b="38100"/>
                <wp:wrapNone/>
                <wp:docPr id="240" name="Group 240"/>
                <wp:cNvGraphicFramePr/>
                <a:graphic xmlns:a="http://schemas.openxmlformats.org/drawingml/2006/main">
                  <a:graphicData uri="http://schemas.microsoft.com/office/word/2010/wordprocessingGroup">
                    <wpg:wgp>
                      <wpg:cNvGrpSpPr/>
                      <wpg:grpSpPr>
                        <a:xfrm>
                          <a:off x="0" y="0"/>
                          <a:ext cx="3467100" cy="3200400"/>
                          <a:chOff x="0" y="0"/>
                          <a:chExt cx="3467100" cy="3200400"/>
                        </a:xfrm>
                      </wpg:grpSpPr>
                      <wpg:grpSp>
                        <wpg:cNvPr id="229" name="Group 229"/>
                        <wpg:cNvGrpSpPr/>
                        <wpg:grpSpPr>
                          <a:xfrm>
                            <a:off x="114300" y="0"/>
                            <a:ext cx="3352800" cy="3200400"/>
                            <a:chOff x="166967" y="40710"/>
                            <a:chExt cx="3027901" cy="3013479"/>
                          </a:xfrm>
                        </wpg:grpSpPr>
                        <wps:wsp>
                          <wps:cNvPr id="230" name="Freeform 230"/>
                          <wps:cNvSpPr>
                            <a:spLocks/>
                          </wps:cNvSpPr>
                          <wps:spPr bwMode="auto">
                            <a:xfrm>
                              <a:off x="166967" y="702053"/>
                              <a:ext cx="2256193" cy="2323088"/>
                            </a:xfrm>
                            <a:custGeom>
                              <a:avLst/>
                              <a:gdLst>
                                <a:gd name="T0" fmla="*/ 0 w 2895"/>
                                <a:gd name="T1" fmla="*/ 0 h 3645"/>
                                <a:gd name="T2" fmla="*/ 885 w 2895"/>
                                <a:gd name="T3" fmla="*/ 615 h 3645"/>
                                <a:gd name="T4" fmla="*/ 1665 w 2895"/>
                                <a:gd name="T5" fmla="*/ 1290 h 3645"/>
                                <a:gd name="T6" fmla="*/ 2145 w 2895"/>
                                <a:gd name="T7" fmla="*/ 1950 h 3645"/>
                                <a:gd name="T8" fmla="*/ 2535 w 2895"/>
                                <a:gd name="T9" fmla="*/ 2670 h 3645"/>
                                <a:gd name="T10" fmla="*/ 2895 w 2895"/>
                                <a:gd name="T11" fmla="*/ 3645 h 3645"/>
                                <a:gd name="connsiteX0" fmla="*/ 0 w 13979"/>
                                <a:gd name="connsiteY0" fmla="*/ 0 h 12206"/>
                                <a:gd name="connsiteX1" fmla="*/ 7036 w 13979"/>
                                <a:gd name="connsiteY1" fmla="*/ 3893 h 12206"/>
                                <a:gd name="connsiteX2" fmla="*/ 9730 w 13979"/>
                                <a:gd name="connsiteY2" fmla="*/ 5745 h 12206"/>
                                <a:gd name="connsiteX3" fmla="*/ 11388 w 13979"/>
                                <a:gd name="connsiteY3" fmla="*/ 7556 h 12206"/>
                                <a:gd name="connsiteX4" fmla="*/ 12735 w 13979"/>
                                <a:gd name="connsiteY4" fmla="*/ 9531 h 12206"/>
                                <a:gd name="connsiteX5" fmla="*/ 13979 w 13979"/>
                                <a:gd name="connsiteY5" fmla="*/ 12206 h 12206"/>
                                <a:gd name="connsiteX0" fmla="*/ 0 w 14352"/>
                                <a:gd name="connsiteY0" fmla="*/ 0 h 12206"/>
                                <a:gd name="connsiteX1" fmla="*/ 7409 w 14352"/>
                                <a:gd name="connsiteY1" fmla="*/ 3893 h 12206"/>
                                <a:gd name="connsiteX2" fmla="*/ 10103 w 14352"/>
                                <a:gd name="connsiteY2" fmla="*/ 5745 h 12206"/>
                                <a:gd name="connsiteX3" fmla="*/ 11761 w 14352"/>
                                <a:gd name="connsiteY3" fmla="*/ 7556 h 12206"/>
                                <a:gd name="connsiteX4" fmla="*/ 13108 w 14352"/>
                                <a:gd name="connsiteY4" fmla="*/ 9531 h 12206"/>
                                <a:gd name="connsiteX5" fmla="*/ 14352 w 14352"/>
                                <a:gd name="connsiteY5" fmla="*/ 12206 h 12206"/>
                                <a:gd name="connsiteX0" fmla="*/ 0 w 14352"/>
                                <a:gd name="connsiteY0" fmla="*/ 0 h 12206"/>
                                <a:gd name="connsiteX1" fmla="*/ 7409 w 14352"/>
                                <a:gd name="connsiteY1" fmla="*/ 3893 h 12206"/>
                                <a:gd name="connsiteX2" fmla="*/ 10103 w 14352"/>
                                <a:gd name="connsiteY2" fmla="*/ 5745 h 12206"/>
                                <a:gd name="connsiteX3" fmla="*/ 11761 w 14352"/>
                                <a:gd name="connsiteY3" fmla="*/ 7556 h 12206"/>
                                <a:gd name="connsiteX4" fmla="*/ 13108 w 14352"/>
                                <a:gd name="connsiteY4" fmla="*/ 9531 h 12206"/>
                                <a:gd name="connsiteX5" fmla="*/ 14352 w 14352"/>
                                <a:gd name="connsiteY5" fmla="*/ 12206 h 12206"/>
                                <a:gd name="connsiteX0" fmla="*/ 0 w 14352"/>
                                <a:gd name="connsiteY0" fmla="*/ 0 h 12206"/>
                                <a:gd name="connsiteX1" fmla="*/ 3083 w 14352"/>
                                <a:gd name="connsiteY1" fmla="*/ 1527 h 12206"/>
                                <a:gd name="connsiteX2" fmla="*/ 7409 w 14352"/>
                                <a:gd name="connsiteY2" fmla="*/ 3893 h 12206"/>
                                <a:gd name="connsiteX3" fmla="*/ 10103 w 14352"/>
                                <a:gd name="connsiteY3" fmla="*/ 5745 h 12206"/>
                                <a:gd name="connsiteX4" fmla="*/ 11761 w 14352"/>
                                <a:gd name="connsiteY4" fmla="*/ 7556 h 12206"/>
                                <a:gd name="connsiteX5" fmla="*/ 13108 w 14352"/>
                                <a:gd name="connsiteY5" fmla="*/ 9531 h 12206"/>
                                <a:gd name="connsiteX6" fmla="*/ 14352 w 14352"/>
                                <a:gd name="connsiteY6" fmla="*/ 12206 h 12206"/>
                                <a:gd name="connsiteX0" fmla="*/ 0 w 13647"/>
                                <a:gd name="connsiteY0" fmla="*/ 0 h 10922"/>
                                <a:gd name="connsiteX1" fmla="*/ 3083 w 13647"/>
                                <a:gd name="connsiteY1" fmla="*/ 1527 h 10922"/>
                                <a:gd name="connsiteX2" fmla="*/ 7409 w 13647"/>
                                <a:gd name="connsiteY2" fmla="*/ 3893 h 10922"/>
                                <a:gd name="connsiteX3" fmla="*/ 10103 w 13647"/>
                                <a:gd name="connsiteY3" fmla="*/ 5745 h 10922"/>
                                <a:gd name="connsiteX4" fmla="*/ 11761 w 13647"/>
                                <a:gd name="connsiteY4" fmla="*/ 7556 h 10922"/>
                                <a:gd name="connsiteX5" fmla="*/ 13108 w 13647"/>
                                <a:gd name="connsiteY5" fmla="*/ 9531 h 10922"/>
                                <a:gd name="connsiteX6" fmla="*/ 13647 w 13647"/>
                                <a:gd name="connsiteY6" fmla="*/ 10922 h 10922"/>
                                <a:gd name="connsiteX0" fmla="*/ 0 w 13647"/>
                                <a:gd name="connsiteY0" fmla="*/ 0 h 10922"/>
                                <a:gd name="connsiteX1" fmla="*/ 3083 w 13647"/>
                                <a:gd name="connsiteY1" fmla="*/ 1527 h 10922"/>
                                <a:gd name="connsiteX2" fmla="*/ 7409 w 13647"/>
                                <a:gd name="connsiteY2" fmla="*/ 3893 h 10922"/>
                                <a:gd name="connsiteX3" fmla="*/ 10103 w 13647"/>
                                <a:gd name="connsiteY3" fmla="*/ 5745 h 10922"/>
                                <a:gd name="connsiteX4" fmla="*/ 11761 w 13647"/>
                                <a:gd name="connsiteY4" fmla="*/ 7556 h 10922"/>
                                <a:gd name="connsiteX5" fmla="*/ 13108 w 13647"/>
                                <a:gd name="connsiteY5" fmla="*/ 9531 h 10922"/>
                                <a:gd name="connsiteX6" fmla="*/ 13647 w 13647"/>
                                <a:gd name="connsiteY6" fmla="*/ 10922 h 10922"/>
                                <a:gd name="connsiteX0" fmla="*/ 0 w 13647"/>
                                <a:gd name="connsiteY0" fmla="*/ 0 h 10922"/>
                                <a:gd name="connsiteX1" fmla="*/ 3083 w 13647"/>
                                <a:gd name="connsiteY1" fmla="*/ 1527 h 10922"/>
                                <a:gd name="connsiteX2" fmla="*/ 7409 w 13647"/>
                                <a:gd name="connsiteY2" fmla="*/ 3893 h 10922"/>
                                <a:gd name="connsiteX3" fmla="*/ 10103 w 13647"/>
                                <a:gd name="connsiteY3" fmla="*/ 5745 h 10922"/>
                                <a:gd name="connsiteX4" fmla="*/ 11761 w 13647"/>
                                <a:gd name="connsiteY4" fmla="*/ 7556 h 10922"/>
                                <a:gd name="connsiteX5" fmla="*/ 13108 w 13647"/>
                                <a:gd name="connsiteY5" fmla="*/ 9531 h 10922"/>
                                <a:gd name="connsiteX6" fmla="*/ 13647 w 13647"/>
                                <a:gd name="connsiteY6" fmla="*/ 10922 h 10922"/>
                                <a:gd name="connsiteX0" fmla="*/ 0 w 13647"/>
                                <a:gd name="connsiteY0" fmla="*/ 0 h 10922"/>
                                <a:gd name="connsiteX1" fmla="*/ 3083 w 13647"/>
                                <a:gd name="connsiteY1" fmla="*/ 1527 h 10922"/>
                                <a:gd name="connsiteX2" fmla="*/ 7409 w 13647"/>
                                <a:gd name="connsiteY2" fmla="*/ 3893 h 10922"/>
                                <a:gd name="connsiteX3" fmla="*/ 9937 w 13647"/>
                                <a:gd name="connsiteY3" fmla="*/ 5943 h 10922"/>
                                <a:gd name="connsiteX4" fmla="*/ 11761 w 13647"/>
                                <a:gd name="connsiteY4" fmla="*/ 7556 h 10922"/>
                                <a:gd name="connsiteX5" fmla="*/ 13108 w 13647"/>
                                <a:gd name="connsiteY5" fmla="*/ 9531 h 10922"/>
                                <a:gd name="connsiteX6" fmla="*/ 13647 w 13647"/>
                                <a:gd name="connsiteY6" fmla="*/ 10922 h 10922"/>
                                <a:gd name="connsiteX0" fmla="*/ 0 w 13647"/>
                                <a:gd name="connsiteY0" fmla="*/ 0 h 10922"/>
                                <a:gd name="connsiteX1" fmla="*/ 3083 w 13647"/>
                                <a:gd name="connsiteY1" fmla="*/ 1527 h 10922"/>
                                <a:gd name="connsiteX2" fmla="*/ 7409 w 13647"/>
                                <a:gd name="connsiteY2" fmla="*/ 3893 h 10922"/>
                                <a:gd name="connsiteX3" fmla="*/ 9937 w 13647"/>
                                <a:gd name="connsiteY3" fmla="*/ 5943 h 10922"/>
                                <a:gd name="connsiteX4" fmla="*/ 11802 w 13647"/>
                                <a:gd name="connsiteY4" fmla="*/ 7819 h 10922"/>
                                <a:gd name="connsiteX5" fmla="*/ 13108 w 13647"/>
                                <a:gd name="connsiteY5" fmla="*/ 9531 h 10922"/>
                                <a:gd name="connsiteX6" fmla="*/ 13647 w 13647"/>
                                <a:gd name="connsiteY6" fmla="*/ 10922 h 10922"/>
                                <a:gd name="connsiteX0" fmla="*/ 0 w 13647"/>
                                <a:gd name="connsiteY0" fmla="*/ 0 h 10922"/>
                                <a:gd name="connsiteX1" fmla="*/ 3083 w 13647"/>
                                <a:gd name="connsiteY1" fmla="*/ 1527 h 10922"/>
                                <a:gd name="connsiteX2" fmla="*/ 7409 w 13647"/>
                                <a:gd name="connsiteY2" fmla="*/ 3893 h 10922"/>
                                <a:gd name="connsiteX3" fmla="*/ 9937 w 13647"/>
                                <a:gd name="connsiteY3" fmla="*/ 5943 h 10922"/>
                                <a:gd name="connsiteX4" fmla="*/ 11802 w 13647"/>
                                <a:gd name="connsiteY4" fmla="*/ 7819 h 10922"/>
                                <a:gd name="connsiteX5" fmla="*/ 13108 w 13647"/>
                                <a:gd name="connsiteY5" fmla="*/ 9630 h 10922"/>
                                <a:gd name="connsiteX6" fmla="*/ 13647 w 13647"/>
                                <a:gd name="connsiteY6" fmla="*/ 10922 h 10922"/>
                                <a:gd name="connsiteX0" fmla="*/ 0 w 13792"/>
                                <a:gd name="connsiteY0" fmla="*/ 0 h 10922"/>
                                <a:gd name="connsiteX1" fmla="*/ 3083 w 13792"/>
                                <a:gd name="connsiteY1" fmla="*/ 1527 h 10922"/>
                                <a:gd name="connsiteX2" fmla="*/ 7409 w 13792"/>
                                <a:gd name="connsiteY2" fmla="*/ 3893 h 10922"/>
                                <a:gd name="connsiteX3" fmla="*/ 9937 w 13792"/>
                                <a:gd name="connsiteY3" fmla="*/ 5943 h 10922"/>
                                <a:gd name="connsiteX4" fmla="*/ 11802 w 13792"/>
                                <a:gd name="connsiteY4" fmla="*/ 7819 h 10922"/>
                                <a:gd name="connsiteX5" fmla="*/ 13108 w 13792"/>
                                <a:gd name="connsiteY5" fmla="*/ 9630 h 10922"/>
                                <a:gd name="connsiteX6" fmla="*/ 13792 w 13792"/>
                                <a:gd name="connsiteY6" fmla="*/ 10922 h 10922"/>
                                <a:gd name="connsiteX0" fmla="*/ 0 w 13896"/>
                                <a:gd name="connsiteY0" fmla="*/ 0 h 11284"/>
                                <a:gd name="connsiteX1" fmla="*/ 3083 w 13896"/>
                                <a:gd name="connsiteY1" fmla="*/ 1527 h 11284"/>
                                <a:gd name="connsiteX2" fmla="*/ 7409 w 13896"/>
                                <a:gd name="connsiteY2" fmla="*/ 3893 h 11284"/>
                                <a:gd name="connsiteX3" fmla="*/ 9937 w 13896"/>
                                <a:gd name="connsiteY3" fmla="*/ 5943 h 11284"/>
                                <a:gd name="connsiteX4" fmla="*/ 11802 w 13896"/>
                                <a:gd name="connsiteY4" fmla="*/ 7819 h 11284"/>
                                <a:gd name="connsiteX5" fmla="*/ 13108 w 13896"/>
                                <a:gd name="connsiteY5" fmla="*/ 9630 h 11284"/>
                                <a:gd name="connsiteX6" fmla="*/ 13896 w 13896"/>
                                <a:gd name="connsiteY6" fmla="*/ 11284 h 112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896" h="11284">
                                  <a:moveTo>
                                    <a:pt x="0" y="0"/>
                                  </a:moveTo>
                                  <a:cubicBezTo>
                                    <a:pt x="479" y="243"/>
                                    <a:pt x="1848" y="878"/>
                                    <a:pt x="3083" y="1527"/>
                                  </a:cubicBezTo>
                                  <a:cubicBezTo>
                                    <a:pt x="4318" y="2176"/>
                                    <a:pt x="6267" y="3157"/>
                                    <a:pt x="7409" y="3893"/>
                                  </a:cubicBezTo>
                                  <a:cubicBezTo>
                                    <a:pt x="8551" y="4629"/>
                                    <a:pt x="9205" y="5289"/>
                                    <a:pt x="9937" y="5943"/>
                                  </a:cubicBezTo>
                                  <a:cubicBezTo>
                                    <a:pt x="10669" y="6597"/>
                                    <a:pt x="11274" y="7205"/>
                                    <a:pt x="11802" y="7819"/>
                                  </a:cubicBezTo>
                                  <a:cubicBezTo>
                                    <a:pt x="12331" y="8434"/>
                                    <a:pt x="12677" y="8856"/>
                                    <a:pt x="13108" y="9630"/>
                                  </a:cubicBezTo>
                                  <a:cubicBezTo>
                                    <a:pt x="13540" y="10404"/>
                                    <a:pt x="13488" y="10332"/>
                                    <a:pt x="13896" y="11284"/>
                                  </a:cubicBezTo>
                                </a:path>
                              </a:pathLst>
                            </a:custGeom>
                            <a:noFill/>
                            <a:ln w="28575">
                              <a:solidFill>
                                <a:schemeClr val="bg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 name="Freeform 231"/>
                          <wps:cNvSpPr>
                            <a:spLocks/>
                          </wps:cNvSpPr>
                          <wps:spPr bwMode="auto">
                            <a:xfrm rot="21299677">
                              <a:off x="2387639" y="2721094"/>
                              <a:ext cx="90510" cy="333095"/>
                            </a:xfrm>
                            <a:custGeom>
                              <a:avLst/>
                              <a:gdLst>
                                <a:gd name="T0" fmla="*/ 0 w 150"/>
                                <a:gd name="T1" fmla="*/ 0 h 495"/>
                                <a:gd name="T2" fmla="*/ 150 w 150"/>
                                <a:gd name="T3" fmla="*/ 495 h 495"/>
                              </a:gdLst>
                              <a:ahLst/>
                              <a:cxnLst>
                                <a:cxn ang="0">
                                  <a:pos x="T0" y="T1"/>
                                </a:cxn>
                                <a:cxn ang="0">
                                  <a:pos x="T2" y="T3"/>
                                </a:cxn>
                              </a:cxnLst>
                              <a:rect l="0" t="0" r="r" b="b"/>
                              <a:pathLst>
                                <a:path w="150" h="495">
                                  <a:moveTo>
                                    <a:pt x="0" y="0"/>
                                  </a:moveTo>
                                  <a:cubicBezTo>
                                    <a:pt x="0" y="0"/>
                                    <a:pt x="75" y="247"/>
                                    <a:pt x="150" y="495"/>
                                  </a:cubicBezTo>
                                </a:path>
                              </a:pathLst>
                            </a:custGeom>
                            <a:noFill/>
                            <a:ln w="12700">
                              <a:solidFill>
                                <a:schemeClr val="bg1"/>
                              </a:solidFill>
                              <a:round/>
                              <a:headEnd/>
                              <a:tailEnd type="stealth" w="med"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5" name="Text Box 49"/>
                          <wps:cNvSpPr txBox="1">
                            <a:spLocks noChangeArrowheads="1"/>
                          </wps:cNvSpPr>
                          <wps:spPr bwMode="auto">
                            <a:xfrm>
                              <a:off x="2552245" y="2736460"/>
                              <a:ext cx="642623" cy="280596"/>
                            </a:xfrm>
                            <a:prstGeom prst="rect">
                              <a:avLst/>
                            </a:prstGeom>
                            <a:solidFill>
                              <a:schemeClr val="bg1"/>
                            </a:solidFill>
                            <a:ln w="19050">
                              <a:noFill/>
                              <a:miter lim="800000"/>
                              <a:headEnd/>
                              <a:tailEnd/>
                            </a:ln>
                            <a:effectLst>
                              <a:outerShdw dist="28398" dir="3806097" algn="ctr" rotWithShape="0">
                                <a:schemeClr val="accent5">
                                  <a:lumMod val="50000"/>
                                  <a:lumOff val="0"/>
                                  <a:alpha val="50000"/>
                                </a:schemeClr>
                              </a:outerShdw>
                            </a:effectLst>
                          </wps:spPr>
                          <wps:txbx>
                            <w:txbxContent>
                              <w:p w14:paraId="14A8009F" w14:textId="77777777" w:rsidR="00AB2D8F" w:rsidRDefault="00AB2D8F" w:rsidP="001B340F">
                                <w:pPr>
                                  <w:pStyle w:val="NormalWeb"/>
                                  <w:spacing w:after="0"/>
                                  <w:jc w:val="center"/>
                                </w:pPr>
                                <w:r>
                                  <w:rPr>
                                    <w:rFonts w:ascii="Tahoma" w:eastAsia="Times New Roman" w:hAnsi="Tahoma" w:cs="Tahoma"/>
                                    <w:sz w:val="14"/>
                                    <w:szCs w:val="14"/>
                                  </w:rPr>
                                  <w:t>to Gevgelija / Thessaloniki</w:t>
                                </w:r>
                              </w:p>
                            </w:txbxContent>
                          </wps:txbx>
                          <wps:bodyPr rot="0" vert="horz" wrap="square" lIns="18000" tIns="0" rIns="18000" bIns="0" anchor="ctr" anchorCtr="0" upright="1">
                            <a:noAutofit/>
                          </wps:bodyPr>
                        </wps:wsp>
                        <wps:wsp>
                          <wps:cNvPr id="236" name="Text Box 53"/>
                          <wps:cNvSpPr txBox="1">
                            <a:spLocks noChangeArrowheads="1"/>
                          </wps:cNvSpPr>
                          <wps:spPr bwMode="auto">
                            <a:xfrm>
                              <a:off x="234829" y="445720"/>
                              <a:ext cx="461603" cy="199736"/>
                            </a:xfrm>
                            <a:prstGeom prst="rect">
                              <a:avLst/>
                            </a:prstGeom>
                            <a:solidFill>
                              <a:schemeClr val="bg1"/>
                            </a:solidFill>
                            <a:ln w="19050">
                              <a:noFill/>
                              <a:miter lim="800000"/>
                              <a:headEnd/>
                              <a:tailEnd/>
                            </a:ln>
                            <a:effectLst>
                              <a:outerShdw dist="28398" dir="3806097" algn="ctr" rotWithShape="0">
                                <a:schemeClr val="accent5">
                                  <a:lumMod val="50000"/>
                                  <a:lumOff val="0"/>
                                  <a:alpha val="50000"/>
                                </a:schemeClr>
                              </a:outerShdw>
                            </a:effectLst>
                          </wps:spPr>
                          <wps:txbx>
                            <w:txbxContent>
                              <w:p w14:paraId="259A4652" w14:textId="77777777" w:rsidR="00AB2D8F" w:rsidRDefault="00AB2D8F" w:rsidP="001B340F">
                                <w:pPr>
                                  <w:pStyle w:val="NormalWeb"/>
                                  <w:shd w:val="clear" w:color="auto" w:fill="FFFFFF" w:themeFill="background1"/>
                                  <w:spacing w:after="0"/>
                                  <w:jc w:val="center"/>
                                </w:pPr>
                                <w:r>
                                  <w:rPr>
                                    <w:rFonts w:ascii="Tahoma" w:eastAsia="Times New Roman" w:hAnsi="Tahoma" w:cs="Tahoma"/>
                                    <w:sz w:val="14"/>
                                    <w:szCs w:val="14"/>
                                  </w:rPr>
                                  <w:t>to Skopje</w:t>
                                </w:r>
                              </w:p>
                            </w:txbxContent>
                          </wps:txbx>
                          <wps:bodyPr rot="0" vert="horz" wrap="square" lIns="18000" tIns="0" rIns="18000" bIns="0" anchor="ctr" anchorCtr="0" upright="1">
                            <a:noAutofit/>
                          </wps:bodyPr>
                        </wps:wsp>
                        <wps:wsp>
                          <wps:cNvPr id="237" name="Text Box 44"/>
                          <wps:cNvSpPr txBox="1">
                            <a:spLocks noChangeArrowheads="1"/>
                          </wps:cNvSpPr>
                          <wps:spPr bwMode="auto">
                            <a:xfrm>
                              <a:off x="1528699" y="40710"/>
                              <a:ext cx="642624" cy="199736"/>
                            </a:xfrm>
                            <a:prstGeom prst="rect">
                              <a:avLst/>
                            </a:prstGeom>
                            <a:noFill/>
                            <a:ln w="19050">
                              <a:solidFill>
                                <a:schemeClr val="lt1">
                                  <a:lumMod val="95000"/>
                                  <a:lumOff val="0"/>
                                </a:schemeClr>
                              </a:solidFill>
                              <a:miter lim="800000"/>
                              <a:headEnd/>
                              <a:tailEnd/>
                            </a:ln>
                            <a:effectLst>
                              <a:outerShdw dist="28398" dir="3806097" algn="ctr" rotWithShape="0">
                                <a:schemeClr val="accent5">
                                  <a:lumMod val="50000"/>
                                  <a:lumOff val="0"/>
                                  <a:alpha val="50000"/>
                                </a:schemeClr>
                              </a:outerShdw>
                            </a:effectLst>
                          </wps:spPr>
                          <wps:txbx>
                            <w:txbxContent>
                              <w:p w14:paraId="5416C15C" w14:textId="77777777" w:rsidR="00AB2D8F" w:rsidRPr="00CD23DA" w:rsidRDefault="00AB2D8F" w:rsidP="00CD23DA">
                                <w:pPr>
                                  <w:pStyle w:val="NormalWeb"/>
                                  <w:spacing w:after="0" w:line="240" w:lineRule="auto"/>
                                  <w:jc w:val="center"/>
                                  <w:rPr>
                                    <w:b/>
                                  </w:rPr>
                                </w:pPr>
                                <w:r w:rsidRPr="00CD23DA">
                                  <w:rPr>
                                    <w:rFonts w:ascii="Tahoma" w:eastAsia="Times New Roman" w:hAnsi="Tahoma" w:cs="Tahoma"/>
                                    <w:b/>
                                    <w:color w:val="FFFFFF"/>
                                    <w:sz w:val="16"/>
                                    <w:szCs w:val="16"/>
                                  </w:rPr>
                                  <w:t>Miletkovo</w:t>
                                </w:r>
                              </w:p>
                            </w:txbxContent>
                          </wps:txbx>
                          <wps:bodyPr rot="0" vert="horz" wrap="square" lIns="18000" tIns="0" rIns="18000" bIns="0" anchor="ctr" anchorCtr="0" upright="1">
                            <a:noAutofit/>
                          </wps:bodyPr>
                        </wps:wsp>
                        <wps:wsp>
                          <wps:cNvPr id="238" name="Text Box 52"/>
                          <wps:cNvSpPr txBox="1">
                            <a:spLocks noChangeArrowheads="1"/>
                          </wps:cNvSpPr>
                          <wps:spPr bwMode="auto">
                            <a:xfrm>
                              <a:off x="1136765" y="1673938"/>
                              <a:ext cx="642623" cy="199132"/>
                            </a:xfrm>
                            <a:prstGeom prst="rect">
                              <a:avLst/>
                            </a:prstGeom>
                            <a:noFill/>
                            <a:ln w="3175">
                              <a:solidFill>
                                <a:schemeClr val="bg1"/>
                              </a:solidFill>
                              <a:miter lim="800000"/>
                              <a:headEnd/>
                              <a:tailEnd/>
                            </a:ln>
                            <a:effectLst>
                              <a:outerShdw dist="28398" dir="3806097" algn="ctr" rotWithShape="0">
                                <a:schemeClr val="accent5">
                                  <a:lumMod val="50000"/>
                                  <a:lumOff val="0"/>
                                  <a:alpha val="50000"/>
                                </a:schemeClr>
                              </a:outerShdw>
                            </a:effectLst>
                            <a:extLst>
                              <a:ext uri="{909E8E84-426E-40DD-AFC4-6F175D3DCCD1}">
                                <a14:hiddenFill xmlns:a14="http://schemas.microsoft.com/office/drawing/2010/main">
                                  <a:solidFill>
                                    <a:srgbClr val="FFFF99"/>
                                  </a:solidFill>
                                </a14:hiddenFill>
                              </a:ext>
                            </a:extLst>
                          </wps:spPr>
                          <wps:txbx>
                            <w:txbxContent>
                              <w:p w14:paraId="383F884C" w14:textId="77777777" w:rsidR="00AB2D8F" w:rsidRPr="00D74E9D" w:rsidRDefault="00AB2D8F" w:rsidP="001B340F">
                                <w:pPr>
                                  <w:pStyle w:val="NormalWeb"/>
                                  <w:spacing w:after="0"/>
                                  <w:jc w:val="center"/>
                                  <w:rPr>
                                    <w:color w:val="FFFFFF" w:themeColor="background1"/>
                                  </w:rPr>
                                </w:pPr>
                                <w:r w:rsidRPr="00D74E9D">
                                  <w:rPr>
                                    <w:rFonts w:ascii="Tahoma" w:eastAsia="Times New Roman" w:hAnsi="Tahoma" w:cs="Tahoma"/>
                                    <w:color w:val="FFFFFF" w:themeColor="background1"/>
                                    <w:sz w:val="16"/>
                                    <w:szCs w:val="16"/>
                                  </w:rPr>
                                  <w:t>A1 Highway</w:t>
                                </w:r>
                              </w:p>
                            </w:txbxContent>
                          </wps:txbx>
                          <wps:bodyPr rot="0" vert="horz" wrap="square" lIns="18000" tIns="0" rIns="18000" bIns="0" anchor="ctr" anchorCtr="0" upright="1">
                            <a:noAutofit/>
                          </wps:bodyPr>
                        </wps:wsp>
                      </wpg:grpSp>
                      <wps:wsp>
                        <wps:cNvPr id="239" name="Freeform 239"/>
                        <wps:cNvSpPr>
                          <a:spLocks/>
                        </wps:cNvSpPr>
                        <wps:spPr bwMode="auto">
                          <a:xfrm rot="21058992" flipH="1" flipV="1">
                            <a:off x="0" y="678180"/>
                            <a:ext cx="304371" cy="271768"/>
                          </a:xfrm>
                          <a:custGeom>
                            <a:avLst/>
                            <a:gdLst>
                              <a:gd name="T0" fmla="*/ 0 w 150"/>
                              <a:gd name="T1" fmla="*/ 0 h 495"/>
                              <a:gd name="T2" fmla="*/ 150 w 150"/>
                              <a:gd name="T3" fmla="*/ 495 h 495"/>
                            </a:gdLst>
                            <a:ahLst/>
                            <a:cxnLst>
                              <a:cxn ang="0">
                                <a:pos x="T0" y="T1"/>
                              </a:cxn>
                              <a:cxn ang="0">
                                <a:pos x="T2" y="T3"/>
                              </a:cxn>
                            </a:cxnLst>
                            <a:rect l="0" t="0" r="r" b="b"/>
                            <a:pathLst>
                              <a:path w="150" h="495">
                                <a:moveTo>
                                  <a:pt x="0" y="0"/>
                                </a:moveTo>
                                <a:cubicBezTo>
                                  <a:pt x="0" y="0"/>
                                  <a:pt x="75" y="247"/>
                                  <a:pt x="150" y="495"/>
                                </a:cubicBezTo>
                              </a:path>
                            </a:pathLst>
                          </a:custGeom>
                          <a:noFill/>
                          <a:ln w="12700">
                            <a:solidFill>
                              <a:schemeClr val="bg1"/>
                            </a:solidFill>
                            <a:round/>
                            <a:headEnd/>
                            <a:tailEnd type="stealth" w="med"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id="Group 240" o:spid="_x0000_s1026" style="position:absolute;left:0;text-align:left;margin-left:3.9pt;margin-top:7.3pt;width:273pt;height:252pt;z-index:251670537" coordsize="34671,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">
                <v:group id="Group 229" o:spid="_x0000_s1027" style="position:absolute;left:1143;width:33528;height:32004" coordorigin="1669,407" coordsize="30279,30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4O3cUAAADcAAAADwAAAGRycy9kb3ducmV2LnhtbESPT2vCQBTE7wW/w/IE&#10;b3WTSItGVxFR6UEK/gHx9sg+k2D2bciuSfz23UKhx2FmfsMsVr2pREuNKy0riMcRCOLM6pJzBZfz&#10;7n0KwnlkjZVlUvAiB6vl4G2BqbYdH6k9+VwECLsUFRTe16mULivIoBvbmjh4d9sY9EE2udQNdgFu&#10;KplE0ac0WHJYKLCmTUHZ4/Q0CvYddutJvG0Pj/vmdTt/fF8PMSk1GvbrOQhPvf8P/7W/tIIkmcH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puDt3FAAAA3AAA&#10;AA8AAAAAAAAAAAAAAAAAqgIAAGRycy9kb3ducmV2LnhtbFBLBQYAAAAABAAEAPoAAACcAwAAAAA=&#10;">
                  <v:shape id="Freeform 230" o:spid="_x0000_s1028" style="position:absolute;left:1669;top:7020;width:22562;height:23231;visibility:visible;mso-wrap-style:square;v-text-anchor:top" coordsize="13896,11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76X70A&#10;AADcAAAADwAAAGRycy9kb3ducmV2LnhtbERPvQrCMBDeBd8hnOCmqRVEq1FEKAgOYtX9aM622Fxq&#10;E7W+vRkEx4/vf7XpTC1e1LrKsoLJOAJBnFtdcaHgck5HcxDOI2usLZOCDznYrPu9FSbavvlEr8wX&#10;IoSwS1BB6X2TSOnykgy6sW2IA3ezrUEfYFtI3eI7hJtaxlE0kwYrDg0lNrQrKb9nT6PgUGefefy8&#10;Lo636SNLuYsMpxelhoNuuwThqfN/8c+91wriaZgfzoQjINdf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bw76X70AAADcAAAADwAAAAAAAAAAAAAAAACYAgAAZHJzL2Rvd25yZXYu&#10;eG1sUEsFBgAAAAAEAAQA9QAAAIIDAAAAAA==&#10;" path="m,c479,243,1848,878,3083,1527v1235,649,3184,1630,4326,2366c8551,4629,9205,5289,9937,5943v732,654,1337,1262,1865,1876c12331,8434,12677,8856,13108,9630v432,774,380,702,788,1654e" filled="f" strokecolor="white [3212]" strokeweight="2.25pt">
                    <v:path arrowok="t" o:connecttype="custom" o:connectlocs="0,0;500564,314370;1202946,801469;1613399,1223512;1916205,1609733;2128251,1982572;2256193,2323088" o:connectangles="0,0,0,0,0,0,0"/>
                  </v:shape>
                  <v:shape id="Freeform 231" o:spid="_x0000_s1029" style="position:absolute;left:23876;top:27210;width:905;height:3331;rotation:-328033fd;visibility:visible;mso-wrap-style:square;v-text-anchor:top" coordsize="150,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iecYA&#10;AADcAAAADwAAAGRycy9kb3ducmV2LnhtbESPQWvCQBSE70L/w/IKvelGKzbEbKQUAkWEUNtLb4/s&#10;SzaYfZtmV43/3i0Uehxm5hsm3022FxcafedYwXKRgCCune64VfD1Wc5TED4ga+wdk4IbedgVD7Mc&#10;M+2u/EGXY2hFhLDPUIEJYcik9LUhi37hBuLoNW60GKIcW6lHvEa47eUqSTbSYsdxweBAb4bq0/Fs&#10;FbxUh8pUQ9n+rL83+3RdNv05kUo9PU6vWxCBpvAf/mu/awWr5yX8nolHQBZ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iecYAAADcAAAADwAAAAAAAAAAAAAAAACYAgAAZHJz&#10;L2Rvd25yZXYueG1sUEsFBgAAAAAEAAQA9QAAAIsDAAAAAA==&#10;" path="m,c,,75,247,150,495e" filled="f" strokecolor="white [3212]" strokeweight="1pt">
                    <v:stroke endarrow="classic" endarrowlength="long"/>
                    <v:path arrowok="t" o:connecttype="custom" o:connectlocs="0,0;90510,333095" o:connectangles="0,0"/>
                  </v:shape>
                  <v:shapetype id="_x0000_t202" coordsize="21600,21600" o:spt="202" path="m,l,21600r21600,l21600,xe">
                    <v:stroke joinstyle="miter"/>
                    <v:path gradientshapeok="t" o:connecttype="rect"/>
                  </v:shapetype>
                  <v:shape id="Text Box 49" o:spid="_x0000_s1030" type="#_x0000_t202" style="position:absolute;left:25522;top:27364;width:6426;height:28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08KcYA&#10;AADcAAAADwAAAGRycy9kb3ducmV2LnhtbESPQWvCQBCF70L/wzKFXsRsqlRK6iptaUE8CKYBPY7Z&#10;aRKSnQ3ZbRL/vSsUPD7evO/NW21G04ieOldZVvAcxSCIc6srLhRkP9+zVxDOI2tsLJOCCznYrB8m&#10;K0y0HfhAfeoLESDsElRQet8mUrq8JIMusi1x8H5tZ9AH2RVSdzgEuGnkPI6X0mDFoaHElj5Lyuv0&#10;z4Q3jtPa2MWXOeWHupC7D8rO8V6pp8fx/Q2Ep9Hfj//TW61gvniB25hAAL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P08KcYAAADcAAAADwAAAAAAAAAAAAAAAACYAgAAZHJz&#10;L2Rvd25yZXYueG1sUEsFBgAAAAAEAAQA9QAAAIsDAAAAAA==&#10;" fillcolor="white [3212]" stroked="f" strokeweight="1.5pt">
                    <v:shadow on="t" color="#1f4d78 [1608]" opacity=".5" offset="1pt"/>
                    <v:textbox inset=".5mm,0,.5mm,0">
                      <w:txbxContent>
                        <w:p w14:paraId="14A8009F" w14:textId="77777777" w:rsidR="00AB2D8F" w:rsidRDefault="00AB2D8F" w:rsidP="001B340F">
                          <w:pPr>
                            <w:pStyle w:val="NormalWeb"/>
                            <w:spacing w:after="0"/>
                            <w:jc w:val="center"/>
                          </w:pPr>
                          <w:r>
                            <w:rPr>
                              <w:rFonts w:ascii="Tahoma" w:eastAsia="Times New Roman" w:hAnsi="Tahoma" w:cs="Tahoma"/>
                              <w:sz w:val="14"/>
                              <w:szCs w:val="14"/>
                            </w:rPr>
                            <w:t>to Gevgelija / Thessaloniki</w:t>
                          </w:r>
                        </w:p>
                      </w:txbxContent>
                    </v:textbox>
                  </v:shape>
                  <v:shape id="Text Box 53" o:spid="_x0000_s1031" type="#_x0000_t202" style="position:absolute;left:2348;top:4457;width:4616;height:1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iXsYA&#10;AADcAAAADwAAAGRycy9kb3ducmV2LnhtbESPT2vCQBDF74LfYRnBi9SNEaSkrqEtCtKD4B9oj9Ps&#10;NAnJzobsmqTf3hUEj4837/fmrdPB1KKj1pWWFSzmEQjizOqScwWX8+7lFYTzyBpry6Tgnxykm/Fo&#10;jYm2PR+pO/lcBAi7BBUU3jeJlC4ryKCb24Y4eH+2NeiDbHOpW+wD3NQyjqKVNFhyaCiwoc+Csup0&#10;NeGN71ll7HJrfrJjlcuvD7r8RgelppPh/Q2Ep8E/jx/pvVYQL1dwHxMIID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iXsYAAADcAAAADwAAAAAAAAAAAAAAAACYAgAAZHJz&#10;L2Rvd25yZXYueG1sUEsFBgAAAAAEAAQA9QAAAIsDAAAAAA==&#10;" fillcolor="white [3212]" stroked="f" strokeweight="1.5pt">
                    <v:shadow on="t" color="#1f4d78 [1608]" opacity=".5" offset="1pt"/>
                    <v:textbox inset=".5mm,0,.5mm,0">
                      <w:txbxContent>
                        <w:p w14:paraId="259A4652" w14:textId="77777777" w:rsidR="00AB2D8F" w:rsidRDefault="00AB2D8F" w:rsidP="001B340F">
                          <w:pPr>
                            <w:pStyle w:val="NormalWeb"/>
                            <w:shd w:val="clear" w:color="auto" w:fill="FFFFFF" w:themeFill="background1"/>
                            <w:spacing w:after="0"/>
                            <w:jc w:val="center"/>
                          </w:pPr>
                          <w:r>
                            <w:rPr>
                              <w:rFonts w:ascii="Tahoma" w:eastAsia="Times New Roman" w:hAnsi="Tahoma" w:cs="Tahoma"/>
                              <w:sz w:val="14"/>
                              <w:szCs w:val="14"/>
                            </w:rPr>
                            <w:t>to Skopje</w:t>
                          </w:r>
                        </w:p>
                      </w:txbxContent>
                    </v:textbox>
                  </v:shape>
                  <v:shape id="Text Box 44" o:spid="_x0000_s1032" type="#_x0000_t202" style="position:absolute;left:15286;top:407;width:6427;height:1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WoCMIA&#10;AADcAAAADwAAAGRycy9kb3ducmV2LnhtbESPzWoCMRSF90LfIdxCN1IzWrBlNIqIBemu6qa7y+Q6&#10;E2ZyE5M4Tt++EYQuD+fn4yzXg+1ETyEaxwqmkwIEceW04VrB6fj5+gEiJmSNnWNS8EsR1qun0RJL&#10;7W78Tf0h1SKPcCxRQZOSL6WMVUMW48R54uydXbCYsgy11AFvedx2clYUc2nRcCY06GnbUNUerjZz&#10;2x7bvd/53hVhfJmT+fkyRqmX52GzAJFoSP/hR3uvFcze3uF+Jh8B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ZagIwgAAANwAAAAPAAAAAAAAAAAAAAAAAJgCAABkcnMvZG93&#10;bnJldi54bWxQSwUGAAAAAAQABAD1AAAAhwMAAAAA&#10;" filled="f" strokecolor="#f2f2f2 [3041]" strokeweight="1.5pt">
                    <v:shadow on="t" color="#1f4d78 [1608]" opacity=".5" offset="1pt"/>
                    <v:textbox inset=".5mm,0,.5mm,0">
                      <w:txbxContent>
                        <w:p w14:paraId="5416C15C" w14:textId="77777777" w:rsidR="00AB2D8F" w:rsidRPr="00CD23DA" w:rsidRDefault="00AB2D8F" w:rsidP="00CD23DA">
                          <w:pPr>
                            <w:pStyle w:val="NormalWeb"/>
                            <w:spacing w:after="0" w:line="240" w:lineRule="auto"/>
                            <w:jc w:val="center"/>
                            <w:rPr>
                              <w:b/>
                            </w:rPr>
                          </w:pPr>
                          <w:r w:rsidRPr="00CD23DA">
                            <w:rPr>
                              <w:rFonts w:ascii="Tahoma" w:eastAsia="Times New Roman" w:hAnsi="Tahoma" w:cs="Tahoma"/>
                              <w:b/>
                              <w:color w:val="FFFFFF"/>
                              <w:sz w:val="16"/>
                              <w:szCs w:val="16"/>
                            </w:rPr>
                            <w:t>Miletkovo</w:t>
                          </w:r>
                        </w:p>
                      </w:txbxContent>
                    </v:textbox>
                  </v:shape>
                  <v:shape id="Text Box 52" o:spid="_x0000_s1033" type="#_x0000_t202" style="position:absolute;left:11367;top:16739;width:6426;height:19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4NscIA&#10;AADcAAAADwAAAGRycy9kb3ducmV2LnhtbERPz2vCMBS+C/sfwht4EU11Y7jOKDKQ6XHdDuvt0bwl&#10;7ZqX0mS2/vfmIHj8+H5vdqNrxZn6UHtWsFxkIIgrr2s2Cr6/DvM1iBCRNbaeScGFAuy2D5MN5toP&#10;/EnnIhqRQjjkqMDG2OVShsqSw7DwHXHifn3vMCbYG6l7HFK4a+Uqy16kw5pTg8WO3i1Vf8W/U/Ac&#10;Lq+NbMxPaT8GMyuLYzOevFLTx3H/BiLSGO/im/uoFaye0tp0Jh0Bub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Pg2xwgAAANwAAAAPAAAAAAAAAAAAAAAAAJgCAABkcnMvZG93&#10;bnJldi54bWxQSwUGAAAAAAQABAD1AAAAhwMAAAAA&#10;" filled="f" fillcolor="#ff9" strokecolor="white [3212]" strokeweight=".25pt">
                    <v:shadow on="t" color="#1f4d78 [1608]" opacity=".5" offset="1pt"/>
                    <v:textbox inset=".5mm,0,.5mm,0">
                      <w:txbxContent>
                        <w:p w14:paraId="383F884C" w14:textId="77777777" w:rsidR="00AB2D8F" w:rsidRPr="00D74E9D" w:rsidRDefault="00AB2D8F" w:rsidP="001B340F">
                          <w:pPr>
                            <w:pStyle w:val="NormalWeb"/>
                            <w:spacing w:after="0"/>
                            <w:jc w:val="center"/>
                            <w:rPr>
                              <w:color w:val="FFFFFF" w:themeColor="background1"/>
                            </w:rPr>
                          </w:pPr>
                          <w:r w:rsidRPr="00D74E9D">
                            <w:rPr>
                              <w:rFonts w:ascii="Tahoma" w:eastAsia="Times New Roman" w:hAnsi="Tahoma" w:cs="Tahoma"/>
                              <w:color w:val="FFFFFF" w:themeColor="background1"/>
                              <w:sz w:val="16"/>
                              <w:szCs w:val="16"/>
                            </w:rPr>
                            <w:t>A1 Highway</w:t>
                          </w:r>
                        </w:p>
                      </w:txbxContent>
                    </v:textbox>
                  </v:shape>
                </v:group>
                <v:shape id="Freeform 239" o:spid="_x0000_s1034" style="position:absolute;top:6781;width:3043;height:2718;rotation:-590925fd;flip:x y;visibility:visible;mso-wrap-style:square;v-text-anchor:top" coordsize="150,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L5GsYA&#10;AADcAAAADwAAAGRycy9kb3ducmV2LnhtbESPQWvCQBSE7wX/w/IK3uqmEYpGV1FRaasU1Lbn1+wz&#10;CWbfht2Npv++Wyj0OMx8M8x03plaXMn5yrKCx0ECgji3uuJCwftp8zAC4QOyxtoyKfgmD/NZ726K&#10;mbY3PtD1GAoRS9hnqKAMocmk9HlJBv3ANsTRO1tnMETpCqkd3mK5qWWaJE/SYMVxocSGViXll2Nr&#10;FKTbzyZ5ex2Ovvbpcu0+Tu3uxbRK9e+7xQREoC78h//oZx254Rh+z8QjIG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L5GsYAAADcAAAADwAAAAAAAAAAAAAAAACYAgAAZHJz&#10;L2Rvd25yZXYueG1sUEsFBgAAAAAEAAQA9QAAAIsDAAAAAA==&#10;" path="m,c,,75,247,150,495e" filled="f" strokecolor="white [3212]" strokeweight="1pt">
                  <v:stroke endarrow="classic" endarrowlength="long"/>
                  <v:path arrowok="t" o:connecttype="custom" o:connectlocs="0,0;304371,271768" o:connectangles="0,0"/>
                </v:shape>
              </v:group>
            </w:pict>
          </mc:Fallback>
        </mc:AlternateContent>
      </w:r>
      <w:r w:rsidR="001D7A41" w:rsidRPr="0068236B">
        <w:rPr>
          <w:noProof/>
          <w:sz w:val="20"/>
          <w:lang w:val="mk-MK" w:eastAsia="mk-MK"/>
        </w:rPr>
        <w:drawing>
          <wp:inline distT="0" distB="0" distL="0" distR="0" wp14:anchorId="44E0D866" wp14:editId="6FD711EE">
            <wp:extent cx="6120000" cy="3456000"/>
            <wp:effectExtent l="0" t="0" r="0" b="0"/>
            <wp:docPr id="2050" name="Picture 20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screen">
                      <a:extLst>
                        <a:ext uri="{28A0092B-C50C-407E-A947-70E740481C1C}">
                          <a14:useLocalDpi xmlns:a14="http://schemas.microsoft.com/office/drawing/2010/main" val="0"/>
                        </a:ext>
                      </a:extLst>
                    </a:blip>
                    <a:srcRect/>
                    <a:stretch>
                      <a:fillRect/>
                    </a:stretch>
                  </pic:blipFill>
                  <pic:spPr bwMode="auto">
                    <a:xfrm>
                      <a:off x="0" y="0"/>
                      <a:ext cx="6120000" cy="3456000"/>
                    </a:xfrm>
                    <a:prstGeom prst="rect">
                      <a:avLst/>
                    </a:prstGeom>
                    <a:noFill/>
                    <a:ln>
                      <a:noFill/>
                    </a:ln>
                  </pic:spPr>
                </pic:pic>
              </a:graphicData>
            </a:graphic>
          </wp:inline>
        </w:drawing>
      </w:r>
    </w:p>
    <w:p w14:paraId="04D7F202" w14:textId="77777777" w:rsidR="00F76A79" w:rsidRPr="0068236B" w:rsidRDefault="00F76A79" w:rsidP="00F76A79">
      <w:pPr>
        <w:spacing w:after="60"/>
        <w:jc w:val="left"/>
        <w:rPr>
          <w:sz w:val="18"/>
          <w:szCs w:val="20"/>
        </w:rPr>
      </w:pPr>
      <w:bookmarkStart w:id="19" w:name="_Toc112928840"/>
      <w:r w:rsidRPr="0068236B">
        <w:rPr>
          <w:rFonts w:cs="Arial"/>
          <w:iCs/>
          <w:sz w:val="18"/>
          <w:szCs w:val="20"/>
        </w:rPr>
        <w:t xml:space="preserve">Figure </w:t>
      </w:r>
      <w:r w:rsidRPr="0068236B">
        <w:rPr>
          <w:rFonts w:cs="Arial"/>
          <w:iCs/>
          <w:sz w:val="18"/>
          <w:szCs w:val="20"/>
        </w:rPr>
        <w:fldChar w:fldCharType="begin"/>
      </w:r>
      <w:r w:rsidRPr="0068236B">
        <w:rPr>
          <w:rFonts w:cs="Arial"/>
          <w:iCs/>
          <w:sz w:val="18"/>
          <w:szCs w:val="20"/>
        </w:rPr>
        <w:instrText xml:space="preserve"> STYLEREF 1 \s </w:instrText>
      </w:r>
      <w:r w:rsidRPr="0068236B">
        <w:rPr>
          <w:rFonts w:cs="Arial"/>
          <w:iCs/>
          <w:sz w:val="18"/>
          <w:szCs w:val="20"/>
        </w:rPr>
        <w:fldChar w:fldCharType="separate"/>
      </w:r>
      <w:r w:rsidR="00234EBE" w:rsidRPr="0068236B">
        <w:rPr>
          <w:rFonts w:cs="Arial"/>
          <w:iCs/>
          <w:noProof/>
          <w:sz w:val="18"/>
          <w:szCs w:val="20"/>
        </w:rPr>
        <w:t>1</w:t>
      </w:r>
      <w:r w:rsidRPr="0068236B">
        <w:rPr>
          <w:rFonts w:cs="Arial"/>
          <w:iCs/>
          <w:sz w:val="18"/>
          <w:szCs w:val="20"/>
        </w:rPr>
        <w:fldChar w:fldCharType="end"/>
      </w:r>
      <w:r w:rsidRPr="0068236B">
        <w:rPr>
          <w:rFonts w:cs="Arial"/>
          <w:iCs/>
          <w:sz w:val="18"/>
          <w:szCs w:val="20"/>
        </w:rPr>
        <w:t>.</w:t>
      </w:r>
      <w:r w:rsidRPr="0068236B">
        <w:rPr>
          <w:rFonts w:cs="Arial"/>
          <w:iCs/>
          <w:sz w:val="18"/>
          <w:szCs w:val="20"/>
        </w:rPr>
        <w:fldChar w:fldCharType="begin"/>
      </w:r>
      <w:r w:rsidRPr="0068236B">
        <w:rPr>
          <w:rFonts w:cs="Arial"/>
          <w:iCs/>
          <w:sz w:val="18"/>
          <w:szCs w:val="20"/>
        </w:rPr>
        <w:instrText xml:space="preserve"> SEQ Figure \* ARABIC \s 1 </w:instrText>
      </w:r>
      <w:r w:rsidRPr="0068236B">
        <w:rPr>
          <w:rFonts w:cs="Arial"/>
          <w:iCs/>
          <w:sz w:val="18"/>
          <w:szCs w:val="20"/>
        </w:rPr>
        <w:fldChar w:fldCharType="separate"/>
      </w:r>
      <w:r w:rsidR="00234EBE" w:rsidRPr="0068236B">
        <w:rPr>
          <w:rFonts w:cs="Arial"/>
          <w:iCs/>
          <w:noProof/>
          <w:sz w:val="18"/>
          <w:szCs w:val="20"/>
        </w:rPr>
        <w:t>2</w:t>
      </w:r>
      <w:r w:rsidRPr="0068236B">
        <w:rPr>
          <w:rFonts w:cs="Arial"/>
          <w:iCs/>
          <w:sz w:val="18"/>
          <w:szCs w:val="20"/>
        </w:rPr>
        <w:fldChar w:fldCharType="end"/>
      </w:r>
      <w:r w:rsidRPr="0068236B">
        <w:rPr>
          <w:sz w:val="18"/>
          <w:szCs w:val="20"/>
        </w:rPr>
        <w:t>: Location of the new 400/110 kV substation Miletkovo</w:t>
      </w:r>
      <w:bookmarkEnd w:id="19"/>
    </w:p>
    <w:p w14:paraId="6B6BEC00" w14:textId="2548B9D5" w:rsidR="00F76A79" w:rsidRPr="0068236B" w:rsidRDefault="00F76A79" w:rsidP="00A456C9">
      <w:pPr>
        <w:spacing w:before="0" w:after="60" w:line="240" w:lineRule="auto"/>
        <w:jc w:val="left"/>
        <w:rPr>
          <w:rFonts w:cs="Tahoma"/>
          <w:bCs/>
          <w:sz w:val="16"/>
          <w:szCs w:val="18"/>
        </w:rPr>
      </w:pPr>
      <w:r w:rsidRPr="0068236B">
        <w:rPr>
          <w:rFonts w:cs="Tahoma"/>
          <w:iCs/>
          <w:sz w:val="16"/>
          <w:szCs w:val="18"/>
        </w:rPr>
        <w:t xml:space="preserve">Source: </w:t>
      </w:r>
      <w:r w:rsidRPr="0068236B">
        <w:rPr>
          <w:rFonts w:cs="Tahoma"/>
          <w:sz w:val="16"/>
          <w:szCs w:val="18"/>
          <w:lang w:eastAsia="en-US"/>
        </w:rPr>
        <w:t xml:space="preserve">WB21-MKD-ENE-03 North Macedonia, Strengthening the Transmission Network in the Southeast Region of North Macedonia - Component 1; </w:t>
      </w:r>
      <w:r w:rsidR="00E6543C" w:rsidRPr="0068236B">
        <w:rPr>
          <w:rFonts w:cs="Tahoma"/>
          <w:sz w:val="16"/>
          <w:szCs w:val="18"/>
        </w:rPr>
        <w:t>Detailed Technical Assessment of Preferred Option, January 2022</w:t>
      </w:r>
      <w:r w:rsidRPr="0068236B">
        <w:rPr>
          <w:rFonts w:cs="Tahoma"/>
          <w:bCs/>
          <w:sz w:val="16"/>
          <w:szCs w:val="18"/>
        </w:rPr>
        <w:t xml:space="preserve"> [Ref.7]</w:t>
      </w:r>
    </w:p>
    <w:p w14:paraId="33801D27" w14:textId="1FA2B19D" w:rsidR="00A456C9" w:rsidRPr="0068236B" w:rsidRDefault="00A456C9" w:rsidP="00F76A79">
      <w:pPr>
        <w:spacing w:before="0" w:after="240" w:line="240" w:lineRule="auto"/>
        <w:jc w:val="left"/>
        <w:rPr>
          <w:rFonts w:cs="Tahoma"/>
          <w:bCs/>
          <w:sz w:val="16"/>
          <w:szCs w:val="18"/>
        </w:rPr>
      </w:pPr>
      <w:r w:rsidRPr="0068236B">
        <w:rPr>
          <w:rFonts w:cs="Tahoma"/>
          <w:bCs/>
          <w:sz w:val="16"/>
          <w:szCs w:val="18"/>
        </w:rPr>
        <w:t xml:space="preserve">Note: The archaeological site depicted in the </w:t>
      </w:r>
      <w:r w:rsidR="00163D7E" w:rsidRPr="0068236B">
        <w:rPr>
          <w:rFonts w:cs="Tahoma"/>
          <w:bCs/>
          <w:sz w:val="16"/>
          <w:szCs w:val="18"/>
        </w:rPr>
        <w:t>Figure is</w:t>
      </w:r>
      <w:r w:rsidRPr="0068236B">
        <w:rPr>
          <w:rFonts w:cs="Tahoma"/>
          <w:bCs/>
          <w:sz w:val="16"/>
          <w:szCs w:val="18"/>
        </w:rPr>
        <w:t xml:space="preserve"> at approximate distance of 700 metres from the pr</w:t>
      </w:r>
      <w:r w:rsidR="002876ED" w:rsidRPr="0068236B">
        <w:rPr>
          <w:rFonts w:cs="Tahoma"/>
          <w:bCs/>
          <w:sz w:val="16"/>
          <w:szCs w:val="18"/>
        </w:rPr>
        <w:t>o</w:t>
      </w:r>
      <w:r w:rsidRPr="0068236B">
        <w:rPr>
          <w:rFonts w:cs="Tahoma"/>
          <w:bCs/>
          <w:sz w:val="16"/>
          <w:szCs w:val="18"/>
        </w:rPr>
        <w:t xml:space="preserve">posed location of the new substation </w:t>
      </w:r>
    </w:p>
    <w:p w14:paraId="51D738BC" w14:textId="77777777" w:rsidR="00D27C43" w:rsidRPr="0068236B" w:rsidRDefault="00D27C43" w:rsidP="00D27C43">
      <w:pPr>
        <w:pStyle w:val="NumberedParagraph"/>
        <w:rPr>
          <w:sz w:val="20"/>
        </w:rPr>
      </w:pPr>
      <w:r w:rsidRPr="0068236B">
        <w:rPr>
          <w:sz w:val="20"/>
        </w:rPr>
        <w:t>The new substation would be connected to the existing 110 kV transmission network by the following inte</w:t>
      </w:r>
      <w:r w:rsidRPr="0068236B">
        <w:rPr>
          <w:sz w:val="20"/>
        </w:rPr>
        <w:t>r</w:t>
      </w:r>
      <w:r w:rsidRPr="0068236B">
        <w:rPr>
          <w:sz w:val="20"/>
        </w:rPr>
        <w:t>ventions:</w:t>
      </w:r>
    </w:p>
    <w:p w14:paraId="48A87331" w14:textId="57C007F4" w:rsidR="00D27C43" w:rsidRPr="0068236B" w:rsidRDefault="00B0702A" w:rsidP="00D27C43">
      <w:pPr>
        <w:pStyle w:val="ListBullet"/>
        <w:jc w:val="left"/>
        <w:rPr>
          <w:sz w:val="20"/>
        </w:rPr>
      </w:pPr>
      <w:r w:rsidRPr="0068236B">
        <w:rPr>
          <w:sz w:val="20"/>
          <w:szCs w:val="24"/>
        </w:rPr>
        <w:t xml:space="preserve">Reconstruction </w:t>
      </w:r>
      <w:r w:rsidR="00D27C43" w:rsidRPr="0068236B">
        <w:rPr>
          <w:sz w:val="20"/>
          <w:szCs w:val="24"/>
        </w:rPr>
        <w:t xml:space="preserve">of the existing 110 kV OHL from Valandovo to </w:t>
      </w:r>
      <w:r w:rsidR="00D27C43" w:rsidRPr="0068236B">
        <w:rPr>
          <w:sz w:val="20"/>
        </w:rPr>
        <w:t>the existing 110/20 kV SS ‘EVP’</w:t>
      </w:r>
      <w:r w:rsidR="00D27C43" w:rsidRPr="0068236B">
        <w:rPr>
          <w:rStyle w:val="FootnoteReference"/>
          <w:sz w:val="20"/>
        </w:rPr>
        <w:footnoteReference w:id="8"/>
      </w:r>
      <w:r w:rsidR="00D27C43" w:rsidRPr="0068236B">
        <w:rPr>
          <w:sz w:val="20"/>
        </w:rPr>
        <w:t xml:space="preserve"> Miletkovo</w:t>
      </w:r>
      <w:r w:rsidR="00091F7A" w:rsidRPr="0068236B">
        <w:rPr>
          <w:sz w:val="20"/>
        </w:rPr>
        <w:t xml:space="preserve"> utilizing the same rout</w:t>
      </w:r>
      <w:r w:rsidR="00C31A6A" w:rsidRPr="0068236B">
        <w:rPr>
          <w:sz w:val="20"/>
        </w:rPr>
        <w:t>e</w:t>
      </w:r>
      <w:r w:rsidR="00091F7A" w:rsidRPr="0068236B">
        <w:rPr>
          <w:sz w:val="20"/>
        </w:rPr>
        <w:t xml:space="preserve"> of the </w:t>
      </w:r>
      <w:r w:rsidR="00C31A6A" w:rsidRPr="0068236B">
        <w:rPr>
          <w:sz w:val="20"/>
        </w:rPr>
        <w:t xml:space="preserve">existing </w:t>
      </w:r>
      <w:r w:rsidR="00091F7A" w:rsidRPr="0068236B">
        <w:rPr>
          <w:sz w:val="20"/>
        </w:rPr>
        <w:t xml:space="preserve">line </w:t>
      </w:r>
      <w:r w:rsidR="00602429" w:rsidRPr="0068236B">
        <w:rPr>
          <w:sz w:val="20"/>
        </w:rPr>
        <w:t xml:space="preserve">(approx. 6 km) </w:t>
      </w:r>
      <w:r w:rsidR="00D27C43" w:rsidRPr="0068236B">
        <w:rPr>
          <w:sz w:val="20"/>
        </w:rPr>
        <w:t xml:space="preserve">and its </w:t>
      </w:r>
      <w:r w:rsidR="00602429" w:rsidRPr="0068236B">
        <w:rPr>
          <w:sz w:val="20"/>
        </w:rPr>
        <w:t xml:space="preserve">approx. 1.9 km long </w:t>
      </w:r>
      <w:r w:rsidR="00D27C43" w:rsidRPr="0068236B">
        <w:rPr>
          <w:sz w:val="20"/>
        </w:rPr>
        <w:t xml:space="preserve">extension </w:t>
      </w:r>
      <w:r w:rsidR="00D27C43" w:rsidRPr="0068236B">
        <w:rPr>
          <w:sz w:val="20"/>
          <w:szCs w:val="24"/>
        </w:rPr>
        <w:t xml:space="preserve">to the new </w:t>
      </w:r>
      <w:r w:rsidR="00B91B1E" w:rsidRPr="0068236B">
        <w:rPr>
          <w:sz w:val="20"/>
          <w:szCs w:val="24"/>
        </w:rPr>
        <w:t>400/110 kV SS Miletkovo</w:t>
      </w:r>
    </w:p>
    <w:p w14:paraId="0157F20D" w14:textId="77777777" w:rsidR="00D27C43" w:rsidRPr="0068236B" w:rsidRDefault="00D27C43" w:rsidP="005C3687">
      <w:pPr>
        <w:pStyle w:val="ListBullet"/>
        <w:numPr>
          <w:ilvl w:val="0"/>
          <w:numId w:val="0"/>
        </w:numPr>
        <w:ind w:left="1134"/>
        <w:jc w:val="left"/>
        <w:rPr>
          <w:b/>
          <w:sz w:val="20"/>
        </w:rPr>
      </w:pPr>
      <w:r w:rsidRPr="0068236B">
        <w:rPr>
          <w:sz w:val="20"/>
        </w:rPr>
        <w:t>The alignment of this transmission line passes</w:t>
      </w:r>
      <w:r w:rsidRPr="0068236B">
        <w:rPr>
          <w:rFonts w:cs="Tahoma"/>
          <w:sz w:val="20"/>
        </w:rPr>
        <w:t xml:space="preserve"> through the territory of two Macedonian LSGs: the municipalities of Valandovo and Gevgelija.</w:t>
      </w:r>
      <w:r w:rsidR="005C3687" w:rsidRPr="0068236B">
        <w:rPr>
          <w:b/>
          <w:sz w:val="20"/>
        </w:rPr>
        <w:t xml:space="preserve"> </w:t>
      </w:r>
      <w:r w:rsidR="006305FC" w:rsidRPr="0068236B">
        <w:rPr>
          <w:sz w:val="20"/>
        </w:rPr>
        <w:t>The line has dominant west and west – sout</w:t>
      </w:r>
      <w:r w:rsidR="006305FC" w:rsidRPr="0068236B">
        <w:rPr>
          <w:sz w:val="20"/>
        </w:rPr>
        <w:t>h</w:t>
      </w:r>
      <w:r w:rsidR="006305FC" w:rsidRPr="0068236B">
        <w:rPr>
          <w:sz w:val="20"/>
        </w:rPr>
        <w:t>west directions, passing through mainly agricultural land, as well as some shru</w:t>
      </w:r>
      <w:r w:rsidR="00CB0780" w:rsidRPr="0068236B">
        <w:rPr>
          <w:sz w:val="20"/>
        </w:rPr>
        <w:t>b</w:t>
      </w:r>
      <w:r w:rsidR="006305FC" w:rsidRPr="0068236B">
        <w:rPr>
          <w:sz w:val="20"/>
        </w:rPr>
        <w:t>land and pa</w:t>
      </w:r>
      <w:r w:rsidR="006305FC" w:rsidRPr="0068236B">
        <w:rPr>
          <w:sz w:val="20"/>
        </w:rPr>
        <w:t>s</w:t>
      </w:r>
      <w:r w:rsidR="006305FC" w:rsidRPr="0068236B">
        <w:rPr>
          <w:sz w:val="20"/>
        </w:rPr>
        <w:t>tures. The alignment crosses the c</w:t>
      </w:r>
      <w:r w:rsidR="00C866C4" w:rsidRPr="0068236B">
        <w:rPr>
          <w:sz w:val="20"/>
        </w:rPr>
        <w:t>analised river Anska Reka at two</w:t>
      </w:r>
      <w:r w:rsidR="006305FC" w:rsidRPr="0068236B">
        <w:rPr>
          <w:sz w:val="20"/>
        </w:rPr>
        <w:t xml:space="preserve"> crossing points as well as the Vardar River. The nearest settlements along the </w:t>
      </w:r>
      <w:r w:rsidR="00C866C4" w:rsidRPr="0068236B">
        <w:rPr>
          <w:sz w:val="20"/>
        </w:rPr>
        <w:t>line</w:t>
      </w:r>
      <w:r w:rsidR="006305FC" w:rsidRPr="0068236B">
        <w:rPr>
          <w:sz w:val="20"/>
        </w:rPr>
        <w:t xml:space="preserve"> are </w:t>
      </w:r>
      <w:r w:rsidR="00983A2A" w:rsidRPr="0068236B">
        <w:rPr>
          <w:sz w:val="20"/>
        </w:rPr>
        <w:t xml:space="preserve">the village Miletkovo, located at a relative distance of approx. 700 metres from the line as well as </w:t>
      </w:r>
      <w:r w:rsidR="006305FC" w:rsidRPr="0068236B">
        <w:rPr>
          <w:sz w:val="20"/>
        </w:rPr>
        <w:t xml:space="preserve">the villages Brajkovci, Balinci and Marvinci </w:t>
      </w:r>
      <w:r w:rsidR="00983A2A" w:rsidRPr="0068236B">
        <w:rPr>
          <w:sz w:val="20"/>
        </w:rPr>
        <w:t>located at a relative distance of more than 1000 metres from the line</w:t>
      </w:r>
      <w:r w:rsidR="00CB0780" w:rsidRPr="0068236B">
        <w:rPr>
          <w:sz w:val="20"/>
        </w:rPr>
        <w:t>. The line crosses</w:t>
      </w:r>
      <w:r w:rsidR="006305FC" w:rsidRPr="0068236B">
        <w:rPr>
          <w:sz w:val="20"/>
        </w:rPr>
        <w:t xml:space="preserve"> several features of transport infrastructure in the Project region: two regional roads (R1105 and R1102), as well as the railway Skopje – Thessalonica (GR).</w:t>
      </w:r>
    </w:p>
    <w:p w14:paraId="25ED88A2" w14:textId="6CFB9D92" w:rsidR="00D27C43" w:rsidRPr="0068236B" w:rsidRDefault="00D27C43" w:rsidP="00D27C43">
      <w:pPr>
        <w:pStyle w:val="ListBullet"/>
        <w:jc w:val="left"/>
        <w:rPr>
          <w:sz w:val="20"/>
        </w:rPr>
      </w:pPr>
      <w:r w:rsidRPr="0068236B">
        <w:rPr>
          <w:sz w:val="20"/>
        </w:rPr>
        <w:t xml:space="preserve">Construction of a new </w:t>
      </w:r>
      <w:r w:rsidR="00DE54CF" w:rsidRPr="0068236B">
        <w:rPr>
          <w:sz w:val="20"/>
        </w:rPr>
        <w:t xml:space="preserve">approx. 1.8 km  long </w:t>
      </w:r>
      <w:r w:rsidR="00697138" w:rsidRPr="0068236B">
        <w:rPr>
          <w:sz w:val="20"/>
        </w:rPr>
        <w:t>2x</w:t>
      </w:r>
      <w:r w:rsidRPr="0068236B">
        <w:rPr>
          <w:sz w:val="20"/>
        </w:rPr>
        <w:t xml:space="preserve">110 kV OHL from the new </w:t>
      </w:r>
      <w:r w:rsidR="00B91B1E" w:rsidRPr="0068236B">
        <w:rPr>
          <w:sz w:val="20"/>
        </w:rPr>
        <w:t>400/110 kV SS M</w:t>
      </w:r>
      <w:r w:rsidR="00B91B1E" w:rsidRPr="0068236B">
        <w:rPr>
          <w:sz w:val="20"/>
        </w:rPr>
        <w:t>i</w:t>
      </w:r>
      <w:r w:rsidR="00B91B1E" w:rsidRPr="0068236B">
        <w:rPr>
          <w:sz w:val="20"/>
        </w:rPr>
        <w:t>letkovo</w:t>
      </w:r>
      <w:r w:rsidRPr="0068236B">
        <w:rPr>
          <w:sz w:val="20"/>
        </w:rPr>
        <w:t xml:space="preserve"> to the existing 110/20 kV SS ‘EVP’ Miletkovo </w:t>
      </w:r>
    </w:p>
    <w:p w14:paraId="249F7344" w14:textId="77777777" w:rsidR="00CB0780" w:rsidRPr="0068236B" w:rsidRDefault="00D27C43" w:rsidP="005C3687">
      <w:pPr>
        <w:pStyle w:val="ListBullet"/>
        <w:numPr>
          <w:ilvl w:val="0"/>
          <w:numId w:val="0"/>
        </w:numPr>
        <w:ind w:left="1134"/>
        <w:rPr>
          <w:b/>
          <w:sz w:val="20"/>
        </w:rPr>
      </w:pPr>
      <w:r w:rsidRPr="0068236B">
        <w:rPr>
          <w:sz w:val="20"/>
        </w:rPr>
        <w:t xml:space="preserve">The alignment of this transmission line is located within the territory of one Macedonian LSG: the municipality of </w:t>
      </w:r>
      <w:r w:rsidR="006305FC" w:rsidRPr="0068236B">
        <w:rPr>
          <w:sz w:val="20"/>
        </w:rPr>
        <w:t>Gevgelija</w:t>
      </w:r>
      <w:r w:rsidRPr="0068236B">
        <w:rPr>
          <w:sz w:val="20"/>
        </w:rPr>
        <w:t>.</w:t>
      </w:r>
      <w:r w:rsidR="005C3687" w:rsidRPr="0068236B">
        <w:rPr>
          <w:b/>
          <w:sz w:val="20"/>
        </w:rPr>
        <w:t xml:space="preserve"> </w:t>
      </w:r>
      <w:r w:rsidR="00CB0780" w:rsidRPr="0068236B">
        <w:rPr>
          <w:sz w:val="20"/>
        </w:rPr>
        <w:t>The alignment goes in general south-southwest towards the loc</w:t>
      </w:r>
      <w:r w:rsidR="00CB0780" w:rsidRPr="0068236B">
        <w:rPr>
          <w:sz w:val="20"/>
        </w:rPr>
        <w:t>a</w:t>
      </w:r>
      <w:r w:rsidR="00CB0780" w:rsidRPr="0068236B">
        <w:rPr>
          <w:sz w:val="20"/>
        </w:rPr>
        <w:t>tion of the new 400/110 kV substation Valandovo, in parallel with the extension of the 110 kV OHL SS Valandovo – SS ‘EVP’ Miletkovo, as described above.</w:t>
      </w:r>
    </w:p>
    <w:p w14:paraId="0FC399CC" w14:textId="77777777" w:rsidR="00BF7E0B" w:rsidRPr="0068236B" w:rsidRDefault="00BF7E0B" w:rsidP="005C1605">
      <w:pPr>
        <w:pStyle w:val="Heading3"/>
        <w:rPr>
          <w:rFonts w:cs="Tahoma"/>
          <w:szCs w:val="20"/>
        </w:rPr>
      </w:pPr>
      <w:bookmarkStart w:id="20" w:name="_Toc71559717"/>
      <w:bookmarkStart w:id="21" w:name="_Toc112852187"/>
      <w:r w:rsidRPr="0068236B">
        <w:lastRenderedPageBreak/>
        <w:t>Project Elements</w:t>
      </w:r>
      <w:bookmarkEnd w:id="20"/>
      <w:bookmarkEnd w:id="21"/>
      <w:r w:rsidRPr="0068236B">
        <w:t xml:space="preserve"> </w:t>
      </w:r>
    </w:p>
    <w:p w14:paraId="09E5102F" w14:textId="7624F880" w:rsidR="00BE058F" w:rsidRPr="0068236B" w:rsidRDefault="00BE058F" w:rsidP="00D27C43">
      <w:pPr>
        <w:rPr>
          <w:sz w:val="20"/>
        </w:rPr>
      </w:pPr>
      <w:r w:rsidRPr="0068236B">
        <w:rPr>
          <w:sz w:val="20"/>
        </w:rPr>
        <w:t>A brief overview of the key elements of the Project is provid</w:t>
      </w:r>
      <w:r w:rsidR="00B0702A" w:rsidRPr="0068236B">
        <w:rPr>
          <w:sz w:val="20"/>
        </w:rPr>
        <w:t>ed below.</w:t>
      </w:r>
    </w:p>
    <w:p w14:paraId="54BFA043" w14:textId="77777777" w:rsidR="00B0702A" w:rsidRPr="0068236B" w:rsidRDefault="00B0702A" w:rsidP="00B0702A">
      <w:pPr>
        <w:rPr>
          <w:sz w:val="20"/>
        </w:rPr>
      </w:pPr>
      <w:r w:rsidRPr="0068236B">
        <w:rPr>
          <w:sz w:val="20"/>
        </w:rPr>
        <w:t>In wider context, the main elements of the Project and their inclusion in the environmental and social a</w:t>
      </w:r>
      <w:r w:rsidRPr="0068236B">
        <w:rPr>
          <w:sz w:val="20"/>
        </w:rPr>
        <w:t>p</w:t>
      </w:r>
      <w:r w:rsidRPr="0068236B">
        <w:rPr>
          <w:sz w:val="20"/>
        </w:rPr>
        <w:t>praisal comprise the following:</w:t>
      </w:r>
    </w:p>
    <w:p w14:paraId="2CB2AE32" w14:textId="6EE1679E" w:rsidR="00414B94" w:rsidRPr="0068236B" w:rsidRDefault="00B0702A" w:rsidP="00B0702A">
      <w:pPr>
        <w:pStyle w:val="ListBullet"/>
        <w:spacing w:line="240" w:lineRule="auto"/>
        <w:ind w:left="714" w:hanging="357"/>
        <w:jc w:val="left"/>
        <w:rPr>
          <w:sz w:val="20"/>
        </w:rPr>
      </w:pPr>
      <w:r w:rsidRPr="0068236B">
        <w:rPr>
          <w:sz w:val="20"/>
        </w:rPr>
        <w:t>To construct and operate a new 400/110 kV substation Miletkovo, located in the area of village M</w:t>
      </w:r>
      <w:r w:rsidRPr="0068236B">
        <w:rPr>
          <w:sz w:val="20"/>
        </w:rPr>
        <w:t>i</w:t>
      </w:r>
      <w:r w:rsidRPr="0068236B">
        <w:rPr>
          <w:sz w:val="20"/>
        </w:rPr>
        <w:t>let</w:t>
      </w:r>
      <w:r w:rsidR="00414B94" w:rsidRPr="0068236B">
        <w:rPr>
          <w:sz w:val="20"/>
        </w:rPr>
        <w:t>kovo (Gevgelija municipality):</w:t>
      </w:r>
    </w:p>
    <w:p w14:paraId="0041A1F0" w14:textId="77777777" w:rsidR="00414B94" w:rsidRPr="0068236B" w:rsidRDefault="00414B94" w:rsidP="00414B94">
      <w:pPr>
        <w:pStyle w:val="ListBullet2"/>
        <w:rPr>
          <w:sz w:val="20"/>
          <w:szCs w:val="20"/>
        </w:rPr>
      </w:pPr>
      <w:r w:rsidRPr="0068236B">
        <w:rPr>
          <w:sz w:val="20"/>
          <w:szCs w:val="20"/>
        </w:rPr>
        <w:t>400 kV Switchyard with a total of seven bays of which five fully equipped and two as spare bays;</w:t>
      </w:r>
    </w:p>
    <w:p w14:paraId="70EE22A4" w14:textId="77777777" w:rsidR="00414B94" w:rsidRPr="0068236B" w:rsidRDefault="00414B94" w:rsidP="00414B94">
      <w:pPr>
        <w:pStyle w:val="ListBullet2"/>
        <w:rPr>
          <w:sz w:val="20"/>
          <w:szCs w:val="20"/>
        </w:rPr>
      </w:pPr>
      <w:r w:rsidRPr="0068236B">
        <w:rPr>
          <w:sz w:val="20"/>
          <w:szCs w:val="20"/>
        </w:rPr>
        <w:t>Two power transformers 400/110/x kV, 300/300/x MVA and third power transformer of same type if required, according to 3system needs</w:t>
      </w:r>
    </w:p>
    <w:p w14:paraId="7AB3DF18" w14:textId="01AF3824" w:rsidR="00414B94" w:rsidRPr="0068236B" w:rsidRDefault="00414B94" w:rsidP="00414B94">
      <w:pPr>
        <w:pStyle w:val="ListBullet2"/>
        <w:rPr>
          <w:sz w:val="20"/>
          <w:szCs w:val="20"/>
        </w:rPr>
      </w:pPr>
      <w:r w:rsidRPr="0068236B">
        <w:rPr>
          <w:sz w:val="20"/>
          <w:szCs w:val="20"/>
        </w:rPr>
        <w:t xml:space="preserve">110 kV Switchyard with a total of seventeen bays, of which seven fully </w:t>
      </w:r>
      <w:r w:rsidR="005E6643" w:rsidRPr="0068236B">
        <w:rPr>
          <w:sz w:val="20"/>
          <w:szCs w:val="20"/>
        </w:rPr>
        <w:t>equipped</w:t>
      </w:r>
      <w:r w:rsidRPr="0068236B">
        <w:rPr>
          <w:sz w:val="20"/>
          <w:szCs w:val="20"/>
        </w:rPr>
        <w:t xml:space="preserve"> and ten as spare bays;</w:t>
      </w:r>
    </w:p>
    <w:p w14:paraId="61828AFC" w14:textId="77777777" w:rsidR="00414B94" w:rsidRPr="0068236B" w:rsidRDefault="00414B94" w:rsidP="00414B94">
      <w:pPr>
        <w:pStyle w:val="ListBullet2"/>
        <w:rPr>
          <w:sz w:val="20"/>
          <w:szCs w:val="20"/>
        </w:rPr>
      </w:pPr>
      <w:r w:rsidRPr="0068236B">
        <w:rPr>
          <w:sz w:val="20"/>
          <w:szCs w:val="20"/>
        </w:rPr>
        <w:t>Control building, with approximate dimensions of 20 m x 40 m, and</w:t>
      </w:r>
    </w:p>
    <w:p w14:paraId="681ADBB5" w14:textId="77777777" w:rsidR="00414B94" w:rsidRPr="0068236B" w:rsidRDefault="00414B94" w:rsidP="00414B94">
      <w:pPr>
        <w:pStyle w:val="ListBullet2"/>
        <w:rPr>
          <w:rFonts w:cs="Tahoma"/>
          <w:sz w:val="20"/>
          <w:szCs w:val="20"/>
        </w:rPr>
      </w:pPr>
      <w:r w:rsidRPr="0068236B">
        <w:rPr>
          <w:rFonts w:cs="Tahoma"/>
          <w:sz w:val="20"/>
          <w:szCs w:val="20"/>
        </w:rPr>
        <w:t xml:space="preserve">Relay kiosks in </w:t>
      </w:r>
      <w:r w:rsidRPr="0068236B">
        <w:rPr>
          <w:sz w:val="20"/>
          <w:szCs w:val="20"/>
        </w:rPr>
        <w:t>the 400 kV and 110 kV switchyards.</w:t>
      </w:r>
    </w:p>
    <w:p w14:paraId="4BB768BB" w14:textId="73BDA877" w:rsidR="00414B94" w:rsidRPr="0068236B" w:rsidRDefault="00414B94" w:rsidP="00414B94">
      <w:pPr>
        <w:pStyle w:val="ListBullet"/>
        <w:numPr>
          <w:ilvl w:val="0"/>
          <w:numId w:val="0"/>
        </w:numPr>
        <w:spacing w:before="120" w:after="120"/>
        <w:ind w:left="714"/>
        <w:rPr>
          <w:sz w:val="20"/>
        </w:rPr>
      </w:pPr>
      <w:r w:rsidRPr="0068236B">
        <w:rPr>
          <w:sz w:val="20"/>
        </w:rPr>
        <w:t xml:space="preserve">The area required for </w:t>
      </w:r>
      <w:r w:rsidRPr="0068236B">
        <w:rPr>
          <w:rFonts w:cs="Arial"/>
          <w:sz w:val="20"/>
        </w:rPr>
        <w:t>construction</w:t>
      </w:r>
      <w:r w:rsidRPr="0068236B">
        <w:rPr>
          <w:sz w:val="20"/>
        </w:rPr>
        <w:t xml:space="preserve"> of the substation is approximately 6 ha (300 m x 200 m). The e</w:t>
      </w:r>
      <w:r w:rsidRPr="0068236B">
        <w:rPr>
          <w:sz w:val="20"/>
        </w:rPr>
        <w:t>n</w:t>
      </w:r>
      <w:r w:rsidRPr="0068236B">
        <w:rPr>
          <w:sz w:val="20"/>
        </w:rPr>
        <w:t>tire substation will be constructed on an open space with equipment and safety distances for ou</w:t>
      </w:r>
      <w:r w:rsidRPr="0068236B">
        <w:rPr>
          <w:sz w:val="20"/>
        </w:rPr>
        <w:t>t</w:t>
      </w:r>
      <w:r w:rsidRPr="0068236B">
        <w:rPr>
          <w:sz w:val="20"/>
        </w:rPr>
        <w:t xml:space="preserve">door installation in </w:t>
      </w:r>
      <w:r w:rsidR="005E6643" w:rsidRPr="0068236B">
        <w:rPr>
          <w:sz w:val="20"/>
        </w:rPr>
        <w:t>accordance</w:t>
      </w:r>
      <w:r w:rsidRPr="0068236B">
        <w:rPr>
          <w:sz w:val="20"/>
        </w:rPr>
        <w:t xml:space="preserve"> with the applicable technical standards.</w:t>
      </w:r>
    </w:p>
    <w:p w14:paraId="179E9615" w14:textId="77777777" w:rsidR="00414B94" w:rsidRPr="0068236B" w:rsidRDefault="00414B94" w:rsidP="00414B94">
      <w:pPr>
        <w:pStyle w:val="ListBullet"/>
        <w:spacing w:line="240" w:lineRule="auto"/>
        <w:ind w:left="714" w:hanging="357"/>
        <w:jc w:val="left"/>
        <w:rPr>
          <w:sz w:val="20"/>
        </w:rPr>
      </w:pPr>
      <w:r w:rsidRPr="0068236B">
        <w:rPr>
          <w:rFonts w:cs="Tahoma"/>
          <w:sz w:val="20"/>
        </w:rPr>
        <w:t>The new 400/110 kV substation will be connected to the existing 400 kV and 110 kV transmission network via the following interventions:</w:t>
      </w:r>
    </w:p>
    <w:p w14:paraId="3D43F9B3" w14:textId="3FD98166" w:rsidR="00B0702A" w:rsidRPr="0068236B" w:rsidRDefault="00B0702A" w:rsidP="00B0702A">
      <w:pPr>
        <w:pStyle w:val="ListBullet2"/>
        <w:rPr>
          <w:sz w:val="20"/>
        </w:rPr>
      </w:pPr>
      <w:r w:rsidRPr="0068236B">
        <w:rPr>
          <w:rFonts w:eastAsia="Calibri" w:cs="Tahoma"/>
          <w:color w:val="000000"/>
          <w:sz w:val="20"/>
          <w:szCs w:val="20"/>
        </w:rPr>
        <w:t xml:space="preserve">In-out, </w:t>
      </w:r>
      <w:r w:rsidRPr="0068236B">
        <w:rPr>
          <w:sz w:val="20"/>
        </w:rPr>
        <w:t>approx. 0.5 km long</w:t>
      </w:r>
      <w:r w:rsidRPr="0068236B">
        <w:rPr>
          <w:rFonts w:eastAsia="Calibri" w:cs="Tahoma"/>
          <w:color w:val="000000"/>
          <w:sz w:val="20"/>
          <w:szCs w:val="20"/>
        </w:rPr>
        <w:t xml:space="preserve">, connection with </w:t>
      </w:r>
      <w:r w:rsidRPr="0068236B">
        <w:rPr>
          <w:sz w:val="20"/>
        </w:rPr>
        <w:t>the existing 400 kV line from SS Dubrovo to Thessalonica (GR)</w:t>
      </w:r>
      <w:r w:rsidR="0008365F" w:rsidRPr="0068236B">
        <w:rPr>
          <w:sz w:val="20"/>
        </w:rPr>
        <w:t xml:space="preserve"> (Figure below)</w:t>
      </w:r>
    </w:p>
    <w:p w14:paraId="13E9220A" w14:textId="77777777" w:rsidR="00D803C3" w:rsidRPr="0068236B" w:rsidRDefault="00D803C3" w:rsidP="00D803C3">
      <w:pPr>
        <w:ind w:left="1242" w:firstLine="317"/>
        <w:contextualSpacing/>
        <w:rPr>
          <w:rFonts w:cs="Tahoma"/>
          <w:sz w:val="20"/>
        </w:rPr>
      </w:pPr>
      <w:r w:rsidRPr="0068236B">
        <w:rPr>
          <w:rFonts w:cs="Tahoma"/>
          <w:sz w:val="20"/>
        </w:rPr>
        <w:t>A typical 400 kV transmission line includes the following main technical elements:</w:t>
      </w:r>
    </w:p>
    <w:p w14:paraId="71CB96C6" w14:textId="6AB0FF9B" w:rsidR="001817CA" w:rsidRPr="0068236B" w:rsidRDefault="00D803C3" w:rsidP="008E77D3">
      <w:pPr>
        <w:pStyle w:val="ListBullet2"/>
        <w:numPr>
          <w:ilvl w:val="0"/>
          <w:numId w:val="49"/>
        </w:numPr>
        <w:spacing w:before="0" w:after="0"/>
        <w:ind w:left="1916" w:hanging="357"/>
        <w:contextualSpacing w:val="0"/>
        <w:rPr>
          <w:rFonts w:cs="Tahoma"/>
          <w:sz w:val="20"/>
        </w:rPr>
      </w:pPr>
      <w:r w:rsidRPr="0068236B">
        <w:rPr>
          <w:sz w:val="20"/>
        </w:rPr>
        <w:t xml:space="preserve">Towers, designed as galvanised steel-lattice single circuit self-supporting towers with a horizontal configuration of conductors and two earth wires. </w:t>
      </w:r>
      <w:r w:rsidRPr="0068236B">
        <w:rPr>
          <w:rFonts w:cs="Tahoma"/>
          <w:sz w:val="20"/>
        </w:rPr>
        <w:t>The proposed in-out co</w:t>
      </w:r>
      <w:r w:rsidRPr="0068236B">
        <w:rPr>
          <w:rFonts w:cs="Tahoma"/>
          <w:sz w:val="20"/>
        </w:rPr>
        <w:t>n</w:t>
      </w:r>
      <w:r w:rsidRPr="0068236B">
        <w:rPr>
          <w:rFonts w:cs="Tahoma"/>
          <w:sz w:val="20"/>
        </w:rPr>
        <w:t>nection is designed with two steel-lattice angle (tension) towers with two conductors per phase</w:t>
      </w:r>
      <w:r w:rsidR="001817CA" w:rsidRPr="0068236B">
        <w:rPr>
          <w:rFonts w:cs="Tahoma"/>
          <w:sz w:val="20"/>
        </w:rPr>
        <w:t>, with a height range between 17 and 33 metres.</w:t>
      </w:r>
      <w:r w:rsidR="00562E86" w:rsidRPr="0068236B">
        <w:rPr>
          <w:rFonts w:cs="Tahoma"/>
          <w:sz w:val="20"/>
        </w:rPr>
        <w:t xml:space="preserve"> </w:t>
      </w:r>
      <w:r w:rsidR="001817CA" w:rsidRPr="0068236B">
        <w:rPr>
          <w:rFonts w:cs="Tahoma"/>
          <w:sz w:val="20"/>
        </w:rPr>
        <w:t>The maximal footprint area for a tower is approximately up to 250 m</w:t>
      </w:r>
      <w:r w:rsidR="001817CA" w:rsidRPr="0068236B">
        <w:rPr>
          <w:rFonts w:cs="Tahoma"/>
          <w:sz w:val="20"/>
          <w:vertAlign w:val="superscript"/>
        </w:rPr>
        <w:t>2</w:t>
      </w:r>
      <w:r w:rsidR="001817CA" w:rsidRPr="0068236B">
        <w:rPr>
          <w:rFonts w:cs="Tahoma"/>
          <w:sz w:val="20"/>
        </w:rPr>
        <w:t>. Each tower will have four legs and single reinforced concrete foundation per leg, i.e. four foundations for each tower.</w:t>
      </w:r>
    </w:p>
    <w:p w14:paraId="2A640C2A" w14:textId="2D010211" w:rsidR="001817CA" w:rsidRPr="0068236B" w:rsidRDefault="001817CA" w:rsidP="008E77D3">
      <w:pPr>
        <w:pStyle w:val="ListBullet"/>
        <w:numPr>
          <w:ilvl w:val="0"/>
          <w:numId w:val="49"/>
        </w:numPr>
        <w:spacing w:after="0"/>
        <w:ind w:left="1916" w:hanging="357"/>
        <w:jc w:val="left"/>
        <w:rPr>
          <w:rFonts w:cs="Tahoma"/>
          <w:sz w:val="20"/>
        </w:rPr>
      </w:pPr>
      <w:r w:rsidRPr="0068236B">
        <w:rPr>
          <w:rFonts w:cs="Tahoma"/>
          <w:sz w:val="20"/>
        </w:rPr>
        <w:t>Phase conductors, attached to the cross-arms at the towers by insulator s</w:t>
      </w:r>
      <w:r w:rsidR="00801C61" w:rsidRPr="0068236B">
        <w:rPr>
          <w:rFonts w:cs="Tahoma"/>
          <w:sz w:val="20"/>
        </w:rPr>
        <w:t>trings</w:t>
      </w:r>
      <w:r w:rsidR="00303815" w:rsidRPr="0068236B">
        <w:rPr>
          <w:rFonts w:cs="Tahoma"/>
          <w:sz w:val="20"/>
        </w:rPr>
        <w:t xml:space="preserve">. </w:t>
      </w:r>
      <w:r w:rsidR="00F86CB8" w:rsidRPr="0068236B">
        <w:rPr>
          <w:sz w:val="20"/>
        </w:rPr>
        <w:t>Cha</w:t>
      </w:r>
      <w:r w:rsidR="00F86CB8" w:rsidRPr="0068236B">
        <w:rPr>
          <w:sz w:val="20"/>
        </w:rPr>
        <w:t>r</w:t>
      </w:r>
      <w:r w:rsidR="00F86CB8" w:rsidRPr="0068236B">
        <w:rPr>
          <w:sz w:val="20"/>
        </w:rPr>
        <w:t>acteristics of the conductors will be in compliance with national standards (MKS) and European standards (European Norms – EN).</w:t>
      </w:r>
      <w:r w:rsidR="00303815" w:rsidRPr="0068236B">
        <w:rPr>
          <w:rFonts w:cs="Tahoma"/>
          <w:sz w:val="20"/>
        </w:rPr>
        <w:t xml:space="preserve">The insulators </w:t>
      </w:r>
      <w:r w:rsidRPr="0068236B">
        <w:rPr>
          <w:rFonts w:cs="Tahoma"/>
          <w:sz w:val="20"/>
        </w:rPr>
        <w:t xml:space="preserve">in the case of angle </w:t>
      </w:r>
      <w:r w:rsidR="00303815" w:rsidRPr="0068236B">
        <w:rPr>
          <w:rFonts w:cs="Tahoma"/>
          <w:sz w:val="20"/>
        </w:rPr>
        <w:t xml:space="preserve">towers </w:t>
      </w:r>
      <w:r w:rsidRPr="0068236B">
        <w:rPr>
          <w:rFonts w:cs="Tahoma"/>
          <w:sz w:val="20"/>
        </w:rPr>
        <w:t xml:space="preserve">are attached in line with the conductors (tension strings). </w:t>
      </w:r>
    </w:p>
    <w:p w14:paraId="5B335FD4" w14:textId="77777777" w:rsidR="001817CA" w:rsidRPr="0068236B" w:rsidRDefault="001817CA" w:rsidP="008E77D3">
      <w:pPr>
        <w:pStyle w:val="ListBullet"/>
        <w:numPr>
          <w:ilvl w:val="0"/>
          <w:numId w:val="49"/>
        </w:numPr>
        <w:spacing w:after="0"/>
        <w:ind w:left="1916" w:hanging="357"/>
        <w:jc w:val="left"/>
        <w:rPr>
          <w:rFonts w:cs="Tahoma"/>
          <w:sz w:val="20"/>
        </w:rPr>
      </w:pPr>
      <w:r w:rsidRPr="0068236B">
        <w:rPr>
          <w:rFonts w:cs="Tahoma"/>
          <w:sz w:val="20"/>
        </w:rPr>
        <w:t>Protective wires, strung in horizontal configuration above the top most conductors b</w:t>
      </w:r>
      <w:r w:rsidRPr="0068236B">
        <w:rPr>
          <w:rFonts w:cs="Tahoma"/>
          <w:sz w:val="20"/>
        </w:rPr>
        <w:t>e</w:t>
      </w:r>
      <w:r w:rsidRPr="0068236B">
        <w:rPr>
          <w:rFonts w:cs="Tahoma"/>
          <w:sz w:val="20"/>
        </w:rPr>
        <w:t>tween the tower peaks for protection against lightning strikes.</w:t>
      </w:r>
    </w:p>
    <w:p w14:paraId="1645FFAC" w14:textId="77777777" w:rsidR="0008365F" w:rsidRPr="0068236B" w:rsidRDefault="0008365F" w:rsidP="0008365F">
      <w:pPr>
        <w:pStyle w:val="ListBullet"/>
        <w:numPr>
          <w:ilvl w:val="0"/>
          <w:numId w:val="0"/>
        </w:numPr>
        <w:spacing w:after="0"/>
        <w:jc w:val="left"/>
        <w:rPr>
          <w:rFonts w:cs="Tahoma"/>
          <w:sz w:val="20"/>
        </w:rPr>
      </w:pPr>
    </w:p>
    <w:p w14:paraId="166E2641" w14:textId="7BD40023" w:rsidR="0008365F" w:rsidRPr="0068236B" w:rsidRDefault="003101F1" w:rsidP="0008365F">
      <w:pPr>
        <w:pStyle w:val="ListBullet"/>
        <w:numPr>
          <w:ilvl w:val="0"/>
          <w:numId w:val="0"/>
        </w:numPr>
        <w:spacing w:after="0"/>
        <w:jc w:val="left"/>
        <w:rPr>
          <w:rFonts w:cs="Tahoma"/>
          <w:sz w:val="20"/>
        </w:rPr>
      </w:pPr>
      <w:r w:rsidRPr="0068236B">
        <w:rPr>
          <w:noProof/>
          <w:lang w:val="mk-MK" w:eastAsia="mk-MK"/>
        </w:rPr>
        <w:lastRenderedPageBreak/>
        <w:drawing>
          <wp:inline distT="0" distB="0" distL="0" distR="0" wp14:anchorId="0F163029" wp14:editId="3FF8C4CD">
            <wp:extent cx="3364811" cy="5760000"/>
            <wp:effectExtent l="254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r="2074"/>
                    <a:stretch/>
                  </pic:blipFill>
                  <pic:spPr bwMode="auto">
                    <a:xfrm rot="16200000">
                      <a:off x="0" y="0"/>
                      <a:ext cx="3364811" cy="5760000"/>
                    </a:xfrm>
                    <a:prstGeom prst="rect">
                      <a:avLst/>
                    </a:prstGeom>
                    <a:noFill/>
                    <a:ln>
                      <a:noFill/>
                    </a:ln>
                    <a:extLst>
                      <a:ext uri="{53640926-AAD7-44D8-BBD7-CCE9431645EC}">
                        <a14:shadowObscured xmlns:a14="http://schemas.microsoft.com/office/drawing/2010/main"/>
                      </a:ext>
                    </a:extLst>
                  </pic:spPr>
                </pic:pic>
              </a:graphicData>
            </a:graphic>
          </wp:inline>
        </w:drawing>
      </w:r>
    </w:p>
    <w:p w14:paraId="0A4BBF38" w14:textId="1B286DD8" w:rsidR="0008365F" w:rsidRPr="0068236B" w:rsidRDefault="0008365F" w:rsidP="003101F1">
      <w:pPr>
        <w:spacing w:before="60" w:after="60"/>
        <w:jc w:val="left"/>
        <w:rPr>
          <w:sz w:val="18"/>
          <w:szCs w:val="20"/>
        </w:rPr>
      </w:pPr>
      <w:bookmarkStart w:id="22" w:name="_Toc112928841"/>
      <w:r w:rsidRPr="0068236B">
        <w:rPr>
          <w:rFonts w:cs="Arial"/>
          <w:iCs/>
          <w:sz w:val="18"/>
          <w:szCs w:val="20"/>
        </w:rPr>
        <w:t xml:space="preserve">Figure </w:t>
      </w:r>
      <w:r w:rsidRPr="0068236B">
        <w:rPr>
          <w:rFonts w:cs="Arial"/>
          <w:iCs/>
          <w:sz w:val="18"/>
          <w:szCs w:val="20"/>
        </w:rPr>
        <w:fldChar w:fldCharType="begin"/>
      </w:r>
      <w:r w:rsidRPr="0068236B">
        <w:rPr>
          <w:rFonts w:cs="Arial"/>
          <w:iCs/>
          <w:sz w:val="18"/>
          <w:szCs w:val="20"/>
        </w:rPr>
        <w:instrText xml:space="preserve"> STYLEREF 1 \s </w:instrText>
      </w:r>
      <w:r w:rsidRPr="0068236B">
        <w:rPr>
          <w:rFonts w:cs="Arial"/>
          <w:iCs/>
          <w:sz w:val="18"/>
          <w:szCs w:val="20"/>
        </w:rPr>
        <w:fldChar w:fldCharType="separate"/>
      </w:r>
      <w:r w:rsidR="00234EBE" w:rsidRPr="0068236B">
        <w:rPr>
          <w:rFonts w:cs="Arial"/>
          <w:iCs/>
          <w:noProof/>
          <w:sz w:val="18"/>
          <w:szCs w:val="20"/>
        </w:rPr>
        <w:t>1</w:t>
      </w:r>
      <w:r w:rsidRPr="0068236B">
        <w:rPr>
          <w:rFonts w:cs="Arial"/>
          <w:iCs/>
          <w:sz w:val="18"/>
          <w:szCs w:val="20"/>
        </w:rPr>
        <w:fldChar w:fldCharType="end"/>
      </w:r>
      <w:r w:rsidRPr="0068236B">
        <w:rPr>
          <w:rFonts w:cs="Arial"/>
          <w:iCs/>
          <w:sz w:val="18"/>
          <w:szCs w:val="20"/>
        </w:rPr>
        <w:t>.</w:t>
      </w:r>
      <w:r w:rsidRPr="0068236B">
        <w:rPr>
          <w:rFonts w:cs="Arial"/>
          <w:iCs/>
          <w:sz w:val="18"/>
          <w:szCs w:val="20"/>
        </w:rPr>
        <w:fldChar w:fldCharType="begin"/>
      </w:r>
      <w:r w:rsidRPr="0068236B">
        <w:rPr>
          <w:rFonts w:cs="Arial"/>
          <w:iCs/>
          <w:sz w:val="18"/>
          <w:szCs w:val="20"/>
        </w:rPr>
        <w:instrText xml:space="preserve"> SEQ Figure \* ARABIC \s 1 </w:instrText>
      </w:r>
      <w:r w:rsidRPr="0068236B">
        <w:rPr>
          <w:rFonts w:cs="Arial"/>
          <w:iCs/>
          <w:sz w:val="18"/>
          <w:szCs w:val="20"/>
        </w:rPr>
        <w:fldChar w:fldCharType="separate"/>
      </w:r>
      <w:r w:rsidR="00234EBE" w:rsidRPr="0068236B">
        <w:rPr>
          <w:rFonts w:cs="Arial"/>
          <w:iCs/>
          <w:noProof/>
          <w:sz w:val="18"/>
          <w:szCs w:val="20"/>
        </w:rPr>
        <w:t>3</w:t>
      </w:r>
      <w:r w:rsidRPr="0068236B">
        <w:rPr>
          <w:rFonts w:cs="Arial"/>
          <w:iCs/>
          <w:sz w:val="18"/>
          <w:szCs w:val="20"/>
        </w:rPr>
        <w:fldChar w:fldCharType="end"/>
      </w:r>
      <w:r w:rsidRPr="0068236B">
        <w:rPr>
          <w:sz w:val="18"/>
          <w:szCs w:val="20"/>
        </w:rPr>
        <w:t xml:space="preserve">: </w:t>
      </w:r>
      <w:r w:rsidRPr="0068236B">
        <w:rPr>
          <w:rFonts w:eastAsia="Calibri" w:cs="Tahoma"/>
          <w:color w:val="000000"/>
          <w:sz w:val="18"/>
          <w:szCs w:val="20"/>
        </w:rPr>
        <w:t xml:space="preserve">In-out connection of 400/110 kV substation Miletkovo with </w:t>
      </w:r>
      <w:r w:rsidRPr="0068236B">
        <w:rPr>
          <w:sz w:val="18"/>
        </w:rPr>
        <w:t>the existing 400 kV line from SS Dubrovo to The</w:t>
      </w:r>
      <w:r w:rsidRPr="0068236B">
        <w:rPr>
          <w:sz w:val="18"/>
        </w:rPr>
        <w:t>s</w:t>
      </w:r>
      <w:r w:rsidRPr="0068236B">
        <w:rPr>
          <w:sz w:val="18"/>
        </w:rPr>
        <w:t>salonica (GR)</w:t>
      </w:r>
      <w:bookmarkEnd w:id="22"/>
    </w:p>
    <w:p w14:paraId="16F38397" w14:textId="210BF5C8" w:rsidR="0008365F" w:rsidRPr="0068236B" w:rsidRDefault="0008365F" w:rsidP="0008365F">
      <w:pPr>
        <w:spacing w:before="0" w:after="240" w:line="240" w:lineRule="auto"/>
        <w:jc w:val="left"/>
        <w:rPr>
          <w:rFonts w:cs="Tahoma"/>
          <w:bCs/>
          <w:sz w:val="16"/>
          <w:szCs w:val="18"/>
        </w:rPr>
      </w:pPr>
      <w:r w:rsidRPr="0068236B">
        <w:rPr>
          <w:rFonts w:cs="Tahoma"/>
          <w:iCs/>
          <w:sz w:val="16"/>
          <w:szCs w:val="18"/>
        </w:rPr>
        <w:t xml:space="preserve">Source: </w:t>
      </w:r>
      <w:r w:rsidRPr="0068236B">
        <w:rPr>
          <w:rFonts w:cs="Tahoma"/>
          <w:sz w:val="16"/>
          <w:szCs w:val="18"/>
          <w:lang w:eastAsia="en-US"/>
        </w:rPr>
        <w:t xml:space="preserve">WB21-MKD-ENE-03 North Macedonia, Strengthening the Transmission Network in the Southeast Region of North Macedonia - Component 1; </w:t>
      </w:r>
      <w:r w:rsidR="00E6543C" w:rsidRPr="0068236B">
        <w:rPr>
          <w:rFonts w:cs="Tahoma"/>
          <w:sz w:val="16"/>
          <w:szCs w:val="18"/>
        </w:rPr>
        <w:t>Detailed Technical Assessment of Preferred Option, January 2022</w:t>
      </w:r>
      <w:r w:rsidRPr="0068236B">
        <w:rPr>
          <w:rFonts w:cs="Tahoma"/>
          <w:bCs/>
          <w:sz w:val="16"/>
          <w:szCs w:val="18"/>
        </w:rPr>
        <w:t xml:space="preserve"> [Ref.7]</w:t>
      </w:r>
    </w:p>
    <w:p w14:paraId="2538B83C" w14:textId="2980616C" w:rsidR="00414B94" w:rsidRPr="0068236B" w:rsidRDefault="00414B94" w:rsidP="00144501">
      <w:pPr>
        <w:pStyle w:val="ListBullet2"/>
        <w:contextualSpacing w:val="0"/>
        <w:rPr>
          <w:sz w:val="20"/>
        </w:rPr>
      </w:pPr>
      <w:r w:rsidRPr="0068236B">
        <w:rPr>
          <w:sz w:val="20"/>
        </w:rPr>
        <w:t xml:space="preserve">Reconstruction </w:t>
      </w:r>
      <w:r w:rsidR="00144501" w:rsidRPr="0068236B">
        <w:rPr>
          <w:sz w:val="20"/>
        </w:rPr>
        <w:t>of the existing 2x110 kV transmission line from SS Valandovo to SS ‘EVP’ Miletkovo</w:t>
      </w:r>
      <w:r w:rsidR="00197E78" w:rsidRPr="0068236B">
        <w:rPr>
          <w:sz w:val="20"/>
        </w:rPr>
        <w:t xml:space="preserve"> and its extension to the new 400/110 kV SS Miletkovo</w:t>
      </w:r>
    </w:p>
    <w:p w14:paraId="5BB35B55" w14:textId="1F799DEE" w:rsidR="00414B94" w:rsidRPr="0068236B" w:rsidRDefault="00414B94" w:rsidP="00414B94">
      <w:pPr>
        <w:pStyle w:val="ListBullet2"/>
        <w:numPr>
          <w:ilvl w:val="0"/>
          <w:numId w:val="0"/>
        </w:numPr>
        <w:ind w:left="1559"/>
        <w:contextualSpacing w:val="0"/>
        <w:rPr>
          <w:sz w:val="20"/>
          <w:szCs w:val="20"/>
        </w:rPr>
      </w:pPr>
      <w:r w:rsidRPr="0068236B">
        <w:rPr>
          <w:sz w:val="20"/>
          <w:szCs w:val="20"/>
        </w:rPr>
        <w:t>The reconstruction can be divided into two separate processes:</w:t>
      </w:r>
    </w:p>
    <w:p w14:paraId="2FB17677" w14:textId="4DF4CE99" w:rsidR="0091025E" w:rsidRPr="0068236B" w:rsidRDefault="00414B94" w:rsidP="008E77D3">
      <w:pPr>
        <w:pStyle w:val="ListBullet3"/>
        <w:numPr>
          <w:ilvl w:val="2"/>
          <w:numId w:val="50"/>
        </w:numPr>
        <w:jc w:val="left"/>
        <w:rPr>
          <w:sz w:val="20"/>
          <w:szCs w:val="20"/>
        </w:rPr>
      </w:pPr>
      <w:r w:rsidRPr="0068236B">
        <w:rPr>
          <w:sz w:val="20"/>
          <w:szCs w:val="20"/>
        </w:rPr>
        <w:t>Reconstruction of the existing line from tower no.1 to tower no.19 (yellow line in the Figure below), in approximate length of 6</w:t>
      </w:r>
      <w:r w:rsidR="0091025E" w:rsidRPr="0068236B">
        <w:rPr>
          <w:sz w:val="20"/>
          <w:szCs w:val="20"/>
        </w:rPr>
        <w:t xml:space="preserve"> km. </w:t>
      </w:r>
      <w:r w:rsidR="0091025E" w:rsidRPr="0068236B">
        <w:rPr>
          <w:rFonts w:cs="Tahoma"/>
          <w:sz w:val="20"/>
          <w:szCs w:val="20"/>
          <w:lang w:eastAsia="sr-Latn-RS"/>
        </w:rPr>
        <w:t>In accordance with the System Studies performed for the purposes of the Project</w:t>
      </w:r>
      <w:r w:rsidR="0091025E" w:rsidRPr="0068236B">
        <w:rPr>
          <w:sz w:val="20"/>
          <w:szCs w:val="20"/>
        </w:rPr>
        <w:t xml:space="preserve"> and the limited space for reconstru</w:t>
      </w:r>
      <w:r w:rsidR="0091025E" w:rsidRPr="0068236B">
        <w:rPr>
          <w:sz w:val="20"/>
          <w:szCs w:val="20"/>
        </w:rPr>
        <w:t>c</w:t>
      </w:r>
      <w:r w:rsidR="0091025E" w:rsidRPr="0068236B">
        <w:rPr>
          <w:sz w:val="20"/>
          <w:szCs w:val="20"/>
        </w:rPr>
        <w:t xml:space="preserve">tion/extension in existing SS 110/35 kV Valandovo, the existing double system (2x110 kV) OHL SS Valandovo – SS ‘EVP’ Miletkovo will be reconstructed to three phase single circuit (1x110 kV) line, with the use of the same towers and positions and by replacing the conductor, to increase its transfer capacity. </w:t>
      </w:r>
      <w:r w:rsidR="0091025E" w:rsidRPr="0068236B">
        <w:rPr>
          <w:sz w:val="20"/>
        </w:rPr>
        <w:t>Therefore, for the purposes of this reconstruction, the existing towers will remain in use during the o</w:t>
      </w:r>
      <w:r w:rsidR="0091025E" w:rsidRPr="0068236B">
        <w:rPr>
          <w:sz w:val="20"/>
        </w:rPr>
        <w:t>p</w:t>
      </w:r>
      <w:r w:rsidR="0091025E" w:rsidRPr="0068236B">
        <w:rPr>
          <w:sz w:val="20"/>
        </w:rPr>
        <w:t xml:space="preserve">erational life of the reconstructed line. </w:t>
      </w:r>
      <w:r w:rsidR="0091025E" w:rsidRPr="0068236B">
        <w:rPr>
          <w:sz w:val="20"/>
          <w:szCs w:val="20"/>
          <w:lang w:eastAsia="en-US"/>
        </w:rPr>
        <w:t>The dismantling works will consist of disma</w:t>
      </w:r>
      <w:r w:rsidR="0091025E" w:rsidRPr="0068236B">
        <w:rPr>
          <w:sz w:val="20"/>
          <w:szCs w:val="20"/>
          <w:lang w:eastAsia="en-US"/>
        </w:rPr>
        <w:t>n</w:t>
      </w:r>
      <w:r w:rsidR="0091025E" w:rsidRPr="0068236B">
        <w:rPr>
          <w:sz w:val="20"/>
          <w:szCs w:val="20"/>
          <w:lang w:eastAsia="en-US"/>
        </w:rPr>
        <w:t>tling of the existing conductor (</w:t>
      </w:r>
      <w:r w:rsidR="0091025E" w:rsidRPr="0068236B">
        <w:rPr>
          <w:sz w:val="20"/>
          <w:szCs w:val="20"/>
        </w:rPr>
        <w:t>four conductor wires), the insulator strings and e</w:t>
      </w:r>
      <w:r w:rsidR="0091025E" w:rsidRPr="0068236B">
        <w:rPr>
          <w:sz w:val="20"/>
          <w:szCs w:val="20"/>
          <w:lang w:eastAsia="en-US"/>
        </w:rPr>
        <w:t>arth wire.</w:t>
      </w:r>
    </w:p>
    <w:p w14:paraId="268C6DC5" w14:textId="77777777" w:rsidR="00755858" w:rsidRPr="0068236B" w:rsidRDefault="00755858" w:rsidP="00197E78">
      <w:pPr>
        <w:rPr>
          <w:sz w:val="20"/>
        </w:rPr>
      </w:pPr>
    </w:p>
    <w:p w14:paraId="3513EC80" w14:textId="77777777" w:rsidR="00755858" w:rsidRPr="0068236B" w:rsidRDefault="00755858" w:rsidP="00197E78">
      <w:pPr>
        <w:rPr>
          <w:sz w:val="20"/>
        </w:rPr>
        <w:sectPr w:rsidR="00755858" w:rsidRPr="0068236B" w:rsidSect="00F56664">
          <w:pgSz w:w="11907" w:h="16840" w:code="9"/>
          <w:pgMar w:top="1134" w:right="1134" w:bottom="1077" w:left="1134" w:header="397" w:footer="397" w:gutter="0"/>
          <w:cols w:space="708"/>
          <w:docGrid w:linePitch="360"/>
        </w:sectPr>
      </w:pPr>
    </w:p>
    <w:p w14:paraId="093547A0" w14:textId="0AD0A890" w:rsidR="00755858" w:rsidRPr="0068236B" w:rsidRDefault="00755858" w:rsidP="00743A2A">
      <w:pPr>
        <w:spacing w:before="0" w:after="0"/>
        <w:rPr>
          <w:sz w:val="20"/>
        </w:rPr>
      </w:pPr>
      <w:r w:rsidRPr="0068236B">
        <w:rPr>
          <w:noProof/>
          <w:sz w:val="20"/>
          <w:lang w:val="mk-MK" w:eastAsia="mk-MK"/>
        </w:rPr>
        <w:lastRenderedPageBreak/>
        <w:drawing>
          <wp:inline distT="0" distB="0" distL="0" distR="0" wp14:anchorId="774AA361" wp14:editId="2DB7900C">
            <wp:extent cx="5508000" cy="9360000"/>
            <wp:effectExtent l="0" t="1905" r="0" b="0"/>
            <wp:docPr id="935" name="Picture 9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0423" r="10291" b="3292"/>
                    <a:stretch/>
                  </pic:blipFill>
                  <pic:spPr bwMode="auto">
                    <a:xfrm rot="16200000">
                      <a:off x="0" y="0"/>
                      <a:ext cx="5508000" cy="9360000"/>
                    </a:xfrm>
                    <a:prstGeom prst="rect">
                      <a:avLst/>
                    </a:prstGeom>
                    <a:noFill/>
                    <a:ln>
                      <a:noFill/>
                    </a:ln>
                    <a:extLst>
                      <a:ext uri="{53640926-AAD7-44D8-BBD7-CCE9431645EC}">
                        <a14:shadowObscured xmlns:a14="http://schemas.microsoft.com/office/drawing/2010/main"/>
                      </a:ext>
                    </a:extLst>
                  </pic:spPr>
                </pic:pic>
              </a:graphicData>
            </a:graphic>
          </wp:inline>
        </w:drawing>
      </w:r>
    </w:p>
    <w:p w14:paraId="4F2EE181" w14:textId="77777777" w:rsidR="00743A2A" w:rsidRPr="0068236B" w:rsidRDefault="00743A2A" w:rsidP="00743A2A">
      <w:pPr>
        <w:spacing w:before="0" w:after="0"/>
        <w:jc w:val="left"/>
        <w:rPr>
          <w:sz w:val="18"/>
          <w:szCs w:val="20"/>
        </w:rPr>
      </w:pPr>
      <w:bookmarkStart w:id="23" w:name="_Toc112928842"/>
      <w:r w:rsidRPr="0068236B">
        <w:rPr>
          <w:rFonts w:cs="Arial"/>
          <w:iCs/>
          <w:sz w:val="18"/>
          <w:szCs w:val="20"/>
        </w:rPr>
        <w:t xml:space="preserve">Figure </w:t>
      </w:r>
      <w:r w:rsidRPr="0068236B">
        <w:rPr>
          <w:rFonts w:cs="Arial"/>
          <w:iCs/>
          <w:sz w:val="18"/>
          <w:szCs w:val="20"/>
        </w:rPr>
        <w:fldChar w:fldCharType="begin"/>
      </w:r>
      <w:r w:rsidRPr="0068236B">
        <w:rPr>
          <w:rFonts w:cs="Arial"/>
          <w:iCs/>
          <w:sz w:val="18"/>
          <w:szCs w:val="20"/>
        </w:rPr>
        <w:instrText xml:space="preserve"> STYLEREF 1 \s </w:instrText>
      </w:r>
      <w:r w:rsidRPr="0068236B">
        <w:rPr>
          <w:rFonts w:cs="Arial"/>
          <w:iCs/>
          <w:sz w:val="18"/>
          <w:szCs w:val="20"/>
        </w:rPr>
        <w:fldChar w:fldCharType="separate"/>
      </w:r>
      <w:r w:rsidRPr="0068236B">
        <w:rPr>
          <w:rFonts w:cs="Arial"/>
          <w:iCs/>
          <w:noProof/>
          <w:sz w:val="18"/>
          <w:szCs w:val="20"/>
        </w:rPr>
        <w:t>1</w:t>
      </w:r>
      <w:r w:rsidRPr="0068236B">
        <w:rPr>
          <w:rFonts w:cs="Arial"/>
          <w:iCs/>
          <w:sz w:val="18"/>
          <w:szCs w:val="20"/>
        </w:rPr>
        <w:fldChar w:fldCharType="end"/>
      </w:r>
      <w:r w:rsidRPr="0068236B">
        <w:rPr>
          <w:rFonts w:cs="Arial"/>
          <w:iCs/>
          <w:sz w:val="18"/>
          <w:szCs w:val="20"/>
        </w:rPr>
        <w:t>.</w:t>
      </w:r>
      <w:r w:rsidRPr="0068236B">
        <w:rPr>
          <w:rFonts w:cs="Arial"/>
          <w:iCs/>
          <w:sz w:val="18"/>
          <w:szCs w:val="20"/>
        </w:rPr>
        <w:fldChar w:fldCharType="begin"/>
      </w:r>
      <w:r w:rsidRPr="0068236B">
        <w:rPr>
          <w:rFonts w:cs="Arial"/>
          <w:iCs/>
          <w:sz w:val="18"/>
          <w:szCs w:val="20"/>
        </w:rPr>
        <w:instrText xml:space="preserve"> SEQ Figure \* ARABIC \s 1 </w:instrText>
      </w:r>
      <w:r w:rsidRPr="0068236B">
        <w:rPr>
          <w:rFonts w:cs="Arial"/>
          <w:iCs/>
          <w:sz w:val="18"/>
          <w:szCs w:val="20"/>
        </w:rPr>
        <w:fldChar w:fldCharType="separate"/>
      </w:r>
      <w:r w:rsidRPr="0068236B">
        <w:rPr>
          <w:rFonts w:cs="Arial"/>
          <w:iCs/>
          <w:noProof/>
          <w:sz w:val="18"/>
          <w:szCs w:val="20"/>
        </w:rPr>
        <w:t>4</w:t>
      </w:r>
      <w:r w:rsidRPr="0068236B">
        <w:rPr>
          <w:rFonts w:cs="Arial"/>
          <w:iCs/>
          <w:sz w:val="18"/>
          <w:szCs w:val="20"/>
        </w:rPr>
        <w:fldChar w:fldCharType="end"/>
      </w:r>
      <w:r w:rsidRPr="0068236B">
        <w:rPr>
          <w:sz w:val="18"/>
          <w:szCs w:val="20"/>
        </w:rPr>
        <w:t>: Reconstruction of existing double phase 2x110 kV transmission line from Valandovo substation to ‘EVP’ Miletkovo substation to three-phase 110 kV transmission line and extension to 400/110 kV SS Miletkovo</w:t>
      </w:r>
      <w:bookmarkEnd w:id="23"/>
    </w:p>
    <w:p w14:paraId="548E03C1" w14:textId="77777777" w:rsidR="00743A2A" w:rsidRPr="0068236B" w:rsidRDefault="00743A2A" w:rsidP="00743A2A">
      <w:pPr>
        <w:spacing w:before="0" w:after="240" w:line="240" w:lineRule="auto"/>
        <w:jc w:val="left"/>
        <w:rPr>
          <w:rFonts w:cs="Tahoma"/>
          <w:bCs/>
          <w:sz w:val="16"/>
          <w:szCs w:val="18"/>
        </w:rPr>
      </w:pPr>
      <w:r w:rsidRPr="0068236B">
        <w:rPr>
          <w:rFonts w:cs="Tahoma"/>
          <w:iCs/>
          <w:sz w:val="16"/>
          <w:szCs w:val="18"/>
        </w:rPr>
        <w:t xml:space="preserve">Source: </w:t>
      </w:r>
      <w:r w:rsidRPr="0068236B">
        <w:rPr>
          <w:rFonts w:cs="Tahoma"/>
          <w:sz w:val="16"/>
          <w:szCs w:val="18"/>
          <w:lang w:eastAsia="en-US"/>
        </w:rPr>
        <w:t xml:space="preserve">WB21-MKD-ENE-03 North Macedonia, Strengthening the Transmission Network in the Southeast Region of North Macedonia - Component 1; </w:t>
      </w:r>
      <w:r w:rsidRPr="0068236B">
        <w:rPr>
          <w:rFonts w:cs="Tahoma"/>
          <w:sz w:val="16"/>
          <w:szCs w:val="18"/>
        </w:rPr>
        <w:t>Detailed Technical Assessment of Preferred Option, January 2022</w:t>
      </w:r>
      <w:r w:rsidRPr="0068236B">
        <w:rPr>
          <w:rFonts w:cs="Tahoma"/>
          <w:bCs/>
          <w:sz w:val="16"/>
          <w:szCs w:val="18"/>
        </w:rPr>
        <w:t xml:space="preserve"> [Ref.7]</w:t>
      </w:r>
    </w:p>
    <w:p w14:paraId="300BC91B" w14:textId="77777777" w:rsidR="00743A2A" w:rsidRPr="0068236B" w:rsidRDefault="00743A2A" w:rsidP="00197E78">
      <w:pPr>
        <w:rPr>
          <w:sz w:val="20"/>
        </w:rPr>
        <w:sectPr w:rsidR="00743A2A" w:rsidRPr="0068236B" w:rsidSect="00755858">
          <w:pgSz w:w="16840" w:h="11907" w:orient="landscape" w:code="9"/>
          <w:pgMar w:top="1134" w:right="1134" w:bottom="1134" w:left="1077" w:header="397" w:footer="397" w:gutter="0"/>
          <w:cols w:space="708"/>
          <w:docGrid w:linePitch="360"/>
        </w:sectPr>
      </w:pPr>
    </w:p>
    <w:p w14:paraId="2CC55FA1" w14:textId="4CF648F3" w:rsidR="000B15E2" w:rsidRPr="0068236B" w:rsidRDefault="00824E85" w:rsidP="008E77D3">
      <w:pPr>
        <w:pStyle w:val="ListBullet3"/>
        <w:numPr>
          <w:ilvl w:val="2"/>
          <w:numId w:val="50"/>
        </w:numPr>
        <w:jc w:val="left"/>
        <w:rPr>
          <w:sz w:val="20"/>
        </w:rPr>
      </w:pPr>
      <w:r w:rsidRPr="0068236B">
        <w:rPr>
          <w:sz w:val="20"/>
          <w:szCs w:val="20"/>
        </w:rPr>
        <w:lastRenderedPageBreak/>
        <w:t xml:space="preserve">Construction of an extension - a new three phase 1x110 kV line from tower no. 19 to the new SS 400/110 kV Miletkovo </w:t>
      </w:r>
      <w:r w:rsidRPr="0068236B">
        <w:rPr>
          <w:color w:val="000000" w:themeColor="text1"/>
          <w:sz w:val="20"/>
          <w:szCs w:val="20"/>
        </w:rPr>
        <w:t xml:space="preserve">(dark blue line in the Figure below), </w:t>
      </w:r>
      <w:r w:rsidRPr="0068236B">
        <w:rPr>
          <w:sz w:val="20"/>
          <w:szCs w:val="20"/>
        </w:rPr>
        <w:t>in approx</w:t>
      </w:r>
      <w:r w:rsidRPr="0068236B">
        <w:rPr>
          <w:sz w:val="20"/>
          <w:szCs w:val="20"/>
        </w:rPr>
        <w:t>i</w:t>
      </w:r>
      <w:r w:rsidRPr="0068236B">
        <w:rPr>
          <w:sz w:val="20"/>
          <w:szCs w:val="20"/>
        </w:rPr>
        <w:t xml:space="preserve">mate length of 1.9 km. </w:t>
      </w:r>
    </w:p>
    <w:p w14:paraId="22FF068A" w14:textId="77777777" w:rsidR="00824E85" w:rsidRPr="0068236B" w:rsidRDefault="00824E85" w:rsidP="00824E85">
      <w:pPr>
        <w:pStyle w:val="NumberedParagraph"/>
        <w:ind w:left="2127"/>
        <w:rPr>
          <w:sz w:val="20"/>
          <w:szCs w:val="20"/>
        </w:rPr>
      </w:pPr>
      <w:r w:rsidRPr="0068236B">
        <w:rPr>
          <w:sz w:val="20"/>
        </w:rPr>
        <w:t xml:space="preserve">The proposed extension of the existing 110 kV line from SS Valandovo to SS ‘EVP’ Miletkovo, which will be </w:t>
      </w:r>
      <w:r w:rsidRPr="0068236B">
        <w:rPr>
          <w:sz w:val="20"/>
          <w:szCs w:val="20"/>
        </w:rPr>
        <w:t xml:space="preserve">reconstructed, to the new 400/110 kV SS Miletkovo includes the following technical elements: </w:t>
      </w:r>
    </w:p>
    <w:p w14:paraId="2CAAA56A" w14:textId="04EDD825" w:rsidR="00824E85" w:rsidRPr="0068236B" w:rsidRDefault="00824E85" w:rsidP="008E77D3">
      <w:pPr>
        <w:pStyle w:val="NumberedParagraph"/>
        <w:numPr>
          <w:ilvl w:val="0"/>
          <w:numId w:val="47"/>
        </w:numPr>
        <w:spacing w:before="0" w:after="0"/>
        <w:ind w:left="2552" w:hanging="284"/>
        <w:jc w:val="left"/>
        <w:rPr>
          <w:sz w:val="20"/>
          <w:szCs w:val="20"/>
        </w:rPr>
      </w:pPr>
      <w:r w:rsidRPr="0068236B">
        <w:rPr>
          <w:sz w:val="20"/>
          <w:szCs w:val="20"/>
        </w:rPr>
        <w:t>Towers, designed as galvanised steel-lattice towers with three arms configur</w:t>
      </w:r>
      <w:r w:rsidRPr="0068236B">
        <w:rPr>
          <w:sz w:val="20"/>
          <w:szCs w:val="20"/>
        </w:rPr>
        <w:t>a</w:t>
      </w:r>
      <w:r w:rsidRPr="0068236B">
        <w:rPr>
          <w:sz w:val="20"/>
          <w:szCs w:val="20"/>
        </w:rPr>
        <w:t xml:space="preserve">tion of conductors with one conductor per phase, </w:t>
      </w:r>
      <w:r w:rsidRPr="0068236B">
        <w:rPr>
          <w:rFonts w:cs="Tahoma"/>
          <w:sz w:val="20"/>
        </w:rPr>
        <w:t>with a height range between 12 and 30 metres.</w:t>
      </w:r>
      <w:r w:rsidR="00562E86" w:rsidRPr="0068236B">
        <w:rPr>
          <w:rFonts w:cs="Tahoma"/>
          <w:sz w:val="20"/>
        </w:rPr>
        <w:t xml:space="preserve"> </w:t>
      </w:r>
      <w:r w:rsidRPr="0068236B">
        <w:rPr>
          <w:rFonts w:cs="Tahoma"/>
          <w:sz w:val="20"/>
        </w:rPr>
        <w:t>The maximal footprint area for a tower is approximately up to 100 m</w:t>
      </w:r>
      <w:r w:rsidRPr="0068236B">
        <w:rPr>
          <w:rFonts w:cs="Tahoma"/>
          <w:sz w:val="20"/>
          <w:vertAlign w:val="superscript"/>
        </w:rPr>
        <w:t>2</w:t>
      </w:r>
      <w:r w:rsidRPr="0068236B">
        <w:rPr>
          <w:sz w:val="20"/>
          <w:szCs w:val="20"/>
        </w:rPr>
        <w:t xml:space="preserve">. </w:t>
      </w:r>
      <w:r w:rsidRPr="0068236B">
        <w:rPr>
          <w:rFonts w:cs="Tahoma"/>
          <w:sz w:val="20"/>
        </w:rPr>
        <w:t>Each tower will have four legs and single reinforced concrete fou</w:t>
      </w:r>
      <w:r w:rsidRPr="0068236B">
        <w:rPr>
          <w:rFonts w:cs="Tahoma"/>
          <w:sz w:val="20"/>
        </w:rPr>
        <w:t>n</w:t>
      </w:r>
      <w:r w:rsidRPr="0068236B">
        <w:rPr>
          <w:rFonts w:cs="Tahoma"/>
          <w:sz w:val="20"/>
        </w:rPr>
        <w:t>dation per leg, i.e. four foundations for each tower.</w:t>
      </w:r>
      <w:r w:rsidRPr="0068236B">
        <w:rPr>
          <w:sz w:val="20"/>
          <w:szCs w:val="20"/>
        </w:rPr>
        <w:t xml:space="preserve"> </w:t>
      </w:r>
    </w:p>
    <w:p w14:paraId="29989FB6" w14:textId="77777777" w:rsidR="00824E85" w:rsidRPr="0068236B" w:rsidRDefault="00824E85" w:rsidP="008E77D3">
      <w:pPr>
        <w:pStyle w:val="ListBullet"/>
        <w:numPr>
          <w:ilvl w:val="0"/>
          <w:numId w:val="47"/>
        </w:numPr>
        <w:spacing w:after="0"/>
        <w:ind w:left="2552" w:hanging="284"/>
        <w:jc w:val="left"/>
        <w:rPr>
          <w:sz w:val="20"/>
          <w:szCs w:val="20"/>
        </w:rPr>
      </w:pPr>
      <w:r w:rsidRPr="0068236B">
        <w:rPr>
          <w:sz w:val="20"/>
          <w:szCs w:val="20"/>
        </w:rPr>
        <w:t>Phase conductors and insulator strings. One conductor per phase is foreseen. Characteristics of the conductors will be in compliance with national standards (MKS) and European standards (European Norms - EN). The insulator strings will be tension strings.</w:t>
      </w:r>
    </w:p>
    <w:p w14:paraId="76757619" w14:textId="085FDAC8" w:rsidR="00197E78" w:rsidRPr="0068236B" w:rsidRDefault="00824E85" w:rsidP="00F83407">
      <w:pPr>
        <w:pStyle w:val="ListBullet"/>
        <w:numPr>
          <w:ilvl w:val="0"/>
          <w:numId w:val="47"/>
        </w:numPr>
        <w:spacing w:after="0"/>
        <w:ind w:left="2552" w:hanging="284"/>
        <w:jc w:val="left"/>
        <w:rPr>
          <w:sz w:val="20"/>
          <w:szCs w:val="20"/>
        </w:rPr>
      </w:pPr>
      <w:r w:rsidRPr="0068236B">
        <w:rPr>
          <w:rFonts w:cs="Tahoma"/>
          <w:sz w:val="20"/>
          <w:szCs w:val="20"/>
        </w:rPr>
        <w:t>A ground wire strung above the towers arms at the tower peak for protection against lightning strikes.</w:t>
      </w:r>
    </w:p>
    <w:p w14:paraId="13409964" w14:textId="533ABADA" w:rsidR="00197E78" w:rsidRPr="0068236B" w:rsidRDefault="00AE746C" w:rsidP="00F83407">
      <w:pPr>
        <w:spacing w:after="0"/>
        <w:rPr>
          <w:sz w:val="20"/>
          <w:szCs w:val="20"/>
          <w:lang w:eastAsia="en-US"/>
        </w:rPr>
      </w:pPr>
      <w:r w:rsidRPr="0068236B">
        <w:rPr>
          <w:noProof/>
          <w:lang w:val="mk-MK" w:eastAsia="mk-MK"/>
        </w:rPr>
        <w:drawing>
          <wp:inline distT="0" distB="0" distL="0" distR="0" wp14:anchorId="0F1F0FC5" wp14:editId="417A3EE3">
            <wp:extent cx="4266434" cy="4459636"/>
            <wp:effectExtent l="0" t="1588"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r="12016"/>
                    <a:stretch/>
                  </pic:blipFill>
                  <pic:spPr bwMode="auto">
                    <a:xfrm rot="16200000">
                      <a:off x="0" y="0"/>
                      <a:ext cx="4257292" cy="4450080"/>
                    </a:xfrm>
                    <a:prstGeom prst="rect">
                      <a:avLst/>
                    </a:prstGeom>
                    <a:noFill/>
                    <a:ln>
                      <a:noFill/>
                    </a:ln>
                    <a:extLst>
                      <a:ext uri="{53640926-AAD7-44D8-BBD7-CCE9431645EC}">
                        <a14:shadowObscured xmlns:a14="http://schemas.microsoft.com/office/drawing/2010/main"/>
                      </a:ext>
                    </a:extLst>
                  </pic:spPr>
                </pic:pic>
              </a:graphicData>
            </a:graphic>
          </wp:inline>
        </w:drawing>
      </w:r>
    </w:p>
    <w:p w14:paraId="304951FE" w14:textId="5A8D75E5" w:rsidR="00197E78" w:rsidRPr="0068236B" w:rsidRDefault="00197E78" w:rsidP="008E1395">
      <w:pPr>
        <w:spacing w:before="0" w:after="60" w:line="240" w:lineRule="auto"/>
        <w:jc w:val="left"/>
        <w:rPr>
          <w:sz w:val="18"/>
          <w:szCs w:val="20"/>
        </w:rPr>
      </w:pPr>
      <w:bookmarkStart w:id="24" w:name="_Toc112928843"/>
      <w:r w:rsidRPr="0068236B">
        <w:rPr>
          <w:rFonts w:cs="Arial"/>
          <w:iCs/>
          <w:sz w:val="18"/>
          <w:szCs w:val="20"/>
        </w:rPr>
        <w:t xml:space="preserve">Figure </w:t>
      </w:r>
      <w:r w:rsidRPr="0068236B">
        <w:rPr>
          <w:rFonts w:cs="Arial"/>
          <w:iCs/>
          <w:sz w:val="18"/>
          <w:szCs w:val="20"/>
        </w:rPr>
        <w:fldChar w:fldCharType="begin"/>
      </w:r>
      <w:r w:rsidRPr="0068236B">
        <w:rPr>
          <w:rFonts w:cs="Arial"/>
          <w:iCs/>
          <w:sz w:val="18"/>
          <w:szCs w:val="20"/>
        </w:rPr>
        <w:instrText xml:space="preserve"> STYLEREF 1 \s </w:instrText>
      </w:r>
      <w:r w:rsidRPr="0068236B">
        <w:rPr>
          <w:rFonts w:cs="Arial"/>
          <w:iCs/>
          <w:sz w:val="18"/>
          <w:szCs w:val="20"/>
        </w:rPr>
        <w:fldChar w:fldCharType="separate"/>
      </w:r>
      <w:r w:rsidR="00234EBE" w:rsidRPr="0068236B">
        <w:rPr>
          <w:rFonts w:cs="Arial"/>
          <w:iCs/>
          <w:noProof/>
          <w:sz w:val="18"/>
          <w:szCs w:val="20"/>
        </w:rPr>
        <w:t>1</w:t>
      </w:r>
      <w:r w:rsidRPr="0068236B">
        <w:rPr>
          <w:rFonts w:cs="Arial"/>
          <w:iCs/>
          <w:sz w:val="18"/>
          <w:szCs w:val="20"/>
        </w:rPr>
        <w:fldChar w:fldCharType="end"/>
      </w:r>
      <w:r w:rsidRPr="0068236B">
        <w:rPr>
          <w:rFonts w:cs="Arial"/>
          <w:iCs/>
          <w:sz w:val="18"/>
          <w:szCs w:val="20"/>
        </w:rPr>
        <w:t>.</w:t>
      </w:r>
      <w:r w:rsidRPr="0068236B">
        <w:rPr>
          <w:rFonts w:cs="Arial"/>
          <w:iCs/>
          <w:sz w:val="18"/>
          <w:szCs w:val="20"/>
        </w:rPr>
        <w:fldChar w:fldCharType="begin"/>
      </w:r>
      <w:r w:rsidRPr="0068236B">
        <w:rPr>
          <w:rFonts w:cs="Arial"/>
          <w:iCs/>
          <w:sz w:val="18"/>
          <w:szCs w:val="20"/>
        </w:rPr>
        <w:instrText xml:space="preserve"> SEQ Figure \* ARABIC \s 1 </w:instrText>
      </w:r>
      <w:r w:rsidRPr="0068236B">
        <w:rPr>
          <w:rFonts w:cs="Arial"/>
          <w:iCs/>
          <w:sz w:val="18"/>
          <w:szCs w:val="20"/>
        </w:rPr>
        <w:fldChar w:fldCharType="separate"/>
      </w:r>
      <w:r w:rsidR="00234EBE" w:rsidRPr="0068236B">
        <w:rPr>
          <w:rFonts w:cs="Arial"/>
          <w:iCs/>
          <w:noProof/>
          <w:sz w:val="18"/>
          <w:szCs w:val="20"/>
        </w:rPr>
        <w:t>5</w:t>
      </w:r>
      <w:r w:rsidRPr="0068236B">
        <w:rPr>
          <w:rFonts w:cs="Arial"/>
          <w:iCs/>
          <w:sz w:val="18"/>
          <w:szCs w:val="20"/>
        </w:rPr>
        <w:fldChar w:fldCharType="end"/>
      </w:r>
      <w:r w:rsidRPr="0068236B">
        <w:rPr>
          <w:sz w:val="18"/>
          <w:szCs w:val="20"/>
        </w:rPr>
        <w:t xml:space="preserve">: </w:t>
      </w:r>
      <w:r w:rsidR="00AE746C" w:rsidRPr="0068236B">
        <w:rPr>
          <w:sz w:val="18"/>
          <w:szCs w:val="20"/>
        </w:rPr>
        <w:t>New 110 kV transmission line from tower no.19 to 400/110 kV substation Miletkovo (extension of existing 110 kV transmission line, subject to reconstruction)</w:t>
      </w:r>
      <w:bookmarkEnd w:id="24"/>
    </w:p>
    <w:p w14:paraId="07DB4DC0" w14:textId="77777777" w:rsidR="00197E78" w:rsidRPr="0068236B" w:rsidRDefault="00197E78" w:rsidP="008E1395">
      <w:pPr>
        <w:spacing w:before="0" w:after="60" w:line="240" w:lineRule="auto"/>
        <w:jc w:val="left"/>
        <w:rPr>
          <w:sz w:val="16"/>
          <w:szCs w:val="18"/>
        </w:rPr>
      </w:pPr>
      <w:r w:rsidRPr="0068236B">
        <w:rPr>
          <w:sz w:val="16"/>
          <w:szCs w:val="18"/>
        </w:rPr>
        <w:t>Note: the extension is depicted in dark blue line</w:t>
      </w:r>
    </w:p>
    <w:p w14:paraId="03427560" w14:textId="6F86614F" w:rsidR="00197E78" w:rsidRPr="0068236B" w:rsidRDefault="00197E78" w:rsidP="00197E78">
      <w:pPr>
        <w:spacing w:before="0" w:after="240" w:line="240" w:lineRule="auto"/>
        <w:jc w:val="left"/>
        <w:rPr>
          <w:rFonts w:cs="Tahoma"/>
          <w:bCs/>
          <w:sz w:val="16"/>
          <w:szCs w:val="18"/>
        </w:rPr>
      </w:pPr>
      <w:r w:rsidRPr="0068236B">
        <w:rPr>
          <w:rFonts w:cs="Tahoma"/>
          <w:iCs/>
          <w:sz w:val="16"/>
          <w:szCs w:val="18"/>
        </w:rPr>
        <w:t xml:space="preserve">Source: </w:t>
      </w:r>
      <w:r w:rsidRPr="0068236B">
        <w:rPr>
          <w:rFonts w:cs="Tahoma"/>
          <w:sz w:val="16"/>
          <w:szCs w:val="18"/>
          <w:lang w:eastAsia="en-US"/>
        </w:rPr>
        <w:t xml:space="preserve">WB21-MKD-ENE-03 North Macedonia, Strengthening the Transmission Network in the Southeast Region of North Macedonia - Component 1; </w:t>
      </w:r>
      <w:r w:rsidR="00E6543C" w:rsidRPr="0068236B">
        <w:rPr>
          <w:rFonts w:cs="Tahoma"/>
          <w:sz w:val="16"/>
          <w:szCs w:val="18"/>
        </w:rPr>
        <w:t>Detailed Technical Assessment of Preferred Option, January 2022</w:t>
      </w:r>
      <w:r w:rsidRPr="0068236B">
        <w:rPr>
          <w:rFonts w:cs="Tahoma"/>
          <w:bCs/>
          <w:sz w:val="16"/>
          <w:szCs w:val="18"/>
        </w:rPr>
        <w:t xml:space="preserve"> [Ref.7]</w:t>
      </w:r>
    </w:p>
    <w:p w14:paraId="041BB70D" w14:textId="623C274F" w:rsidR="001817CA" w:rsidRPr="0068236B" w:rsidRDefault="00D27C43" w:rsidP="00B54B7F">
      <w:pPr>
        <w:pStyle w:val="ListBullet2"/>
        <w:rPr>
          <w:sz w:val="20"/>
        </w:rPr>
      </w:pPr>
      <w:r w:rsidRPr="0068236B">
        <w:rPr>
          <w:sz w:val="20"/>
        </w:rPr>
        <w:t xml:space="preserve">Construction of a new approx. 1.8 km long </w:t>
      </w:r>
      <w:r w:rsidR="00697138" w:rsidRPr="0068236B">
        <w:rPr>
          <w:sz w:val="20"/>
        </w:rPr>
        <w:t>2x</w:t>
      </w:r>
      <w:r w:rsidRPr="0068236B">
        <w:rPr>
          <w:sz w:val="20"/>
        </w:rPr>
        <w:t>110 kV OHL</w:t>
      </w:r>
      <w:r w:rsidR="00B44111" w:rsidRPr="0068236B">
        <w:rPr>
          <w:sz w:val="20"/>
        </w:rPr>
        <w:t xml:space="preserve"> from the new 400/110 kV SS </w:t>
      </w:r>
      <w:r w:rsidR="00824E85" w:rsidRPr="0068236B">
        <w:rPr>
          <w:sz w:val="20"/>
        </w:rPr>
        <w:t>M</w:t>
      </w:r>
      <w:r w:rsidR="00824E85" w:rsidRPr="0068236B">
        <w:rPr>
          <w:sz w:val="20"/>
        </w:rPr>
        <w:t>i</w:t>
      </w:r>
      <w:r w:rsidR="00824E85" w:rsidRPr="0068236B">
        <w:rPr>
          <w:sz w:val="20"/>
        </w:rPr>
        <w:t>letkovo</w:t>
      </w:r>
      <w:r w:rsidRPr="0068236B">
        <w:rPr>
          <w:sz w:val="20"/>
        </w:rPr>
        <w:t xml:space="preserve"> </w:t>
      </w:r>
      <w:r w:rsidR="00B44111" w:rsidRPr="0068236B">
        <w:rPr>
          <w:sz w:val="20"/>
        </w:rPr>
        <w:t>to</w:t>
      </w:r>
      <w:r w:rsidRPr="0068236B">
        <w:rPr>
          <w:sz w:val="20"/>
        </w:rPr>
        <w:t xml:space="preserve"> the existing SS ‘EVP’ Miletkovo</w:t>
      </w:r>
      <w:r w:rsidR="00824E85" w:rsidRPr="0068236B">
        <w:rPr>
          <w:sz w:val="20"/>
        </w:rPr>
        <w:t xml:space="preserve"> (light</w:t>
      </w:r>
      <w:r w:rsidR="00824E85" w:rsidRPr="0068236B">
        <w:rPr>
          <w:color w:val="000000" w:themeColor="text1"/>
          <w:sz w:val="20"/>
          <w:szCs w:val="20"/>
        </w:rPr>
        <w:t xml:space="preserve"> blue line in the Figure below)</w:t>
      </w:r>
      <w:r w:rsidR="00B54B7F" w:rsidRPr="0068236B">
        <w:rPr>
          <w:sz w:val="20"/>
        </w:rPr>
        <w:t xml:space="preserve">, </w:t>
      </w:r>
      <w:r w:rsidR="00726418" w:rsidRPr="0068236B">
        <w:rPr>
          <w:sz w:val="20"/>
        </w:rPr>
        <w:t xml:space="preserve">as a double-system line (2x110 kV) to provide reliable supply to the SS ‘EVP’ Miletkovo which is the main power supply of the railway transport system in the southeastern part of the country, </w:t>
      </w:r>
      <w:r w:rsidR="00B54B7F" w:rsidRPr="0068236B">
        <w:rPr>
          <w:sz w:val="20"/>
        </w:rPr>
        <w:t>comprising of the following main technical</w:t>
      </w:r>
      <w:r w:rsidR="00144501" w:rsidRPr="0068236B">
        <w:rPr>
          <w:sz w:val="20"/>
        </w:rPr>
        <w:t xml:space="preserve"> elements</w:t>
      </w:r>
      <w:r w:rsidR="00B54B7F" w:rsidRPr="0068236B">
        <w:rPr>
          <w:sz w:val="20"/>
        </w:rPr>
        <w:t>:</w:t>
      </w:r>
    </w:p>
    <w:p w14:paraId="364A2F10" w14:textId="0AA2BAAE" w:rsidR="00B54B7F" w:rsidRPr="0068236B" w:rsidRDefault="00B54B7F" w:rsidP="008E77D3">
      <w:pPr>
        <w:pStyle w:val="ListBullet3"/>
        <w:numPr>
          <w:ilvl w:val="2"/>
          <w:numId w:val="50"/>
        </w:numPr>
        <w:jc w:val="left"/>
        <w:rPr>
          <w:rFonts w:cs="Tahoma"/>
          <w:sz w:val="20"/>
        </w:rPr>
      </w:pPr>
      <w:r w:rsidRPr="0068236B">
        <w:rPr>
          <w:sz w:val="20"/>
        </w:rPr>
        <w:lastRenderedPageBreak/>
        <w:t xml:space="preserve">Towers, designed as galvanised steel-lattice single circuit self-supporting towers with four arms configuration of conductors and one earth wire at the top of the towers. </w:t>
      </w:r>
      <w:r w:rsidRPr="0068236B">
        <w:rPr>
          <w:rFonts w:cs="Arial"/>
          <w:sz w:val="20"/>
          <w:szCs w:val="20"/>
        </w:rPr>
        <w:t>The number of towers and their type</w:t>
      </w:r>
      <w:r w:rsidRPr="0068236B">
        <w:rPr>
          <w:rStyle w:val="FootnoteReference"/>
          <w:rFonts w:cs="Arial"/>
          <w:sz w:val="20"/>
          <w:szCs w:val="20"/>
        </w:rPr>
        <w:footnoteReference w:id="9"/>
      </w:r>
      <w:r w:rsidRPr="0068236B">
        <w:rPr>
          <w:rFonts w:cs="Arial"/>
          <w:sz w:val="20"/>
          <w:szCs w:val="20"/>
        </w:rPr>
        <w:t xml:space="preserve"> as well as the proposed position of each ind</w:t>
      </w:r>
      <w:r w:rsidRPr="0068236B">
        <w:rPr>
          <w:rFonts w:cs="Arial"/>
          <w:sz w:val="20"/>
          <w:szCs w:val="20"/>
        </w:rPr>
        <w:t>i</w:t>
      </w:r>
      <w:r w:rsidRPr="0068236B">
        <w:rPr>
          <w:rFonts w:cs="Arial"/>
          <w:sz w:val="20"/>
          <w:szCs w:val="20"/>
        </w:rPr>
        <w:t xml:space="preserve">vidual tower within the proposed </w:t>
      </w:r>
      <w:r w:rsidR="00801C61" w:rsidRPr="0068236B">
        <w:rPr>
          <w:rFonts w:cs="Arial"/>
          <w:sz w:val="20"/>
          <w:szCs w:val="20"/>
        </w:rPr>
        <w:t xml:space="preserve">OHL </w:t>
      </w:r>
      <w:r w:rsidRPr="0068236B">
        <w:rPr>
          <w:rFonts w:cs="Arial"/>
          <w:sz w:val="20"/>
          <w:szCs w:val="20"/>
        </w:rPr>
        <w:t>corridor will be identified and confirmed during the upcoming Project</w:t>
      </w:r>
      <w:r w:rsidR="003553E2" w:rsidRPr="0068236B">
        <w:rPr>
          <w:rFonts w:cs="Arial"/>
          <w:sz w:val="20"/>
          <w:szCs w:val="20"/>
        </w:rPr>
        <w:t xml:space="preserve"> reference development stages (P</w:t>
      </w:r>
      <w:r w:rsidRPr="0068236B">
        <w:rPr>
          <w:rFonts w:cs="Arial"/>
          <w:sz w:val="20"/>
          <w:szCs w:val="20"/>
        </w:rPr>
        <w:t xml:space="preserve">reliminary </w:t>
      </w:r>
      <w:r w:rsidR="003553E2" w:rsidRPr="0068236B">
        <w:rPr>
          <w:rFonts w:cs="Arial"/>
          <w:sz w:val="20"/>
          <w:szCs w:val="20"/>
        </w:rPr>
        <w:t>D</w:t>
      </w:r>
      <w:r w:rsidRPr="0068236B">
        <w:rPr>
          <w:rFonts w:cs="Arial"/>
          <w:sz w:val="20"/>
          <w:szCs w:val="20"/>
        </w:rPr>
        <w:t xml:space="preserve">esign and </w:t>
      </w:r>
      <w:r w:rsidR="003553E2" w:rsidRPr="0068236B">
        <w:rPr>
          <w:rFonts w:cs="Arial"/>
          <w:sz w:val="20"/>
          <w:szCs w:val="20"/>
        </w:rPr>
        <w:t>D</w:t>
      </w:r>
      <w:r w:rsidRPr="0068236B">
        <w:rPr>
          <w:rFonts w:cs="Arial"/>
          <w:sz w:val="20"/>
          <w:szCs w:val="20"/>
        </w:rPr>
        <w:t xml:space="preserve">etailed </w:t>
      </w:r>
      <w:r w:rsidR="003553E2" w:rsidRPr="0068236B">
        <w:rPr>
          <w:rFonts w:cs="Arial"/>
          <w:sz w:val="20"/>
          <w:szCs w:val="20"/>
        </w:rPr>
        <w:t>D</w:t>
      </w:r>
      <w:r w:rsidRPr="0068236B">
        <w:rPr>
          <w:rFonts w:cs="Arial"/>
          <w:sz w:val="20"/>
          <w:szCs w:val="20"/>
        </w:rPr>
        <w:t>esign) in line with the relevant Macedonian legislation.</w:t>
      </w:r>
      <w:r w:rsidRPr="0068236B">
        <w:rPr>
          <w:rFonts w:cs="Tahoma"/>
          <w:sz w:val="20"/>
        </w:rPr>
        <w:t xml:space="preserve">The typical tower height range is between 12 and 27 metres for the tension towers, and 12 to 30 </w:t>
      </w:r>
      <w:r w:rsidR="00801C61" w:rsidRPr="0068236B">
        <w:rPr>
          <w:rFonts w:cs="Tahoma"/>
          <w:sz w:val="20"/>
        </w:rPr>
        <w:t xml:space="preserve">metres </w:t>
      </w:r>
      <w:r w:rsidRPr="0068236B">
        <w:rPr>
          <w:rFonts w:cs="Tahoma"/>
          <w:sz w:val="20"/>
        </w:rPr>
        <w:t xml:space="preserve">for the suspension tower types. </w:t>
      </w:r>
      <w:r w:rsidR="00801C61" w:rsidRPr="0068236B">
        <w:rPr>
          <w:rFonts w:cs="Tahoma"/>
          <w:sz w:val="20"/>
        </w:rPr>
        <w:t xml:space="preserve">The maximal footprint area for a </w:t>
      </w:r>
      <w:r w:rsidR="000B15E2" w:rsidRPr="0068236B">
        <w:rPr>
          <w:rFonts w:cs="Tahoma"/>
          <w:sz w:val="20"/>
        </w:rPr>
        <w:t>tower is approximately up to 150</w:t>
      </w:r>
      <w:r w:rsidR="00801C61" w:rsidRPr="0068236B">
        <w:rPr>
          <w:rFonts w:cs="Tahoma"/>
          <w:sz w:val="20"/>
        </w:rPr>
        <w:t xml:space="preserve"> m</w:t>
      </w:r>
      <w:r w:rsidR="00801C61" w:rsidRPr="0068236B">
        <w:rPr>
          <w:rFonts w:cs="Tahoma"/>
          <w:sz w:val="20"/>
          <w:vertAlign w:val="superscript"/>
        </w:rPr>
        <w:t>2</w:t>
      </w:r>
      <w:r w:rsidR="00801C61" w:rsidRPr="0068236B">
        <w:rPr>
          <w:rFonts w:cs="Tahoma"/>
          <w:sz w:val="20"/>
          <w:szCs w:val="20"/>
        </w:rPr>
        <w:t>.</w:t>
      </w:r>
      <w:r w:rsidR="00801C61" w:rsidRPr="0068236B">
        <w:rPr>
          <w:rFonts w:cs="Tahoma"/>
          <w:sz w:val="20"/>
        </w:rPr>
        <w:t xml:space="preserve"> </w:t>
      </w:r>
      <w:r w:rsidRPr="0068236B">
        <w:rPr>
          <w:rFonts w:cs="Tahoma"/>
          <w:sz w:val="20"/>
        </w:rPr>
        <w:t>Each tower will have four legs and single reinforced concrete found</w:t>
      </w:r>
      <w:r w:rsidRPr="0068236B">
        <w:rPr>
          <w:rFonts w:cs="Tahoma"/>
          <w:sz w:val="20"/>
        </w:rPr>
        <w:t>a</w:t>
      </w:r>
      <w:r w:rsidRPr="0068236B">
        <w:rPr>
          <w:rFonts w:cs="Tahoma"/>
          <w:sz w:val="20"/>
        </w:rPr>
        <w:t>tion per leg, i.e. four foundations for each tower.</w:t>
      </w:r>
    </w:p>
    <w:p w14:paraId="56FC3B46" w14:textId="51672865" w:rsidR="00B54B7F" w:rsidRPr="0068236B" w:rsidRDefault="00B54B7F" w:rsidP="008E77D3">
      <w:pPr>
        <w:pStyle w:val="ListBullet3"/>
        <w:numPr>
          <w:ilvl w:val="2"/>
          <w:numId w:val="50"/>
        </w:numPr>
        <w:jc w:val="left"/>
        <w:rPr>
          <w:sz w:val="20"/>
        </w:rPr>
      </w:pPr>
      <w:r w:rsidRPr="0068236B">
        <w:rPr>
          <w:sz w:val="20"/>
        </w:rPr>
        <w:t>Phase conductors, attached to the cross-arms at the towers by insulator s</w:t>
      </w:r>
      <w:r w:rsidR="00801C61" w:rsidRPr="0068236B">
        <w:rPr>
          <w:sz w:val="20"/>
        </w:rPr>
        <w:t>trings</w:t>
      </w:r>
      <w:r w:rsidR="00801C61" w:rsidRPr="0068236B">
        <w:rPr>
          <w:rFonts w:cs="Tahoma"/>
          <w:sz w:val="20"/>
          <w:szCs w:val="20"/>
        </w:rPr>
        <w:t xml:space="preserve">, which, in the case of suspension towers, hang vertically below the cross-arms. </w:t>
      </w:r>
      <w:r w:rsidR="00F86CB8" w:rsidRPr="0068236B">
        <w:rPr>
          <w:sz w:val="20"/>
        </w:rPr>
        <w:t>Cha</w:t>
      </w:r>
      <w:r w:rsidR="00F86CB8" w:rsidRPr="0068236B">
        <w:rPr>
          <w:sz w:val="20"/>
        </w:rPr>
        <w:t>r</w:t>
      </w:r>
      <w:r w:rsidR="00F86CB8" w:rsidRPr="0068236B">
        <w:rPr>
          <w:sz w:val="20"/>
        </w:rPr>
        <w:t xml:space="preserve">acteristics of the conductors will be in compliance with national standards (MKS) and European standards (European Norms – EN). </w:t>
      </w:r>
      <w:r w:rsidR="00801C61" w:rsidRPr="0068236B">
        <w:rPr>
          <w:rFonts w:cs="Tahoma"/>
          <w:sz w:val="20"/>
          <w:szCs w:val="20"/>
        </w:rPr>
        <w:t xml:space="preserve">At angle towers the conductors are again attached to the cross arms by insulators but in this case the insulators are in line with the conductors. </w:t>
      </w:r>
    </w:p>
    <w:p w14:paraId="257ACAB1" w14:textId="77777777" w:rsidR="00B54B7F" w:rsidRPr="0068236B" w:rsidRDefault="00B54B7F" w:rsidP="008E77D3">
      <w:pPr>
        <w:pStyle w:val="ListBullet3"/>
        <w:numPr>
          <w:ilvl w:val="2"/>
          <w:numId w:val="50"/>
        </w:numPr>
        <w:rPr>
          <w:sz w:val="20"/>
        </w:rPr>
      </w:pPr>
      <w:r w:rsidRPr="0068236B">
        <w:rPr>
          <w:sz w:val="20"/>
        </w:rPr>
        <w:t>Protective wires, strung in horizontal configuration above the top most conductors between the tower peaks for protection against lightning strikes.</w:t>
      </w:r>
    </w:p>
    <w:p w14:paraId="381AF2CC" w14:textId="2A7BE1F4" w:rsidR="00824E85" w:rsidRPr="0068236B" w:rsidRDefault="00AE746C" w:rsidP="00824E85">
      <w:pPr>
        <w:spacing w:before="0" w:after="0"/>
        <w:rPr>
          <w:sz w:val="20"/>
          <w:szCs w:val="20"/>
          <w:lang w:eastAsia="en-US"/>
        </w:rPr>
      </w:pPr>
      <w:r w:rsidRPr="0068236B">
        <w:rPr>
          <w:noProof/>
          <w:lang w:val="mk-MK" w:eastAsia="mk-MK"/>
        </w:rPr>
        <w:drawing>
          <wp:inline distT="0" distB="0" distL="0" distR="0" wp14:anchorId="6D982707" wp14:editId="36911C6B">
            <wp:extent cx="4017464" cy="4460454"/>
            <wp:effectExtent l="6985"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r="17165"/>
                    <a:stretch/>
                  </pic:blipFill>
                  <pic:spPr bwMode="auto">
                    <a:xfrm rot="16200000">
                      <a:off x="0" y="0"/>
                      <a:ext cx="4008120" cy="4450080"/>
                    </a:xfrm>
                    <a:prstGeom prst="rect">
                      <a:avLst/>
                    </a:prstGeom>
                    <a:noFill/>
                    <a:ln>
                      <a:noFill/>
                    </a:ln>
                    <a:extLst>
                      <a:ext uri="{53640926-AAD7-44D8-BBD7-CCE9431645EC}">
                        <a14:shadowObscured xmlns:a14="http://schemas.microsoft.com/office/drawing/2010/main"/>
                      </a:ext>
                    </a:extLst>
                  </pic:spPr>
                </pic:pic>
              </a:graphicData>
            </a:graphic>
          </wp:inline>
        </w:drawing>
      </w:r>
    </w:p>
    <w:p w14:paraId="7CE15100" w14:textId="77777777" w:rsidR="00824E85" w:rsidRPr="0068236B" w:rsidRDefault="00824E85" w:rsidP="008E1395">
      <w:pPr>
        <w:spacing w:before="0" w:after="60" w:line="240" w:lineRule="auto"/>
        <w:jc w:val="left"/>
        <w:rPr>
          <w:sz w:val="18"/>
          <w:szCs w:val="20"/>
        </w:rPr>
      </w:pPr>
      <w:bookmarkStart w:id="25" w:name="_Toc112928844"/>
      <w:r w:rsidRPr="0068236B">
        <w:rPr>
          <w:rFonts w:cs="Arial"/>
          <w:iCs/>
          <w:sz w:val="18"/>
          <w:szCs w:val="20"/>
        </w:rPr>
        <w:t xml:space="preserve">Figure </w:t>
      </w:r>
      <w:r w:rsidRPr="0068236B">
        <w:rPr>
          <w:rFonts w:cs="Arial"/>
          <w:iCs/>
          <w:sz w:val="18"/>
          <w:szCs w:val="20"/>
        </w:rPr>
        <w:fldChar w:fldCharType="begin"/>
      </w:r>
      <w:r w:rsidRPr="0068236B">
        <w:rPr>
          <w:rFonts w:cs="Arial"/>
          <w:iCs/>
          <w:sz w:val="18"/>
          <w:szCs w:val="20"/>
        </w:rPr>
        <w:instrText xml:space="preserve"> STYLEREF 1 \s </w:instrText>
      </w:r>
      <w:r w:rsidRPr="0068236B">
        <w:rPr>
          <w:rFonts w:cs="Arial"/>
          <w:iCs/>
          <w:sz w:val="18"/>
          <w:szCs w:val="20"/>
        </w:rPr>
        <w:fldChar w:fldCharType="separate"/>
      </w:r>
      <w:r w:rsidR="00234EBE" w:rsidRPr="0068236B">
        <w:rPr>
          <w:rFonts w:cs="Arial"/>
          <w:iCs/>
          <w:noProof/>
          <w:sz w:val="18"/>
          <w:szCs w:val="20"/>
        </w:rPr>
        <w:t>1</w:t>
      </w:r>
      <w:r w:rsidRPr="0068236B">
        <w:rPr>
          <w:rFonts w:cs="Arial"/>
          <w:iCs/>
          <w:sz w:val="18"/>
          <w:szCs w:val="20"/>
        </w:rPr>
        <w:fldChar w:fldCharType="end"/>
      </w:r>
      <w:r w:rsidRPr="0068236B">
        <w:rPr>
          <w:rFonts w:cs="Arial"/>
          <w:iCs/>
          <w:sz w:val="18"/>
          <w:szCs w:val="20"/>
        </w:rPr>
        <w:t>.</w:t>
      </w:r>
      <w:r w:rsidRPr="0068236B">
        <w:rPr>
          <w:rFonts w:cs="Arial"/>
          <w:iCs/>
          <w:sz w:val="18"/>
          <w:szCs w:val="20"/>
        </w:rPr>
        <w:fldChar w:fldCharType="begin"/>
      </w:r>
      <w:r w:rsidRPr="0068236B">
        <w:rPr>
          <w:rFonts w:cs="Arial"/>
          <w:iCs/>
          <w:sz w:val="18"/>
          <w:szCs w:val="20"/>
        </w:rPr>
        <w:instrText xml:space="preserve"> SEQ Figure \* ARABIC \s 1 </w:instrText>
      </w:r>
      <w:r w:rsidRPr="0068236B">
        <w:rPr>
          <w:rFonts w:cs="Arial"/>
          <w:iCs/>
          <w:sz w:val="18"/>
          <w:szCs w:val="20"/>
        </w:rPr>
        <w:fldChar w:fldCharType="separate"/>
      </w:r>
      <w:r w:rsidR="00234EBE" w:rsidRPr="0068236B">
        <w:rPr>
          <w:rFonts w:cs="Arial"/>
          <w:iCs/>
          <w:noProof/>
          <w:sz w:val="18"/>
          <w:szCs w:val="20"/>
        </w:rPr>
        <w:t>6</w:t>
      </w:r>
      <w:r w:rsidRPr="0068236B">
        <w:rPr>
          <w:rFonts w:cs="Arial"/>
          <w:iCs/>
          <w:sz w:val="18"/>
          <w:szCs w:val="20"/>
        </w:rPr>
        <w:fldChar w:fldCharType="end"/>
      </w:r>
      <w:r w:rsidRPr="0068236B">
        <w:rPr>
          <w:sz w:val="18"/>
          <w:szCs w:val="20"/>
        </w:rPr>
        <w:t>: New 2x110 kV transmission line from 400/110 kV substation Miletkovo to ‘EVP’ Miletkovo substation</w:t>
      </w:r>
      <w:bookmarkEnd w:id="25"/>
    </w:p>
    <w:p w14:paraId="6AED657B" w14:textId="77777777" w:rsidR="00824E85" w:rsidRPr="0068236B" w:rsidRDefault="00824E85" w:rsidP="008E1395">
      <w:pPr>
        <w:spacing w:before="0" w:after="60" w:line="240" w:lineRule="auto"/>
        <w:jc w:val="left"/>
        <w:rPr>
          <w:sz w:val="16"/>
          <w:szCs w:val="18"/>
        </w:rPr>
      </w:pPr>
      <w:r w:rsidRPr="0068236B">
        <w:rPr>
          <w:sz w:val="16"/>
          <w:szCs w:val="18"/>
        </w:rPr>
        <w:t>Note: the extension is depicted in light blue line</w:t>
      </w:r>
    </w:p>
    <w:p w14:paraId="305B22E2" w14:textId="453877C6" w:rsidR="00824E85" w:rsidRPr="0068236B" w:rsidRDefault="00824E85" w:rsidP="008E1395">
      <w:pPr>
        <w:spacing w:before="0" w:line="240" w:lineRule="auto"/>
        <w:jc w:val="left"/>
        <w:rPr>
          <w:rFonts w:cs="Tahoma"/>
          <w:bCs/>
          <w:sz w:val="16"/>
          <w:szCs w:val="18"/>
        </w:rPr>
      </w:pPr>
      <w:r w:rsidRPr="0068236B">
        <w:rPr>
          <w:rFonts w:cs="Tahoma"/>
          <w:iCs/>
          <w:sz w:val="16"/>
          <w:szCs w:val="18"/>
        </w:rPr>
        <w:t xml:space="preserve">Source: </w:t>
      </w:r>
      <w:r w:rsidRPr="0068236B">
        <w:rPr>
          <w:rFonts w:cs="Tahoma"/>
          <w:sz w:val="16"/>
          <w:szCs w:val="18"/>
          <w:lang w:eastAsia="en-US"/>
        </w:rPr>
        <w:t xml:space="preserve">WB21-MKD-ENE-03 North Macedonia, Strengthening the Transmission Network in the Southeast Region of North Macedonia - Component 1; </w:t>
      </w:r>
      <w:r w:rsidR="00E6543C" w:rsidRPr="0068236B">
        <w:rPr>
          <w:rFonts w:cs="Tahoma"/>
          <w:sz w:val="16"/>
          <w:szCs w:val="18"/>
        </w:rPr>
        <w:t>Detailed Technical Assessment of Preferred Option, January 2022</w:t>
      </w:r>
      <w:r w:rsidRPr="0068236B">
        <w:rPr>
          <w:rFonts w:cs="Tahoma"/>
          <w:bCs/>
          <w:sz w:val="16"/>
          <w:szCs w:val="18"/>
        </w:rPr>
        <w:t xml:space="preserve"> [Ref.7]</w:t>
      </w:r>
    </w:p>
    <w:p w14:paraId="0F59060B" w14:textId="77777777" w:rsidR="005C1605" w:rsidRPr="0068236B" w:rsidRDefault="005C1605" w:rsidP="005C1605">
      <w:pPr>
        <w:jc w:val="left"/>
        <w:rPr>
          <w:rFonts w:cs="Tahoma"/>
          <w:bCs/>
          <w:sz w:val="18"/>
          <w:szCs w:val="18"/>
        </w:rPr>
      </w:pPr>
    </w:p>
    <w:p w14:paraId="4A0CC9DB" w14:textId="2639DB24" w:rsidR="00A00F1E" w:rsidRPr="0068236B" w:rsidRDefault="00A00F1E" w:rsidP="005C1605">
      <w:pPr>
        <w:pStyle w:val="Heading2"/>
      </w:pPr>
      <w:bookmarkStart w:id="26" w:name="_Toc112852188"/>
      <w:bookmarkStart w:id="27" w:name="_Toc71559718"/>
      <w:r w:rsidRPr="0068236B">
        <w:t>Right of Way</w:t>
      </w:r>
      <w:bookmarkEnd w:id="26"/>
    </w:p>
    <w:p w14:paraId="4A781957" w14:textId="04661D4E" w:rsidR="0015093E" w:rsidRPr="0068236B" w:rsidRDefault="0015093E" w:rsidP="0015093E">
      <w:pPr>
        <w:rPr>
          <w:rFonts w:cs="Tahoma"/>
          <w:sz w:val="20"/>
          <w:szCs w:val="20"/>
        </w:rPr>
      </w:pPr>
      <w:r w:rsidRPr="0068236B">
        <w:rPr>
          <w:rFonts w:cs="Tahoma"/>
          <w:sz w:val="20"/>
          <w:szCs w:val="20"/>
        </w:rPr>
        <w:t>The relevant Macedonian legislation</w:t>
      </w:r>
      <w:r w:rsidRPr="0068236B">
        <w:rPr>
          <w:rStyle w:val="FootnoteReference"/>
          <w:rFonts w:cs="Arial"/>
          <w:sz w:val="20"/>
          <w:szCs w:val="20"/>
        </w:rPr>
        <w:footnoteReference w:id="10"/>
      </w:r>
      <w:r w:rsidRPr="0068236B">
        <w:rPr>
          <w:rFonts w:cs="Tahoma"/>
          <w:sz w:val="20"/>
          <w:szCs w:val="20"/>
        </w:rPr>
        <w:t xml:space="preserve"> requires establishment of a protection zone (safety zone) or Right of Way (RoW) along the path of a transmission line and in proximity to a substation. This zone is prescribed by MEPSO’s Grid Code</w:t>
      </w:r>
      <w:r w:rsidRPr="0068236B">
        <w:rPr>
          <w:rStyle w:val="FootnoteReference"/>
          <w:rFonts w:cs="Tahoma"/>
          <w:sz w:val="20"/>
          <w:szCs w:val="20"/>
        </w:rPr>
        <w:footnoteReference w:id="11"/>
      </w:r>
      <w:r w:rsidRPr="0068236B">
        <w:rPr>
          <w:rFonts w:cs="Tahoma"/>
          <w:sz w:val="20"/>
          <w:szCs w:val="20"/>
        </w:rPr>
        <w:t>, according to which – ‘the safety zone is t</w:t>
      </w:r>
      <w:r w:rsidRPr="0068236B">
        <w:rPr>
          <w:sz w:val="20"/>
        </w:rPr>
        <w:t>he area and the space, below, above and along the existing electric power transmission facilities, necessary for their spatial planning, protection and maintenance, in which the right of ownership is restricted or the possibility for performing construction a</w:t>
      </w:r>
      <w:r w:rsidRPr="0068236B">
        <w:rPr>
          <w:sz w:val="20"/>
        </w:rPr>
        <w:t>c</w:t>
      </w:r>
      <w:r w:rsidRPr="0068236B">
        <w:rPr>
          <w:sz w:val="20"/>
        </w:rPr>
        <w:t>tions and other activities without consent granted by MEPSO is limited’.</w:t>
      </w:r>
    </w:p>
    <w:p w14:paraId="7C70F345" w14:textId="77777777" w:rsidR="0015093E" w:rsidRPr="0068236B" w:rsidRDefault="0015093E" w:rsidP="0015093E">
      <w:pPr>
        <w:rPr>
          <w:rFonts w:cs="Tahoma"/>
          <w:sz w:val="20"/>
          <w:szCs w:val="20"/>
        </w:rPr>
      </w:pPr>
      <w:r w:rsidRPr="0068236B">
        <w:rPr>
          <w:rFonts w:cs="Tahoma"/>
          <w:sz w:val="20"/>
          <w:szCs w:val="20"/>
        </w:rPr>
        <w:t>For an operational transmission line, the protection zone is prescribed by MEPSO’s Grid Code and is dete</w:t>
      </w:r>
      <w:r w:rsidRPr="0068236B">
        <w:rPr>
          <w:rFonts w:cs="Tahoma"/>
          <w:sz w:val="20"/>
          <w:szCs w:val="20"/>
        </w:rPr>
        <w:t>r</w:t>
      </w:r>
      <w:r w:rsidRPr="0068236B">
        <w:rPr>
          <w:rFonts w:cs="Tahoma"/>
          <w:sz w:val="20"/>
          <w:szCs w:val="20"/>
        </w:rPr>
        <w:t>mined by the voltage of the line:</w:t>
      </w:r>
    </w:p>
    <w:p w14:paraId="1431A803" w14:textId="77777777" w:rsidR="0015093E" w:rsidRPr="0068236B" w:rsidRDefault="0015093E" w:rsidP="0015093E">
      <w:pPr>
        <w:pStyle w:val="ListBullet"/>
        <w:spacing w:line="240" w:lineRule="auto"/>
        <w:ind w:left="714" w:hanging="357"/>
        <w:jc w:val="left"/>
        <w:rPr>
          <w:sz w:val="20"/>
        </w:rPr>
      </w:pPr>
      <w:r w:rsidRPr="0068236B">
        <w:rPr>
          <w:sz w:val="20"/>
        </w:rPr>
        <w:t>15 m from the axis of an operational overhead line with nominal voltage of 400 kV (or</w:t>
      </w:r>
      <w:r w:rsidRPr="0068236B">
        <w:rPr>
          <w:rFonts w:cs="Tahoma"/>
          <w:sz w:val="20"/>
        </w:rPr>
        <w:t xml:space="preserve"> 30 metres wide safety corridor (zone) along the path of the line).</w:t>
      </w:r>
    </w:p>
    <w:p w14:paraId="50073E00" w14:textId="77777777" w:rsidR="0015093E" w:rsidRPr="0068236B" w:rsidRDefault="0015093E" w:rsidP="0015093E">
      <w:pPr>
        <w:pStyle w:val="ListBullet"/>
        <w:spacing w:line="240" w:lineRule="auto"/>
        <w:ind w:left="714" w:hanging="357"/>
        <w:jc w:val="left"/>
        <w:rPr>
          <w:sz w:val="20"/>
        </w:rPr>
      </w:pPr>
      <w:r w:rsidRPr="0068236B">
        <w:rPr>
          <w:sz w:val="20"/>
        </w:rPr>
        <w:t>10 m from the axis of an operational overhead line with nominal voltage of 110 kV (or</w:t>
      </w:r>
      <w:r w:rsidRPr="0068236B">
        <w:rPr>
          <w:rFonts w:cs="Tahoma"/>
          <w:sz w:val="20"/>
        </w:rPr>
        <w:t xml:space="preserve"> 20 metres wide safety corridor (zone) along the path of the line).</w:t>
      </w:r>
    </w:p>
    <w:p w14:paraId="40E267B5" w14:textId="77777777" w:rsidR="0015093E" w:rsidRPr="0068236B" w:rsidRDefault="0015093E" w:rsidP="0015093E">
      <w:pPr>
        <w:pStyle w:val="ListBullet"/>
        <w:spacing w:line="240" w:lineRule="auto"/>
        <w:ind w:left="714" w:hanging="357"/>
        <w:jc w:val="left"/>
        <w:rPr>
          <w:sz w:val="20"/>
        </w:rPr>
      </w:pPr>
      <w:r w:rsidRPr="0068236B">
        <w:rPr>
          <w:sz w:val="20"/>
        </w:rPr>
        <w:t>1.5 m from the axis of an operational cable transmission line with nominal voltage of 110 kV (or</w:t>
      </w:r>
      <w:r w:rsidRPr="0068236B">
        <w:rPr>
          <w:rFonts w:cs="Tahoma"/>
          <w:sz w:val="20"/>
        </w:rPr>
        <w:t xml:space="preserve"> 3 metres wide safety corridor (zone) along the path of the line).</w:t>
      </w:r>
    </w:p>
    <w:p w14:paraId="48B15F33" w14:textId="77777777" w:rsidR="0015093E" w:rsidRPr="0068236B" w:rsidRDefault="0015093E" w:rsidP="0015093E">
      <w:pPr>
        <w:pStyle w:val="ListBullet"/>
        <w:numPr>
          <w:ilvl w:val="0"/>
          <w:numId w:val="0"/>
        </w:numPr>
        <w:spacing w:before="120" w:after="120"/>
        <w:rPr>
          <w:rFonts w:cs="Arial"/>
          <w:sz w:val="20"/>
        </w:rPr>
      </w:pPr>
      <w:r w:rsidRPr="0068236B">
        <w:rPr>
          <w:sz w:val="20"/>
        </w:rPr>
        <w:t>For an operational substation with a nominal voltage of 400 kV and 110 kV, the required safety distance is 5 metres from the outer edge of the substation’s fence or wall.</w:t>
      </w:r>
    </w:p>
    <w:p w14:paraId="6AAC26F9" w14:textId="77777777" w:rsidR="00A25700" w:rsidRPr="0068236B" w:rsidRDefault="00A25700" w:rsidP="00A25700">
      <w:pPr>
        <w:pStyle w:val="ListBullet"/>
        <w:numPr>
          <w:ilvl w:val="0"/>
          <w:numId w:val="0"/>
        </w:numPr>
        <w:spacing w:before="120" w:after="120"/>
        <w:rPr>
          <w:rFonts w:cs="Arial"/>
          <w:sz w:val="20"/>
        </w:rPr>
      </w:pPr>
      <w:r w:rsidRPr="0068236B">
        <w:rPr>
          <w:rFonts w:cs="Arial"/>
          <w:sz w:val="20"/>
        </w:rPr>
        <w:t>For each element of the Project, the study area for the assessment considers the respective RoW and b</w:t>
      </w:r>
      <w:r w:rsidRPr="0068236B">
        <w:rPr>
          <w:rFonts w:cs="Arial"/>
          <w:sz w:val="20"/>
        </w:rPr>
        <w:t>e</w:t>
      </w:r>
      <w:r w:rsidRPr="0068236B">
        <w:rPr>
          <w:rFonts w:cs="Arial"/>
          <w:sz w:val="20"/>
        </w:rPr>
        <w:t>yond.</w:t>
      </w:r>
    </w:p>
    <w:p w14:paraId="579DF633" w14:textId="0BFAAA43" w:rsidR="0015093E" w:rsidRPr="0068236B" w:rsidRDefault="0015093E" w:rsidP="0015093E">
      <w:pPr>
        <w:pStyle w:val="ListBullet"/>
        <w:numPr>
          <w:ilvl w:val="0"/>
          <w:numId w:val="0"/>
        </w:numPr>
        <w:spacing w:before="120" w:after="120"/>
        <w:rPr>
          <w:rFonts w:cs="Tahoma"/>
          <w:sz w:val="20"/>
          <w:szCs w:val="20"/>
        </w:rPr>
      </w:pPr>
      <w:r w:rsidRPr="0068236B">
        <w:rPr>
          <w:rFonts w:cs="Arial"/>
          <w:sz w:val="20"/>
        </w:rPr>
        <w:t>The regulation’s objective is to facilitate the uninterrupted functioning of the power grid, to ensure safe o</w:t>
      </w:r>
      <w:r w:rsidRPr="0068236B">
        <w:rPr>
          <w:rFonts w:cs="Arial"/>
          <w:sz w:val="20"/>
        </w:rPr>
        <w:t>p</w:t>
      </w:r>
      <w:r w:rsidRPr="0068236B">
        <w:rPr>
          <w:rFonts w:cs="Arial"/>
          <w:sz w:val="20"/>
        </w:rPr>
        <w:t xml:space="preserve">erations, to meet the requirements of the sanitary and safety norms, and to prevent accidents. </w:t>
      </w:r>
      <w:r w:rsidRPr="0068236B">
        <w:rPr>
          <w:rFonts w:cs="Tahoma"/>
          <w:sz w:val="20"/>
          <w:szCs w:val="20"/>
        </w:rPr>
        <w:t>Within this protection zone buildings and facilities must not be constructed and certain activities are restricted to ensure the safe operation of the lines and for the safety of people.</w:t>
      </w:r>
      <w:r w:rsidR="009547D2" w:rsidRPr="0068236B">
        <w:rPr>
          <w:rFonts w:cs="Tahoma"/>
          <w:sz w:val="20"/>
          <w:szCs w:val="20"/>
        </w:rPr>
        <w:t xml:space="preserve"> </w:t>
      </w:r>
      <w:r w:rsidR="009547D2" w:rsidRPr="0068236B">
        <w:rPr>
          <w:sz w:val="20"/>
        </w:rPr>
        <w:t xml:space="preserve">These mainly include agriculture </w:t>
      </w:r>
      <w:r w:rsidR="009547D2" w:rsidRPr="0068236B">
        <w:rPr>
          <w:rFonts w:cs="Arial"/>
          <w:sz w:val="20"/>
          <w:szCs w:val="20"/>
        </w:rPr>
        <w:t>activities within the RoW which include cultivated plants or trees which reach height that may pose safety operational risk for the line</w:t>
      </w:r>
      <w:r w:rsidR="009547D2" w:rsidRPr="0068236B">
        <w:rPr>
          <w:rStyle w:val="FootnoteReference"/>
          <w:rFonts w:cs="Arial"/>
          <w:sz w:val="20"/>
          <w:szCs w:val="20"/>
        </w:rPr>
        <w:footnoteReference w:id="12"/>
      </w:r>
      <w:r w:rsidR="009547D2" w:rsidRPr="0068236B">
        <w:rPr>
          <w:rFonts w:cs="Arial"/>
          <w:sz w:val="20"/>
          <w:szCs w:val="20"/>
        </w:rPr>
        <w:t>, or agricultural practices that use spraying equipment as well as fixed or mobile irrigation equi</w:t>
      </w:r>
      <w:r w:rsidR="009547D2" w:rsidRPr="0068236B">
        <w:rPr>
          <w:rFonts w:cs="Arial"/>
          <w:sz w:val="20"/>
          <w:szCs w:val="20"/>
        </w:rPr>
        <w:t>p</w:t>
      </w:r>
      <w:r w:rsidR="009547D2" w:rsidRPr="0068236B">
        <w:rPr>
          <w:rFonts w:cs="Arial"/>
          <w:sz w:val="20"/>
          <w:szCs w:val="20"/>
        </w:rPr>
        <w:t>ment.</w:t>
      </w:r>
    </w:p>
    <w:p w14:paraId="61FAF817" w14:textId="77777777" w:rsidR="0015093E" w:rsidRPr="0068236B" w:rsidRDefault="0015093E" w:rsidP="0015093E">
      <w:pPr>
        <w:rPr>
          <w:rFonts w:cs="Tahoma"/>
          <w:sz w:val="20"/>
          <w:szCs w:val="20"/>
        </w:rPr>
      </w:pPr>
      <w:r w:rsidRPr="0068236B">
        <w:rPr>
          <w:sz w:val="20"/>
        </w:rPr>
        <w:t>It is also necessary to remove trees and vegetation from within the right of way for the safe operation of the transmission line. Therefore, i</w:t>
      </w:r>
      <w:r w:rsidRPr="0068236B">
        <w:rPr>
          <w:rFonts w:cs="Tahoma"/>
          <w:sz w:val="20"/>
          <w:szCs w:val="20"/>
        </w:rPr>
        <w:t>n areas of forestry and woodland, clearance on either side of the transmission line within the safety zone is required</w:t>
      </w:r>
      <w:r w:rsidRPr="0068236B">
        <w:rPr>
          <w:rFonts w:cs="Arial"/>
          <w:sz w:val="20"/>
          <w:szCs w:val="20"/>
        </w:rPr>
        <w:t xml:space="preserve"> according to the rules defined by the relevant </w:t>
      </w:r>
      <w:r w:rsidRPr="0068236B">
        <w:rPr>
          <w:rFonts w:cs="Tahoma"/>
          <w:sz w:val="20"/>
          <w:szCs w:val="20"/>
        </w:rPr>
        <w:t>Macedonian legisl</w:t>
      </w:r>
      <w:r w:rsidRPr="0068236B">
        <w:rPr>
          <w:rFonts w:cs="Tahoma"/>
          <w:sz w:val="20"/>
          <w:szCs w:val="20"/>
        </w:rPr>
        <w:t>a</w:t>
      </w:r>
      <w:r w:rsidRPr="0068236B">
        <w:rPr>
          <w:rFonts w:cs="Tahoma"/>
          <w:sz w:val="20"/>
          <w:szCs w:val="20"/>
        </w:rPr>
        <w:t>tion</w:t>
      </w:r>
      <w:r w:rsidRPr="0068236B">
        <w:rPr>
          <w:rStyle w:val="FootnoteReference"/>
          <w:rFonts w:cs="Arial"/>
          <w:sz w:val="20"/>
          <w:szCs w:val="20"/>
        </w:rPr>
        <w:footnoteReference w:id="13"/>
      </w:r>
      <w:r w:rsidRPr="0068236B">
        <w:rPr>
          <w:rFonts w:cs="Tahoma"/>
          <w:sz w:val="20"/>
          <w:szCs w:val="20"/>
        </w:rPr>
        <w:t>.</w:t>
      </w:r>
    </w:p>
    <w:p w14:paraId="7FC06BE7" w14:textId="77777777" w:rsidR="005C1605" w:rsidRPr="0068236B" w:rsidRDefault="005C1605" w:rsidP="0015093E">
      <w:pPr>
        <w:rPr>
          <w:sz w:val="20"/>
        </w:rPr>
      </w:pPr>
    </w:p>
    <w:p w14:paraId="46E933D2" w14:textId="77777777" w:rsidR="0068236B" w:rsidRDefault="0068236B">
      <w:pPr>
        <w:spacing w:before="0" w:after="0" w:line="240" w:lineRule="auto"/>
        <w:jc w:val="left"/>
        <w:rPr>
          <w:b/>
          <w:color w:val="44697D"/>
          <w:sz w:val="28"/>
          <w:szCs w:val="32"/>
        </w:rPr>
      </w:pPr>
      <w:r>
        <w:br w:type="page"/>
      </w:r>
    </w:p>
    <w:p w14:paraId="7DF1A3F6" w14:textId="314F3677" w:rsidR="00BF7E0B" w:rsidRPr="0068236B" w:rsidRDefault="00A624C3" w:rsidP="005C1605">
      <w:pPr>
        <w:pStyle w:val="Heading2"/>
      </w:pPr>
      <w:bookmarkStart w:id="28" w:name="_Toc112852189"/>
      <w:r w:rsidRPr="0068236B">
        <w:lastRenderedPageBreak/>
        <w:t>A</w:t>
      </w:r>
      <w:r w:rsidR="00BF7E0B" w:rsidRPr="0068236B">
        <w:t>lternatives Considered and Selection of Preferred Option</w:t>
      </w:r>
      <w:bookmarkEnd w:id="27"/>
      <w:bookmarkEnd w:id="28"/>
    </w:p>
    <w:p w14:paraId="1A0CDDD9" w14:textId="590D6CC7" w:rsidR="002343BB" w:rsidRPr="0068236B" w:rsidRDefault="002343BB" w:rsidP="005C1605">
      <w:pPr>
        <w:pStyle w:val="Heading3"/>
      </w:pPr>
      <w:bookmarkStart w:id="29" w:name="_Toc112852190"/>
      <w:bookmarkStart w:id="30" w:name="_Toc71559719"/>
      <w:r w:rsidRPr="0068236B">
        <w:t>No Project Option</w:t>
      </w:r>
      <w:bookmarkEnd w:id="29"/>
    </w:p>
    <w:p w14:paraId="701CE544" w14:textId="77777777" w:rsidR="0079124C" w:rsidRPr="0068236B" w:rsidRDefault="0079124C" w:rsidP="0079124C">
      <w:pPr>
        <w:rPr>
          <w:rFonts w:cs="Tahoma"/>
          <w:sz w:val="20"/>
        </w:rPr>
      </w:pPr>
      <w:r w:rsidRPr="0068236B">
        <w:rPr>
          <w:rFonts w:cs="Tahoma"/>
          <w:sz w:val="20"/>
        </w:rPr>
        <w:t>The ‘No Project’ option (‘Do Nothing’) is an alternative involving no development of the proposed Project.</w:t>
      </w:r>
    </w:p>
    <w:p w14:paraId="1F94538F" w14:textId="134D1D2E" w:rsidR="0079124C" w:rsidRPr="0068236B" w:rsidRDefault="0079124C" w:rsidP="0079124C">
      <w:pPr>
        <w:rPr>
          <w:rFonts w:cs="Tahoma"/>
          <w:sz w:val="20"/>
        </w:rPr>
      </w:pPr>
      <w:r w:rsidRPr="0068236B">
        <w:rPr>
          <w:rFonts w:cs="Tahoma"/>
          <w:sz w:val="20"/>
        </w:rPr>
        <w:t>One of the main strategic pillars identified in the Macedonian Strategy for Energy Development until 2040 [</w:t>
      </w:r>
      <w:r w:rsidR="00466E43" w:rsidRPr="0068236B">
        <w:rPr>
          <w:rFonts w:cs="Tahoma"/>
          <w:sz w:val="20"/>
        </w:rPr>
        <w:t>Ref.14</w:t>
      </w:r>
      <w:r w:rsidRPr="0068236B">
        <w:rPr>
          <w:rFonts w:cs="Tahoma"/>
          <w:sz w:val="20"/>
        </w:rPr>
        <w:t>] (the Strategy) is achieving high level of integration of the national energy system with the intern</w:t>
      </w:r>
      <w:r w:rsidRPr="0068236B">
        <w:rPr>
          <w:rFonts w:cs="Tahoma"/>
          <w:sz w:val="20"/>
        </w:rPr>
        <w:t>a</w:t>
      </w:r>
      <w:r w:rsidRPr="0068236B">
        <w:rPr>
          <w:rFonts w:cs="Tahoma"/>
          <w:sz w:val="20"/>
        </w:rPr>
        <w:t>tional energy markets. In addition, the Strategy foresees a goal for decarbonisation of the Macedonian ene</w:t>
      </w:r>
      <w:r w:rsidRPr="0068236B">
        <w:rPr>
          <w:rFonts w:cs="Tahoma"/>
          <w:sz w:val="20"/>
        </w:rPr>
        <w:t>r</w:t>
      </w:r>
      <w:r w:rsidRPr="0068236B">
        <w:rPr>
          <w:rFonts w:cs="Tahoma"/>
          <w:sz w:val="20"/>
        </w:rPr>
        <w:t xml:space="preserve">gy system, which is to be achieved by a number of strategic goals, including reduction of the greenhouse gas emissions associated with the energy production and increasing the penetration of the renewable energy sources in the overall energy consumption, in a sustainable manner. </w:t>
      </w:r>
    </w:p>
    <w:p w14:paraId="18565BC2" w14:textId="11584FE4" w:rsidR="0079124C" w:rsidRPr="0068236B" w:rsidRDefault="0079124C" w:rsidP="0079124C">
      <w:pPr>
        <w:rPr>
          <w:rFonts w:cs="Tahoma"/>
          <w:sz w:val="20"/>
        </w:rPr>
      </w:pPr>
      <w:r w:rsidRPr="0068236B">
        <w:rPr>
          <w:rFonts w:cs="Tahoma"/>
          <w:sz w:val="20"/>
        </w:rPr>
        <w:t xml:space="preserve">The integration with the international markets is foreseen to be achieved by continuous investments in the transmission and distribution network in order to </w:t>
      </w:r>
      <w:r w:rsidR="00BA7539" w:rsidRPr="0068236B">
        <w:rPr>
          <w:rFonts w:cs="Tahoma"/>
          <w:sz w:val="20"/>
        </w:rPr>
        <w:t>[</w:t>
      </w:r>
      <w:r w:rsidR="00466E43" w:rsidRPr="0068236B">
        <w:rPr>
          <w:rFonts w:cs="Tahoma"/>
          <w:sz w:val="20"/>
        </w:rPr>
        <w:t>Ref.14</w:t>
      </w:r>
      <w:r w:rsidRPr="0068236B">
        <w:rPr>
          <w:rFonts w:cs="Tahoma"/>
          <w:sz w:val="20"/>
        </w:rPr>
        <w:t>]:</w:t>
      </w:r>
    </w:p>
    <w:p w14:paraId="440AEDE7" w14:textId="77777777" w:rsidR="0079124C" w:rsidRPr="0068236B" w:rsidRDefault="0079124C" w:rsidP="0079124C">
      <w:pPr>
        <w:pStyle w:val="ListBullet"/>
        <w:jc w:val="left"/>
        <w:rPr>
          <w:sz w:val="20"/>
        </w:rPr>
      </w:pPr>
      <w:r w:rsidRPr="0068236B">
        <w:rPr>
          <w:sz w:val="20"/>
        </w:rPr>
        <w:t>greater integration of renewable energy sources or electricity production, especially from wind and solar sources,</w:t>
      </w:r>
    </w:p>
    <w:p w14:paraId="72559B3F" w14:textId="77777777" w:rsidR="0079124C" w:rsidRPr="0068236B" w:rsidRDefault="0079124C" w:rsidP="0079124C">
      <w:pPr>
        <w:pStyle w:val="ListBullet"/>
        <w:jc w:val="left"/>
        <w:rPr>
          <w:sz w:val="20"/>
        </w:rPr>
      </w:pPr>
      <w:r w:rsidRPr="0068236B">
        <w:rPr>
          <w:sz w:val="20"/>
        </w:rPr>
        <w:t>enabling the producer-consumer mechanism ("prosumer"),</w:t>
      </w:r>
    </w:p>
    <w:p w14:paraId="5931A20B" w14:textId="77777777" w:rsidR="0079124C" w:rsidRPr="0068236B" w:rsidRDefault="0079124C" w:rsidP="0079124C">
      <w:pPr>
        <w:pStyle w:val="ListBullet"/>
        <w:jc w:val="left"/>
        <w:rPr>
          <w:sz w:val="20"/>
        </w:rPr>
      </w:pPr>
      <w:r w:rsidRPr="0068236B">
        <w:rPr>
          <w:sz w:val="20"/>
        </w:rPr>
        <w:t>greater penetration of electric vehicles, and</w:t>
      </w:r>
    </w:p>
    <w:p w14:paraId="602257E3" w14:textId="77777777" w:rsidR="0079124C" w:rsidRPr="0068236B" w:rsidRDefault="0079124C" w:rsidP="0079124C">
      <w:pPr>
        <w:pStyle w:val="ListBullet"/>
        <w:jc w:val="left"/>
        <w:rPr>
          <w:sz w:val="20"/>
        </w:rPr>
      </w:pPr>
      <w:r w:rsidRPr="0068236B">
        <w:rPr>
          <w:sz w:val="20"/>
        </w:rPr>
        <w:t>satisfying the increased demand for electricity in the region.</w:t>
      </w:r>
    </w:p>
    <w:p w14:paraId="20927BC7" w14:textId="324628CD" w:rsidR="0079124C" w:rsidRPr="0068236B" w:rsidRDefault="0079124C" w:rsidP="0079124C">
      <w:pPr>
        <w:rPr>
          <w:rFonts w:cs="Tahoma"/>
          <w:sz w:val="20"/>
        </w:rPr>
      </w:pPr>
      <w:r w:rsidRPr="0068236B">
        <w:rPr>
          <w:rFonts w:cs="Tahoma"/>
          <w:sz w:val="20"/>
        </w:rPr>
        <w:t>Аccording to the Strategy, the biggest challenge for achieving th</w:t>
      </w:r>
      <w:r w:rsidRPr="0068236B">
        <w:rPr>
          <w:rFonts w:cs="Tahoma"/>
          <w:sz w:val="20"/>
          <w:szCs w:val="20"/>
        </w:rPr>
        <w:t xml:space="preserve">ese goals, including the foreseen increased penetration of the of renewable energy sources, </w:t>
      </w:r>
      <w:r w:rsidRPr="0068236B">
        <w:rPr>
          <w:rFonts w:cs="Tahoma"/>
          <w:sz w:val="20"/>
        </w:rPr>
        <w:t>from the perspective of the national transmission system, will be the strengthening of the existing 110 kV voltage level grid by reconstruction/replacement of 110 kV transmission lines in particular regions. Given the long-term investment plan of MEPSO until 2040, ‘the sy</w:t>
      </w:r>
      <w:r w:rsidRPr="0068236B">
        <w:rPr>
          <w:rFonts w:cs="Tahoma"/>
          <w:sz w:val="20"/>
        </w:rPr>
        <w:t>s</w:t>
      </w:r>
      <w:r w:rsidRPr="0068236B">
        <w:rPr>
          <w:rFonts w:cs="Tahoma"/>
          <w:sz w:val="20"/>
        </w:rPr>
        <w:t>tem needs an investment of 163 million. EUR, of which 87 mil. EUR for a new network and 76 mil. EUR for network revitalization. The largest investments in revitalization of ~ 70% are expected to be in the period 2025-2040, while ~ 98% of investments in a new transmission network should be made by 2030, based on the lowest costs.’ [</w:t>
      </w:r>
      <w:r w:rsidR="00466E43" w:rsidRPr="0068236B">
        <w:rPr>
          <w:rFonts w:cs="Tahoma"/>
          <w:sz w:val="20"/>
        </w:rPr>
        <w:t>Ref.14</w:t>
      </w:r>
      <w:r w:rsidRPr="0068236B">
        <w:rPr>
          <w:rFonts w:cs="Tahoma"/>
          <w:sz w:val="20"/>
        </w:rPr>
        <w:t>].</w:t>
      </w:r>
    </w:p>
    <w:p w14:paraId="2EA352BE" w14:textId="7F32EB3E" w:rsidR="0079124C" w:rsidRPr="0068236B" w:rsidRDefault="0079124C" w:rsidP="0079124C">
      <w:pPr>
        <w:rPr>
          <w:rFonts w:cs="Tahoma"/>
          <w:sz w:val="20"/>
        </w:rPr>
      </w:pPr>
      <w:r w:rsidRPr="0068236B">
        <w:rPr>
          <w:rFonts w:cs="Tahoma"/>
          <w:sz w:val="20"/>
        </w:rPr>
        <w:t>Therefore, this Project for strengthening the transmission network in Southeast Region of Macedonia is seen as an important step towards fulfilment of the Strategy goals for integration of energy from renewable sources into the national power system, since the most significant investments in this regard are (will be) located mostly in this region of the country. Beside the key benefit from the Project – to secure reliable int</w:t>
      </w:r>
      <w:r w:rsidRPr="0068236B">
        <w:rPr>
          <w:rFonts w:cs="Tahoma"/>
          <w:sz w:val="20"/>
        </w:rPr>
        <w:t>e</w:t>
      </w:r>
      <w:r w:rsidRPr="0068236B">
        <w:rPr>
          <w:rFonts w:cs="Tahoma"/>
          <w:sz w:val="20"/>
        </w:rPr>
        <w:t>gration of the planned renewable sources in the southeast region of the country, which consequently co</w:t>
      </w:r>
      <w:r w:rsidRPr="0068236B">
        <w:rPr>
          <w:rFonts w:cs="Tahoma"/>
          <w:sz w:val="20"/>
        </w:rPr>
        <w:t>n</w:t>
      </w:r>
      <w:r w:rsidRPr="0068236B">
        <w:rPr>
          <w:rFonts w:cs="Tahoma"/>
          <w:sz w:val="20"/>
        </w:rPr>
        <w:t>tributes towards reduction in CO</w:t>
      </w:r>
      <w:r w:rsidRPr="0068236B">
        <w:rPr>
          <w:rFonts w:cs="Tahoma"/>
          <w:sz w:val="20"/>
          <w:vertAlign w:val="subscript"/>
        </w:rPr>
        <w:t>2</w:t>
      </w:r>
      <w:r w:rsidRPr="0068236B">
        <w:rPr>
          <w:rFonts w:cs="Tahoma"/>
          <w:sz w:val="20"/>
        </w:rPr>
        <w:t xml:space="preserve"> emissions, the Project will increase the security of supply and will contri</w:t>
      </w:r>
      <w:r w:rsidRPr="0068236B">
        <w:rPr>
          <w:rFonts w:cs="Tahoma"/>
          <w:sz w:val="20"/>
        </w:rPr>
        <w:t>b</w:t>
      </w:r>
      <w:r w:rsidRPr="0068236B">
        <w:rPr>
          <w:rFonts w:cs="Tahoma"/>
          <w:sz w:val="20"/>
        </w:rPr>
        <w:t>ute towards increase of the efficiency and capacity of the transmission grid with smart grid solutions.</w:t>
      </w:r>
    </w:p>
    <w:p w14:paraId="4AAA0782" w14:textId="77777777" w:rsidR="0079124C" w:rsidRPr="0068236B" w:rsidRDefault="0079124C" w:rsidP="0079124C">
      <w:pPr>
        <w:rPr>
          <w:rFonts w:cs="Tahoma"/>
          <w:sz w:val="20"/>
        </w:rPr>
      </w:pPr>
      <w:r w:rsidRPr="0068236B">
        <w:rPr>
          <w:rFonts w:cs="Tahoma"/>
          <w:sz w:val="20"/>
        </w:rPr>
        <w:t>In terms of fulfillment of the above Macedonian strategic goals, the ‘No Project’ option has no positive a</w:t>
      </w:r>
      <w:r w:rsidRPr="0068236B">
        <w:rPr>
          <w:rFonts w:cs="Tahoma"/>
          <w:sz w:val="20"/>
        </w:rPr>
        <w:t>r</w:t>
      </w:r>
      <w:r w:rsidRPr="0068236B">
        <w:rPr>
          <w:rFonts w:cs="Tahoma"/>
          <w:sz w:val="20"/>
        </w:rPr>
        <w:t>gument in its favour, because if the proposed Project is not build, then it would cause a serious problem in the planned national energy sector development and the regional integration of the Macedonian electricity system. Such scenario would also result in serious obstacle in regard to the country’s efforts to meet the goals of the European Union for the integration of energy from renewable sources into the national power system.</w:t>
      </w:r>
    </w:p>
    <w:p w14:paraId="77EEE0D0" w14:textId="77777777" w:rsidR="0079124C" w:rsidRPr="0068236B" w:rsidRDefault="0079124C" w:rsidP="0079124C">
      <w:pPr>
        <w:rPr>
          <w:rFonts w:cs="Tahoma"/>
          <w:sz w:val="20"/>
        </w:rPr>
      </w:pPr>
      <w:r w:rsidRPr="0068236B">
        <w:rPr>
          <w:rFonts w:cs="Tahoma"/>
          <w:sz w:val="20"/>
        </w:rPr>
        <w:t xml:space="preserve">‘No Project’ option does not involve capital investment costs. However, maintenance costs are higher than for lines within the expected life span because the equipment would become obsolete with an expired useful life. Consequently, the ‘No Project’ option will directly contribute to higher operational costs of the existing out-of-date transmission infrastructure in the Project region, as well as to higher technical losses. It will also decrease security and reliability of the power supply in the Project region. </w:t>
      </w:r>
    </w:p>
    <w:p w14:paraId="22337C8E" w14:textId="77777777" w:rsidR="0079124C" w:rsidRPr="0068236B" w:rsidRDefault="0079124C" w:rsidP="0079124C">
      <w:pPr>
        <w:rPr>
          <w:rFonts w:cs="Tahoma"/>
          <w:sz w:val="20"/>
        </w:rPr>
      </w:pPr>
      <w:r w:rsidRPr="0068236B">
        <w:rPr>
          <w:rFonts w:cs="Tahoma"/>
          <w:sz w:val="20"/>
        </w:rPr>
        <w:t xml:space="preserve">In a wider context, the ‘No Project’ option would limit overall economic development and possibilities for the improvement in the social welfare of the citizens in the Project region and wider context – at country level. </w:t>
      </w:r>
    </w:p>
    <w:p w14:paraId="3A2C1C4A" w14:textId="77777777" w:rsidR="00BF7E0B" w:rsidRPr="0068236B" w:rsidRDefault="00BF7E0B" w:rsidP="005C1605">
      <w:pPr>
        <w:pStyle w:val="Heading3"/>
      </w:pPr>
      <w:bookmarkStart w:id="31" w:name="_Toc112852191"/>
      <w:r w:rsidRPr="0068236B">
        <w:lastRenderedPageBreak/>
        <w:t>Project Options</w:t>
      </w:r>
      <w:bookmarkEnd w:id="30"/>
      <w:bookmarkEnd w:id="31"/>
      <w:r w:rsidRPr="0068236B">
        <w:t xml:space="preserve"> </w:t>
      </w:r>
    </w:p>
    <w:p w14:paraId="4946098A" w14:textId="5F77AC1F" w:rsidR="00141914" w:rsidRPr="0068236B" w:rsidRDefault="00141914" w:rsidP="00141914">
      <w:pPr>
        <w:rPr>
          <w:rFonts w:cs="Tahoma"/>
          <w:sz w:val="20"/>
        </w:rPr>
      </w:pPr>
      <w:r w:rsidRPr="0068236B">
        <w:rPr>
          <w:rFonts w:cs="Tahoma"/>
          <w:sz w:val="20"/>
        </w:rPr>
        <w:t>Based on the transmission network topologies defined in the Project-related studies, three options have been identified (including alternative corridors for each option)</w:t>
      </w:r>
      <w:r w:rsidR="006C67E2" w:rsidRPr="0068236B">
        <w:rPr>
          <w:rFonts w:cs="Tahoma"/>
          <w:sz w:val="20"/>
        </w:rPr>
        <w:t xml:space="preserve"> (Figure below)</w:t>
      </w:r>
      <w:r w:rsidRPr="0068236B">
        <w:rPr>
          <w:rFonts w:cs="Tahoma"/>
          <w:sz w:val="20"/>
        </w:rPr>
        <w:t>, in order to make a clearer distinction between different network configurations. They are all built based on the network topology, re</w:t>
      </w:r>
      <w:r w:rsidRPr="0068236B">
        <w:rPr>
          <w:rFonts w:cs="Tahoma"/>
          <w:sz w:val="20"/>
        </w:rPr>
        <w:t>p</w:t>
      </w:r>
      <w:r w:rsidRPr="0068236B">
        <w:rPr>
          <w:rFonts w:cs="Tahoma"/>
          <w:sz w:val="20"/>
        </w:rPr>
        <w:t>resenting the basic development of the local transmission networks for three referenced years - 2025, 2030 and 2040.</w:t>
      </w:r>
    </w:p>
    <w:p w14:paraId="7DF37F80" w14:textId="77777777" w:rsidR="00FF10C4" w:rsidRPr="0068236B" w:rsidRDefault="00FF10C4" w:rsidP="00FF10C4">
      <w:pPr>
        <w:rPr>
          <w:rFonts w:cs="Tahoma"/>
          <w:sz w:val="20"/>
        </w:rPr>
      </w:pPr>
      <w:r w:rsidRPr="0068236B">
        <w:rPr>
          <w:rFonts w:cs="Tahoma"/>
          <w:sz w:val="20"/>
        </w:rPr>
        <w:t>The key technical elements of the identified options are as follows:</w:t>
      </w:r>
    </w:p>
    <w:p w14:paraId="016F48B7" w14:textId="77777777" w:rsidR="00FF10C4" w:rsidRPr="0068236B" w:rsidRDefault="00FF10C4" w:rsidP="008E77D3">
      <w:pPr>
        <w:pStyle w:val="ListParagraph"/>
        <w:numPr>
          <w:ilvl w:val="0"/>
          <w:numId w:val="52"/>
        </w:numPr>
        <w:spacing w:line="240" w:lineRule="auto"/>
        <w:ind w:left="714" w:hanging="357"/>
        <w:contextualSpacing w:val="0"/>
        <w:jc w:val="left"/>
        <w:rPr>
          <w:rFonts w:cs="Tahoma"/>
          <w:sz w:val="20"/>
        </w:rPr>
      </w:pPr>
      <w:r w:rsidRPr="0068236B">
        <w:rPr>
          <w:rFonts w:cs="Tahoma"/>
          <w:sz w:val="20"/>
        </w:rPr>
        <w:t xml:space="preserve">Project Option 1 - </w:t>
      </w:r>
      <w:r w:rsidRPr="0068236B">
        <w:rPr>
          <w:sz w:val="20"/>
        </w:rPr>
        <w:t>Double Circuit 110 kV OHL Dubrovo – Valandovo</w:t>
      </w:r>
      <w:r w:rsidRPr="0068236B">
        <w:rPr>
          <w:rFonts w:cs="Tahoma"/>
          <w:sz w:val="20"/>
        </w:rPr>
        <w:t>, which includes the following main components:</w:t>
      </w:r>
    </w:p>
    <w:p w14:paraId="254547A9" w14:textId="77777777" w:rsidR="00FF10C4" w:rsidRPr="0068236B" w:rsidRDefault="00FF10C4" w:rsidP="008E77D3">
      <w:pPr>
        <w:pStyle w:val="ListParagraph"/>
        <w:numPr>
          <w:ilvl w:val="1"/>
          <w:numId w:val="52"/>
        </w:numPr>
        <w:spacing w:line="240" w:lineRule="auto"/>
        <w:contextualSpacing w:val="0"/>
        <w:jc w:val="left"/>
        <w:rPr>
          <w:rFonts w:cs="Tahoma"/>
          <w:sz w:val="20"/>
        </w:rPr>
      </w:pPr>
      <w:r w:rsidRPr="0068236B">
        <w:rPr>
          <w:rFonts w:cs="Tahoma"/>
          <w:sz w:val="20"/>
        </w:rPr>
        <w:t>Construction of a new double circuit 110 kV OHL between Valandovo and Dubrovo</w:t>
      </w:r>
    </w:p>
    <w:p w14:paraId="6DDAD431" w14:textId="77777777" w:rsidR="00FF10C4" w:rsidRPr="0068236B" w:rsidRDefault="00FF10C4" w:rsidP="008E77D3">
      <w:pPr>
        <w:pStyle w:val="ListParagraph"/>
        <w:numPr>
          <w:ilvl w:val="1"/>
          <w:numId w:val="52"/>
        </w:numPr>
        <w:spacing w:line="240" w:lineRule="auto"/>
        <w:contextualSpacing w:val="0"/>
        <w:jc w:val="left"/>
        <w:rPr>
          <w:rFonts w:cs="Tahoma"/>
          <w:sz w:val="20"/>
        </w:rPr>
      </w:pPr>
      <w:r w:rsidRPr="0068236B">
        <w:rPr>
          <w:rFonts w:cs="Tahoma"/>
          <w:sz w:val="20"/>
        </w:rPr>
        <w:t>New 400/110 kV power transformer in the 400/110 kV SS Dubrovo, with respective 110 kV and 400 kV bays</w:t>
      </w:r>
    </w:p>
    <w:p w14:paraId="7F0B512C" w14:textId="77777777" w:rsidR="00FF10C4" w:rsidRPr="0068236B" w:rsidRDefault="00FF10C4" w:rsidP="008E77D3">
      <w:pPr>
        <w:pStyle w:val="ListParagraph"/>
        <w:numPr>
          <w:ilvl w:val="1"/>
          <w:numId w:val="52"/>
        </w:numPr>
        <w:spacing w:line="240" w:lineRule="auto"/>
        <w:contextualSpacing w:val="0"/>
        <w:jc w:val="left"/>
        <w:rPr>
          <w:rFonts w:cs="Tahoma"/>
          <w:sz w:val="20"/>
        </w:rPr>
      </w:pPr>
      <w:r w:rsidRPr="0068236B">
        <w:rPr>
          <w:rFonts w:cs="Tahoma"/>
          <w:sz w:val="20"/>
        </w:rPr>
        <w:t xml:space="preserve">Reconstruction of the existing 110 kV OHL Valandovo – Strumica 2 – Strumica 1 </w:t>
      </w:r>
    </w:p>
    <w:p w14:paraId="703606AF" w14:textId="77777777" w:rsidR="00FF10C4" w:rsidRPr="0068236B" w:rsidRDefault="00FF10C4" w:rsidP="008E77D3">
      <w:pPr>
        <w:pStyle w:val="ListParagraph"/>
        <w:numPr>
          <w:ilvl w:val="0"/>
          <w:numId w:val="52"/>
        </w:numPr>
        <w:spacing w:line="240" w:lineRule="auto"/>
        <w:ind w:left="714" w:hanging="357"/>
        <w:contextualSpacing w:val="0"/>
        <w:jc w:val="left"/>
        <w:rPr>
          <w:rFonts w:cs="Tahoma"/>
          <w:sz w:val="20"/>
        </w:rPr>
      </w:pPr>
      <w:r w:rsidRPr="0068236B">
        <w:rPr>
          <w:rFonts w:cs="Tahoma"/>
          <w:sz w:val="20"/>
        </w:rPr>
        <w:t xml:space="preserve">Project Option 2 - </w:t>
      </w:r>
      <w:r w:rsidRPr="0068236B">
        <w:rPr>
          <w:sz w:val="20"/>
        </w:rPr>
        <w:t>New 400/110 kV substation and lead in-out of existing 400 kV OHL</w:t>
      </w:r>
      <w:r w:rsidRPr="0068236B">
        <w:rPr>
          <w:rFonts w:cs="Tahoma"/>
          <w:sz w:val="20"/>
        </w:rPr>
        <w:t xml:space="preserve"> Dubrovo – Thessalonica (GR), which includes the following main components:</w:t>
      </w:r>
    </w:p>
    <w:p w14:paraId="63AB5199" w14:textId="77777777" w:rsidR="00FF10C4" w:rsidRPr="0068236B" w:rsidRDefault="00FF10C4" w:rsidP="008E77D3">
      <w:pPr>
        <w:pStyle w:val="ListParagraph"/>
        <w:numPr>
          <w:ilvl w:val="1"/>
          <w:numId w:val="52"/>
        </w:numPr>
        <w:spacing w:line="240" w:lineRule="auto"/>
        <w:contextualSpacing w:val="0"/>
        <w:jc w:val="left"/>
        <w:rPr>
          <w:rFonts w:cs="Tahoma"/>
          <w:sz w:val="20"/>
        </w:rPr>
      </w:pPr>
      <w:r w:rsidRPr="0068236B">
        <w:rPr>
          <w:rFonts w:cs="Tahoma"/>
          <w:sz w:val="20"/>
        </w:rPr>
        <w:t>Construction of a new 400/110 kV substation</w:t>
      </w:r>
    </w:p>
    <w:p w14:paraId="3E663552" w14:textId="77777777" w:rsidR="00FF10C4" w:rsidRPr="0068236B" w:rsidRDefault="00FF10C4" w:rsidP="008E77D3">
      <w:pPr>
        <w:pStyle w:val="ListParagraph"/>
        <w:numPr>
          <w:ilvl w:val="1"/>
          <w:numId w:val="52"/>
        </w:numPr>
        <w:spacing w:line="240" w:lineRule="auto"/>
        <w:contextualSpacing w:val="0"/>
        <w:jc w:val="left"/>
        <w:rPr>
          <w:rFonts w:cs="Tahoma"/>
          <w:sz w:val="20"/>
        </w:rPr>
      </w:pPr>
      <w:r w:rsidRPr="0068236B">
        <w:rPr>
          <w:rFonts w:cs="Tahoma"/>
          <w:sz w:val="20"/>
        </w:rPr>
        <w:t>Connection of the existing 400 kV OHL Dubrovo – Thessalonica (GR) into the new substation</w:t>
      </w:r>
    </w:p>
    <w:p w14:paraId="7218635A" w14:textId="77777777" w:rsidR="00FF10C4" w:rsidRPr="0068236B" w:rsidRDefault="00FF10C4" w:rsidP="008E77D3">
      <w:pPr>
        <w:pStyle w:val="ListParagraph"/>
        <w:numPr>
          <w:ilvl w:val="1"/>
          <w:numId w:val="52"/>
        </w:numPr>
        <w:spacing w:line="240" w:lineRule="auto"/>
        <w:contextualSpacing w:val="0"/>
        <w:jc w:val="left"/>
        <w:rPr>
          <w:rFonts w:cs="Tahoma"/>
          <w:sz w:val="20"/>
        </w:rPr>
      </w:pPr>
      <w:r w:rsidRPr="0068236B">
        <w:rPr>
          <w:rFonts w:cs="Tahoma"/>
          <w:sz w:val="20"/>
        </w:rPr>
        <w:t>Reconstruction of the existing 110 kV OHL Valandovo – Strumica 2 – Strumica 1</w:t>
      </w:r>
    </w:p>
    <w:p w14:paraId="2CA8685C" w14:textId="77777777" w:rsidR="00FF10C4" w:rsidRPr="0068236B" w:rsidRDefault="00FF10C4" w:rsidP="008E77D3">
      <w:pPr>
        <w:pStyle w:val="ListParagraph"/>
        <w:numPr>
          <w:ilvl w:val="0"/>
          <w:numId w:val="52"/>
        </w:numPr>
        <w:spacing w:line="240" w:lineRule="auto"/>
        <w:ind w:left="714" w:hanging="357"/>
        <w:contextualSpacing w:val="0"/>
        <w:jc w:val="left"/>
        <w:rPr>
          <w:rFonts w:cs="Tahoma"/>
          <w:sz w:val="20"/>
        </w:rPr>
      </w:pPr>
      <w:r w:rsidRPr="0068236B">
        <w:rPr>
          <w:rFonts w:cs="Tahoma"/>
          <w:sz w:val="20"/>
        </w:rPr>
        <w:t xml:space="preserve">Project Option 3 – New </w:t>
      </w:r>
      <w:r w:rsidRPr="0068236B">
        <w:rPr>
          <w:sz w:val="20"/>
        </w:rPr>
        <w:t>400/110 kV substation with interconnection</w:t>
      </w:r>
      <w:r w:rsidRPr="0068236B">
        <w:rPr>
          <w:rFonts w:cs="Tahoma"/>
          <w:sz w:val="20"/>
        </w:rPr>
        <w:t xml:space="preserve"> (</w:t>
      </w:r>
      <w:r w:rsidRPr="0068236B">
        <w:rPr>
          <w:sz w:val="20"/>
        </w:rPr>
        <w:t xml:space="preserve">new 400 kV OHL Dubrovo – Valandovo – Thessalonica (GR)), </w:t>
      </w:r>
      <w:r w:rsidRPr="0068236B">
        <w:rPr>
          <w:rFonts w:cs="Tahoma"/>
          <w:sz w:val="20"/>
        </w:rPr>
        <w:t>which includes the following main components:</w:t>
      </w:r>
    </w:p>
    <w:p w14:paraId="53B86437" w14:textId="77777777" w:rsidR="00FF10C4" w:rsidRPr="0068236B" w:rsidRDefault="00FF10C4" w:rsidP="008E77D3">
      <w:pPr>
        <w:pStyle w:val="ListParagraph"/>
        <w:numPr>
          <w:ilvl w:val="1"/>
          <w:numId w:val="52"/>
        </w:numPr>
        <w:spacing w:line="240" w:lineRule="auto"/>
        <w:contextualSpacing w:val="0"/>
        <w:jc w:val="left"/>
        <w:rPr>
          <w:rFonts w:cs="Tahoma"/>
          <w:sz w:val="20"/>
        </w:rPr>
      </w:pPr>
      <w:r w:rsidRPr="0068236B">
        <w:rPr>
          <w:rFonts w:cs="Tahoma"/>
          <w:sz w:val="20"/>
        </w:rPr>
        <w:t>Construction of a new 400/110 kV substation</w:t>
      </w:r>
    </w:p>
    <w:p w14:paraId="63E9872B" w14:textId="77777777" w:rsidR="00FF10C4" w:rsidRPr="0068236B" w:rsidRDefault="00FF10C4" w:rsidP="008E77D3">
      <w:pPr>
        <w:pStyle w:val="ListParagraph"/>
        <w:numPr>
          <w:ilvl w:val="1"/>
          <w:numId w:val="52"/>
        </w:numPr>
        <w:spacing w:line="240" w:lineRule="auto"/>
        <w:contextualSpacing w:val="0"/>
        <w:jc w:val="left"/>
        <w:rPr>
          <w:rFonts w:cs="Tahoma"/>
          <w:sz w:val="20"/>
        </w:rPr>
      </w:pPr>
      <w:r w:rsidRPr="0068236B">
        <w:rPr>
          <w:rFonts w:cs="Tahoma"/>
          <w:sz w:val="20"/>
        </w:rPr>
        <w:t>Construction of a new 400 kV OHL Dubrovo – Valandovo – Thessalonica (GR)</w:t>
      </w:r>
    </w:p>
    <w:p w14:paraId="10F359C3" w14:textId="77777777" w:rsidR="00FF10C4" w:rsidRPr="0068236B" w:rsidRDefault="00FF10C4" w:rsidP="008E77D3">
      <w:pPr>
        <w:pStyle w:val="ListParagraph"/>
        <w:numPr>
          <w:ilvl w:val="1"/>
          <w:numId w:val="52"/>
        </w:numPr>
        <w:spacing w:line="240" w:lineRule="auto"/>
        <w:ind w:left="1434" w:hanging="357"/>
        <w:contextualSpacing w:val="0"/>
        <w:jc w:val="left"/>
        <w:rPr>
          <w:rFonts w:cs="Tahoma"/>
          <w:sz w:val="20"/>
        </w:rPr>
      </w:pPr>
      <w:r w:rsidRPr="0068236B">
        <w:rPr>
          <w:rFonts w:cs="Tahoma"/>
          <w:sz w:val="20"/>
        </w:rPr>
        <w:t>Reconstruction of existing 110 kV OHLs Valandovo – Strumica 2 – Strumica 1</w:t>
      </w:r>
    </w:p>
    <w:p w14:paraId="62C738D9" w14:textId="77777777" w:rsidR="00FF10C4" w:rsidRPr="0068236B" w:rsidRDefault="00FF10C4" w:rsidP="00FF10C4">
      <w:pPr>
        <w:rPr>
          <w:rFonts w:cs="Tahoma"/>
          <w:sz w:val="20"/>
          <w:szCs w:val="20"/>
        </w:rPr>
      </w:pPr>
      <w:r w:rsidRPr="0068236B">
        <w:rPr>
          <w:rFonts w:cs="Tahoma"/>
          <w:sz w:val="20"/>
          <w:szCs w:val="20"/>
        </w:rPr>
        <w:t>As an element of the wider development scheme for strengthening the transmission network in the Sout</w:t>
      </w:r>
      <w:r w:rsidRPr="0068236B">
        <w:rPr>
          <w:rFonts w:cs="Tahoma"/>
          <w:sz w:val="20"/>
          <w:szCs w:val="20"/>
        </w:rPr>
        <w:t>h</w:t>
      </w:r>
      <w:r w:rsidRPr="0068236B">
        <w:rPr>
          <w:rFonts w:cs="Tahoma"/>
          <w:sz w:val="20"/>
          <w:szCs w:val="20"/>
        </w:rPr>
        <w:t>east Region of North Macedonia, the Sub-project 2 - Reconstruction of the existing 110 kV OHL Valandovo – Strumica (Component 2) was included in each of the identified options. As such, this element was not a comparative factor for the decision-making process for selection of the preferred option and was not taken into the comparative analysis of the identified options</w:t>
      </w:r>
      <w:r w:rsidRPr="0068236B">
        <w:rPr>
          <w:rStyle w:val="FootnoteReference"/>
          <w:rFonts w:cs="Tahoma"/>
          <w:sz w:val="20"/>
          <w:szCs w:val="20"/>
        </w:rPr>
        <w:footnoteReference w:id="14"/>
      </w:r>
      <w:r w:rsidRPr="0068236B">
        <w:rPr>
          <w:rFonts w:cs="Tahoma"/>
          <w:sz w:val="20"/>
          <w:szCs w:val="20"/>
        </w:rPr>
        <w:t xml:space="preserve">. </w:t>
      </w:r>
    </w:p>
    <w:p w14:paraId="08A3109F" w14:textId="64A94E00" w:rsidR="00141914" w:rsidRPr="0068236B" w:rsidRDefault="000F2D71" w:rsidP="00141914">
      <w:pPr>
        <w:spacing w:before="240"/>
        <w:rPr>
          <w:rFonts w:cs="Tahoma"/>
          <w:sz w:val="20"/>
          <w:szCs w:val="20"/>
        </w:rPr>
      </w:pPr>
      <w:r w:rsidRPr="0068236B">
        <w:rPr>
          <w:rFonts w:cs="Tahoma"/>
          <w:sz w:val="20"/>
          <w:szCs w:val="20"/>
          <w:lang w:val="en-US"/>
        </w:rPr>
        <w:t>A</w:t>
      </w:r>
      <w:r w:rsidRPr="0068236B">
        <w:rPr>
          <w:rFonts w:cs="Tahoma"/>
          <w:sz w:val="20"/>
          <w:szCs w:val="20"/>
        </w:rPr>
        <w:t>t the present development</w:t>
      </w:r>
      <w:r w:rsidRPr="0068236B">
        <w:rPr>
          <w:rFonts w:cs="Tahoma"/>
          <w:sz w:val="20"/>
          <w:szCs w:val="20"/>
          <w:lang w:val="en-US"/>
        </w:rPr>
        <w:t xml:space="preserve"> </w:t>
      </w:r>
      <w:r w:rsidRPr="0068236B">
        <w:rPr>
          <w:rFonts w:cs="Tahoma"/>
          <w:sz w:val="20"/>
          <w:szCs w:val="20"/>
        </w:rPr>
        <w:t>stage</w:t>
      </w:r>
      <w:r w:rsidRPr="0068236B">
        <w:rPr>
          <w:rFonts w:cs="Tahoma"/>
          <w:sz w:val="20"/>
          <w:szCs w:val="20"/>
          <w:lang w:val="en-US"/>
        </w:rPr>
        <w:t xml:space="preserve"> of the Project, no technical alternatives in terms to the OHL</w:t>
      </w:r>
      <w:r w:rsidRPr="0068236B">
        <w:rPr>
          <w:rFonts w:cs="Tahoma"/>
          <w:sz w:val="20"/>
          <w:szCs w:val="20"/>
        </w:rPr>
        <w:t xml:space="preserve"> towers </w:t>
      </w:r>
      <w:r w:rsidRPr="0068236B">
        <w:rPr>
          <w:rFonts w:cs="Tahoma"/>
          <w:sz w:val="20"/>
          <w:szCs w:val="20"/>
          <w:lang w:val="en-US"/>
        </w:rPr>
        <w:t xml:space="preserve">and </w:t>
      </w:r>
      <w:r w:rsidRPr="0068236B">
        <w:rPr>
          <w:rFonts w:cs="Tahoma"/>
          <w:sz w:val="20"/>
          <w:szCs w:val="20"/>
        </w:rPr>
        <w:t>equipment</w:t>
      </w:r>
      <w:r w:rsidRPr="0068236B">
        <w:rPr>
          <w:rFonts w:cs="Tahoma"/>
          <w:sz w:val="20"/>
          <w:szCs w:val="20"/>
          <w:lang w:val="en-US"/>
        </w:rPr>
        <w:t xml:space="preserve"> as well as substation elements have been considered. Technical specifications and details of the elements </w:t>
      </w:r>
      <w:r w:rsidRPr="0068236B">
        <w:rPr>
          <w:rFonts w:cs="Tahoma"/>
          <w:sz w:val="20"/>
          <w:szCs w:val="20"/>
        </w:rPr>
        <w:t xml:space="preserve">to be used </w:t>
      </w:r>
      <w:r w:rsidRPr="0068236B">
        <w:rPr>
          <w:rFonts w:cs="Tahoma"/>
          <w:sz w:val="20"/>
          <w:szCs w:val="20"/>
          <w:lang w:val="en-US"/>
        </w:rPr>
        <w:t xml:space="preserve">for the Project </w:t>
      </w:r>
      <w:r w:rsidRPr="0068236B">
        <w:rPr>
          <w:rFonts w:cs="Tahoma"/>
          <w:sz w:val="20"/>
          <w:szCs w:val="20"/>
        </w:rPr>
        <w:t xml:space="preserve">are widely defined </w:t>
      </w:r>
      <w:r w:rsidRPr="0068236B">
        <w:rPr>
          <w:rFonts w:cs="Tahoma"/>
          <w:sz w:val="20"/>
          <w:szCs w:val="20"/>
          <w:lang w:val="en-US"/>
        </w:rPr>
        <w:t xml:space="preserve">by </w:t>
      </w:r>
      <w:r w:rsidRPr="0068236B">
        <w:rPr>
          <w:rFonts w:cs="Tahoma"/>
          <w:sz w:val="20"/>
          <w:szCs w:val="20"/>
        </w:rPr>
        <w:t>MEPSO’s Grid Code</w:t>
      </w:r>
      <w:r w:rsidRPr="0068236B">
        <w:rPr>
          <w:rStyle w:val="FootnoteReference"/>
          <w:rFonts w:cs="Tahoma"/>
          <w:sz w:val="20"/>
          <w:szCs w:val="20"/>
        </w:rPr>
        <w:footnoteReference w:id="15"/>
      </w:r>
      <w:r w:rsidRPr="0068236B">
        <w:rPr>
          <w:rFonts w:cs="Tahoma"/>
          <w:sz w:val="20"/>
          <w:szCs w:val="20"/>
        </w:rPr>
        <w:t xml:space="preserve"> and across the </w:t>
      </w:r>
      <w:r w:rsidRPr="0068236B">
        <w:rPr>
          <w:rFonts w:cs="Tahoma"/>
          <w:sz w:val="20"/>
          <w:szCs w:val="20"/>
          <w:lang w:val="en-US"/>
        </w:rPr>
        <w:t xml:space="preserve">identified </w:t>
      </w:r>
      <w:r w:rsidRPr="0068236B">
        <w:rPr>
          <w:rFonts w:cs="Tahoma"/>
          <w:sz w:val="20"/>
          <w:szCs w:val="20"/>
        </w:rPr>
        <w:t xml:space="preserve">options they </w:t>
      </w:r>
      <w:r w:rsidRPr="0068236B">
        <w:rPr>
          <w:rFonts w:cs="Tahoma"/>
          <w:sz w:val="20"/>
          <w:szCs w:val="20"/>
          <w:lang w:val="en-US"/>
        </w:rPr>
        <w:t xml:space="preserve">would not </w:t>
      </w:r>
      <w:r w:rsidRPr="0068236B">
        <w:rPr>
          <w:rFonts w:cs="Tahoma"/>
          <w:sz w:val="20"/>
          <w:szCs w:val="20"/>
        </w:rPr>
        <w:t>make substantial change. However these will be assessed in the course of the u</w:t>
      </w:r>
      <w:r w:rsidRPr="0068236B">
        <w:rPr>
          <w:rFonts w:cs="Tahoma"/>
          <w:sz w:val="20"/>
          <w:szCs w:val="20"/>
        </w:rPr>
        <w:t>p</w:t>
      </w:r>
      <w:r w:rsidRPr="0068236B">
        <w:rPr>
          <w:rFonts w:cs="Tahoma"/>
          <w:sz w:val="20"/>
          <w:szCs w:val="20"/>
        </w:rPr>
        <w:t xml:space="preserve">coming more advanced design for the preferred option in order to ensure that the best </w:t>
      </w:r>
      <w:r w:rsidRPr="0068236B">
        <w:rPr>
          <w:rFonts w:cs="Tahoma"/>
          <w:sz w:val="20"/>
          <w:szCs w:val="20"/>
          <w:lang w:val="en-US"/>
        </w:rPr>
        <w:t xml:space="preserve">engineering </w:t>
      </w:r>
      <w:r w:rsidRPr="0068236B">
        <w:rPr>
          <w:rFonts w:cs="Tahoma"/>
          <w:sz w:val="20"/>
          <w:szCs w:val="20"/>
        </w:rPr>
        <w:t>option is foreseen and further specified (</w:t>
      </w:r>
      <w:r w:rsidRPr="0068236B">
        <w:rPr>
          <w:rFonts w:cs="Tahoma"/>
          <w:sz w:val="20"/>
          <w:szCs w:val="20"/>
          <w:lang w:val="en-US"/>
        </w:rPr>
        <w:t xml:space="preserve">e.g. in the </w:t>
      </w:r>
      <w:r w:rsidRPr="0068236B">
        <w:rPr>
          <w:rFonts w:cs="Tahoma"/>
          <w:sz w:val="20"/>
          <w:szCs w:val="20"/>
        </w:rPr>
        <w:t xml:space="preserve">technical specs and </w:t>
      </w:r>
      <w:r w:rsidRPr="0068236B">
        <w:rPr>
          <w:rFonts w:cs="Tahoma"/>
          <w:sz w:val="20"/>
          <w:szCs w:val="20"/>
          <w:lang w:val="en-US"/>
        </w:rPr>
        <w:t>bill of quantity</w:t>
      </w:r>
      <w:r w:rsidRPr="0068236B">
        <w:rPr>
          <w:rFonts w:cs="Tahoma"/>
          <w:sz w:val="20"/>
          <w:szCs w:val="20"/>
        </w:rPr>
        <w:t>).</w:t>
      </w:r>
    </w:p>
    <w:p w14:paraId="631D9DE4" w14:textId="77777777" w:rsidR="006C67E2" w:rsidRPr="0068236B" w:rsidRDefault="006C67E2" w:rsidP="00BF7E0B">
      <w:pPr>
        <w:pStyle w:val="Heading3"/>
        <w:numPr>
          <w:ilvl w:val="0"/>
          <w:numId w:val="0"/>
        </w:numPr>
        <w:spacing w:line="240" w:lineRule="auto"/>
        <w:ind w:left="851"/>
        <w:sectPr w:rsidR="006C67E2" w:rsidRPr="0068236B" w:rsidSect="00F56664">
          <w:pgSz w:w="11907" w:h="16840" w:code="9"/>
          <w:pgMar w:top="1134" w:right="1134" w:bottom="1077" w:left="1134" w:header="397" w:footer="397" w:gutter="0"/>
          <w:cols w:space="708"/>
          <w:docGrid w:linePitch="360"/>
        </w:sectPr>
      </w:pPr>
      <w:bookmarkStart w:id="32" w:name="_Toc71559720"/>
    </w:p>
    <w:p w14:paraId="49049EE5" w14:textId="51509514" w:rsidR="006C67E2" w:rsidRPr="0068236B" w:rsidRDefault="006C67E2" w:rsidP="00927DB0">
      <w:pPr>
        <w:pStyle w:val="Normal3"/>
        <w:spacing w:before="120" w:line="276" w:lineRule="auto"/>
        <w:rPr>
          <w:sz w:val="20"/>
        </w:rPr>
      </w:pPr>
      <w:r w:rsidRPr="0068236B">
        <w:rPr>
          <w:noProof/>
          <w:sz w:val="20"/>
          <w:lang w:val="mk-MK" w:eastAsia="mk-MK"/>
        </w:rPr>
        <w:lastRenderedPageBreak/>
        <w:drawing>
          <wp:inline distT="0" distB="0" distL="0" distR="0" wp14:anchorId="1B74019A" wp14:editId="398AD252">
            <wp:extent cx="8581270" cy="5724000"/>
            <wp:effectExtent l="0" t="0" r="0" b="0"/>
            <wp:docPr id="3" name="Picture 1" descr="C:\Users\Kokan\Documents\IPF Project\IPF 7\Energy\WB21 OHL SS Dubrovo-Strumica, Mkd\18 - ESIA Scoping\work files\20211019 Pregledna za Scoping Report so Site Opc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kan\Documents\IPF Project\IPF 7\Energy\WB21 OHL SS Dubrovo-Strumica, Mkd\18 - ESIA Scoping\work files\20211019 Pregledna za Scoping Report so Site Opcii.jpg"/>
                    <pic:cNvPicPr>
                      <a:picLocks noChangeAspect="1" noChangeArrowheads="1"/>
                    </pic:cNvPicPr>
                  </pic:nvPicPr>
                  <pic:blipFill>
                    <a:blip r:embed="rId35" cstate="email">
                      <a:extLst>
                        <a:ext uri="{28A0092B-C50C-407E-A947-70E740481C1C}">
                          <a14:useLocalDpi xmlns:a14="http://schemas.microsoft.com/office/drawing/2010/main" val="0"/>
                        </a:ext>
                      </a:extLst>
                    </a:blip>
                    <a:srcRect/>
                    <a:stretch>
                      <a:fillRect/>
                    </a:stretch>
                  </pic:blipFill>
                  <pic:spPr bwMode="auto">
                    <a:xfrm>
                      <a:off x="0" y="0"/>
                      <a:ext cx="8581270" cy="5724000"/>
                    </a:xfrm>
                    <a:prstGeom prst="rect">
                      <a:avLst/>
                    </a:prstGeom>
                    <a:noFill/>
                    <a:ln w="9525">
                      <a:noFill/>
                      <a:miter lim="800000"/>
                      <a:headEnd/>
                      <a:tailEnd/>
                    </a:ln>
                  </pic:spPr>
                </pic:pic>
              </a:graphicData>
            </a:graphic>
          </wp:inline>
        </w:drawing>
      </w:r>
    </w:p>
    <w:p w14:paraId="0D23B456" w14:textId="5E4F5418" w:rsidR="002343BB" w:rsidRPr="0068236B" w:rsidRDefault="002343BB" w:rsidP="002343BB">
      <w:pPr>
        <w:spacing w:after="60"/>
        <w:jc w:val="left"/>
        <w:rPr>
          <w:sz w:val="18"/>
          <w:szCs w:val="20"/>
        </w:rPr>
      </w:pPr>
      <w:bookmarkStart w:id="33" w:name="_Toc112928845"/>
      <w:r w:rsidRPr="0068236B">
        <w:rPr>
          <w:rFonts w:cs="Arial"/>
          <w:iCs/>
          <w:sz w:val="18"/>
          <w:szCs w:val="20"/>
        </w:rPr>
        <w:t xml:space="preserve">Figure </w:t>
      </w:r>
      <w:r w:rsidRPr="0068236B">
        <w:rPr>
          <w:rFonts w:cs="Arial"/>
          <w:iCs/>
          <w:sz w:val="18"/>
          <w:szCs w:val="20"/>
        </w:rPr>
        <w:fldChar w:fldCharType="begin"/>
      </w:r>
      <w:r w:rsidRPr="0068236B">
        <w:rPr>
          <w:rFonts w:cs="Arial"/>
          <w:iCs/>
          <w:sz w:val="18"/>
          <w:szCs w:val="20"/>
        </w:rPr>
        <w:instrText xml:space="preserve"> STYLEREF 1 \s </w:instrText>
      </w:r>
      <w:r w:rsidRPr="0068236B">
        <w:rPr>
          <w:rFonts w:cs="Arial"/>
          <w:iCs/>
          <w:sz w:val="18"/>
          <w:szCs w:val="20"/>
        </w:rPr>
        <w:fldChar w:fldCharType="separate"/>
      </w:r>
      <w:r w:rsidR="00234EBE" w:rsidRPr="0068236B">
        <w:rPr>
          <w:rFonts w:cs="Arial"/>
          <w:iCs/>
          <w:noProof/>
          <w:sz w:val="18"/>
          <w:szCs w:val="20"/>
        </w:rPr>
        <w:t>1</w:t>
      </w:r>
      <w:r w:rsidRPr="0068236B">
        <w:rPr>
          <w:rFonts w:cs="Arial"/>
          <w:iCs/>
          <w:sz w:val="18"/>
          <w:szCs w:val="20"/>
        </w:rPr>
        <w:fldChar w:fldCharType="end"/>
      </w:r>
      <w:r w:rsidRPr="0068236B">
        <w:rPr>
          <w:rFonts w:cs="Arial"/>
          <w:iCs/>
          <w:sz w:val="18"/>
          <w:szCs w:val="20"/>
        </w:rPr>
        <w:t>.</w:t>
      </w:r>
      <w:r w:rsidRPr="0068236B">
        <w:rPr>
          <w:rFonts w:cs="Arial"/>
          <w:iCs/>
          <w:sz w:val="18"/>
          <w:szCs w:val="20"/>
        </w:rPr>
        <w:fldChar w:fldCharType="begin"/>
      </w:r>
      <w:r w:rsidRPr="0068236B">
        <w:rPr>
          <w:rFonts w:cs="Arial"/>
          <w:iCs/>
          <w:sz w:val="18"/>
          <w:szCs w:val="20"/>
        </w:rPr>
        <w:instrText xml:space="preserve"> SEQ Figure \* ARABIC \s 1 </w:instrText>
      </w:r>
      <w:r w:rsidRPr="0068236B">
        <w:rPr>
          <w:rFonts w:cs="Arial"/>
          <w:iCs/>
          <w:sz w:val="18"/>
          <w:szCs w:val="20"/>
        </w:rPr>
        <w:fldChar w:fldCharType="separate"/>
      </w:r>
      <w:r w:rsidR="00234EBE" w:rsidRPr="0068236B">
        <w:rPr>
          <w:rFonts w:cs="Arial"/>
          <w:iCs/>
          <w:noProof/>
          <w:sz w:val="18"/>
          <w:szCs w:val="20"/>
        </w:rPr>
        <w:t>7</w:t>
      </w:r>
      <w:r w:rsidRPr="0068236B">
        <w:rPr>
          <w:rFonts w:cs="Arial"/>
          <w:iCs/>
          <w:sz w:val="18"/>
          <w:szCs w:val="20"/>
        </w:rPr>
        <w:fldChar w:fldCharType="end"/>
      </w:r>
      <w:r w:rsidRPr="0068236B">
        <w:rPr>
          <w:sz w:val="18"/>
          <w:szCs w:val="20"/>
        </w:rPr>
        <w:t>: Project options and alternatives within Project options</w:t>
      </w:r>
      <w:bookmarkEnd w:id="33"/>
    </w:p>
    <w:p w14:paraId="3D980C7C" w14:textId="77777777" w:rsidR="002343BB" w:rsidRPr="0068236B" w:rsidRDefault="002343BB" w:rsidP="002343BB">
      <w:pPr>
        <w:pStyle w:val="NumberedParagraph"/>
        <w:rPr>
          <w:sz w:val="20"/>
        </w:rPr>
        <w:sectPr w:rsidR="002343BB" w:rsidRPr="0068236B" w:rsidSect="006C67E2">
          <w:pgSz w:w="16840" w:h="11907" w:orient="landscape" w:code="9"/>
          <w:pgMar w:top="1134" w:right="1134" w:bottom="1134" w:left="1077" w:header="397" w:footer="397" w:gutter="0"/>
          <w:cols w:space="708"/>
          <w:docGrid w:linePitch="360"/>
        </w:sectPr>
      </w:pPr>
    </w:p>
    <w:p w14:paraId="52E0CF5C" w14:textId="604FB7C0" w:rsidR="0016454E" w:rsidRPr="0068236B" w:rsidRDefault="0016454E" w:rsidP="005C1605">
      <w:pPr>
        <w:pStyle w:val="Heading3"/>
      </w:pPr>
      <w:bookmarkStart w:id="34" w:name="_Toc112852192"/>
      <w:r w:rsidRPr="0068236B">
        <w:lastRenderedPageBreak/>
        <w:t>Description of the Options</w:t>
      </w:r>
      <w:bookmarkEnd w:id="34"/>
      <w:r w:rsidRPr="0068236B">
        <w:t xml:space="preserve"> </w:t>
      </w:r>
    </w:p>
    <w:p w14:paraId="5D6AF4F4" w14:textId="77777777" w:rsidR="009F09B6" w:rsidRPr="0068236B" w:rsidRDefault="009F09B6" w:rsidP="008E77D3">
      <w:pPr>
        <w:pStyle w:val="ListParagraph"/>
        <w:numPr>
          <w:ilvl w:val="0"/>
          <w:numId w:val="46"/>
        </w:numPr>
        <w:rPr>
          <w:rFonts w:cs="Tahoma"/>
          <w:sz w:val="20"/>
        </w:rPr>
      </w:pPr>
      <w:r w:rsidRPr="0068236B">
        <w:rPr>
          <w:rFonts w:cs="Tahoma"/>
          <w:sz w:val="20"/>
        </w:rPr>
        <w:t xml:space="preserve">Project Option 1 – </w:t>
      </w:r>
      <w:r w:rsidRPr="0068236B">
        <w:rPr>
          <w:sz w:val="20"/>
        </w:rPr>
        <w:t>Double-circuit 110 kV OHL Dubrovo – Valandovo (Figure below)</w:t>
      </w:r>
    </w:p>
    <w:p w14:paraId="6B441140" w14:textId="77777777" w:rsidR="009F09B6" w:rsidRPr="0068236B" w:rsidRDefault="009F09B6" w:rsidP="009F09B6">
      <w:pPr>
        <w:rPr>
          <w:rFonts w:cs="Tahoma"/>
          <w:sz w:val="20"/>
        </w:rPr>
      </w:pPr>
      <w:r w:rsidRPr="0068236B">
        <w:rPr>
          <w:rFonts w:cs="Tahoma"/>
          <w:sz w:val="20"/>
        </w:rPr>
        <w:t>Due to the high-level environmental constraints identified in the Project region (see Annex 2), two routing alternative corridors of the 2x110 kV OHL alignment were identified and assessed for this Project option (Figure below):</w:t>
      </w:r>
    </w:p>
    <w:p w14:paraId="2D56B192" w14:textId="68EF558B" w:rsidR="009F09B6" w:rsidRPr="0068236B" w:rsidRDefault="009F09B6" w:rsidP="009F09B6">
      <w:pPr>
        <w:pStyle w:val="ListBullet"/>
        <w:spacing w:before="120" w:after="120"/>
        <w:rPr>
          <w:sz w:val="20"/>
        </w:rPr>
      </w:pPr>
      <w:r w:rsidRPr="0068236B">
        <w:rPr>
          <w:rFonts w:eastAsia="Calibri"/>
          <w:sz w:val="20"/>
        </w:rPr>
        <w:t xml:space="preserve">Alternative 1 – Southern Corridor. </w:t>
      </w:r>
      <w:r w:rsidRPr="0068236B">
        <w:rPr>
          <w:rFonts w:cs="Tahoma"/>
          <w:sz w:val="20"/>
        </w:rPr>
        <w:t xml:space="preserve">This corridor is generally routed in parallel with the existing 110 kV OHL Dubrovo- Valandovo, at relative distance of approx. 500 m from its </w:t>
      </w:r>
      <w:r w:rsidR="005E6643" w:rsidRPr="0068236B">
        <w:rPr>
          <w:rFonts w:cs="Tahoma"/>
          <w:sz w:val="20"/>
        </w:rPr>
        <w:t>centreline</w:t>
      </w:r>
      <w:r w:rsidRPr="0068236B">
        <w:rPr>
          <w:rFonts w:cs="Tahoma"/>
          <w:sz w:val="20"/>
        </w:rPr>
        <w:t>, with one particular deviation aiming to minimise the crossing section with the proposed protected area Demir Kapija Gorge</w:t>
      </w:r>
      <w:r w:rsidRPr="0068236B">
        <w:rPr>
          <w:rStyle w:val="FootnoteReference"/>
          <w:rFonts w:cs="Tahoma"/>
          <w:sz w:val="20"/>
        </w:rPr>
        <w:footnoteReference w:id="16"/>
      </w:r>
      <w:r w:rsidRPr="0068236B">
        <w:rPr>
          <w:rFonts w:cs="Tahoma"/>
          <w:sz w:val="20"/>
        </w:rPr>
        <w:t>. The corridor is with an approximate length 41 km.</w:t>
      </w:r>
    </w:p>
    <w:p w14:paraId="71E7087A" w14:textId="77777777" w:rsidR="009F09B6" w:rsidRPr="0068236B" w:rsidRDefault="009F09B6" w:rsidP="009F09B6">
      <w:pPr>
        <w:pStyle w:val="ListBullet"/>
        <w:jc w:val="left"/>
        <w:rPr>
          <w:sz w:val="20"/>
        </w:rPr>
      </w:pPr>
      <w:r w:rsidRPr="0068236B">
        <w:rPr>
          <w:rFonts w:eastAsia="Calibri"/>
          <w:sz w:val="20"/>
        </w:rPr>
        <w:t xml:space="preserve">Alternative 2 – Northern Corridor. </w:t>
      </w:r>
      <w:r w:rsidRPr="0068236B">
        <w:rPr>
          <w:rFonts w:cs="Tahoma"/>
          <w:sz w:val="20"/>
        </w:rPr>
        <w:t>From its starting point – SS Dubrovo – for approx. 9 km, this alternative corridor is routed in parallel with the 400 kV OHL SS Dubrovo – SS Stip at relative distance of approx. 500 m. From this point, the alignment turns to the east to hilly and mou</w:t>
      </w:r>
      <w:r w:rsidRPr="0068236B">
        <w:rPr>
          <w:rFonts w:cs="Tahoma"/>
          <w:sz w:val="20"/>
        </w:rPr>
        <w:t>n</w:t>
      </w:r>
      <w:r w:rsidRPr="0068236B">
        <w:rPr>
          <w:rFonts w:cs="Tahoma"/>
          <w:sz w:val="20"/>
        </w:rPr>
        <w:t xml:space="preserve">tainous terrain until it reaches the highest point of around 1,000 m a.s.l and then it descends towards the ending point – existing SS Valandovo. The corridor is with an approximate length of 55 km, 14 km longer than the Southern Corridor. </w:t>
      </w:r>
    </w:p>
    <w:p w14:paraId="473D1360" w14:textId="77777777" w:rsidR="009F09B6" w:rsidRPr="0068236B" w:rsidRDefault="009F09B6" w:rsidP="009F09B6">
      <w:pPr>
        <w:spacing w:line="240" w:lineRule="auto"/>
        <w:jc w:val="left"/>
        <w:rPr>
          <w:rFonts w:cs="Tahoma"/>
          <w:sz w:val="20"/>
        </w:rPr>
      </w:pPr>
      <w:r w:rsidRPr="0068236B">
        <w:rPr>
          <w:rFonts w:cs="Tahoma"/>
          <w:noProof/>
          <w:sz w:val="20"/>
          <w:lang w:val="mk-MK" w:eastAsia="mk-MK"/>
        </w:rPr>
        <w:drawing>
          <wp:inline distT="0" distB="0" distL="0" distR="0" wp14:anchorId="13330D79" wp14:editId="2898957A">
            <wp:extent cx="6120765" cy="3537119"/>
            <wp:effectExtent l="19050" t="0" r="0" b="0"/>
            <wp:docPr id="32"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36" cstate="email">
                      <a:extLst>
                        <a:ext uri="{28A0092B-C50C-407E-A947-70E740481C1C}">
                          <a14:useLocalDpi xmlns:a14="http://schemas.microsoft.com/office/drawing/2010/main" val="0"/>
                        </a:ext>
                      </a:extLst>
                    </a:blip>
                    <a:srcRect/>
                    <a:stretch>
                      <a:fillRect/>
                    </a:stretch>
                  </pic:blipFill>
                  <pic:spPr bwMode="auto">
                    <a:xfrm>
                      <a:off x="0" y="0"/>
                      <a:ext cx="6120765" cy="3537119"/>
                    </a:xfrm>
                    <a:prstGeom prst="rect">
                      <a:avLst/>
                    </a:prstGeom>
                    <a:noFill/>
                    <a:ln>
                      <a:noFill/>
                    </a:ln>
                  </pic:spPr>
                </pic:pic>
              </a:graphicData>
            </a:graphic>
          </wp:inline>
        </w:drawing>
      </w:r>
    </w:p>
    <w:p w14:paraId="0D1D28AA" w14:textId="77777777" w:rsidR="009F09B6" w:rsidRPr="0068236B" w:rsidRDefault="009F09B6" w:rsidP="009F09B6">
      <w:pPr>
        <w:spacing w:after="60"/>
        <w:jc w:val="left"/>
        <w:rPr>
          <w:sz w:val="18"/>
          <w:szCs w:val="20"/>
        </w:rPr>
      </w:pPr>
      <w:bookmarkStart w:id="35" w:name="_Toc112928846"/>
      <w:r w:rsidRPr="0068236B">
        <w:rPr>
          <w:rFonts w:cs="Arial"/>
          <w:iCs/>
          <w:sz w:val="18"/>
          <w:szCs w:val="20"/>
        </w:rPr>
        <w:t xml:space="preserve">Figure </w:t>
      </w:r>
      <w:r w:rsidRPr="0068236B">
        <w:rPr>
          <w:rFonts w:cs="Arial"/>
          <w:iCs/>
          <w:sz w:val="18"/>
          <w:szCs w:val="20"/>
        </w:rPr>
        <w:fldChar w:fldCharType="begin"/>
      </w:r>
      <w:r w:rsidRPr="0068236B">
        <w:rPr>
          <w:rFonts w:cs="Arial"/>
          <w:iCs/>
          <w:sz w:val="18"/>
          <w:szCs w:val="20"/>
        </w:rPr>
        <w:instrText xml:space="preserve"> STYLEREF 1 \s </w:instrText>
      </w:r>
      <w:r w:rsidRPr="0068236B">
        <w:rPr>
          <w:rFonts w:cs="Arial"/>
          <w:iCs/>
          <w:sz w:val="18"/>
          <w:szCs w:val="20"/>
        </w:rPr>
        <w:fldChar w:fldCharType="separate"/>
      </w:r>
      <w:r w:rsidR="00234EBE" w:rsidRPr="0068236B">
        <w:rPr>
          <w:rFonts w:cs="Arial"/>
          <w:iCs/>
          <w:noProof/>
          <w:sz w:val="18"/>
          <w:szCs w:val="20"/>
        </w:rPr>
        <w:t>1</w:t>
      </w:r>
      <w:r w:rsidRPr="0068236B">
        <w:rPr>
          <w:rFonts w:cs="Arial"/>
          <w:iCs/>
          <w:sz w:val="18"/>
          <w:szCs w:val="20"/>
        </w:rPr>
        <w:fldChar w:fldCharType="end"/>
      </w:r>
      <w:r w:rsidRPr="0068236B">
        <w:rPr>
          <w:rFonts w:cs="Arial"/>
          <w:iCs/>
          <w:sz w:val="18"/>
          <w:szCs w:val="20"/>
        </w:rPr>
        <w:t>.</w:t>
      </w:r>
      <w:r w:rsidRPr="0068236B">
        <w:rPr>
          <w:rFonts w:cs="Arial"/>
          <w:iCs/>
          <w:sz w:val="18"/>
          <w:szCs w:val="20"/>
        </w:rPr>
        <w:fldChar w:fldCharType="begin"/>
      </w:r>
      <w:r w:rsidRPr="0068236B">
        <w:rPr>
          <w:rFonts w:cs="Arial"/>
          <w:iCs/>
          <w:sz w:val="18"/>
          <w:szCs w:val="20"/>
        </w:rPr>
        <w:instrText xml:space="preserve"> SEQ Figure \* ARABIC \s 1 </w:instrText>
      </w:r>
      <w:r w:rsidRPr="0068236B">
        <w:rPr>
          <w:rFonts w:cs="Arial"/>
          <w:iCs/>
          <w:sz w:val="18"/>
          <w:szCs w:val="20"/>
        </w:rPr>
        <w:fldChar w:fldCharType="separate"/>
      </w:r>
      <w:r w:rsidR="00234EBE" w:rsidRPr="0068236B">
        <w:rPr>
          <w:rFonts w:cs="Arial"/>
          <w:iCs/>
          <w:noProof/>
          <w:sz w:val="18"/>
          <w:szCs w:val="20"/>
        </w:rPr>
        <w:t>8</w:t>
      </w:r>
      <w:r w:rsidRPr="0068236B">
        <w:rPr>
          <w:rFonts w:cs="Arial"/>
          <w:iCs/>
          <w:sz w:val="18"/>
          <w:szCs w:val="20"/>
        </w:rPr>
        <w:fldChar w:fldCharType="end"/>
      </w:r>
      <w:r w:rsidRPr="0068236B">
        <w:rPr>
          <w:sz w:val="18"/>
          <w:szCs w:val="20"/>
        </w:rPr>
        <w:t>: Project Option 1 – Double circuit 110 kV OHL Dubrovo – Valandovo, alternative corridors</w:t>
      </w:r>
      <w:bookmarkEnd w:id="35"/>
    </w:p>
    <w:p w14:paraId="32ADAC9E" w14:textId="77777777" w:rsidR="009F09B6" w:rsidRPr="0068236B" w:rsidRDefault="009F09B6" w:rsidP="009F09B6">
      <w:pPr>
        <w:spacing w:before="60" w:after="240"/>
        <w:jc w:val="left"/>
        <w:rPr>
          <w:sz w:val="16"/>
          <w:szCs w:val="18"/>
        </w:rPr>
      </w:pPr>
      <w:r w:rsidRPr="0068236B">
        <w:rPr>
          <w:sz w:val="16"/>
          <w:szCs w:val="18"/>
        </w:rPr>
        <w:t xml:space="preserve">Source: </w:t>
      </w:r>
      <w:r w:rsidRPr="0068236B">
        <w:rPr>
          <w:rFonts w:cs="Tahoma"/>
          <w:sz w:val="16"/>
          <w:szCs w:val="18"/>
        </w:rPr>
        <w:t>WB21-MKD-ENE-03 North Macedonia, Strengthening the Transmission Network in the Southeast Region of North Macedonia - Component 1; Selection of the preferred Option, September 2021 [Ref.4]</w:t>
      </w:r>
    </w:p>
    <w:p w14:paraId="4BC3FF57" w14:textId="77777777" w:rsidR="009F09B6" w:rsidRPr="0068236B" w:rsidRDefault="009F09B6" w:rsidP="009F09B6">
      <w:pPr>
        <w:rPr>
          <w:rFonts w:cs="Tahoma"/>
          <w:sz w:val="20"/>
        </w:rPr>
      </w:pPr>
      <w:r w:rsidRPr="0068236B">
        <w:rPr>
          <w:rFonts w:cs="Tahoma"/>
          <w:sz w:val="20"/>
        </w:rPr>
        <w:t>This option also includes extension of the SS Dubrovo and SS Valandovo to accommodate the proposed new 2x110 kV line. In SS Dubrovo a new power transformer with respective new bays would be required. An extension of the existing SS Valandovo with new bays would be required to accommodate the connection with new renewable energy sources planned in the Project region.</w:t>
      </w:r>
    </w:p>
    <w:p w14:paraId="3927938F" w14:textId="1F6FDF33" w:rsidR="009F09B6" w:rsidRPr="0068236B" w:rsidRDefault="009F09B6" w:rsidP="008E77D3">
      <w:pPr>
        <w:pStyle w:val="ListParagraph"/>
        <w:numPr>
          <w:ilvl w:val="0"/>
          <w:numId w:val="46"/>
        </w:numPr>
        <w:rPr>
          <w:sz w:val="20"/>
        </w:rPr>
      </w:pPr>
      <w:r w:rsidRPr="0068236B">
        <w:rPr>
          <w:rFonts w:cs="Tahoma"/>
          <w:sz w:val="20"/>
        </w:rPr>
        <w:lastRenderedPageBreak/>
        <w:t xml:space="preserve">Project Option 2 - </w:t>
      </w:r>
      <w:r w:rsidRPr="0068236B">
        <w:rPr>
          <w:sz w:val="20"/>
        </w:rPr>
        <w:t>New 40</w:t>
      </w:r>
      <w:r w:rsidR="00FF10C4" w:rsidRPr="0068236B">
        <w:rPr>
          <w:sz w:val="20"/>
        </w:rPr>
        <w:t xml:space="preserve">0/110 kV substation </w:t>
      </w:r>
      <w:r w:rsidRPr="0068236B">
        <w:rPr>
          <w:sz w:val="20"/>
        </w:rPr>
        <w:t>and lead in-out of existing 400 kV OHL</w:t>
      </w:r>
      <w:r w:rsidRPr="0068236B">
        <w:rPr>
          <w:rFonts w:cs="Tahoma"/>
          <w:sz w:val="20"/>
        </w:rPr>
        <w:t xml:space="preserve"> Dubrovo – Thessalonica (GR) (Figure below)</w:t>
      </w:r>
    </w:p>
    <w:p w14:paraId="3E549E74" w14:textId="77777777" w:rsidR="009F09B6" w:rsidRPr="0068236B" w:rsidRDefault="009F09B6" w:rsidP="009F09B6">
      <w:pPr>
        <w:rPr>
          <w:sz w:val="20"/>
        </w:rPr>
      </w:pPr>
      <w:r w:rsidRPr="0068236B">
        <w:rPr>
          <w:sz w:val="20"/>
        </w:rPr>
        <w:t>This option includes two alternatives of the location of the proposed new 400/110 kV substation, resulting in different layout of the OHL connectors:</w:t>
      </w:r>
    </w:p>
    <w:p w14:paraId="4F4FA93F" w14:textId="73761ECE" w:rsidR="009F09B6" w:rsidRPr="0068236B" w:rsidRDefault="009F09B6" w:rsidP="009F09B6">
      <w:pPr>
        <w:pStyle w:val="ListBullet"/>
        <w:spacing w:before="120" w:after="120"/>
        <w:jc w:val="left"/>
        <w:rPr>
          <w:sz w:val="20"/>
        </w:rPr>
      </w:pPr>
      <w:r w:rsidRPr="0068236B">
        <w:rPr>
          <w:rFonts w:eastAsia="Calibri"/>
          <w:sz w:val="20"/>
        </w:rPr>
        <w:t>Alternative 1 – Location 1</w:t>
      </w:r>
      <w:r w:rsidR="00FF10C4" w:rsidRPr="0068236B">
        <w:rPr>
          <w:rFonts w:eastAsia="Calibri"/>
          <w:sz w:val="20"/>
        </w:rPr>
        <w:t xml:space="preserve"> (Valandovo)</w:t>
      </w:r>
      <w:r w:rsidRPr="0068236B">
        <w:rPr>
          <w:rFonts w:eastAsia="Calibri"/>
          <w:sz w:val="20"/>
        </w:rPr>
        <w:t xml:space="preserve"> </w:t>
      </w:r>
      <w:r w:rsidRPr="0068236B">
        <w:rPr>
          <w:rFonts w:eastAsia="Calibri" w:cs="Tahoma"/>
          <w:sz w:val="20"/>
          <w:szCs w:val="24"/>
        </w:rPr>
        <w:t>- adjacent to existing 110/35/10 kV SS Valandovo</w:t>
      </w:r>
    </w:p>
    <w:p w14:paraId="3E1CBF50" w14:textId="77777777" w:rsidR="009F09B6" w:rsidRPr="0068236B" w:rsidRDefault="009F09B6" w:rsidP="009F09B6">
      <w:pPr>
        <w:rPr>
          <w:sz w:val="20"/>
        </w:rPr>
      </w:pPr>
      <w:r w:rsidRPr="0068236B">
        <w:rPr>
          <w:rFonts w:cs="Arial"/>
          <w:sz w:val="20"/>
          <w:szCs w:val="20"/>
        </w:rPr>
        <w:t xml:space="preserve">The alternative location 1 for the proposed 400/110 kV substation, </w:t>
      </w:r>
      <w:r w:rsidRPr="0068236B">
        <w:rPr>
          <w:rFonts w:cs="Tahoma"/>
          <w:sz w:val="20"/>
          <w:szCs w:val="20"/>
        </w:rPr>
        <w:t>located on the territory of the municipal</w:t>
      </w:r>
      <w:r w:rsidRPr="0068236B">
        <w:rPr>
          <w:rFonts w:cs="Tahoma"/>
          <w:sz w:val="20"/>
          <w:szCs w:val="20"/>
        </w:rPr>
        <w:t>i</w:t>
      </w:r>
      <w:r w:rsidRPr="0068236B">
        <w:rPr>
          <w:rFonts w:cs="Tahoma"/>
          <w:sz w:val="20"/>
          <w:szCs w:val="20"/>
        </w:rPr>
        <w:t xml:space="preserve">ty of Valandovo, </w:t>
      </w:r>
      <w:r w:rsidRPr="0068236B">
        <w:rPr>
          <w:rFonts w:cs="Arial"/>
          <w:sz w:val="20"/>
          <w:szCs w:val="20"/>
        </w:rPr>
        <w:t>is adjacent to the existing SS Valandovo.</w:t>
      </w:r>
      <w:r w:rsidRPr="0068236B">
        <w:rPr>
          <w:rFonts w:cs="Tahoma"/>
          <w:sz w:val="20"/>
          <w:szCs w:val="20"/>
        </w:rPr>
        <w:t xml:space="preserve"> </w:t>
      </w:r>
      <w:r w:rsidRPr="0068236B">
        <w:rPr>
          <w:rFonts w:cs="Arial"/>
          <w:iCs/>
          <w:sz w:val="20"/>
        </w:rPr>
        <w:t xml:space="preserve">The new substation would include construction of 400 kV and 110 kV switchyards with necessary bays and equipment to support the foreseen operation of the facility. </w:t>
      </w:r>
      <w:r w:rsidRPr="0068236B">
        <w:rPr>
          <w:rFonts w:cs="Tahoma"/>
          <w:sz w:val="20"/>
        </w:rPr>
        <w:t xml:space="preserve">This alternative also includes a new approx. 7.8 km long 400 kV line - </w:t>
      </w:r>
      <w:r w:rsidRPr="0068236B">
        <w:rPr>
          <w:sz w:val="20"/>
        </w:rPr>
        <w:t>in-out connection of the pr</w:t>
      </w:r>
      <w:r w:rsidRPr="0068236B">
        <w:rPr>
          <w:sz w:val="20"/>
        </w:rPr>
        <w:t>o</w:t>
      </w:r>
      <w:r w:rsidRPr="0068236B">
        <w:rPr>
          <w:sz w:val="20"/>
        </w:rPr>
        <w:t xml:space="preserve">posed substation with the </w:t>
      </w:r>
      <w:r w:rsidRPr="0068236B">
        <w:rPr>
          <w:sz w:val="20"/>
          <w:szCs w:val="24"/>
        </w:rPr>
        <w:t>existing 400 kV OHL Dubrovo – Thessalonica (GR)</w:t>
      </w:r>
      <w:r w:rsidRPr="0068236B">
        <w:rPr>
          <w:sz w:val="20"/>
        </w:rPr>
        <w:t>. From its starting point - the new SS 400/110 kV Valandovo – the corridor of these lines is routed in the south – southwest direction, avoiding the settlements in the area (villages Brajkovci, Balinci and Marvinci) and connecting to the existing 400 kV OHL in proximity to the village Grchiste.</w:t>
      </w:r>
    </w:p>
    <w:p w14:paraId="6FE42957" w14:textId="77777777" w:rsidR="009F09B6" w:rsidRPr="0068236B" w:rsidRDefault="009F09B6" w:rsidP="009F09B6">
      <w:pPr>
        <w:rPr>
          <w:rFonts w:cs="Tahoma"/>
          <w:sz w:val="20"/>
        </w:rPr>
      </w:pPr>
      <w:r w:rsidRPr="0068236B">
        <w:rPr>
          <w:noProof/>
          <w:sz w:val="20"/>
          <w:lang w:val="mk-MK" w:eastAsia="mk-MK"/>
        </w:rPr>
        <w:drawing>
          <wp:inline distT="0" distB="0" distL="0" distR="0" wp14:anchorId="00AB3DD8" wp14:editId="447036C0">
            <wp:extent cx="6120765" cy="3871025"/>
            <wp:effectExtent l="19050" t="0" r="0" b="0"/>
            <wp:docPr id="34"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37" cstate="email">
                      <a:extLst>
                        <a:ext uri="{28A0092B-C50C-407E-A947-70E740481C1C}">
                          <a14:useLocalDpi xmlns:a14="http://schemas.microsoft.com/office/drawing/2010/main" val="0"/>
                        </a:ext>
                      </a:extLst>
                    </a:blip>
                    <a:srcRect/>
                    <a:stretch>
                      <a:fillRect/>
                    </a:stretch>
                  </pic:blipFill>
                  <pic:spPr bwMode="auto">
                    <a:xfrm>
                      <a:off x="0" y="0"/>
                      <a:ext cx="6120765" cy="3871025"/>
                    </a:xfrm>
                    <a:prstGeom prst="rect">
                      <a:avLst/>
                    </a:prstGeom>
                    <a:noFill/>
                    <a:ln>
                      <a:noFill/>
                    </a:ln>
                  </pic:spPr>
                </pic:pic>
              </a:graphicData>
            </a:graphic>
          </wp:inline>
        </w:drawing>
      </w:r>
    </w:p>
    <w:p w14:paraId="1F12E12C" w14:textId="77777777" w:rsidR="009F09B6" w:rsidRPr="0068236B" w:rsidRDefault="009F09B6" w:rsidP="009F09B6">
      <w:pPr>
        <w:spacing w:after="60"/>
        <w:jc w:val="left"/>
        <w:rPr>
          <w:sz w:val="18"/>
          <w:szCs w:val="20"/>
        </w:rPr>
      </w:pPr>
      <w:bookmarkStart w:id="36" w:name="_Toc112928847"/>
      <w:r w:rsidRPr="0068236B">
        <w:rPr>
          <w:rFonts w:cs="Arial"/>
          <w:iCs/>
          <w:sz w:val="18"/>
          <w:szCs w:val="20"/>
        </w:rPr>
        <w:t xml:space="preserve">Figure </w:t>
      </w:r>
      <w:r w:rsidRPr="0068236B">
        <w:rPr>
          <w:rFonts w:cs="Arial"/>
          <w:iCs/>
          <w:sz w:val="18"/>
          <w:szCs w:val="20"/>
        </w:rPr>
        <w:fldChar w:fldCharType="begin"/>
      </w:r>
      <w:r w:rsidRPr="0068236B">
        <w:rPr>
          <w:rFonts w:cs="Arial"/>
          <w:iCs/>
          <w:sz w:val="18"/>
          <w:szCs w:val="20"/>
        </w:rPr>
        <w:instrText xml:space="preserve"> STYLEREF 1 \s </w:instrText>
      </w:r>
      <w:r w:rsidRPr="0068236B">
        <w:rPr>
          <w:rFonts w:cs="Arial"/>
          <w:iCs/>
          <w:sz w:val="18"/>
          <w:szCs w:val="20"/>
        </w:rPr>
        <w:fldChar w:fldCharType="separate"/>
      </w:r>
      <w:r w:rsidR="00234EBE" w:rsidRPr="0068236B">
        <w:rPr>
          <w:rFonts w:cs="Arial"/>
          <w:iCs/>
          <w:noProof/>
          <w:sz w:val="18"/>
          <w:szCs w:val="20"/>
        </w:rPr>
        <w:t>1</w:t>
      </w:r>
      <w:r w:rsidRPr="0068236B">
        <w:rPr>
          <w:rFonts w:cs="Arial"/>
          <w:iCs/>
          <w:sz w:val="18"/>
          <w:szCs w:val="20"/>
        </w:rPr>
        <w:fldChar w:fldCharType="end"/>
      </w:r>
      <w:r w:rsidRPr="0068236B">
        <w:rPr>
          <w:rFonts w:cs="Arial"/>
          <w:iCs/>
          <w:sz w:val="18"/>
          <w:szCs w:val="20"/>
        </w:rPr>
        <w:t>.</w:t>
      </w:r>
      <w:r w:rsidRPr="0068236B">
        <w:rPr>
          <w:rFonts w:cs="Arial"/>
          <w:iCs/>
          <w:sz w:val="18"/>
          <w:szCs w:val="20"/>
        </w:rPr>
        <w:fldChar w:fldCharType="begin"/>
      </w:r>
      <w:r w:rsidRPr="0068236B">
        <w:rPr>
          <w:rFonts w:cs="Arial"/>
          <w:iCs/>
          <w:sz w:val="18"/>
          <w:szCs w:val="20"/>
        </w:rPr>
        <w:instrText xml:space="preserve"> SEQ Figure \* ARABIC \s 1 </w:instrText>
      </w:r>
      <w:r w:rsidRPr="0068236B">
        <w:rPr>
          <w:rFonts w:cs="Arial"/>
          <w:iCs/>
          <w:sz w:val="18"/>
          <w:szCs w:val="20"/>
        </w:rPr>
        <w:fldChar w:fldCharType="separate"/>
      </w:r>
      <w:r w:rsidR="00234EBE" w:rsidRPr="0068236B">
        <w:rPr>
          <w:rFonts w:cs="Arial"/>
          <w:iCs/>
          <w:noProof/>
          <w:sz w:val="18"/>
          <w:szCs w:val="20"/>
        </w:rPr>
        <w:t>9</w:t>
      </w:r>
      <w:r w:rsidRPr="0068236B">
        <w:rPr>
          <w:rFonts w:cs="Arial"/>
          <w:iCs/>
          <w:sz w:val="18"/>
          <w:szCs w:val="20"/>
        </w:rPr>
        <w:fldChar w:fldCharType="end"/>
      </w:r>
      <w:r w:rsidRPr="0068236B">
        <w:rPr>
          <w:sz w:val="18"/>
          <w:szCs w:val="20"/>
        </w:rPr>
        <w:t>: Project Option 2 – New 400/110 kV SS Valandovo and lead in-out of existing 400 kV OHL</w:t>
      </w:r>
      <w:r w:rsidRPr="0068236B">
        <w:rPr>
          <w:rFonts w:cs="Tahoma"/>
          <w:sz w:val="18"/>
          <w:szCs w:val="20"/>
        </w:rPr>
        <w:t xml:space="preserve"> Dubrovo – Thess</w:t>
      </w:r>
      <w:r w:rsidRPr="0068236B">
        <w:rPr>
          <w:rFonts w:cs="Tahoma"/>
          <w:sz w:val="18"/>
          <w:szCs w:val="20"/>
        </w:rPr>
        <w:t>a</w:t>
      </w:r>
      <w:r w:rsidRPr="0068236B">
        <w:rPr>
          <w:rFonts w:cs="Tahoma"/>
          <w:sz w:val="18"/>
          <w:szCs w:val="20"/>
        </w:rPr>
        <w:t>lonica (GR)</w:t>
      </w:r>
      <w:r w:rsidRPr="0068236B">
        <w:rPr>
          <w:sz w:val="18"/>
          <w:szCs w:val="20"/>
        </w:rPr>
        <w:t>, Alternative 1</w:t>
      </w:r>
      <w:bookmarkEnd w:id="36"/>
      <w:r w:rsidRPr="0068236B">
        <w:rPr>
          <w:sz w:val="18"/>
          <w:szCs w:val="20"/>
        </w:rPr>
        <w:t xml:space="preserve"> </w:t>
      </w:r>
    </w:p>
    <w:p w14:paraId="3255247C" w14:textId="77777777" w:rsidR="009F09B6" w:rsidRPr="0068236B" w:rsidRDefault="009F09B6" w:rsidP="009F09B6">
      <w:pPr>
        <w:spacing w:before="60" w:after="240"/>
        <w:jc w:val="left"/>
        <w:rPr>
          <w:sz w:val="16"/>
          <w:szCs w:val="18"/>
        </w:rPr>
      </w:pPr>
      <w:r w:rsidRPr="0068236B">
        <w:rPr>
          <w:sz w:val="16"/>
          <w:szCs w:val="18"/>
        </w:rPr>
        <w:t xml:space="preserve">Source: </w:t>
      </w:r>
      <w:r w:rsidRPr="0068236B">
        <w:rPr>
          <w:rFonts w:cs="Tahoma"/>
          <w:sz w:val="16"/>
          <w:szCs w:val="18"/>
        </w:rPr>
        <w:t>WB21-MKD-ENE-03 North Macedonia, Strengthening the Transmission Network in the Southeast Region of North Macedonia - Component 1; Selection of the preferred Option, September 2021 [Ref.4]</w:t>
      </w:r>
    </w:p>
    <w:p w14:paraId="0765782D" w14:textId="50742DDF" w:rsidR="009F09B6" w:rsidRPr="0068236B" w:rsidRDefault="009F09B6" w:rsidP="009F09B6">
      <w:pPr>
        <w:pStyle w:val="ListBullet"/>
        <w:spacing w:before="120" w:after="120"/>
        <w:jc w:val="left"/>
        <w:rPr>
          <w:sz w:val="20"/>
        </w:rPr>
      </w:pPr>
      <w:r w:rsidRPr="0068236B">
        <w:rPr>
          <w:rFonts w:eastAsia="Calibri"/>
          <w:sz w:val="20"/>
        </w:rPr>
        <w:t xml:space="preserve">Alternative 2 – Location 2 </w:t>
      </w:r>
      <w:r w:rsidR="00FF10C4" w:rsidRPr="0068236B">
        <w:rPr>
          <w:rFonts w:eastAsia="Calibri"/>
          <w:sz w:val="20"/>
        </w:rPr>
        <w:t xml:space="preserve">(Miletkovo) </w:t>
      </w:r>
      <w:r w:rsidRPr="0068236B">
        <w:rPr>
          <w:rFonts w:eastAsia="Calibri" w:cs="Tahoma"/>
          <w:sz w:val="20"/>
          <w:szCs w:val="24"/>
        </w:rPr>
        <w:t xml:space="preserve">- in vicinity to existing </w:t>
      </w:r>
      <w:r w:rsidRPr="0068236B">
        <w:rPr>
          <w:rFonts w:cs="Tahoma"/>
          <w:sz w:val="20"/>
          <w:szCs w:val="24"/>
          <w:lang w:eastAsia="mk-MK"/>
        </w:rPr>
        <w:t>110/25 kV SS ‘EVP’ Miletkovo in proximity of the A1 highway</w:t>
      </w:r>
    </w:p>
    <w:p w14:paraId="5AC002A1" w14:textId="0922A798" w:rsidR="009F09B6" w:rsidRPr="0068236B" w:rsidRDefault="009F09B6" w:rsidP="009F09B6">
      <w:pPr>
        <w:rPr>
          <w:sz w:val="20"/>
        </w:rPr>
      </w:pPr>
      <w:r w:rsidRPr="0068236B">
        <w:rPr>
          <w:rFonts w:cs="Arial"/>
          <w:sz w:val="20"/>
          <w:szCs w:val="20"/>
        </w:rPr>
        <w:t xml:space="preserve">The alternative location 2 of the proposed 400/110 kV substation, </w:t>
      </w:r>
      <w:r w:rsidRPr="0068236B">
        <w:rPr>
          <w:sz w:val="20"/>
        </w:rPr>
        <w:t xml:space="preserve">located </w:t>
      </w:r>
      <w:r w:rsidR="00FF10C4" w:rsidRPr="0068236B">
        <w:rPr>
          <w:sz w:val="20"/>
        </w:rPr>
        <w:t xml:space="preserve">in the area of village Miletkovo, </w:t>
      </w:r>
      <w:r w:rsidRPr="0068236B">
        <w:rPr>
          <w:sz w:val="20"/>
        </w:rPr>
        <w:t>on the territory of the municipality of Gevgelija,</w:t>
      </w:r>
      <w:r w:rsidRPr="0068236B">
        <w:rPr>
          <w:rFonts w:cs="Arial"/>
          <w:sz w:val="20"/>
          <w:szCs w:val="20"/>
        </w:rPr>
        <w:t xml:space="preserve"> is in the vicinity of the 110/25 kV SS ‘EVP’ Miletkovo, right next to the A1 highway Demir Kapija Smokvica, at around 7.5 km from the existing SS Valandovo. T</w:t>
      </w:r>
      <w:r w:rsidRPr="0068236B">
        <w:rPr>
          <w:sz w:val="20"/>
        </w:rPr>
        <w:t xml:space="preserve">he existing 400 kV OHL </w:t>
      </w:r>
      <w:r w:rsidRPr="0068236B">
        <w:rPr>
          <w:sz w:val="20"/>
          <w:szCs w:val="24"/>
        </w:rPr>
        <w:t xml:space="preserve">Dubrovo – Thessalonica (GR), would be connected to the new substation via approx. 0.5 km long in-out connector. </w:t>
      </w:r>
    </w:p>
    <w:p w14:paraId="1331C1BE" w14:textId="4F345CFC" w:rsidR="009F09B6" w:rsidRPr="0068236B" w:rsidRDefault="00FF10C4" w:rsidP="009F09B6">
      <w:pPr>
        <w:rPr>
          <w:sz w:val="20"/>
        </w:rPr>
      </w:pPr>
      <w:r w:rsidRPr="0068236B">
        <w:rPr>
          <w:noProof/>
          <w:sz w:val="20"/>
          <w:lang w:val="mk-MK" w:eastAsia="mk-MK"/>
        </w:rPr>
        <w:lastRenderedPageBreak/>
        <mc:AlternateContent>
          <mc:Choice Requires="wps">
            <w:drawing>
              <wp:anchor distT="0" distB="0" distL="114300" distR="114300" simplePos="0" relativeHeight="251675657" behindDoc="0" locked="0" layoutInCell="1" allowOverlap="1" wp14:anchorId="26E02124" wp14:editId="0CBEC48A">
                <wp:simplePos x="0" y="0"/>
                <wp:positionH relativeFrom="column">
                  <wp:posOffset>3133090</wp:posOffset>
                </wp:positionH>
                <wp:positionV relativeFrom="paragraph">
                  <wp:posOffset>1883410</wp:posOffset>
                </wp:positionV>
                <wp:extent cx="1044000" cy="175260"/>
                <wp:effectExtent l="0" t="0" r="22860" b="15240"/>
                <wp:wrapNone/>
                <wp:docPr id="253" name="Text Box 253"/>
                <wp:cNvGraphicFramePr/>
                <a:graphic xmlns:a="http://schemas.openxmlformats.org/drawingml/2006/main">
                  <a:graphicData uri="http://schemas.microsoft.com/office/word/2010/wordprocessingShape">
                    <wps:wsp>
                      <wps:cNvSpPr txBox="1"/>
                      <wps:spPr>
                        <a:xfrm>
                          <a:off x="0" y="0"/>
                          <a:ext cx="1044000" cy="175260"/>
                        </a:xfrm>
                        <a:prstGeom prst="rect">
                          <a:avLst/>
                        </a:prstGeom>
                        <a:solidFill>
                          <a:schemeClr val="lt1"/>
                        </a:solidFill>
                        <a:ln w="63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6D5E0E4C" w14:textId="77777777" w:rsidR="00AB2D8F" w:rsidRPr="0002199E" w:rsidRDefault="00AB2D8F" w:rsidP="00FF10C4">
                            <w:pPr>
                              <w:spacing w:before="0" w:after="0" w:line="240" w:lineRule="auto"/>
                              <w:rPr>
                                <w:color w:val="FF0000"/>
                                <w:sz w:val="12"/>
                                <w:szCs w:val="12"/>
                                <w:lang w:val="en-US"/>
                              </w:rPr>
                            </w:pPr>
                            <w:r w:rsidRPr="0002199E">
                              <w:rPr>
                                <w:color w:val="FF0000"/>
                                <w:sz w:val="12"/>
                                <w:szCs w:val="12"/>
                                <w:lang w:val="en-US"/>
                              </w:rPr>
                              <w:t>New 400kV SS Miletkovo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3" o:spid="_x0000_s1035" type="#_x0000_t202" style="position:absolute;left:0;text-align:left;margin-left:246.7pt;margin-top:148.3pt;width:82.2pt;height:13.8pt;z-index:2516756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" fillcolor="white [3201]" strokecolor="red" strokeweight=".5pt">
                <v:textbox>
                  <w:txbxContent>
                    <w:p w14:paraId="6D5E0E4C" w14:textId="77777777" w:rsidR="00AB2D8F" w:rsidRPr="0002199E" w:rsidRDefault="00AB2D8F" w:rsidP="00FF10C4">
                      <w:pPr>
                        <w:spacing w:before="0" w:after="0" w:line="240" w:lineRule="auto"/>
                        <w:rPr>
                          <w:color w:val="FF0000"/>
                          <w:sz w:val="12"/>
                          <w:szCs w:val="12"/>
                          <w:lang w:val="en-US"/>
                        </w:rPr>
                      </w:pPr>
                      <w:r w:rsidRPr="0002199E">
                        <w:rPr>
                          <w:color w:val="FF0000"/>
                          <w:sz w:val="12"/>
                          <w:szCs w:val="12"/>
                          <w:lang w:val="en-US"/>
                        </w:rPr>
                        <w:t>New 400kV SS Miletkovo</w:t>
                      </w:r>
                    </w:p>
                  </w:txbxContent>
                </v:textbox>
              </v:shape>
            </w:pict>
          </mc:Fallback>
        </mc:AlternateContent>
      </w:r>
      <w:r w:rsidR="009F09B6" w:rsidRPr="0068236B">
        <w:rPr>
          <w:noProof/>
          <w:sz w:val="20"/>
          <w:lang w:val="mk-MK" w:eastAsia="mk-MK"/>
        </w:rPr>
        <w:drawing>
          <wp:inline distT="0" distB="0" distL="0" distR="0" wp14:anchorId="1FF12ED5" wp14:editId="029E6079">
            <wp:extent cx="6120765" cy="3529501"/>
            <wp:effectExtent l="19050" t="0" r="0" b="0"/>
            <wp:docPr id="35"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38" cstate="email">
                      <a:extLst>
                        <a:ext uri="{28A0092B-C50C-407E-A947-70E740481C1C}">
                          <a14:useLocalDpi xmlns:a14="http://schemas.microsoft.com/office/drawing/2010/main" val="0"/>
                        </a:ext>
                      </a:extLst>
                    </a:blip>
                    <a:srcRect/>
                    <a:stretch>
                      <a:fillRect/>
                    </a:stretch>
                  </pic:blipFill>
                  <pic:spPr bwMode="auto">
                    <a:xfrm>
                      <a:off x="0" y="0"/>
                      <a:ext cx="6120765" cy="3529501"/>
                    </a:xfrm>
                    <a:prstGeom prst="rect">
                      <a:avLst/>
                    </a:prstGeom>
                    <a:noFill/>
                    <a:ln>
                      <a:noFill/>
                    </a:ln>
                  </pic:spPr>
                </pic:pic>
              </a:graphicData>
            </a:graphic>
          </wp:inline>
        </w:drawing>
      </w:r>
    </w:p>
    <w:p w14:paraId="76E25509" w14:textId="58A764CB" w:rsidR="009F09B6" w:rsidRPr="0068236B" w:rsidRDefault="009F09B6" w:rsidP="009F09B6">
      <w:pPr>
        <w:spacing w:after="60"/>
        <w:jc w:val="left"/>
        <w:rPr>
          <w:sz w:val="18"/>
          <w:szCs w:val="20"/>
        </w:rPr>
      </w:pPr>
      <w:bookmarkStart w:id="37" w:name="_Toc112928848"/>
      <w:r w:rsidRPr="0068236B">
        <w:rPr>
          <w:rFonts w:cs="Arial"/>
          <w:iCs/>
          <w:sz w:val="18"/>
          <w:szCs w:val="20"/>
        </w:rPr>
        <w:t xml:space="preserve">Figure </w:t>
      </w:r>
      <w:r w:rsidRPr="0068236B">
        <w:rPr>
          <w:rFonts w:cs="Arial"/>
          <w:iCs/>
          <w:sz w:val="18"/>
          <w:szCs w:val="20"/>
        </w:rPr>
        <w:fldChar w:fldCharType="begin"/>
      </w:r>
      <w:r w:rsidRPr="0068236B">
        <w:rPr>
          <w:rFonts w:cs="Arial"/>
          <w:iCs/>
          <w:sz w:val="18"/>
          <w:szCs w:val="20"/>
        </w:rPr>
        <w:instrText xml:space="preserve"> STYLEREF 1 \s </w:instrText>
      </w:r>
      <w:r w:rsidRPr="0068236B">
        <w:rPr>
          <w:rFonts w:cs="Arial"/>
          <w:iCs/>
          <w:sz w:val="18"/>
          <w:szCs w:val="20"/>
        </w:rPr>
        <w:fldChar w:fldCharType="separate"/>
      </w:r>
      <w:r w:rsidR="00234EBE" w:rsidRPr="0068236B">
        <w:rPr>
          <w:rFonts w:cs="Arial"/>
          <w:iCs/>
          <w:noProof/>
          <w:sz w:val="18"/>
          <w:szCs w:val="20"/>
        </w:rPr>
        <w:t>1</w:t>
      </w:r>
      <w:r w:rsidRPr="0068236B">
        <w:rPr>
          <w:rFonts w:cs="Arial"/>
          <w:iCs/>
          <w:sz w:val="18"/>
          <w:szCs w:val="20"/>
        </w:rPr>
        <w:fldChar w:fldCharType="end"/>
      </w:r>
      <w:r w:rsidRPr="0068236B">
        <w:rPr>
          <w:rFonts w:cs="Arial"/>
          <w:iCs/>
          <w:sz w:val="18"/>
          <w:szCs w:val="20"/>
        </w:rPr>
        <w:t>.</w:t>
      </w:r>
      <w:r w:rsidRPr="0068236B">
        <w:rPr>
          <w:rFonts w:cs="Arial"/>
          <w:iCs/>
          <w:sz w:val="18"/>
          <w:szCs w:val="20"/>
        </w:rPr>
        <w:fldChar w:fldCharType="begin"/>
      </w:r>
      <w:r w:rsidRPr="0068236B">
        <w:rPr>
          <w:rFonts w:cs="Arial"/>
          <w:iCs/>
          <w:sz w:val="18"/>
          <w:szCs w:val="20"/>
        </w:rPr>
        <w:instrText xml:space="preserve"> SEQ Figure \* ARABIC \s 1 </w:instrText>
      </w:r>
      <w:r w:rsidRPr="0068236B">
        <w:rPr>
          <w:rFonts w:cs="Arial"/>
          <w:iCs/>
          <w:sz w:val="18"/>
          <w:szCs w:val="20"/>
        </w:rPr>
        <w:fldChar w:fldCharType="separate"/>
      </w:r>
      <w:r w:rsidR="00234EBE" w:rsidRPr="0068236B">
        <w:rPr>
          <w:rFonts w:cs="Arial"/>
          <w:iCs/>
          <w:noProof/>
          <w:sz w:val="18"/>
          <w:szCs w:val="20"/>
        </w:rPr>
        <w:t>10</w:t>
      </w:r>
      <w:r w:rsidRPr="0068236B">
        <w:rPr>
          <w:rFonts w:cs="Arial"/>
          <w:iCs/>
          <w:sz w:val="18"/>
          <w:szCs w:val="20"/>
        </w:rPr>
        <w:fldChar w:fldCharType="end"/>
      </w:r>
      <w:r w:rsidRPr="0068236B">
        <w:rPr>
          <w:sz w:val="18"/>
          <w:szCs w:val="20"/>
        </w:rPr>
        <w:t xml:space="preserve">: Project Option 2 – New </w:t>
      </w:r>
      <w:r w:rsidR="00B91B1E" w:rsidRPr="0068236B">
        <w:rPr>
          <w:sz w:val="18"/>
          <w:szCs w:val="20"/>
        </w:rPr>
        <w:t>400/110 kV SS Miletkovo</w:t>
      </w:r>
      <w:r w:rsidRPr="0068236B">
        <w:rPr>
          <w:sz w:val="18"/>
          <w:szCs w:val="20"/>
        </w:rPr>
        <w:t xml:space="preserve"> and lead in-out of existing 400 kV OHL</w:t>
      </w:r>
      <w:r w:rsidRPr="0068236B">
        <w:rPr>
          <w:rFonts w:cs="Tahoma"/>
          <w:sz w:val="18"/>
          <w:szCs w:val="20"/>
        </w:rPr>
        <w:t xml:space="preserve"> Dubrovo – Thess</w:t>
      </w:r>
      <w:r w:rsidRPr="0068236B">
        <w:rPr>
          <w:rFonts w:cs="Tahoma"/>
          <w:sz w:val="18"/>
          <w:szCs w:val="20"/>
        </w:rPr>
        <w:t>a</w:t>
      </w:r>
      <w:r w:rsidRPr="0068236B">
        <w:rPr>
          <w:rFonts w:cs="Tahoma"/>
          <w:sz w:val="18"/>
          <w:szCs w:val="20"/>
        </w:rPr>
        <w:t>lonica (GR)</w:t>
      </w:r>
      <w:r w:rsidRPr="0068236B">
        <w:rPr>
          <w:sz w:val="18"/>
          <w:szCs w:val="20"/>
        </w:rPr>
        <w:t>, Alternative 2</w:t>
      </w:r>
      <w:bookmarkEnd w:id="37"/>
      <w:r w:rsidRPr="0068236B">
        <w:rPr>
          <w:sz w:val="18"/>
          <w:szCs w:val="20"/>
        </w:rPr>
        <w:t xml:space="preserve"> </w:t>
      </w:r>
    </w:p>
    <w:p w14:paraId="63E53141" w14:textId="77777777" w:rsidR="009F09B6" w:rsidRPr="0068236B" w:rsidRDefault="009F09B6" w:rsidP="009F09B6">
      <w:pPr>
        <w:spacing w:before="60" w:after="240"/>
        <w:jc w:val="left"/>
        <w:rPr>
          <w:sz w:val="16"/>
          <w:szCs w:val="18"/>
        </w:rPr>
      </w:pPr>
      <w:r w:rsidRPr="0068236B">
        <w:rPr>
          <w:sz w:val="16"/>
          <w:szCs w:val="18"/>
        </w:rPr>
        <w:t xml:space="preserve">Source: </w:t>
      </w:r>
      <w:r w:rsidRPr="0068236B">
        <w:rPr>
          <w:rFonts w:cs="Tahoma"/>
          <w:sz w:val="16"/>
          <w:szCs w:val="18"/>
        </w:rPr>
        <w:t>WB21-MKD-ENE-03 North Macedonia, Strengthening the Transmission Network in the Southeast Region of North Macedonia - Component 1; Selection of the preferred Option, September 2021 [Ref.4]</w:t>
      </w:r>
    </w:p>
    <w:p w14:paraId="6A9F7589" w14:textId="77777777" w:rsidR="009F09B6" w:rsidRPr="0068236B" w:rsidRDefault="009F09B6" w:rsidP="009F09B6">
      <w:pPr>
        <w:rPr>
          <w:rFonts w:cs="Tahoma"/>
          <w:sz w:val="20"/>
        </w:rPr>
      </w:pPr>
      <w:r w:rsidRPr="0068236B">
        <w:rPr>
          <w:sz w:val="20"/>
        </w:rPr>
        <w:t xml:space="preserve">The following </w:t>
      </w:r>
      <w:r w:rsidRPr="0068236B">
        <w:rPr>
          <w:rFonts w:cs="Tahoma"/>
          <w:sz w:val="20"/>
        </w:rPr>
        <w:t>interventions to provide connection of the new substation with the existing 110 kV transmi</w:t>
      </w:r>
      <w:r w:rsidRPr="0068236B">
        <w:rPr>
          <w:rFonts w:cs="Tahoma"/>
          <w:sz w:val="20"/>
        </w:rPr>
        <w:t>s</w:t>
      </w:r>
      <w:r w:rsidRPr="0068236B">
        <w:rPr>
          <w:rFonts w:cs="Tahoma"/>
          <w:sz w:val="20"/>
        </w:rPr>
        <w:t>sion network in the Project region are constituent elements of this alternative:</w:t>
      </w:r>
    </w:p>
    <w:p w14:paraId="217015B9" w14:textId="583D5DA6" w:rsidR="00D4557C" w:rsidRPr="0068236B" w:rsidRDefault="00FF10C4" w:rsidP="00D4557C">
      <w:pPr>
        <w:pStyle w:val="ListBullet2"/>
        <w:rPr>
          <w:sz w:val="20"/>
          <w:szCs w:val="20"/>
        </w:rPr>
      </w:pPr>
      <w:r w:rsidRPr="0068236B">
        <w:rPr>
          <w:sz w:val="20"/>
          <w:szCs w:val="20"/>
        </w:rPr>
        <w:t>Reconstruction</w:t>
      </w:r>
      <w:r w:rsidR="009F09B6" w:rsidRPr="0068236B">
        <w:rPr>
          <w:sz w:val="20"/>
          <w:szCs w:val="20"/>
        </w:rPr>
        <w:t xml:space="preserve"> of existing approx. 6.4 km long double-circuit 110 kV OHL from Valandovo to Miletkovo and extension to the new 400/110 kV SS </w:t>
      </w:r>
      <w:r w:rsidRPr="0068236B">
        <w:rPr>
          <w:sz w:val="20"/>
          <w:szCs w:val="20"/>
        </w:rPr>
        <w:t>Miletkovo</w:t>
      </w:r>
      <w:r w:rsidR="009F09B6" w:rsidRPr="0068236B">
        <w:rPr>
          <w:rFonts w:eastAsia="Calibri"/>
          <w:sz w:val="20"/>
          <w:szCs w:val="20"/>
        </w:rPr>
        <w:t xml:space="preserve">. </w:t>
      </w:r>
      <w:r w:rsidR="00D4557C" w:rsidRPr="0068236B">
        <w:rPr>
          <w:rFonts w:eastAsia="Calibri"/>
          <w:sz w:val="20"/>
          <w:szCs w:val="20"/>
        </w:rPr>
        <w:t>In 6 km long section, t</w:t>
      </w:r>
      <w:r w:rsidR="009F09B6" w:rsidRPr="0068236B">
        <w:rPr>
          <w:rFonts w:eastAsia="Calibri"/>
          <w:sz w:val="20"/>
          <w:szCs w:val="20"/>
        </w:rPr>
        <w:t xml:space="preserve">his </w:t>
      </w:r>
      <w:r w:rsidR="00D4557C" w:rsidRPr="0068236B">
        <w:rPr>
          <w:rFonts w:eastAsia="Calibri"/>
          <w:sz w:val="20"/>
          <w:szCs w:val="20"/>
        </w:rPr>
        <w:t xml:space="preserve">line </w:t>
      </w:r>
      <w:r w:rsidR="00D4557C" w:rsidRPr="0068236B">
        <w:rPr>
          <w:sz w:val="20"/>
          <w:szCs w:val="20"/>
        </w:rPr>
        <w:t>will be reconstructed to three phase single circuit (1x110 kV) line, with the use of the same towers and positions and by replacing the conductor, to increase its transfer capac</w:t>
      </w:r>
      <w:r w:rsidR="00D4557C" w:rsidRPr="0068236B">
        <w:rPr>
          <w:sz w:val="20"/>
          <w:szCs w:val="20"/>
        </w:rPr>
        <w:t>i</w:t>
      </w:r>
      <w:r w:rsidR="00D4557C" w:rsidRPr="0068236B">
        <w:rPr>
          <w:sz w:val="20"/>
          <w:szCs w:val="20"/>
        </w:rPr>
        <w:t>ty. The extension of the line is approx. 1.9 km long.</w:t>
      </w:r>
    </w:p>
    <w:p w14:paraId="27665F06" w14:textId="16D78F17" w:rsidR="009F09B6" w:rsidRPr="0068236B" w:rsidRDefault="009F09B6" w:rsidP="009F09B6">
      <w:pPr>
        <w:pStyle w:val="ListBullet2"/>
        <w:rPr>
          <w:sz w:val="20"/>
        </w:rPr>
      </w:pPr>
      <w:r w:rsidRPr="0068236B">
        <w:rPr>
          <w:sz w:val="20"/>
          <w:szCs w:val="24"/>
        </w:rPr>
        <w:t xml:space="preserve">Construction of new double-circuit 110 kV from the new SS </w:t>
      </w:r>
      <w:r w:rsidR="00FF10C4" w:rsidRPr="0068236B">
        <w:rPr>
          <w:sz w:val="20"/>
          <w:szCs w:val="24"/>
        </w:rPr>
        <w:t>Miletkovo</w:t>
      </w:r>
      <w:r w:rsidRPr="0068236B">
        <w:rPr>
          <w:sz w:val="20"/>
          <w:szCs w:val="24"/>
        </w:rPr>
        <w:t xml:space="preserve"> to existing ‘EVP’ SS Miletkovo, </w:t>
      </w:r>
      <w:r w:rsidRPr="0068236B">
        <w:rPr>
          <w:sz w:val="20"/>
        </w:rPr>
        <w:t>from a point in proximity to the SS ‘EVP’ Miletkovo to the new 400/110 kV su</w:t>
      </w:r>
      <w:r w:rsidRPr="0068236B">
        <w:rPr>
          <w:sz w:val="20"/>
        </w:rPr>
        <w:t>b</w:t>
      </w:r>
      <w:r w:rsidRPr="0068236B">
        <w:rPr>
          <w:sz w:val="20"/>
        </w:rPr>
        <w:t>station with an approximate length of 1.8 km, in order to complete the connection of new substation with the existing SS Valandovo.</w:t>
      </w:r>
    </w:p>
    <w:p w14:paraId="1D58401A" w14:textId="77777777" w:rsidR="009F09B6" w:rsidRPr="0068236B" w:rsidRDefault="009F09B6" w:rsidP="008E77D3">
      <w:pPr>
        <w:pStyle w:val="ListParagraph"/>
        <w:numPr>
          <w:ilvl w:val="0"/>
          <w:numId w:val="46"/>
        </w:numPr>
        <w:rPr>
          <w:sz w:val="20"/>
        </w:rPr>
      </w:pPr>
      <w:r w:rsidRPr="0068236B">
        <w:rPr>
          <w:rFonts w:cs="Tahoma"/>
          <w:sz w:val="20"/>
        </w:rPr>
        <w:t xml:space="preserve">Project Option 3 – New </w:t>
      </w:r>
      <w:r w:rsidRPr="0068236B">
        <w:rPr>
          <w:sz w:val="20"/>
        </w:rPr>
        <w:t>400/110 kV SS Valandovo with interconnection</w:t>
      </w:r>
      <w:r w:rsidRPr="0068236B">
        <w:rPr>
          <w:rFonts w:cs="Tahoma"/>
          <w:sz w:val="20"/>
        </w:rPr>
        <w:t xml:space="preserve"> (</w:t>
      </w:r>
      <w:r w:rsidRPr="0068236B">
        <w:rPr>
          <w:sz w:val="20"/>
        </w:rPr>
        <w:t>new 400 kV OHL Dubrovo – Valandovo – Thessalonica (GR)) (Figure below)</w:t>
      </w:r>
    </w:p>
    <w:p w14:paraId="5D9FE489" w14:textId="77777777" w:rsidR="009F09B6" w:rsidRPr="0068236B" w:rsidRDefault="009F09B6" w:rsidP="009F09B6">
      <w:pPr>
        <w:rPr>
          <w:sz w:val="20"/>
          <w:lang w:eastAsia="de-DE"/>
        </w:rPr>
      </w:pPr>
      <w:r w:rsidRPr="0068236B">
        <w:rPr>
          <w:sz w:val="20"/>
        </w:rPr>
        <w:t xml:space="preserve">This option includes construction of a new 400/110 kV SS Valandovo adjacent to the existing SS Valandovo, same as the respective element of the Project Option 2, Alternative 1 </w:t>
      </w:r>
      <w:r w:rsidRPr="0068236B">
        <w:rPr>
          <w:sz w:val="20"/>
          <w:lang w:eastAsia="de-DE"/>
        </w:rPr>
        <w:t>as previously described</w:t>
      </w:r>
      <w:r w:rsidRPr="0068236B">
        <w:rPr>
          <w:sz w:val="20"/>
        </w:rPr>
        <w:t xml:space="preserve">. In addition, it foresees construction of a new single-circuit 400 kV </w:t>
      </w:r>
      <w:r w:rsidRPr="0068236B">
        <w:rPr>
          <w:sz w:val="20"/>
          <w:szCs w:val="24"/>
        </w:rPr>
        <w:t xml:space="preserve">OHL Dubrovo – Valandovo – MK/GR border (further to Thessalonica (GR), </w:t>
      </w:r>
      <w:r w:rsidRPr="0068236B">
        <w:rPr>
          <w:sz w:val="20"/>
          <w:lang w:eastAsia="de-DE"/>
        </w:rPr>
        <w:t>composed of two separate sections:</w:t>
      </w:r>
    </w:p>
    <w:p w14:paraId="5A0F335C" w14:textId="77777777" w:rsidR="009F09B6" w:rsidRPr="0068236B" w:rsidRDefault="009F09B6" w:rsidP="008E77D3">
      <w:pPr>
        <w:pStyle w:val="ListParagraph"/>
        <w:numPr>
          <w:ilvl w:val="0"/>
          <w:numId w:val="44"/>
        </w:numPr>
        <w:rPr>
          <w:sz w:val="20"/>
          <w:lang w:eastAsia="de-DE"/>
        </w:rPr>
      </w:pPr>
      <w:r w:rsidRPr="0068236B">
        <w:rPr>
          <w:sz w:val="20"/>
          <w:lang w:eastAsia="de-DE"/>
        </w:rPr>
        <w:t>Section SS Dubrovo - SS Valandovo</w:t>
      </w:r>
    </w:p>
    <w:p w14:paraId="1432373A" w14:textId="77777777" w:rsidR="009F09B6" w:rsidRPr="0068236B" w:rsidRDefault="009F09B6" w:rsidP="009F09B6">
      <w:pPr>
        <w:rPr>
          <w:sz w:val="20"/>
          <w:lang w:eastAsia="de-DE"/>
        </w:rPr>
      </w:pPr>
      <w:r w:rsidRPr="0068236B">
        <w:rPr>
          <w:sz w:val="20"/>
          <w:lang w:eastAsia="de-DE"/>
        </w:rPr>
        <w:t>Two alternative corridors were identified in this section. These are identical in geographic context to the OHL routing alternatives identified and assessed in the scope of the Project Option 1 Alternative 1 – Southern Corridor (approx. 41 km long corridor) and Alternative 2 – Northern Corridor (approx. 55 km long corridor).</w:t>
      </w:r>
    </w:p>
    <w:p w14:paraId="1BEF0BBB" w14:textId="77777777" w:rsidR="00462949" w:rsidRPr="0068236B" w:rsidRDefault="00462949">
      <w:pPr>
        <w:spacing w:before="0" w:after="0" w:line="240" w:lineRule="auto"/>
        <w:jc w:val="left"/>
        <w:rPr>
          <w:sz w:val="20"/>
          <w:szCs w:val="24"/>
          <w:lang w:eastAsia="de-DE"/>
        </w:rPr>
      </w:pPr>
      <w:r w:rsidRPr="0068236B">
        <w:rPr>
          <w:sz w:val="20"/>
          <w:lang w:eastAsia="de-DE"/>
        </w:rPr>
        <w:br w:type="page"/>
      </w:r>
    </w:p>
    <w:p w14:paraId="657D67A3" w14:textId="050495AF" w:rsidR="009F09B6" w:rsidRPr="0068236B" w:rsidRDefault="009F09B6" w:rsidP="008E77D3">
      <w:pPr>
        <w:pStyle w:val="ListParagraph"/>
        <w:numPr>
          <w:ilvl w:val="0"/>
          <w:numId w:val="44"/>
        </w:numPr>
        <w:rPr>
          <w:sz w:val="20"/>
          <w:lang w:eastAsia="de-DE"/>
        </w:rPr>
      </w:pPr>
      <w:r w:rsidRPr="0068236B">
        <w:rPr>
          <w:sz w:val="20"/>
          <w:lang w:eastAsia="de-DE"/>
        </w:rPr>
        <w:lastRenderedPageBreak/>
        <w:t>Section SS Valandovo - MK/GR border</w:t>
      </w:r>
    </w:p>
    <w:p w14:paraId="16FDC191" w14:textId="77777777" w:rsidR="009F09B6" w:rsidRPr="0068236B" w:rsidRDefault="009F09B6" w:rsidP="009F09B6">
      <w:pPr>
        <w:rPr>
          <w:sz w:val="20"/>
          <w:lang w:eastAsia="de-DE"/>
        </w:rPr>
      </w:pPr>
      <w:r w:rsidRPr="0068236B">
        <w:rPr>
          <w:sz w:val="20"/>
          <w:lang w:eastAsia="de-DE"/>
        </w:rPr>
        <w:t>This section would be approx. 24 km long, with the first segment of approx. 8 km to be built along the same alignment as described in Project Option 2, Alternative 1. The remaining 16 km would be built in parallel with the existing 400 kV OHL SS Dubrovo - MK/GR border.</w:t>
      </w:r>
    </w:p>
    <w:p w14:paraId="1FF799FD" w14:textId="77777777" w:rsidR="009F09B6" w:rsidRPr="0068236B" w:rsidRDefault="009F09B6" w:rsidP="009F09B6">
      <w:pPr>
        <w:spacing w:after="60"/>
        <w:rPr>
          <w:sz w:val="20"/>
          <w:lang w:eastAsia="de-DE"/>
        </w:rPr>
      </w:pPr>
      <w:r w:rsidRPr="0068236B">
        <w:rPr>
          <w:noProof/>
          <w:sz w:val="20"/>
          <w:lang w:val="mk-MK" w:eastAsia="mk-MK"/>
        </w:rPr>
        <w:drawing>
          <wp:inline distT="0" distB="0" distL="0" distR="0" wp14:anchorId="10E7B330" wp14:editId="23D1F8E1">
            <wp:extent cx="6120000" cy="3524507"/>
            <wp:effectExtent l="19050" t="0" r="0" b="0"/>
            <wp:docPr id="36" name="Picture 1" descr="C:\Users\Kokan\Documents\IPF Project\IPF 7\Energy\WB21 OHL SS Dubrovo-Strumica, Mkd\18 - ESIA Scoping\Technical team\Azurirana slika 5.10 - 2 koridori za 400k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kan\Documents\IPF Project\IPF 7\Energy\WB21 OHL SS Dubrovo-Strumica, Mkd\18 - ESIA Scoping\Technical team\Azurirana slika 5.10 - 2 koridori za 400kV.jpg"/>
                    <pic:cNvPicPr>
                      <a:picLocks noChangeAspect="1" noChangeArrowheads="1"/>
                    </pic:cNvPicPr>
                  </pic:nvPicPr>
                  <pic:blipFill>
                    <a:blip r:embed="rId39" cstate="email">
                      <a:extLst>
                        <a:ext uri="{28A0092B-C50C-407E-A947-70E740481C1C}">
                          <a14:useLocalDpi xmlns:a14="http://schemas.microsoft.com/office/drawing/2010/main" val="0"/>
                        </a:ext>
                      </a:extLst>
                    </a:blip>
                    <a:srcRect/>
                    <a:stretch>
                      <a:fillRect/>
                    </a:stretch>
                  </pic:blipFill>
                  <pic:spPr bwMode="auto">
                    <a:xfrm>
                      <a:off x="0" y="0"/>
                      <a:ext cx="6120000" cy="3524507"/>
                    </a:xfrm>
                    <a:prstGeom prst="rect">
                      <a:avLst/>
                    </a:prstGeom>
                    <a:noFill/>
                    <a:ln w="9525">
                      <a:noFill/>
                      <a:miter lim="800000"/>
                      <a:headEnd/>
                      <a:tailEnd/>
                    </a:ln>
                  </pic:spPr>
                </pic:pic>
              </a:graphicData>
            </a:graphic>
          </wp:inline>
        </w:drawing>
      </w:r>
    </w:p>
    <w:p w14:paraId="78DB4F3B" w14:textId="77777777" w:rsidR="009F09B6" w:rsidRPr="0068236B" w:rsidRDefault="009F09B6" w:rsidP="009F09B6">
      <w:pPr>
        <w:spacing w:before="60" w:after="60"/>
        <w:jc w:val="left"/>
        <w:rPr>
          <w:sz w:val="18"/>
          <w:szCs w:val="20"/>
        </w:rPr>
      </w:pPr>
      <w:bookmarkStart w:id="38" w:name="_Toc112928849"/>
      <w:r w:rsidRPr="0068236B">
        <w:rPr>
          <w:rFonts w:cs="Arial"/>
          <w:iCs/>
          <w:sz w:val="18"/>
          <w:szCs w:val="20"/>
        </w:rPr>
        <w:t xml:space="preserve">Figure </w:t>
      </w:r>
      <w:r w:rsidRPr="0068236B">
        <w:rPr>
          <w:rFonts w:cs="Arial"/>
          <w:iCs/>
          <w:sz w:val="18"/>
          <w:szCs w:val="20"/>
        </w:rPr>
        <w:fldChar w:fldCharType="begin"/>
      </w:r>
      <w:r w:rsidRPr="0068236B">
        <w:rPr>
          <w:rFonts w:cs="Arial"/>
          <w:iCs/>
          <w:sz w:val="18"/>
          <w:szCs w:val="20"/>
        </w:rPr>
        <w:instrText xml:space="preserve"> STYLEREF 1 \s </w:instrText>
      </w:r>
      <w:r w:rsidRPr="0068236B">
        <w:rPr>
          <w:rFonts w:cs="Arial"/>
          <w:iCs/>
          <w:sz w:val="18"/>
          <w:szCs w:val="20"/>
        </w:rPr>
        <w:fldChar w:fldCharType="separate"/>
      </w:r>
      <w:r w:rsidR="00234EBE" w:rsidRPr="0068236B">
        <w:rPr>
          <w:rFonts w:cs="Arial"/>
          <w:iCs/>
          <w:noProof/>
          <w:sz w:val="18"/>
          <w:szCs w:val="20"/>
        </w:rPr>
        <w:t>1</w:t>
      </w:r>
      <w:r w:rsidRPr="0068236B">
        <w:rPr>
          <w:rFonts w:cs="Arial"/>
          <w:iCs/>
          <w:sz w:val="18"/>
          <w:szCs w:val="20"/>
        </w:rPr>
        <w:fldChar w:fldCharType="end"/>
      </w:r>
      <w:r w:rsidRPr="0068236B">
        <w:rPr>
          <w:rFonts w:cs="Arial"/>
          <w:iCs/>
          <w:sz w:val="18"/>
          <w:szCs w:val="20"/>
        </w:rPr>
        <w:t>.</w:t>
      </w:r>
      <w:r w:rsidRPr="0068236B">
        <w:rPr>
          <w:rFonts w:cs="Arial"/>
          <w:iCs/>
          <w:sz w:val="18"/>
          <w:szCs w:val="20"/>
        </w:rPr>
        <w:fldChar w:fldCharType="begin"/>
      </w:r>
      <w:r w:rsidRPr="0068236B">
        <w:rPr>
          <w:rFonts w:cs="Arial"/>
          <w:iCs/>
          <w:sz w:val="18"/>
          <w:szCs w:val="20"/>
        </w:rPr>
        <w:instrText xml:space="preserve"> SEQ Figure \* ARABIC \s 1 </w:instrText>
      </w:r>
      <w:r w:rsidRPr="0068236B">
        <w:rPr>
          <w:rFonts w:cs="Arial"/>
          <w:iCs/>
          <w:sz w:val="18"/>
          <w:szCs w:val="20"/>
        </w:rPr>
        <w:fldChar w:fldCharType="separate"/>
      </w:r>
      <w:r w:rsidR="00234EBE" w:rsidRPr="0068236B">
        <w:rPr>
          <w:rFonts w:cs="Arial"/>
          <w:iCs/>
          <w:noProof/>
          <w:sz w:val="18"/>
          <w:szCs w:val="20"/>
        </w:rPr>
        <w:t>11</w:t>
      </w:r>
      <w:r w:rsidRPr="0068236B">
        <w:rPr>
          <w:rFonts w:cs="Arial"/>
          <w:iCs/>
          <w:sz w:val="18"/>
          <w:szCs w:val="20"/>
        </w:rPr>
        <w:fldChar w:fldCharType="end"/>
      </w:r>
      <w:r w:rsidRPr="0068236B">
        <w:rPr>
          <w:sz w:val="18"/>
          <w:szCs w:val="20"/>
        </w:rPr>
        <w:t xml:space="preserve">: Project Option 3 – </w:t>
      </w:r>
      <w:r w:rsidRPr="0068236B">
        <w:rPr>
          <w:rFonts w:cs="Tahoma"/>
          <w:sz w:val="18"/>
          <w:szCs w:val="20"/>
        </w:rPr>
        <w:t xml:space="preserve">New </w:t>
      </w:r>
      <w:r w:rsidRPr="0068236B">
        <w:rPr>
          <w:sz w:val="18"/>
          <w:szCs w:val="20"/>
        </w:rPr>
        <w:t>400/110 kV SS Valandovo with 400 kV interconnection</w:t>
      </w:r>
      <w:r w:rsidRPr="0068236B">
        <w:rPr>
          <w:rFonts w:cs="Tahoma"/>
          <w:sz w:val="18"/>
          <w:szCs w:val="20"/>
        </w:rPr>
        <w:t xml:space="preserve"> (</w:t>
      </w:r>
      <w:r w:rsidRPr="0068236B">
        <w:rPr>
          <w:sz w:val="18"/>
          <w:szCs w:val="20"/>
        </w:rPr>
        <w:t>Dubrovo – Valandovo – Thessalonica (GR)), alternative corridors</w:t>
      </w:r>
      <w:bookmarkEnd w:id="38"/>
    </w:p>
    <w:p w14:paraId="107B7FD9" w14:textId="77777777" w:rsidR="009F09B6" w:rsidRPr="0068236B" w:rsidRDefault="009F09B6" w:rsidP="009F09B6">
      <w:pPr>
        <w:spacing w:before="60" w:after="240"/>
        <w:jc w:val="left"/>
        <w:rPr>
          <w:sz w:val="16"/>
          <w:szCs w:val="18"/>
        </w:rPr>
      </w:pPr>
      <w:r w:rsidRPr="0068236B">
        <w:rPr>
          <w:sz w:val="16"/>
          <w:szCs w:val="18"/>
        </w:rPr>
        <w:t xml:space="preserve">Source: </w:t>
      </w:r>
      <w:r w:rsidRPr="0068236B">
        <w:rPr>
          <w:rFonts w:cs="Tahoma"/>
          <w:sz w:val="16"/>
          <w:szCs w:val="18"/>
        </w:rPr>
        <w:t>WB21-MKD-ENE-03 North Macedonia, Strengthening the Transmission Network in the Southeast Region of North Macedonia - Component 1; Selection of the preferred Option, September 2021 [Ref.4]</w:t>
      </w:r>
    </w:p>
    <w:p w14:paraId="52536E73" w14:textId="77777777" w:rsidR="00EA0F99" w:rsidRPr="0068236B" w:rsidRDefault="00EA0F99" w:rsidP="00BC2FEC">
      <w:pPr>
        <w:pStyle w:val="Heading3"/>
      </w:pPr>
      <w:bookmarkStart w:id="39" w:name="_Toc112852193"/>
      <w:r w:rsidRPr="0068236B">
        <w:t>Evaluation of Options - Multi-Criteria Analysis</w:t>
      </w:r>
      <w:bookmarkEnd w:id="39"/>
    </w:p>
    <w:p w14:paraId="65C12085" w14:textId="77777777" w:rsidR="00EA0F99" w:rsidRPr="0068236B" w:rsidRDefault="00EA0F99" w:rsidP="00EA0F99">
      <w:pPr>
        <w:rPr>
          <w:sz w:val="20"/>
        </w:rPr>
      </w:pPr>
      <w:r w:rsidRPr="0068236B">
        <w:rPr>
          <w:sz w:val="20"/>
        </w:rPr>
        <w:t>The Multi-Criteria Analysis procedure requires (i) the establishment of the set of criteria that should measure each option’s / alternative’s performance against the objectives, and (ii) the assessment of the options / alternatives. The assessment has included the following steps:</w:t>
      </w:r>
    </w:p>
    <w:p w14:paraId="3D0979FD" w14:textId="77777777" w:rsidR="00EA0F99" w:rsidRPr="0068236B" w:rsidRDefault="00EA0F99" w:rsidP="00EA0F99">
      <w:pPr>
        <w:numPr>
          <w:ilvl w:val="0"/>
          <w:numId w:val="9"/>
        </w:numPr>
        <w:ind w:left="738" w:hanging="454"/>
        <w:jc w:val="left"/>
        <w:rPr>
          <w:color w:val="000000"/>
          <w:sz w:val="20"/>
        </w:rPr>
      </w:pPr>
      <w:r w:rsidRPr="0068236B">
        <w:rPr>
          <w:color w:val="000000"/>
          <w:sz w:val="20"/>
        </w:rPr>
        <w:t xml:space="preserve">Definition of the criteria “weights”, in order to reflect and illustrate their relative importance; </w:t>
      </w:r>
    </w:p>
    <w:p w14:paraId="2F99B96D" w14:textId="77777777" w:rsidR="00EA0F99" w:rsidRPr="0068236B" w:rsidRDefault="00EA0F99" w:rsidP="00EA0F99">
      <w:pPr>
        <w:numPr>
          <w:ilvl w:val="0"/>
          <w:numId w:val="9"/>
        </w:numPr>
        <w:ind w:left="738" w:hanging="454"/>
        <w:jc w:val="left"/>
        <w:rPr>
          <w:color w:val="000000"/>
          <w:sz w:val="20"/>
        </w:rPr>
      </w:pPr>
      <w:r w:rsidRPr="0068236B">
        <w:rPr>
          <w:color w:val="000000"/>
          <w:sz w:val="20"/>
        </w:rPr>
        <w:t>Scoring of each option against the criteria;</w:t>
      </w:r>
    </w:p>
    <w:p w14:paraId="376B4E42" w14:textId="77777777" w:rsidR="00EA0F99" w:rsidRPr="0068236B" w:rsidRDefault="00EA0F99" w:rsidP="00EA0F99">
      <w:pPr>
        <w:numPr>
          <w:ilvl w:val="0"/>
          <w:numId w:val="9"/>
        </w:numPr>
        <w:ind w:left="738" w:hanging="454"/>
        <w:jc w:val="left"/>
        <w:rPr>
          <w:color w:val="000000"/>
          <w:sz w:val="20"/>
        </w:rPr>
      </w:pPr>
      <w:r w:rsidRPr="0068236B">
        <w:rPr>
          <w:color w:val="000000"/>
          <w:sz w:val="20"/>
        </w:rPr>
        <w:t>Combination of weights and scores to calculate each option’s overall score;</w:t>
      </w:r>
    </w:p>
    <w:p w14:paraId="2AA614A4" w14:textId="77777777" w:rsidR="00EA0F99" w:rsidRPr="0068236B" w:rsidRDefault="00EA0F99" w:rsidP="00EA0F99">
      <w:pPr>
        <w:numPr>
          <w:ilvl w:val="0"/>
          <w:numId w:val="9"/>
        </w:numPr>
        <w:ind w:left="738" w:hanging="454"/>
        <w:jc w:val="left"/>
        <w:rPr>
          <w:color w:val="000000"/>
          <w:sz w:val="20"/>
        </w:rPr>
      </w:pPr>
      <w:r w:rsidRPr="0068236B">
        <w:rPr>
          <w:color w:val="000000"/>
          <w:sz w:val="20"/>
        </w:rPr>
        <w:t>Ranking the options according to their scores.</w:t>
      </w:r>
    </w:p>
    <w:p w14:paraId="4072A92D" w14:textId="77777777" w:rsidR="00EA0F99" w:rsidRPr="0068236B" w:rsidRDefault="00EA0F99" w:rsidP="00EA0F99">
      <w:pPr>
        <w:rPr>
          <w:sz w:val="20"/>
        </w:rPr>
      </w:pPr>
      <w:r w:rsidRPr="0068236B">
        <w:rPr>
          <w:sz w:val="20"/>
        </w:rPr>
        <w:t xml:space="preserve">Three main criteria categories have been defined for the Project (Table below): (i) </w:t>
      </w:r>
      <w:r w:rsidRPr="0068236B">
        <w:rPr>
          <w:sz w:val="20"/>
          <w:lang w:bidi="en-US"/>
        </w:rPr>
        <w:t xml:space="preserve">network and market based criteria, with two sub-categories – non monetised benefits and monetised benefits and costs; (ii) </w:t>
      </w:r>
      <w:r w:rsidRPr="0068236B">
        <w:rPr>
          <w:sz w:val="20"/>
        </w:rPr>
        <w:t>e</w:t>
      </w:r>
      <w:r w:rsidRPr="0068236B">
        <w:rPr>
          <w:sz w:val="20"/>
        </w:rPr>
        <w:t>n</w:t>
      </w:r>
      <w:r w:rsidRPr="0068236B">
        <w:rPr>
          <w:sz w:val="20"/>
        </w:rPr>
        <w:t>gineering or technical criteria, and (iii) environmental and social criteria, with two sub-categories - enviro</w:t>
      </w:r>
      <w:r w:rsidRPr="0068236B">
        <w:rPr>
          <w:sz w:val="20"/>
        </w:rPr>
        <w:t>n</w:t>
      </w:r>
      <w:r w:rsidRPr="0068236B">
        <w:rPr>
          <w:sz w:val="20"/>
        </w:rPr>
        <w:t>mental elements and social elements. Comparative assessment of these three categories and associated sub-categories has resulted in the category weights as presented in the Table below.</w:t>
      </w:r>
    </w:p>
    <w:p w14:paraId="09D0F5C6" w14:textId="77777777" w:rsidR="00EA0F99" w:rsidRPr="0068236B" w:rsidRDefault="00EA0F99" w:rsidP="00EA0F99">
      <w:pPr>
        <w:rPr>
          <w:sz w:val="20"/>
        </w:rPr>
      </w:pPr>
      <w:r w:rsidRPr="0068236B">
        <w:rPr>
          <w:sz w:val="20"/>
        </w:rPr>
        <w:lastRenderedPageBreak/>
        <w:t xml:space="preserve">Each criteria category consists of different selected criteria, </w:t>
      </w:r>
      <w:r w:rsidRPr="0068236B">
        <w:rPr>
          <w:rFonts w:eastAsiaTheme="minorHAnsi" w:cs="Tahoma"/>
          <w:sz w:val="20"/>
          <w:szCs w:val="20"/>
          <w:lang w:eastAsia="en-US"/>
        </w:rPr>
        <w:t>as documented in the respective report</w:t>
      </w:r>
      <w:r w:rsidRPr="0068236B">
        <w:rPr>
          <w:rStyle w:val="FootnoteReference"/>
          <w:rFonts w:cs="Tahoma"/>
          <w:sz w:val="20"/>
          <w:szCs w:val="20"/>
        </w:rPr>
        <w:footnoteReference w:id="17"/>
      </w:r>
      <w:r w:rsidRPr="0068236B">
        <w:rPr>
          <w:sz w:val="20"/>
        </w:rPr>
        <w:t>.</w:t>
      </w:r>
    </w:p>
    <w:tbl>
      <w:tblPr>
        <w:tblW w:w="7655" w:type="dxa"/>
        <w:tblBorders>
          <w:top w:val="double" w:sz="4" w:space="0" w:color="auto"/>
          <w:left w:val="double" w:sz="6" w:space="0" w:color="auto"/>
          <w:bottom w:val="double" w:sz="6" w:space="0" w:color="auto"/>
          <w:right w:val="double" w:sz="6"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67"/>
        <w:gridCol w:w="5528"/>
        <w:gridCol w:w="1560"/>
      </w:tblGrid>
      <w:tr w:rsidR="00EA0F99" w:rsidRPr="0068236B" w14:paraId="679E095A" w14:textId="77777777" w:rsidTr="009B3365">
        <w:trPr>
          <w:trHeight w:val="227"/>
        </w:trPr>
        <w:tc>
          <w:tcPr>
            <w:tcW w:w="567"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307158EA" w14:textId="7804989C" w:rsidR="00EA0F99" w:rsidRPr="0068236B" w:rsidRDefault="00EA0F99" w:rsidP="00DC4387">
            <w:pPr>
              <w:spacing w:before="0" w:after="0" w:line="240" w:lineRule="auto"/>
              <w:jc w:val="center"/>
              <w:rPr>
                <w:rFonts w:eastAsia="Calibri" w:cs="Tahoma"/>
                <w:sz w:val="20"/>
                <w:szCs w:val="20"/>
              </w:rPr>
            </w:pPr>
            <w:r w:rsidRPr="0068236B">
              <w:rPr>
                <w:rFonts w:cs="Tahoma"/>
                <w:sz w:val="20"/>
                <w:szCs w:val="20"/>
              </w:rPr>
              <w:t>No.</w:t>
            </w:r>
          </w:p>
        </w:tc>
        <w:tc>
          <w:tcPr>
            <w:tcW w:w="5528"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076CD464" w14:textId="77777777" w:rsidR="00EA0F99" w:rsidRPr="0068236B" w:rsidRDefault="00EA0F99" w:rsidP="00DC4387">
            <w:pPr>
              <w:spacing w:before="0" w:after="0" w:line="240" w:lineRule="auto"/>
              <w:jc w:val="center"/>
              <w:rPr>
                <w:rFonts w:eastAsia="Calibri" w:cs="Tahoma"/>
                <w:bCs/>
                <w:color w:val="A6A6A6" w:themeColor="background1" w:themeShade="A6"/>
                <w:sz w:val="20"/>
                <w:szCs w:val="20"/>
              </w:rPr>
            </w:pPr>
            <w:r w:rsidRPr="0068236B">
              <w:rPr>
                <w:rFonts w:eastAsia="Arial" w:cs="Tahoma"/>
                <w:sz w:val="20"/>
                <w:szCs w:val="20"/>
              </w:rPr>
              <w:t>Criteria category (group of indicators)</w:t>
            </w:r>
          </w:p>
        </w:tc>
        <w:tc>
          <w:tcPr>
            <w:tcW w:w="1560"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bottom"/>
          </w:tcPr>
          <w:p w14:paraId="751CA976" w14:textId="77777777" w:rsidR="00EA0F99" w:rsidRPr="0068236B" w:rsidRDefault="00EA0F99" w:rsidP="009B3365">
            <w:pPr>
              <w:spacing w:before="0" w:after="0" w:line="240" w:lineRule="auto"/>
              <w:jc w:val="center"/>
              <w:rPr>
                <w:rFonts w:eastAsia="Calibri" w:cs="Tahoma"/>
                <w:bCs/>
                <w:color w:val="A6A6A6" w:themeColor="background1" w:themeShade="A6"/>
                <w:sz w:val="20"/>
                <w:szCs w:val="20"/>
              </w:rPr>
            </w:pPr>
            <w:r w:rsidRPr="0068236B">
              <w:rPr>
                <w:rFonts w:eastAsia="Arial" w:cs="Tahoma"/>
                <w:sz w:val="20"/>
                <w:szCs w:val="20"/>
              </w:rPr>
              <w:t>Weight (%)</w:t>
            </w:r>
          </w:p>
        </w:tc>
      </w:tr>
      <w:tr w:rsidR="00EA0F99" w:rsidRPr="0068236B" w14:paraId="59DDA1A0" w14:textId="77777777" w:rsidTr="009B3365">
        <w:trPr>
          <w:trHeight w:val="227"/>
        </w:trPr>
        <w:tc>
          <w:tcPr>
            <w:tcW w:w="567" w:type="dxa"/>
            <w:tcBorders>
              <w:top w:val="double" w:sz="4" w:space="0" w:color="auto"/>
              <w:bottom w:val="single" w:sz="4" w:space="0" w:color="auto"/>
              <w:right w:val="single" w:sz="4" w:space="0" w:color="auto"/>
            </w:tcBorders>
            <w:shd w:val="clear" w:color="auto" w:fill="BFBFBF" w:themeFill="background1" w:themeFillShade="BF"/>
            <w:vAlign w:val="center"/>
          </w:tcPr>
          <w:p w14:paraId="34D9BAB5" w14:textId="77777777" w:rsidR="00EA0F99" w:rsidRPr="0068236B" w:rsidRDefault="00EA0F99" w:rsidP="00DC4387">
            <w:pPr>
              <w:spacing w:before="0" w:after="0" w:line="240" w:lineRule="auto"/>
              <w:jc w:val="center"/>
              <w:rPr>
                <w:rFonts w:cs="Tahoma"/>
                <w:sz w:val="20"/>
                <w:szCs w:val="20"/>
              </w:rPr>
            </w:pPr>
          </w:p>
        </w:tc>
        <w:tc>
          <w:tcPr>
            <w:tcW w:w="5528" w:type="dxa"/>
            <w:tcBorders>
              <w:top w:val="doub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FDC72A5" w14:textId="77777777" w:rsidR="00EA0F99" w:rsidRPr="0068236B" w:rsidRDefault="00EA0F99" w:rsidP="00DC4387">
            <w:pPr>
              <w:spacing w:before="0" w:after="0" w:line="240" w:lineRule="auto"/>
              <w:ind w:left="23"/>
              <w:rPr>
                <w:rFonts w:eastAsia="Arial" w:cs="Tahoma"/>
                <w:sz w:val="20"/>
                <w:szCs w:val="20"/>
              </w:rPr>
            </w:pPr>
            <w:r w:rsidRPr="0068236B">
              <w:rPr>
                <w:rFonts w:cs="Tahoma"/>
                <w:sz w:val="20"/>
                <w:szCs w:val="20"/>
                <w:lang w:bidi="en-US"/>
              </w:rPr>
              <w:t>Network and market based</w:t>
            </w:r>
          </w:p>
        </w:tc>
        <w:tc>
          <w:tcPr>
            <w:tcW w:w="1560" w:type="dxa"/>
            <w:tcBorders>
              <w:top w:val="double" w:sz="4" w:space="0" w:color="auto"/>
              <w:left w:val="single" w:sz="4" w:space="0" w:color="auto"/>
              <w:bottom w:val="single" w:sz="4" w:space="0" w:color="auto"/>
            </w:tcBorders>
            <w:shd w:val="clear" w:color="auto" w:fill="BFBFBF" w:themeFill="background1" w:themeFillShade="BF"/>
            <w:vAlign w:val="bottom"/>
          </w:tcPr>
          <w:p w14:paraId="6726E2F4" w14:textId="77777777" w:rsidR="00EA0F99" w:rsidRPr="0068236B" w:rsidRDefault="00EA0F99" w:rsidP="009B3365">
            <w:pPr>
              <w:spacing w:before="0" w:after="0" w:line="240" w:lineRule="auto"/>
              <w:jc w:val="center"/>
              <w:rPr>
                <w:rFonts w:eastAsia="Arial" w:cs="Tahoma"/>
                <w:sz w:val="20"/>
                <w:szCs w:val="20"/>
              </w:rPr>
            </w:pPr>
          </w:p>
        </w:tc>
      </w:tr>
      <w:tr w:rsidR="00EA0F99" w:rsidRPr="0068236B" w14:paraId="05C236A9" w14:textId="77777777" w:rsidTr="009B3365">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tcBorders>
            <w:shd w:val="clear" w:color="auto" w:fill="FFFFFF"/>
          </w:tcPr>
          <w:p w14:paraId="268E620D" w14:textId="77777777" w:rsidR="00EA0F99" w:rsidRPr="0068236B" w:rsidRDefault="00EA0F99" w:rsidP="00DC4387">
            <w:pPr>
              <w:spacing w:before="0" w:after="0" w:line="240" w:lineRule="auto"/>
              <w:jc w:val="center"/>
              <w:rPr>
                <w:rFonts w:eastAsia="Arial" w:cs="Tahoma"/>
                <w:sz w:val="20"/>
                <w:szCs w:val="20"/>
              </w:rPr>
            </w:pPr>
            <w:r w:rsidRPr="0068236B">
              <w:rPr>
                <w:rFonts w:eastAsia="Arial" w:cs="Tahoma"/>
                <w:sz w:val="20"/>
                <w:szCs w:val="20"/>
              </w:rPr>
              <w:t>1</w:t>
            </w:r>
          </w:p>
        </w:tc>
        <w:tc>
          <w:tcPr>
            <w:tcW w:w="5528" w:type="dxa"/>
            <w:tcBorders>
              <w:top w:val="double" w:sz="4" w:space="0" w:color="auto"/>
            </w:tcBorders>
            <w:shd w:val="clear" w:color="auto" w:fill="FFFFFF"/>
          </w:tcPr>
          <w:p w14:paraId="14EF228F" w14:textId="76DFF358" w:rsidR="00EA0F99" w:rsidRPr="0068236B" w:rsidRDefault="00EA0F99" w:rsidP="002E20CB">
            <w:pPr>
              <w:spacing w:before="0" w:after="0" w:line="240" w:lineRule="auto"/>
              <w:jc w:val="left"/>
              <w:rPr>
                <w:rFonts w:cs="Tahoma"/>
                <w:sz w:val="20"/>
                <w:szCs w:val="20"/>
              </w:rPr>
            </w:pPr>
            <w:r w:rsidRPr="0068236B">
              <w:rPr>
                <w:rFonts w:cs="Tahoma"/>
                <w:sz w:val="20"/>
                <w:szCs w:val="20"/>
              </w:rPr>
              <w:t>Non-monetised benefit elements</w:t>
            </w:r>
            <w:r w:rsidR="00061EF6" w:rsidRPr="0068236B">
              <w:rPr>
                <w:rFonts w:cs="Tahoma"/>
                <w:sz w:val="20"/>
                <w:szCs w:val="20"/>
              </w:rPr>
              <w:t>, based the following sub-criteria:</w:t>
            </w:r>
          </w:p>
          <w:p w14:paraId="024EBE61" w14:textId="1C9D9055" w:rsidR="00061EF6" w:rsidRPr="0068236B" w:rsidRDefault="00061EF6" w:rsidP="00D24CEF">
            <w:pPr>
              <w:pStyle w:val="ListParagraph"/>
              <w:numPr>
                <w:ilvl w:val="0"/>
                <w:numId w:val="114"/>
              </w:numPr>
              <w:spacing w:before="0" w:after="0" w:line="240" w:lineRule="auto"/>
              <w:ind w:left="244" w:hanging="142"/>
              <w:rPr>
                <w:rFonts w:cs="Tahoma"/>
                <w:sz w:val="20"/>
                <w:szCs w:val="20"/>
              </w:rPr>
            </w:pPr>
            <w:r w:rsidRPr="0068236B">
              <w:rPr>
                <w:rFonts w:cs="Tahoma"/>
                <w:sz w:val="20"/>
                <w:szCs w:val="20"/>
              </w:rPr>
              <w:t>Variation of CO</w:t>
            </w:r>
            <w:r w:rsidRPr="0068236B">
              <w:rPr>
                <w:rFonts w:cs="Tahoma"/>
                <w:sz w:val="20"/>
                <w:szCs w:val="20"/>
                <w:vertAlign w:val="subscript"/>
              </w:rPr>
              <w:t>2</w:t>
            </w:r>
            <w:r w:rsidRPr="0068236B">
              <w:rPr>
                <w:rFonts w:cs="Tahoma"/>
                <w:sz w:val="20"/>
                <w:szCs w:val="20"/>
              </w:rPr>
              <w:t xml:space="preserve"> </w:t>
            </w:r>
            <w:r w:rsidR="002E20CB" w:rsidRPr="0068236B">
              <w:rPr>
                <w:rFonts w:cs="Tahoma"/>
                <w:sz w:val="20"/>
                <w:szCs w:val="20"/>
              </w:rPr>
              <w:t>e</w:t>
            </w:r>
            <w:r w:rsidRPr="0068236B">
              <w:rPr>
                <w:rFonts w:cs="Tahoma"/>
                <w:sz w:val="20"/>
                <w:szCs w:val="20"/>
              </w:rPr>
              <w:t>mission</w:t>
            </w:r>
          </w:p>
          <w:p w14:paraId="21EA4963" w14:textId="789BCB16" w:rsidR="00061EF6" w:rsidRPr="0068236B" w:rsidRDefault="00061EF6" w:rsidP="00D24CEF">
            <w:pPr>
              <w:pStyle w:val="ListParagraph"/>
              <w:numPr>
                <w:ilvl w:val="0"/>
                <w:numId w:val="114"/>
              </w:numPr>
              <w:spacing w:before="0" w:after="0" w:line="240" w:lineRule="auto"/>
              <w:ind w:left="244" w:hanging="142"/>
              <w:rPr>
                <w:rFonts w:cs="Tahoma"/>
                <w:sz w:val="20"/>
                <w:szCs w:val="20"/>
                <w:lang w:val="mk-MK"/>
              </w:rPr>
            </w:pPr>
            <w:r w:rsidRPr="0068236B">
              <w:rPr>
                <w:rFonts w:cs="Tahoma"/>
                <w:sz w:val="20"/>
                <w:szCs w:val="20"/>
              </w:rPr>
              <w:t xml:space="preserve">RES </w:t>
            </w:r>
            <w:r w:rsidR="002E20CB" w:rsidRPr="0068236B">
              <w:rPr>
                <w:rFonts w:cs="Tahoma"/>
                <w:sz w:val="20"/>
                <w:szCs w:val="20"/>
              </w:rPr>
              <w:t>i</w:t>
            </w:r>
            <w:r w:rsidRPr="0068236B">
              <w:rPr>
                <w:rFonts w:cs="Tahoma"/>
                <w:sz w:val="20"/>
                <w:szCs w:val="20"/>
              </w:rPr>
              <w:t>ntegration</w:t>
            </w:r>
          </w:p>
          <w:p w14:paraId="340E0CA5" w14:textId="2B37469F" w:rsidR="00061EF6" w:rsidRPr="0068236B" w:rsidRDefault="00061EF6" w:rsidP="00D24CEF">
            <w:pPr>
              <w:pStyle w:val="ListParagraph"/>
              <w:numPr>
                <w:ilvl w:val="0"/>
                <w:numId w:val="114"/>
              </w:numPr>
              <w:spacing w:before="0" w:after="0" w:line="240" w:lineRule="auto"/>
              <w:ind w:left="244" w:hanging="142"/>
              <w:rPr>
                <w:rFonts w:cs="Tahoma"/>
                <w:sz w:val="20"/>
                <w:szCs w:val="20"/>
              </w:rPr>
            </w:pPr>
            <w:r w:rsidRPr="0068236B">
              <w:rPr>
                <w:rFonts w:cs="Tahoma"/>
                <w:sz w:val="20"/>
                <w:szCs w:val="20"/>
              </w:rPr>
              <w:t>Evacuation capacity</w:t>
            </w:r>
          </w:p>
          <w:p w14:paraId="3F5447EB" w14:textId="09D67CBE" w:rsidR="00061EF6" w:rsidRPr="0068236B" w:rsidRDefault="00061EF6" w:rsidP="00D24CEF">
            <w:pPr>
              <w:pStyle w:val="ListParagraph"/>
              <w:numPr>
                <w:ilvl w:val="0"/>
                <w:numId w:val="114"/>
              </w:numPr>
              <w:spacing w:before="0" w:after="0" w:line="240" w:lineRule="auto"/>
              <w:ind w:left="244" w:hanging="142"/>
              <w:rPr>
                <w:rFonts w:cs="Tahoma"/>
                <w:sz w:val="20"/>
                <w:szCs w:val="20"/>
              </w:rPr>
            </w:pPr>
            <w:r w:rsidRPr="0068236B">
              <w:rPr>
                <w:rFonts w:cs="Tahoma"/>
                <w:sz w:val="20"/>
                <w:szCs w:val="20"/>
              </w:rPr>
              <w:t>Spilled energy from RES</w:t>
            </w:r>
          </w:p>
        </w:tc>
        <w:tc>
          <w:tcPr>
            <w:tcW w:w="1560" w:type="dxa"/>
            <w:tcBorders>
              <w:top w:val="double" w:sz="4" w:space="0" w:color="auto"/>
              <w:right w:val="double" w:sz="4" w:space="0" w:color="auto"/>
            </w:tcBorders>
            <w:shd w:val="clear" w:color="auto" w:fill="FFFFFF"/>
            <w:vAlign w:val="bottom"/>
          </w:tcPr>
          <w:p w14:paraId="1F57C8E2" w14:textId="77777777" w:rsidR="00EA0F99" w:rsidRPr="0068236B" w:rsidRDefault="00EA0F99" w:rsidP="009B3365">
            <w:pPr>
              <w:spacing w:before="0" w:after="0" w:line="240" w:lineRule="auto"/>
              <w:jc w:val="center"/>
              <w:rPr>
                <w:rFonts w:eastAsia="Arial" w:cs="Tahoma"/>
                <w:sz w:val="20"/>
                <w:szCs w:val="20"/>
              </w:rPr>
            </w:pPr>
            <w:r w:rsidRPr="0068236B">
              <w:rPr>
                <w:rFonts w:eastAsia="Arial" w:cs="Tahoma"/>
                <w:sz w:val="20"/>
                <w:szCs w:val="20"/>
              </w:rPr>
              <w:t>20</w:t>
            </w:r>
          </w:p>
        </w:tc>
      </w:tr>
      <w:tr w:rsidR="00EA0F99" w:rsidRPr="0068236B" w14:paraId="530F0D22" w14:textId="77777777" w:rsidTr="009B3365">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tcBorders>
            <w:shd w:val="clear" w:color="auto" w:fill="FFFFFF"/>
          </w:tcPr>
          <w:p w14:paraId="06B7997C" w14:textId="77777777" w:rsidR="00EA0F99" w:rsidRPr="0068236B" w:rsidRDefault="00EA0F99" w:rsidP="00DC4387">
            <w:pPr>
              <w:spacing w:before="0" w:after="0" w:line="240" w:lineRule="auto"/>
              <w:jc w:val="center"/>
              <w:rPr>
                <w:rFonts w:eastAsia="Arial" w:cs="Tahoma"/>
                <w:sz w:val="20"/>
                <w:szCs w:val="20"/>
              </w:rPr>
            </w:pPr>
            <w:r w:rsidRPr="0068236B">
              <w:rPr>
                <w:rFonts w:eastAsia="Arial" w:cs="Tahoma"/>
                <w:sz w:val="20"/>
                <w:szCs w:val="20"/>
              </w:rPr>
              <w:t>2</w:t>
            </w:r>
          </w:p>
        </w:tc>
        <w:tc>
          <w:tcPr>
            <w:tcW w:w="5528" w:type="dxa"/>
            <w:shd w:val="clear" w:color="auto" w:fill="FFFFFF"/>
          </w:tcPr>
          <w:p w14:paraId="75918CD4" w14:textId="77777777" w:rsidR="009B3365" w:rsidRPr="0068236B" w:rsidRDefault="00EA0F99" w:rsidP="002E20CB">
            <w:pPr>
              <w:spacing w:before="0" w:after="0" w:line="240" w:lineRule="auto"/>
              <w:jc w:val="left"/>
              <w:rPr>
                <w:rFonts w:cs="Tahoma"/>
                <w:sz w:val="20"/>
                <w:szCs w:val="20"/>
              </w:rPr>
            </w:pPr>
            <w:r w:rsidRPr="0068236B">
              <w:rPr>
                <w:rFonts w:cs="Tahoma"/>
                <w:sz w:val="20"/>
                <w:szCs w:val="20"/>
              </w:rPr>
              <w:t>Monetised benefit and cost elements</w:t>
            </w:r>
            <w:r w:rsidR="009B3365" w:rsidRPr="0068236B">
              <w:rPr>
                <w:rFonts w:cs="Tahoma"/>
                <w:sz w:val="20"/>
                <w:szCs w:val="20"/>
              </w:rPr>
              <w:t>, based the following sub-criteria:</w:t>
            </w:r>
          </w:p>
          <w:p w14:paraId="6BD4A20A" w14:textId="0ACA7291" w:rsidR="009B3365" w:rsidRPr="0068236B" w:rsidRDefault="002E20CB" w:rsidP="00D24CEF">
            <w:pPr>
              <w:pStyle w:val="ListParagraph"/>
              <w:numPr>
                <w:ilvl w:val="0"/>
                <w:numId w:val="114"/>
              </w:numPr>
              <w:spacing w:before="0" w:after="0" w:line="240" w:lineRule="auto"/>
              <w:ind w:left="244" w:hanging="142"/>
              <w:rPr>
                <w:rFonts w:cs="Tahoma"/>
                <w:sz w:val="20"/>
                <w:szCs w:val="20"/>
              </w:rPr>
            </w:pPr>
            <w:r w:rsidRPr="0068236B">
              <w:rPr>
                <w:rFonts w:cs="Tahoma"/>
                <w:color w:val="000000"/>
                <w:sz w:val="20"/>
                <w:szCs w:val="20"/>
              </w:rPr>
              <w:t>Benefit / cost ratio</w:t>
            </w:r>
          </w:p>
          <w:p w14:paraId="57595198" w14:textId="187D54E0" w:rsidR="009B3365" w:rsidRPr="0068236B" w:rsidRDefault="002E20CB" w:rsidP="00D24CEF">
            <w:pPr>
              <w:pStyle w:val="ListParagraph"/>
              <w:numPr>
                <w:ilvl w:val="0"/>
                <w:numId w:val="114"/>
              </w:numPr>
              <w:spacing w:before="0" w:after="0" w:line="240" w:lineRule="auto"/>
              <w:ind w:left="244" w:hanging="142"/>
              <w:rPr>
                <w:rFonts w:cs="Tahoma"/>
                <w:sz w:val="20"/>
                <w:szCs w:val="20"/>
                <w:lang w:val="mk-MK"/>
              </w:rPr>
            </w:pPr>
            <w:r w:rsidRPr="0068236B">
              <w:rPr>
                <w:rFonts w:cs="Tahoma"/>
                <w:sz w:val="20"/>
                <w:szCs w:val="20"/>
              </w:rPr>
              <w:t>Socio-economic Welfare</w:t>
            </w:r>
          </w:p>
          <w:p w14:paraId="4C87E457" w14:textId="3B782723" w:rsidR="009B3365" w:rsidRPr="0068236B" w:rsidRDefault="002E20CB" w:rsidP="00D24CEF">
            <w:pPr>
              <w:pStyle w:val="ListParagraph"/>
              <w:numPr>
                <w:ilvl w:val="0"/>
                <w:numId w:val="114"/>
              </w:numPr>
              <w:spacing w:before="0" w:after="0" w:line="240" w:lineRule="auto"/>
              <w:ind w:left="244" w:hanging="142"/>
              <w:rPr>
                <w:rFonts w:cs="Tahoma"/>
                <w:sz w:val="20"/>
                <w:szCs w:val="20"/>
              </w:rPr>
            </w:pPr>
            <w:r w:rsidRPr="0068236B">
              <w:rPr>
                <w:rFonts w:cs="Tahoma"/>
                <w:sz w:val="20"/>
                <w:szCs w:val="20"/>
              </w:rPr>
              <w:t>Variation of grid losses</w:t>
            </w:r>
          </w:p>
        </w:tc>
        <w:tc>
          <w:tcPr>
            <w:tcW w:w="1560" w:type="dxa"/>
            <w:tcBorders>
              <w:right w:val="double" w:sz="4" w:space="0" w:color="auto"/>
            </w:tcBorders>
            <w:shd w:val="clear" w:color="auto" w:fill="FFFFFF"/>
            <w:vAlign w:val="bottom"/>
          </w:tcPr>
          <w:p w14:paraId="144FC396" w14:textId="77777777" w:rsidR="00EA0F99" w:rsidRPr="0068236B" w:rsidRDefault="00EA0F99" w:rsidP="009B3365">
            <w:pPr>
              <w:spacing w:before="0" w:after="0" w:line="240" w:lineRule="auto"/>
              <w:jc w:val="center"/>
              <w:rPr>
                <w:rFonts w:eastAsia="Arial" w:cs="Tahoma"/>
                <w:sz w:val="20"/>
                <w:szCs w:val="20"/>
              </w:rPr>
            </w:pPr>
            <w:r w:rsidRPr="0068236B">
              <w:rPr>
                <w:rFonts w:eastAsia="Arial" w:cs="Tahoma"/>
                <w:sz w:val="20"/>
                <w:szCs w:val="20"/>
              </w:rPr>
              <w:t>25</w:t>
            </w:r>
          </w:p>
        </w:tc>
      </w:tr>
      <w:tr w:rsidR="00EA0F99" w:rsidRPr="0068236B" w14:paraId="2812D864" w14:textId="77777777" w:rsidTr="009B3365">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bottom w:val="double" w:sz="4" w:space="0" w:color="auto"/>
            </w:tcBorders>
            <w:shd w:val="clear" w:color="auto" w:fill="FFD966" w:themeFill="accent4" w:themeFillTint="99"/>
          </w:tcPr>
          <w:p w14:paraId="0377C1AC" w14:textId="77777777" w:rsidR="00EA0F99" w:rsidRPr="0068236B" w:rsidRDefault="00EA0F99" w:rsidP="00DC4387">
            <w:pPr>
              <w:spacing w:before="0" w:after="0" w:line="240" w:lineRule="auto"/>
              <w:jc w:val="center"/>
              <w:rPr>
                <w:rFonts w:eastAsia="Arial" w:cs="Tahoma"/>
                <w:sz w:val="20"/>
                <w:szCs w:val="20"/>
              </w:rPr>
            </w:pPr>
          </w:p>
        </w:tc>
        <w:tc>
          <w:tcPr>
            <w:tcW w:w="5528" w:type="dxa"/>
            <w:tcBorders>
              <w:bottom w:val="double" w:sz="4" w:space="0" w:color="auto"/>
            </w:tcBorders>
            <w:shd w:val="clear" w:color="auto" w:fill="FFD966" w:themeFill="accent4" w:themeFillTint="99"/>
          </w:tcPr>
          <w:p w14:paraId="244DA1AD" w14:textId="77777777" w:rsidR="00EA0F99" w:rsidRPr="0068236B" w:rsidRDefault="00EA0F99" w:rsidP="00DC4387">
            <w:pPr>
              <w:spacing w:before="0" w:after="0" w:line="240" w:lineRule="auto"/>
              <w:jc w:val="right"/>
              <w:rPr>
                <w:rFonts w:cs="Tahoma"/>
                <w:sz w:val="20"/>
                <w:szCs w:val="20"/>
              </w:rPr>
            </w:pPr>
            <w:r w:rsidRPr="0068236B">
              <w:rPr>
                <w:rFonts w:cs="Tahoma"/>
                <w:sz w:val="20"/>
                <w:szCs w:val="20"/>
              </w:rPr>
              <w:t>Sub-total:</w:t>
            </w:r>
          </w:p>
        </w:tc>
        <w:tc>
          <w:tcPr>
            <w:tcW w:w="1560" w:type="dxa"/>
            <w:tcBorders>
              <w:bottom w:val="double" w:sz="4" w:space="0" w:color="auto"/>
              <w:right w:val="double" w:sz="4" w:space="0" w:color="auto"/>
            </w:tcBorders>
            <w:shd w:val="clear" w:color="auto" w:fill="FFD966" w:themeFill="accent4" w:themeFillTint="99"/>
            <w:vAlign w:val="bottom"/>
          </w:tcPr>
          <w:p w14:paraId="51403A8B" w14:textId="77777777" w:rsidR="00EA0F99" w:rsidRPr="0068236B" w:rsidRDefault="00EA0F99" w:rsidP="009B3365">
            <w:pPr>
              <w:spacing w:before="0" w:after="0" w:line="240" w:lineRule="auto"/>
              <w:jc w:val="center"/>
              <w:rPr>
                <w:rFonts w:eastAsia="Arial" w:cs="Tahoma"/>
                <w:sz w:val="20"/>
                <w:szCs w:val="20"/>
              </w:rPr>
            </w:pPr>
            <w:r w:rsidRPr="0068236B">
              <w:rPr>
                <w:rFonts w:eastAsia="Arial" w:cs="Tahoma"/>
                <w:sz w:val="20"/>
                <w:szCs w:val="20"/>
              </w:rPr>
              <w:t>45</w:t>
            </w:r>
          </w:p>
        </w:tc>
      </w:tr>
      <w:tr w:rsidR="00EA0F99" w:rsidRPr="0068236B" w14:paraId="7873FC5A" w14:textId="77777777" w:rsidTr="009B3365">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bottom w:val="double" w:sz="4" w:space="0" w:color="auto"/>
            </w:tcBorders>
            <w:shd w:val="clear" w:color="auto" w:fill="BFBFBF" w:themeFill="background1" w:themeFillShade="BF"/>
          </w:tcPr>
          <w:p w14:paraId="76042B66" w14:textId="77777777" w:rsidR="00EA0F99" w:rsidRPr="0068236B" w:rsidRDefault="00EA0F99" w:rsidP="00DC4387">
            <w:pPr>
              <w:spacing w:before="0" w:after="0" w:line="240" w:lineRule="auto"/>
              <w:jc w:val="center"/>
              <w:rPr>
                <w:rFonts w:eastAsia="Arial" w:cs="Tahoma"/>
                <w:sz w:val="20"/>
                <w:szCs w:val="20"/>
              </w:rPr>
            </w:pPr>
          </w:p>
        </w:tc>
        <w:tc>
          <w:tcPr>
            <w:tcW w:w="5528" w:type="dxa"/>
            <w:tcBorders>
              <w:top w:val="double" w:sz="4" w:space="0" w:color="auto"/>
              <w:bottom w:val="double" w:sz="4" w:space="0" w:color="auto"/>
            </w:tcBorders>
            <w:shd w:val="clear" w:color="auto" w:fill="BFBFBF" w:themeFill="background1" w:themeFillShade="BF"/>
          </w:tcPr>
          <w:p w14:paraId="1901D54E" w14:textId="77777777" w:rsidR="00EA0F99" w:rsidRPr="0068236B" w:rsidRDefault="00EA0F99" w:rsidP="00DC4387">
            <w:pPr>
              <w:spacing w:before="0" w:after="0" w:line="240" w:lineRule="auto"/>
              <w:rPr>
                <w:rFonts w:cs="Tahoma"/>
                <w:sz w:val="20"/>
                <w:szCs w:val="20"/>
              </w:rPr>
            </w:pPr>
            <w:r w:rsidRPr="0068236B">
              <w:rPr>
                <w:rFonts w:cs="Tahoma"/>
                <w:sz w:val="20"/>
                <w:szCs w:val="20"/>
              </w:rPr>
              <w:t xml:space="preserve">Engineering / Technical </w:t>
            </w:r>
          </w:p>
        </w:tc>
        <w:tc>
          <w:tcPr>
            <w:tcW w:w="1560" w:type="dxa"/>
            <w:tcBorders>
              <w:top w:val="double" w:sz="4" w:space="0" w:color="auto"/>
              <w:bottom w:val="double" w:sz="4" w:space="0" w:color="auto"/>
              <w:right w:val="double" w:sz="4" w:space="0" w:color="auto"/>
            </w:tcBorders>
            <w:shd w:val="clear" w:color="auto" w:fill="BFBFBF" w:themeFill="background1" w:themeFillShade="BF"/>
            <w:vAlign w:val="bottom"/>
          </w:tcPr>
          <w:p w14:paraId="7660BE5D" w14:textId="77777777" w:rsidR="00EA0F99" w:rsidRPr="0068236B" w:rsidRDefault="00EA0F99" w:rsidP="009B3365">
            <w:pPr>
              <w:spacing w:before="0" w:after="0" w:line="240" w:lineRule="auto"/>
              <w:jc w:val="center"/>
              <w:rPr>
                <w:rFonts w:eastAsia="Arial" w:cs="Tahoma"/>
                <w:sz w:val="20"/>
                <w:szCs w:val="20"/>
              </w:rPr>
            </w:pPr>
          </w:p>
        </w:tc>
      </w:tr>
      <w:tr w:rsidR="00EA0F99" w:rsidRPr="0068236B" w14:paraId="36C6D981" w14:textId="77777777" w:rsidTr="009B3365">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tcBorders>
            <w:shd w:val="clear" w:color="auto" w:fill="FFFFFF"/>
          </w:tcPr>
          <w:p w14:paraId="14A51198" w14:textId="77777777" w:rsidR="00EA0F99" w:rsidRPr="0068236B" w:rsidRDefault="00EA0F99" w:rsidP="00DC4387">
            <w:pPr>
              <w:spacing w:before="0" w:after="0" w:line="240" w:lineRule="auto"/>
              <w:jc w:val="center"/>
              <w:rPr>
                <w:rFonts w:eastAsia="Arial" w:cs="Tahoma"/>
                <w:sz w:val="20"/>
                <w:szCs w:val="20"/>
              </w:rPr>
            </w:pPr>
            <w:r w:rsidRPr="0068236B">
              <w:rPr>
                <w:rFonts w:eastAsia="Arial" w:cs="Tahoma"/>
                <w:sz w:val="20"/>
                <w:szCs w:val="20"/>
              </w:rPr>
              <w:t>3</w:t>
            </w:r>
          </w:p>
        </w:tc>
        <w:tc>
          <w:tcPr>
            <w:tcW w:w="5528" w:type="dxa"/>
            <w:tcBorders>
              <w:top w:val="double" w:sz="4" w:space="0" w:color="auto"/>
            </w:tcBorders>
            <w:shd w:val="clear" w:color="auto" w:fill="FFFFFF"/>
          </w:tcPr>
          <w:p w14:paraId="3632DDAF" w14:textId="0014DF7E" w:rsidR="002E20CB" w:rsidRPr="0068236B" w:rsidRDefault="00EA0F99" w:rsidP="002E20CB">
            <w:pPr>
              <w:spacing w:before="0" w:after="0" w:line="240" w:lineRule="auto"/>
              <w:jc w:val="left"/>
              <w:rPr>
                <w:rFonts w:cs="Tahoma"/>
                <w:sz w:val="20"/>
                <w:szCs w:val="20"/>
              </w:rPr>
            </w:pPr>
            <w:r w:rsidRPr="0068236B">
              <w:rPr>
                <w:rFonts w:cs="Tahoma"/>
                <w:sz w:val="20"/>
                <w:szCs w:val="20"/>
              </w:rPr>
              <w:t>Technical e</w:t>
            </w:r>
            <w:r w:rsidR="002E20CB" w:rsidRPr="0068236B">
              <w:rPr>
                <w:rFonts w:cs="Tahoma"/>
                <w:sz w:val="20"/>
                <w:szCs w:val="20"/>
              </w:rPr>
              <w:t>lements and location assessment, based the fo</w:t>
            </w:r>
            <w:r w:rsidR="002E20CB" w:rsidRPr="0068236B">
              <w:rPr>
                <w:rFonts w:cs="Tahoma"/>
                <w:sz w:val="20"/>
                <w:szCs w:val="20"/>
              </w:rPr>
              <w:t>l</w:t>
            </w:r>
            <w:r w:rsidR="002E20CB" w:rsidRPr="0068236B">
              <w:rPr>
                <w:rFonts w:cs="Tahoma"/>
                <w:sz w:val="20"/>
                <w:szCs w:val="20"/>
              </w:rPr>
              <w:t>lowing sub-criteria:</w:t>
            </w:r>
          </w:p>
          <w:p w14:paraId="01CB4E7B" w14:textId="77777777" w:rsidR="00080084" w:rsidRPr="0068236B" w:rsidRDefault="00080084" w:rsidP="00D24CEF">
            <w:pPr>
              <w:pStyle w:val="ListBullet"/>
              <w:numPr>
                <w:ilvl w:val="0"/>
                <w:numId w:val="117"/>
              </w:numPr>
              <w:spacing w:after="0" w:line="240" w:lineRule="auto"/>
              <w:ind w:left="244" w:hanging="142"/>
              <w:jc w:val="left"/>
              <w:rPr>
                <w:rFonts w:cs="Tahoma"/>
                <w:sz w:val="20"/>
                <w:szCs w:val="20"/>
              </w:rPr>
            </w:pPr>
            <w:r w:rsidRPr="0068236B">
              <w:rPr>
                <w:rFonts w:cs="Arial"/>
                <w:sz w:val="20"/>
                <w:szCs w:val="20"/>
              </w:rPr>
              <w:t>Terrain conditions and topography for the new substation and the corridors for the new overhead lines</w:t>
            </w:r>
          </w:p>
          <w:p w14:paraId="6F8E6D4B" w14:textId="77777777" w:rsidR="00080084" w:rsidRPr="0068236B" w:rsidRDefault="00080084" w:rsidP="00D24CEF">
            <w:pPr>
              <w:pStyle w:val="ListBullet"/>
              <w:numPr>
                <w:ilvl w:val="0"/>
                <w:numId w:val="117"/>
              </w:numPr>
              <w:spacing w:after="0" w:line="240" w:lineRule="auto"/>
              <w:ind w:left="244" w:hanging="142"/>
              <w:jc w:val="left"/>
              <w:rPr>
                <w:rFonts w:cs="Tahoma"/>
                <w:sz w:val="20"/>
                <w:szCs w:val="20"/>
              </w:rPr>
            </w:pPr>
            <w:r w:rsidRPr="0068236B">
              <w:rPr>
                <w:rFonts w:cs="Arial"/>
                <w:sz w:val="20"/>
                <w:szCs w:val="20"/>
              </w:rPr>
              <w:t>Climate parameters for the new transmission infrastru</w:t>
            </w:r>
            <w:r w:rsidRPr="0068236B">
              <w:rPr>
                <w:rFonts w:cs="Arial"/>
                <w:sz w:val="20"/>
                <w:szCs w:val="20"/>
              </w:rPr>
              <w:t>c</w:t>
            </w:r>
            <w:r w:rsidRPr="0068236B">
              <w:rPr>
                <w:rFonts w:cs="Arial"/>
                <w:sz w:val="20"/>
                <w:szCs w:val="20"/>
              </w:rPr>
              <w:t>ture</w:t>
            </w:r>
          </w:p>
          <w:p w14:paraId="4603C152" w14:textId="77777777" w:rsidR="00080084" w:rsidRPr="0068236B" w:rsidRDefault="00080084" w:rsidP="00D24CEF">
            <w:pPr>
              <w:pStyle w:val="ListBullet"/>
              <w:numPr>
                <w:ilvl w:val="0"/>
                <w:numId w:val="117"/>
              </w:numPr>
              <w:spacing w:after="0" w:line="240" w:lineRule="auto"/>
              <w:ind w:left="244" w:hanging="142"/>
              <w:jc w:val="left"/>
              <w:rPr>
                <w:rFonts w:cs="Tahoma"/>
                <w:sz w:val="20"/>
                <w:szCs w:val="20"/>
              </w:rPr>
            </w:pPr>
            <w:r w:rsidRPr="0068236B">
              <w:rPr>
                <w:rFonts w:cs="Arial"/>
                <w:sz w:val="20"/>
                <w:szCs w:val="20"/>
              </w:rPr>
              <w:t>Land availability for the new 400/110 kV substation</w:t>
            </w:r>
          </w:p>
          <w:p w14:paraId="191C46ED" w14:textId="77777777" w:rsidR="00080084" w:rsidRPr="0068236B" w:rsidRDefault="00080084" w:rsidP="00D24CEF">
            <w:pPr>
              <w:pStyle w:val="ListBullet"/>
              <w:numPr>
                <w:ilvl w:val="0"/>
                <w:numId w:val="117"/>
              </w:numPr>
              <w:spacing w:after="0" w:line="240" w:lineRule="auto"/>
              <w:ind w:left="244" w:hanging="142"/>
              <w:jc w:val="left"/>
              <w:rPr>
                <w:rFonts w:cs="Tahoma"/>
                <w:sz w:val="20"/>
                <w:szCs w:val="20"/>
              </w:rPr>
            </w:pPr>
            <w:r w:rsidRPr="0068236B">
              <w:rPr>
                <w:rFonts w:cs="Arial"/>
                <w:sz w:val="20"/>
                <w:szCs w:val="20"/>
              </w:rPr>
              <w:t>Availability of free OHL corridors for new conections of renewable energy sources</w:t>
            </w:r>
          </w:p>
          <w:p w14:paraId="1BA0A24D" w14:textId="6CD9A74B" w:rsidR="00EA0F99" w:rsidRPr="0068236B" w:rsidRDefault="00080084" w:rsidP="00D24CEF">
            <w:pPr>
              <w:pStyle w:val="ListBullet"/>
              <w:numPr>
                <w:ilvl w:val="0"/>
                <w:numId w:val="117"/>
              </w:numPr>
              <w:spacing w:after="0" w:line="240" w:lineRule="auto"/>
              <w:ind w:left="244" w:hanging="142"/>
              <w:jc w:val="left"/>
              <w:rPr>
                <w:rFonts w:cs="Tahoma"/>
                <w:sz w:val="20"/>
                <w:szCs w:val="20"/>
              </w:rPr>
            </w:pPr>
            <w:r w:rsidRPr="0068236B">
              <w:rPr>
                <w:rFonts w:cs="Arial"/>
                <w:sz w:val="20"/>
                <w:szCs w:val="20"/>
              </w:rPr>
              <w:t>Required upgrade of existing transmission assets (line and substations)</w:t>
            </w:r>
          </w:p>
        </w:tc>
        <w:tc>
          <w:tcPr>
            <w:tcW w:w="1560" w:type="dxa"/>
            <w:tcBorders>
              <w:top w:val="double" w:sz="4" w:space="0" w:color="auto"/>
              <w:right w:val="double" w:sz="4" w:space="0" w:color="auto"/>
            </w:tcBorders>
            <w:shd w:val="clear" w:color="auto" w:fill="FFFFFF"/>
            <w:vAlign w:val="bottom"/>
          </w:tcPr>
          <w:p w14:paraId="7C7F32A5" w14:textId="77777777" w:rsidR="00EA0F99" w:rsidRPr="0068236B" w:rsidRDefault="00EA0F99" w:rsidP="009B3365">
            <w:pPr>
              <w:spacing w:before="0" w:after="0" w:line="240" w:lineRule="auto"/>
              <w:jc w:val="center"/>
              <w:rPr>
                <w:rFonts w:eastAsia="Arial" w:cs="Tahoma"/>
                <w:sz w:val="20"/>
                <w:szCs w:val="20"/>
              </w:rPr>
            </w:pPr>
            <w:r w:rsidRPr="0068236B">
              <w:rPr>
                <w:rFonts w:eastAsia="Arial" w:cs="Tahoma"/>
                <w:sz w:val="20"/>
                <w:szCs w:val="20"/>
              </w:rPr>
              <w:t>25</w:t>
            </w:r>
          </w:p>
        </w:tc>
      </w:tr>
      <w:tr w:rsidR="00EA0F99" w:rsidRPr="0068236B" w14:paraId="43B44DC9" w14:textId="77777777" w:rsidTr="009B3365">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bottom w:val="double" w:sz="4" w:space="0" w:color="auto"/>
            </w:tcBorders>
            <w:shd w:val="clear" w:color="auto" w:fill="FFD966" w:themeFill="accent4" w:themeFillTint="99"/>
          </w:tcPr>
          <w:p w14:paraId="0593038E" w14:textId="1B5BC513" w:rsidR="00EA0F99" w:rsidRPr="0068236B" w:rsidRDefault="00EA0F99" w:rsidP="00DC4387">
            <w:pPr>
              <w:spacing w:before="0" w:after="0" w:line="240" w:lineRule="auto"/>
              <w:jc w:val="center"/>
              <w:rPr>
                <w:rFonts w:eastAsia="Arial" w:cs="Tahoma"/>
                <w:sz w:val="20"/>
                <w:szCs w:val="20"/>
              </w:rPr>
            </w:pPr>
          </w:p>
        </w:tc>
        <w:tc>
          <w:tcPr>
            <w:tcW w:w="5528" w:type="dxa"/>
            <w:tcBorders>
              <w:bottom w:val="double" w:sz="4" w:space="0" w:color="auto"/>
            </w:tcBorders>
            <w:shd w:val="clear" w:color="auto" w:fill="FFD966" w:themeFill="accent4" w:themeFillTint="99"/>
          </w:tcPr>
          <w:p w14:paraId="73FC2251" w14:textId="77777777" w:rsidR="00EA0F99" w:rsidRPr="0068236B" w:rsidRDefault="00EA0F99" w:rsidP="00DC4387">
            <w:pPr>
              <w:spacing w:before="0" w:after="0" w:line="240" w:lineRule="auto"/>
              <w:jc w:val="right"/>
              <w:rPr>
                <w:rFonts w:cs="Tahoma"/>
                <w:sz w:val="20"/>
                <w:szCs w:val="20"/>
              </w:rPr>
            </w:pPr>
            <w:r w:rsidRPr="0068236B">
              <w:rPr>
                <w:rFonts w:cs="Tahoma"/>
                <w:sz w:val="20"/>
                <w:szCs w:val="20"/>
              </w:rPr>
              <w:t>Sub-total:</w:t>
            </w:r>
          </w:p>
        </w:tc>
        <w:tc>
          <w:tcPr>
            <w:tcW w:w="1560" w:type="dxa"/>
            <w:tcBorders>
              <w:bottom w:val="double" w:sz="4" w:space="0" w:color="auto"/>
              <w:right w:val="double" w:sz="4" w:space="0" w:color="auto"/>
            </w:tcBorders>
            <w:shd w:val="clear" w:color="auto" w:fill="FFD966" w:themeFill="accent4" w:themeFillTint="99"/>
            <w:vAlign w:val="bottom"/>
          </w:tcPr>
          <w:p w14:paraId="2ABD856C" w14:textId="77777777" w:rsidR="00EA0F99" w:rsidRPr="0068236B" w:rsidRDefault="00EA0F99" w:rsidP="009B3365">
            <w:pPr>
              <w:spacing w:before="0" w:after="0" w:line="240" w:lineRule="auto"/>
              <w:jc w:val="center"/>
              <w:rPr>
                <w:rFonts w:eastAsia="Arial" w:cs="Tahoma"/>
                <w:sz w:val="20"/>
                <w:szCs w:val="20"/>
              </w:rPr>
            </w:pPr>
            <w:r w:rsidRPr="0068236B">
              <w:rPr>
                <w:rFonts w:eastAsia="Arial" w:cs="Tahoma"/>
                <w:sz w:val="20"/>
                <w:szCs w:val="20"/>
              </w:rPr>
              <w:t>25</w:t>
            </w:r>
          </w:p>
        </w:tc>
      </w:tr>
      <w:tr w:rsidR="00EA0F99" w:rsidRPr="0068236B" w14:paraId="4BA86491" w14:textId="77777777" w:rsidTr="009B3365">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bottom w:val="double" w:sz="4" w:space="0" w:color="auto"/>
            </w:tcBorders>
            <w:shd w:val="clear" w:color="auto" w:fill="BFBFBF" w:themeFill="background1" w:themeFillShade="BF"/>
          </w:tcPr>
          <w:p w14:paraId="7718F1C8" w14:textId="77777777" w:rsidR="00EA0F99" w:rsidRPr="0068236B" w:rsidRDefault="00EA0F99" w:rsidP="00DC4387">
            <w:pPr>
              <w:spacing w:before="0" w:after="0" w:line="240" w:lineRule="auto"/>
              <w:jc w:val="center"/>
              <w:rPr>
                <w:rFonts w:eastAsia="Arial" w:cs="Tahoma"/>
                <w:sz w:val="20"/>
                <w:szCs w:val="20"/>
              </w:rPr>
            </w:pPr>
          </w:p>
        </w:tc>
        <w:tc>
          <w:tcPr>
            <w:tcW w:w="5528" w:type="dxa"/>
            <w:tcBorders>
              <w:top w:val="double" w:sz="4" w:space="0" w:color="auto"/>
              <w:bottom w:val="double" w:sz="4" w:space="0" w:color="auto"/>
            </w:tcBorders>
            <w:shd w:val="clear" w:color="auto" w:fill="BFBFBF" w:themeFill="background1" w:themeFillShade="BF"/>
          </w:tcPr>
          <w:p w14:paraId="130076BA" w14:textId="4B20BE8E" w:rsidR="00EA0F99" w:rsidRPr="0068236B" w:rsidRDefault="00EA0F99" w:rsidP="00DC4387">
            <w:pPr>
              <w:spacing w:before="0" w:after="0" w:line="240" w:lineRule="auto"/>
              <w:rPr>
                <w:rFonts w:cs="Tahoma"/>
                <w:sz w:val="20"/>
                <w:szCs w:val="20"/>
              </w:rPr>
            </w:pPr>
            <w:r w:rsidRPr="0068236B">
              <w:rPr>
                <w:rFonts w:cs="Tahoma"/>
                <w:sz w:val="20"/>
                <w:szCs w:val="20"/>
              </w:rPr>
              <w:t>Environmental and social</w:t>
            </w:r>
            <w:r w:rsidR="006F223B" w:rsidRPr="0068236B">
              <w:rPr>
                <w:rFonts w:cs="Tahoma"/>
                <w:sz w:val="20"/>
                <w:szCs w:val="20"/>
              </w:rPr>
              <w:t xml:space="preserve"> </w:t>
            </w:r>
          </w:p>
        </w:tc>
        <w:tc>
          <w:tcPr>
            <w:tcW w:w="1560" w:type="dxa"/>
            <w:tcBorders>
              <w:top w:val="double" w:sz="4" w:space="0" w:color="auto"/>
              <w:bottom w:val="double" w:sz="4" w:space="0" w:color="auto"/>
              <w:right w:val="double" w:sz="4" w:space="0" w:color="auto"/>
            </w:tcBorders>
            <w:shd w:val="clear" w:color="auto" w:fill="BFBFBF" w:themeFill="background1" w:themeFillShade="BF"/>
            <w:vAlign w:val="bottom"/>
          </w:tcPr>
          <w:p w14:paraId="13D774CC" w14:textId="77777777" w:rsidR="00EA0F99" w:rsidRPr="0068236B" w:rsidRDefault="00EA0F99" w:rsidP="009B3365">
            <w:pPr>
              <w:spacing w:before="0" w:after="0" w:line="240" w:lineRule="auto"/>
              <w:jc w:val="center"/>
              <w:rPr>
                <w:rFonts w:eastAsia="Arial" w:cs="Tahoma"/>
                <w:sz w:val="20"/>
                <w:szCs w:val="20"/>
              </w:rPr>
            </w:pPr>
          </w:p>
        </w:tc>
      </w:tr>
      <w:tr w:rsidR="00EA0F99" w:rsidRPr="0068236B" w14:paraId="78F57E82" w14:textId="77777777" w:rsidTr="009B3365">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tcBorders>
            <w:shd w:val="clear" w:color="auto" w:fill="FFFFFF"/>
          </w:tcPr>
          <w:p w14:paraId="1626D9D5" w14:textId="77777777" w:rsidR="00EA0F99" w:rsidRPr="0068236B" w:rsidRDefault="00EA0F99" w:rsidP="00DC4387">
            <w:pPr>
              <w:spacing w:before="0" w:after="0" w:line="240" w:lineRule="auto"/>
              <w:jc w:val="center"/>
              <w:rPr>
                <w:rFonts w:eastAsia="Arial" w:cs="Tahoma"/>
                <w:sz w:val="20"/>
                <w:szCs w:val="20"/>
              </w:rPr>
            </w:pPr>
            <w:r w:rsidRPr="0068236B">
              <w:rPr>
                <w:rFonts w:eastAsia="Arial" w:cs="Tahoma"/>
                <w:sz w:val="20"/>
                <w:szCs w:val="20"/>
              </w:rPr>
              <w:t>4</w:t>
            </w:r>
          </w:p>
        </w:tc>
        <w:tc>
          <w:tcPr>
            <w:tcW w:w="5528" w:type="dxa"/>
            <w:tcBorders>
              <w:top w:val="double" w:sz="4" w:space="0" w:color="auto"/>
            </w:tcBorders>
            <w:shd w:val="clear" w:color="auto" w:fill="FFFFFF"/>
          </w:tcPr>
          <w:p w14:paraId="43501F25" w14:textId="08B42231" w:rsidR="002E20CB" w:rsidRPr="0068236B" w:rsidRDefault="00EA0F99" w:rsidP="002E20CB">
            <w:pPr>
              <w:spacing w:before="0" w:after="0" w:line="240" w:lineRule="auto"/>
              <w:jc w:val="left"/>
              <w:rPr>
                <w:rFonts w:cs="Tahoma"/>
                <w:sz w:val="20"/>
                <w:szCs w:val="20"/>
              </w:rPr>
            </w:pPr>
            <w:r w:rsidRPr="0068236B">
              <w:rPr>
                <w:rFonts w:cs="Tahoma"/>
                <w:sz w:val="20"/>
                <w:szCs w:val="20"/>
              </w:rPr>
              <w:t>Environmental elements</w:t>
            </w:r>
            <w:r w:rsidR="002E20CB" w:rsidRPr="0068236B">
              <w:rPr>
                <w:rFonts w:cs="Tahoma"/>
                <w:sz w:val="20"/>
                <w:szCs w:val="20"/>
              </w:rPr>
              <w:t>, based the following sub-criteria:</w:t>
            </w:r>
          </w:p>
          <w:p w14:paraId="306E5D14" w14:textId="77777777" w:rsidR="002E20CB" w:rsidRPr="0068236B" w:rsidRDefault="002E20CB" w:rsidP="00D24CEF">
            <w:pPr>
              <w:pStyle w:val="ListParagraph"/>
              <w:numPr>
                <w:ilvl w:val="0"/>
                <w:numId w:val="115"/>
              </w:numPr>
              <w:autoSpaceDE w:val="0"/>
              <w:autoSpaceDN w:val="0"/>
              <w:adjustRightInd w:val="0"/>
              <w:spacing w:before="0" w:after="0" w:line="240" w:lineRule="auto"/>
              <w:ind w:left="244" w:hanging="142"/>
              <w:jc w:val="left"/>
              <w:rPr>
                <w:rFonts w:cs="Arial"/>
                <w:sz w:val="20"/>
                <w:szCs w:val="20"/>
              </w:rPr>
            </w:pPr>
            <w:r w:rsidRPr="0068236B">
              <w:rPr>
                <w:rFonts w:cs="Arial"/>
                <w:sz w:val="20"/>
                <w:szCs w:val="20"/>
              </w:rPr>
              <w:t>Climate resilience (climate adaptation)</w:t>
            </w:r>
          </w:p>
          <w:p w14:paraId="14F58B08" w14:textId="41BC06E9" w:rsidR="002E20CB" w:rsidRPr="0068236B" w:rsidRDefault="002E20CB" w:rsidP="00D24CEF">
            <w:pPr>
              <w:pStyle w:val="ListParagraph"/>
              <w:numPr>
                <w:ilvl w:val="0"/>
                <w:numId w:val="115"/>
              </w:numPr>
              <w:autoSpaceDE w:val="0"/>
              <w:autoSpaceDN w:val="0"/>
              <w:adjustRightInd w:val="0"/>
              <w:spacing w:before="0" w:after="0" w:line="240" w:lineRule="auto"/>
              <w:ind w:left="244" w:hanging="142"/>
              <w:jc w:val="left"/>
              <w:rPr>
                <w:rFonts w:cs="Arial"/>
                <w:sz w:val="20"/>
                <w:szCs w:val="20"/>
              </w:rPr>
            </w:pPr>
            <w:r w:rsidRPr="0068236B">
              <w:rPr>
                <w:rFonts w:cs="Arial"/>
                <w:sz w:val="20"/>
                <w:szCs w:val="20"/>
              </w:rPr>
              <w:t xml:space="preserve">Biodiversity and </w:t>
            </w:r>
            <w:r w:rsidRPr="0068236B">
              <w:rPr>
                <w:sz w:val="20"/>
                <w:szCs w:val="20"/>
              </w:rPr>
              <w:t>sensitive zones (forests, wetlands, flood plains, riparian areas, geological and water environment)</w:t>
            </w:r>
          </w:p>
          <w:p w14:paraId="2AE35F50" w14:textId="77777777" w:rsidR="002E20CB" w:rsidRPr="0068236B" w:rsidRDefault="002E20CB" w:rsidP="00D24CEF">
            <w:pPr>
              <w:pStyle w:val="ListParagraph"/>
              <w:numPr>
                <w:ilvl w:val="0"/>
                <w:numId w:val="115"/>
              </w:numPr>
              <w:autoSpaceDE w:val="0"/>
              <w:autoSpaceDN w:val="0"/>
              <w:adjustRightInd w:val="0"/>
              <w:spacing w:before="0" w:after="0" w:line="240" w:lineRule="auto"/>
              <w:ind w:left="244" w:hanging="142"/>
              <w:jc w:val="left"/>
              <w:rPr>
                <w:rFonts w:cs="Arial"/>
                <w:sz w:val="20"/>
                <w:szCs w:val="20"/>
              </w:rPr>
            </w:pPr>
            <w:r w:rsidRPr="0068236B">
              <w:rPr>
                <w:rFonts w:cs="Arial"/>
                <w:sz w:val="20"/>
                <w:szCs w:val="20"/>
              </w:rPr>
              <w:t xml:space="preserve">Designated areas - legally protected areas / internationally recognised areas </w:t>
            </w:r>
          </w:p>
          <w:p w14:paraId="6B7F7AF8" w14:textId="6FCC5CBF" w:rsidR="00EA0F99" w:rsidRPr="0068236B" w:rsidRDefault="002E20CB" w:rsidP="00D24CEF">
            <w:pPr>
              <w:pStyle w:val="ListParagraph"/>
              <w:numPr>
                <w:ilvl w:val="0"/>
                <w:numId w:val="115"/>
              </w:numPr>
              <w:spacing w:before="0" w:after="0" w:line="240" w:lineRule="auto"/>
              <w:ind w:left="244" w:hanging="142"/>
              <w:rPr>
                <w:rFonts w:cs="Tahoma"/>
                <w:sz w:val="20"/>
                <w:szCs w:val="20"/>
              </w:rPr>
            </w:pPr>
            <w:r w:rsidRPr="0068236B">
              <w:rPr>
                <w:rFonts w:cs="Arial"/>
                <w:sz w:val="20"/>
                <w:szCs w:val="20"/>
              </w:rPr>
              <w:t>Sensitive or valued landscapes</w:t>
            </w:r>
          </w:p>
        </w:tc>
        <w:tc>
          <w:tcPr>
            <w:tcW w:w="1560" w:type="dxa"/>
            <w:tcBorders>
              <w:top w:val="double" w:sz="4" w:space="0" w:color="auto"/>
              <w:right w:val="double" w:sz="4" w:space="0" w:color="auto"/>
            </w:tcBorders>
            <w:shd w:val="clear" w:color="auto" w:fill="FFFFFF"/>
            <w:vAlign w:val="bottom"/>
          </w:tcPr>
          <w:p w14:paraId="149D7DF3" w14:textId="77777777" w:rsidR="00EA0F99" w:rsidRPr="0068236B" w:rsidRDefault="00EA0F99" w:rsidP="009B3365">
            <w:pPr>
              <w:spacing w:before="0" w:after="0" w:line="240" w:lineRule="auto"/>
              <w:jc w:val="center"/>
              <w:rPr>
                <w:rFonts w:eastAsia="Arial" w:cs="Tahoma"/>
                <w:sz w:val="20"/>
                <w:szCs w:val="20"/>
              </w:rPr>
            </w:pPr>
            <w:r w:rsidRPr="0068236B">
              <w:rPr>
                <w:rFonts w:eastAsia="Arial" w:cs="Tahoma"/>
                <w:sz w:val="20"/>
                <w:szCs w:val="20"/>
              </w:rPr>
              <w:t>15</w:t>
            </w:r>
          </w:p>
        </w:tc>
      </w:tr>
      <w:tr w:rsidR="00EA0F99" w:rsidRPr="0068236B" w14:paraId="21854E9F" w14:textId="77777777" w:rsidTr="009B3365">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tcBorders>
            <w:shd w:val="clear" w:color="auto" w:fill="FFFFFF"/>
          </w:tcPr>
          <w:p w14:paraId="7D033A02" w14:textId="77777777" w:rsidR="00EA0F99" w:rsidRPr="0068236B" w:rsidRDefault="00EA0F99" w:rsidP="00DC4387">
            <w:pPr>
              <w:spacing w:before="0" w:after="0" w:line="240" w:lineRule="auto"/>
              <w:jc w:val="center"/>
              <w:rPr>
                <w:rFonts w:eastAsia="Arial" w:cs="Tahoma"/>
                <w:sz w:val="20"/>
                <w:szCs w:val="20"/>
              </w:rPr>
            </w:pPr>
            <w:r w:rsidRPr="0068236B">
              <w:rPr>
                <w:rFonts w:eastAsia="Arial" w:cs="Tahoma"/>
                <w:sz w:val="20"/>
                <w:szCs w:val="20"/>
              </w:rPr>
              <w:t>5</w:t>
            </w:r>
          </w:p>
        </w:tc>
        <w:tc>
          <w:tcPr>
            <w:tcW w:w="5528" w:type="dxa"/>
            <w:shd w:val="clear" w:color="auto" w:fill="FFFFFF"/>
          </w:tcPr>
          <w:p w14:paraId="7E030462" w14:textId="72E71AD4" w:rsidR="002E20CB" w:rsidRPr="0068236B" w:rsidRDefault="00EA0F99" w:rsidP="002E20CB">
            <w:pPr>
              <w:spacing w:before="0" w:after="0" w:line="240" w:lineRule="auto"/>
              <w:jc w:val="left"/>
              <w:rPr>
                <w:rFonts w:cs="Tahoma"/>
                <w:sz w:val="20"/>
                <w:szCs w:val="20"/>
              </w:rPr>
            </w:pPr>
            <w:r w:rsidRPr="0068236B">
              <w:rPr>
                <w:rFonts w:cs="Tahoma"/>
                <w:sz w:val="20"/>
                <w:szCs w:val="20"/>
              </w:rPr>
              <w:t>Social elements</w:t>
            </w:r>
            <w:r w:rsidR="002E20CB" w:rsidRPr="0068236B">
              <w:rPr>
                <w:rFonts w:cs="Tahoma"/>
                <w:sz w:val="20"/>
                <w:szCs w:val="20"/>
              </w:rPr>
              <w:t>, based the following sub-criteria:</w:t>
            </w:r>
          </w:p>
          <w:p w14:paraId="2DEB05AD" w14:textId="77777777" w:rsidR="002E20CB" w:rsidRPr="0068236B" w:rsidRDefault="002E20CB" w:rsidP="00D24CEF">
            <w:pPr>
              <w:pStyle w:val="ListParagraph"/>
              <w:numPr>
                <w:ilvl w:val="0"/>
                <w:numId w:val="116"/>
              </w:numPr>
              <w:autoSpaceDE w:val="0"/>
              <w:autoSpaceDN w:val="0"/>
              <w:adjustRightInd w:val="0"/>
              <w:spacing w:before="0" w:after="0" w:line="240" w:lineRule="auto"/>
              <w:ind w:left="244" w:hanging="142"/>
              <w:jc w:val="left"/>
              <w:rPr>
                <w:rFonts w:cs="Arial"/>
                <w:sz w:val="20"/>
                <w:szCs w:val="20"/>
              </w:rPr>
            </w:pPr>
            <w:r w:rsidRPr="0068236B">
              <w:rPr>
                <w:rFonts w:cs="Tahoma"/>
                <w:sz w:val="20"/>
                <w:szCs w:val="20"/>
              </w:rPr>
              <w:t>Proximity to people and settlements</w:t>
            </w:r>
          </w:p>
          <w:p w14:paraId="2C458182" w14:textId="1CFC0343" w:rsidR="002E20CB" w:rsidRPr="0068236B" w:rsidRDefault="002E20CB" w:rsidP="00D24CEF">
            <w:pPr>
              <w:pStyle w:val="ListParagraph"/>
              <w:numPr>
                <w:ilvl w:val="0"/>
                <w:numId w:val="116"/>
              </w:numPr>
              <w:autoSpaceDE w:val="0"/>
              <w:autoSpaceDN w:val="0"/>
              <w:adjustRightInd w:val="0"/>
              <w:spacing w:before="0" w:after="0" w:line="240" w:lineRule="auto"/>
              <w:ind w:left="244" w:hanging="142"/>
              <w:jc w:val="left"/>
              <w:rPr>
                <w:rFonts w:cs="Arial"/>
                <w:sz w:val="20"/>
                <w:szCs w:val="20"/>
              </w:rPr>
            </w:pPr>
            <w:r w:rsidRPr="0068236B">
              <w:rPr>
                <w:rFonts w:cs="Arial"/>
                <w:sz w:val="20"/>
                <w:szCs w:val="20"/>
              </w:rPr>
              <w:t>Community health and safety (e.g. public exposure to electromagnetic fields, audible noise caused by corona e</w:t>
            </w:r>
            <w:r w:rsidRPr="0068236B">
              <w:rPr>
                <w:rFonts w:cs="Arial"/>
                <w:sz w:val="20"/>
                <w:szCs w:val="20"/>
              </w:rPr>
              <w:t>f</w:t>
            </w:r>
            <w:r w:rsidRPr="0068236B">
              <w:rPr>
                <w:rFonts w:cs="Arial"/>
                <w:sz w:val="20"/>
                <w:szCs w:val="20"/>
              </w:rPr>
              <w:t>fect during</w:t>
            </w:r>
            <w:r w:rsidR="007A2E4B" w:rsidRPr="0068236B">
              <w:rPr>
                <w:rFonts w:cs="Arial"/>
                <w:sz w:val="20"/>
                <w:szCs w:val="20"/>
              </w:rPr>
              <w:t xml:space="preserve"> </w:t>
            </w:r>
            <w:r w:rsidRPr="0068236B">
              <w:rPr>
                <w:rFonts w:cs="Arial"/>
                <w:sz w:val="20"/>
                <w:szCs w:val="20"/>
              </w:rPr>
              <w:t xml:space="preserve">operation) </w:t>
            </w:r>
          </w:p>
          <w:p w14:paraId="018632E5" w14:textId="5A1E5CAD" w:rsidR="002E20CB" w:rsidRPr="0068236B" w:rsidRDefault="002E20CB" w:rsidP="00D24CEF">
            <w:pPr>
              <w:pStyle w:val="ListParagraph"/>
              <w:numPr>
                <w:ilvl w:val="0"/>
                <w:numId w:val="116"/>
              </w:numPr>
              <w:autoSpaceDE w:val="0"/>
              <w:autoSpaceDN w:val="0"/>
              <w:adjustRightInd w:val="0"/>
              <w:spacing w:before="0" w:after="0" w:line="240" w:lineRule="auto"/>
              <w:ind w:left="244" w:hanging="142"/>
              <w:jc w:val="left"/>
              <w:rPr>
                <w:rFonts w:cs="Arial"/>
                <w:sz w:val="20"/>
                <w:szCs w:val="20"/>
              </w:rPr>
            </w:pPr>
            <w:r w:rsidRPr="0068236B">
              <w:rPr>
                <w:rFonts w:cs="Arial"/>
                <w:sz w:val="20"/>
                <w:szCs w:val="20"/>
              </w:rPr>
              <w:t>Valued land uses – agricultural land</w:t>
            </w:r>
            <w:r w:rsidR="007A2E4B" w:rsidRPr="0068236B">
              <w:rPr>
                <w:rFonts w:cs="Arial"/>
                <w:sz w:val="20"/>
                <w:szCs w:val="20"/>
              </w:rPr>
              <w:t>, woodland (</w:t>
            </w:r>
            <w:r w:rsidR="007A2E4B" w:rsidRPr="0068236B">
              <w:rPr>
                <w:rFonts w:cs="Tahoma"/>
                <w:sz w:val="20"/>
                <w:szCs w:val="20"/>
              </w:rPr>
              <w:t>land a</w:t>
            </w:r>
            <w:r w:rsidR="007A2E4B" w:rsidRPr="0068236B">
              <w:rPr>
                <w:rFonts w:cs="Tahoma"/>
                <w:sz w:val="20"/>
                <w:szCs w:val="20"/>
              </w:rPr>
              <w:t>c</w:t>
            </w:r>
            <w:r w:rsidR="007A2E4B" w:rsidRPr="0068236B">
              <w:rPr>
                <w:rFonts w:cs="Tahoma"/>
                <w:sz w:val="20"/>
                <w:szCs w:val="20"/>
              </w:rPr>
              <w:t>quisition and involuntary resettlement needs)</w:t>
            </w:r>
          </w:p>
          <w:p w14:paraId="7FD5576F" w14:textId="145B266E" w:rsidR="00EA0F99" w:rsidRPr="0068236B" w:rsidRDefault="002E20CB" w:rsidP="00D24CEF">
            <w:pPr>
              <w:pStyle w:val="ListParagraph"/>
              <w:numPr>
                <w:ilvl w:val="0"/>
                <w:numId w:val="116"/>
              </w:numPr>
              <w:spacing w:before="0" w:after="0" w:line="240" w:lineRule="auto"/>
              <w:ind w:left="244" w:hanging="142"/>
              <w:rPr>
                <w:rFonts w:cs="Tahoma"/>
                <w:sz w:val="20"/>
                <w:szCs w:val="20"/>
              </w:rPr>
            </w:pPr>
            <w:r w:rsidRPr="0068236B">
              <w:rPr>
                <w:rFonts w:cs="Arial"/>
                <w:sz w:val="20"/>
                <w:szCs w:val="20"/>
              </w:rPr>
              <w:t>Impacts on cultural and archaeological heritage</w:t>
            </w:r>
          </w:p>
        </w:tc>
        <w:tc>
          <w:tcPr>
            <w:tcW w:w="1560" w:type="dxa"/>
            <w:tcBorders>
              <w:right w:val="double" w:sz="4" w:space="0" w:color="auto"/>
            </w:tcBorders>
            <w:shd w:val="clear" w:color="auto" w:fill="FFFFFF"/>
            <w:vAlign w:val="bottom"/>
          </w:tcPr>
          <w:p w14:paraId="36882F24" w14:textId="77777777" w:rsidR="00EA0F99" w:rsidRPr="0068236B" w:rsidRDefault="00EA0F99" w:rsidP="009B3365">
            <w:pPr>
              <w:spacing w:before="0" w:after="0" w:line="240" w:lineRule="auto"/>
              <w:jc w:val="center"/>
              <w:rPr>
                <w:rFonts w:eastAsia="Arial" w:cs="Tahoma"/>
                <w:sz w:val="20"/>
                <w:szCs w:val="20"/>
              </w:rPr>
            </w:pPr>
            <w:r w:rsidRPr="0068236B">
              <w:rPr>
                <w:rFonts w:eastAsia="Arial" w:cs="Tahoma"/>
                <w:sz w:val="20"/>
                <w:szCs w:val="20"/>
              </w:rPr>
              <w:t>15</w:t>
            </w:r>
          </w:p>
        </w:tc>
      </w:tr>
      <w:tr w:rsidR="00EA0F99" w:rsidRPr="0068236B" w14:paraId="395CB851" w14:textId="77777777" w:rsidTr="009B3365">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tcBorders>
            <w:shd w:val="clear" w:color="auto" w:fill="FFD966" w:themeFill="accent4" w:themeFillTint="99"/>
          </w:tcPr>
          <w:p w14:paraId="1225FBBD" w14:textId="77777777" w:rsidR="00EA0F99" w:rsidRPr="0068236B" w:rsidRDefault="00EA0F99" w:rsidP="00DC4387">
            <w:pPr>
              <w:spacing w:before="0" w:after="0" w:line="240" w:lineRule="auto"/>
              <w:jc w:val="center"/>
              <w:rPr>
                <w:rFonts w:eastAsia="Arial" w:cs="Tahoma"/>
                <w:sz w:val="20"/>
                <w:szCs w:val="20"/>
              </w:rPr>
            </w:pPr>
          </w:p>
        </w:tc>
        <w:tc>
          <w:tcPr>
            <w:tcW w:w="5528" w:type="dxa"/>
            <w:shd w:val="clear" w:color="auto" w:fill="FFD966" w:themeFill="accent4" w:themeFillTint="99"/>
          </w:tcPr>
          <w:p w14:paraId="56372A32" w14:textId="77777777" w:rsidR="00EA0F99" w:rsidRPr="0068236B" w:rsidRDefault="00EA0F99" w:rsidP="00DC4387">
            <w:pPr>
              <w:spacing w:before="0" w:after="0" w:line="240" w:lineRule="auto"/>
              <w:jc w:val="right"/>
              <w:rPr>
                <w:rFonts w:cs="Tahoma"/>
                <w:sz w:val="20"/>
                <w:szCs w:val="20"/>
              </w:rPr>
            </w:pPr>
            <w:r w:rsidRPr="0068236B">
              <w:rPr>
                <w:rFonts w:cs="Tahoma"/>
                <w:sz w:val="20"/>
                <w:szCs w:val="20"/>
              </w:rPr>
              <w:t>Sub-total:</w:t>
            </w:r>
          </w:p>
        </w:tc>
        <w:tc>
          <w:tcPr>
            <w:tcW w:w="1560" w:type="dxa"/>
            <w:tcBorders>
              <w:right w:val="double" w:sz="4" w:space="0" w:color="auto"/>
            </w:tcBorders>
            <w:shd w:val="clear" w:color="auto" w:fill="FFD966" w:themeFill="accent4" w:themeFillTint="99"/>
            <w:vAlign w:val="bottom"/>
          </w:tcPr>
          <w:p w14:paraId="1D5AA445" w14:textId="77777777" w:rsidR="00EA0F99" w:rsidRPr="0068236B" w:rsidRDefault="00EA0F99" w:rsidP="009B3365">
            <w:pPr>
              <w:spacing w:before="0" w:after="0" w:line="240" w:lineRule="auto"/>
              <w:jc w:val="center"/>
              <w:rPr>
                <w:rFonts w:eastAsia="Arial" w:cs="Tahoma"/>
                <w:sz w:val="20"/>
                <w:szCs w:val="20"/>
              </w:rPr>
            </w:pPr>
            <w:r w:rsidRPr="0068236B">
              <w:rPr>
                <w:rFonts w:eastAsia="Arial" w:cs="Tahoma"/>
                <w:sz w:val="20"/>
                <w:szCs w:val="20"/>
              </w:rPr>
              <w:t>30</w:t>
            </w:r>
          </w:p>
        </w:tc>
      </w:tr>
      <w:tr w:rsidR="00EA0F99" w:rsidRPr="0068236B" w14:paraId="3FBD121D" w14:textId="77777777" w:rsidTr="009B3365">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bottom w:val="double" w:sz="4" w:space="0" w:color="auto"/>
            </w:tcBorders>
            <w:shd w:val="clear" w:color="auto" w:fill="E7E6E6" w:themeFill="background2"/>
          </w:tcPr>
          <w:p w14:paraId="3517DFAE" w14:textId="77777777" w:rsidR="00EA0F99" w:rsidRPr="0068236B" w:rsidRDefault="00EA0F99" w:rsidP="00DC4387">
            <w:pPr>
              <w:spacing w:before="0" w:after="0" w:line="240" w:lineRule="auto"/>
              <w:jc w:val="center"/>
              <w:rPr>
                <w:rFonts w:eastAsia="Arial" w:cs="Tahoma"/>
                <w:sz w:val="20"/>
                <w:szCs w:val="20"/>
              </w:rPr>
            </w:pPr>
          </w:p>
        </w:tc>
        <w:tc>
          <w:tcPr>
            <w:tcW w:w="5528" w:type="dxa"/>
            <w:tcBorders>
              <w:bottom w:val="double" w:sz="4" w:space="0" w:color="auto"/>
            </w:tcBorders>
            <w:shd w:val="clear" w:color="auto" w:fill="E7E6E6" w:themeFill="background2"/>
          </w:tcPr>
          <w:p w14:paraId="6FECF165" w14:textId="77777777" w:rsidR="00EA0F99" w:rsidRPr="0068236B" w:rsidRDefault="00EA0F99" w:rsidP="00DC4387">
            <w:pPr>
              <w:spacing w:before="0" w:after="0" w:line="240" w:lineRule="auto"/>
              <w:jc w:val="right"/>
              <w:rPr>
                <w:rFonts w:eastAsia="Arial" w:cs="Tahoma"/>
                <w:sz w:val="20"/>
                <w:szCs w:val="20"/>
              </w:rPr>
            </w:pPr>
            <w:r w:rsidRPr="0068236B">
              <w:rPr>
                <w:rFonts w:eastAsia="Arial" w:cs="Tahoma"/>
                <w:sz w:val="20"/>
                <w:szCs w:val="20"/>
              </w:rPr>
              <w:t>Total (1 to 5):</w:t>
            </w:r>
          </w:p>
        </w:tc>
        <w:tc>
          <w:tcPr>
            <w:tcW w:w="1560" w:type="dxa"/>
            <w:tcBorders>
              <w:bottom w:val="double" w:sz="4" w:space="0" w:color="auto"/>
              <w:right w:val="double" w:sz="4" w:space="0" w:color="auto"/>
            </w:tcBorders>
            <w:shd w:val="clear" w:color="auto" w:fill="E7E6E6" w:themeFill="background2"/>
            <w:vAlign w:val="bottom"/>
          </w:tcPr>
          <w:p w14:paraId="6FF5B210" w14:textId="77777777" w:rsidR="00EA0F99" w:rsidRPr="0068236B" w:rsidRDefault="00EA0F99" w:rsidP="009B3365">
            <w:pPr>
              <w:spacing w:before="0" w:after="0" w:line="240" w:lineRule="auto"/>
              <w:jc w:val="center"/>
              <w:rPr>
                <w:rFonts w:eastAsia="Arial" w:cs="Tahoma"/>
                <w:sz w:val="20"/>
                <w:szCs w:val="20"/>
              </w:rPr>
            </w:pPr>
            <w:r w:rsidRPr="0068236B">
              <w:rPr>
                <w:rFonts w:eastAsia="Arial" w:cs="Tahoma"/>
                <w:sz w:val="20"/>
                <w:szCs w:val="20"/>
              </w:rPr>
              <w:t>100</w:t>
            </w:r>
          </w:p>
        </w:tc>
      </w:tr>
    </w:tbl>
    <w:p w14:paraId="77029BEA" w14:textId="774CDB3E" w:rsidR="00EA0F99" w:rsidRPr="0068236B" w:rsidRDefault="00EA0F99" w:rsidP="00EA0F99">
      <w:pPr>
        <w:overflowPunct w:val="0"/>
        <w:autoSpaceDE w:val="0"/>
        <w:autoSpaceDN w:val="0"/>
        <w:adjustRightInd w:val="0"/>
        <w:spacing w:after="240"/>
        <w:jc w:val="left"/>
        <w:textAlignment w:val="baseline"/>
        <w:rPr>
          <w:rFonts w:cs="Arial"/>
          <w:bCs/>
          <w:iCs/>
          <w:sz w:val="18"/>
          <w:szCs w:val="18"/>
        </w:rPr>
      </w:pPr>
      <w:bookmarkStart w:id="40" w:name="_Toc113018160"/>
      <w:r w:rsidRPr="0068236B">
        <w:rPr>
          <w:rFonts w:cs="Arial"/>
          <w:bCs/>
          <w:iCs/>
          <w:sz w:val="18"/>
          <w:szCs w:val="18"/>
        </w:rPr>
        <w:t xml:space="preserve">Table </w:t>
      </w:r>
      <w:r w:rsidRPr="0068236B">
        <w:rPr>
          <w:rFonts w:cs="Arial"/>
          <w:bCs/>
          <w:iCs/>
          <w:sz w:val="18"/>
          <w:szCs w:val="18"/>
        </w:rPr>
        <w:fldChar w:fldCharType="begin"/>
      </w:r>
      <w:r w:rsidRPr="0068236B">
        <w:rPr>
          <w:rFonts w:cs="Arial"/>
          <w:bCs/>
          <w:iCs/>
          <w:sz w:val="18"/>
          <w:szCs w:val="18"/>
        </w:rPr>
        <w:instrText xml:space="preserve"> STYLEREF 1 \s </w:instrText>
      </w:r>
      <w:r w:rsidRPr="0068236B">
        <w:rPr>
          <w:rFonts w:cs="Arial"/>
          <w:bCs/>
          <w:iCs/>
          <w:sz w:val="18"/>
          <w:szCs w:val="18"/>
        </w:rPr>
        <w:fldChar w:fldCharType="separate"/>
      </w:r>
      <w:r w:rsidR="00234EBE" w:rsidRPr="0068236B">
        <w:rPr>
          <w:rFonts w:cs="Arial"/>
          <w:bCs/>
          <w:iCs/>
          <w:noProof/>
          <w:sz w:val="18"/>
          <w:szCs w:val="18"/>
        </w:rPr>
        <w:t>1</w:t>
      </w:r>
      <w:r w:rsidRPr="0068236B">
        <w:rPr>
          <w:rFonts w:cs="Arial"/>
          <w:bCs/>
          <w:iCs/>
          <w:sz w:val="18"/>
          <w:szCs w:val="18"/>
        </w:rPr>
        <w:fldChar w:fldCharType="end"/>
      </w:r>
      <w:r w:rsidRPr="0068236B">
        <w:rPr>
          <w:rFonts w:cs="Arial"/>
          <w:bCs/>
          <w:iCs/>
          <w:sz w:val="18"/>
          <w:szCs w:val="18"/>
        </w:rPr>
        <w:t>.</w:t>
      </w:r>
      <w:r w:rsidRPr="0068236B">
        <w:rPr>
          <w:rFonts w:cs="Arial"/>
          <w:bCs/>
          <w:iCs/>
          <w:sz w:val="18"/>
          <w:szCs w:val="18"/>
        </w:rPr>
        <w:fldChar w:fldCharType="begin"/>
      </w:r>
      <w:r w:rsidRPr="0068236B">
        <w:rPr>
          <w:rFonts w:cs="Arial"/>
          <w:bCs/>
          <w:iCs/>
          <w:sz w:val="18"/>
          <w:szCs w:val="18"/>
        </w:rPr>
        <w:instrText xml:space="preserve"> SEQ Table \* ARABIC \s 1 </w:instrText>
      </w:r>
      <w:r w:rsidRPr="0068236B">
        <w:rPr>
          <w:rFonts w:cs="Arial"/>
          <w:bCs/>
          <w:iCs/>
          <w:sz w:val="18"/>
          <w:szCs w:val="18"/>
        </w:rPr>
        <w:fldChar w:fldCharType="separate"/>
      </w:r>
      <w:r w:rsidR="00234EBE" w:rsidRPr="0068236B">
        <w:rPr>
          <w:rFonts w:cs="Arial"/>
          <w:bCs/>
          <w:iCs/>
          <w:noProof/>
          <w:sz w:val="18"/>
          <w:szCs w:val="18"/>
        </w:rPr>
        <w:t>1</w:t>
      </w:r>
      <w:r w:rsidRPr="0068236B">
        <w:rPr>
          <w:rFonts w:cs="Arial"/>
          <w:bCs/>
          <w:iCs/>
          <w:sz w:val="18"/>
          <w:szCs w:val="18"/>
        </w:rPr>
        <w:fldChar w:fldCharType="end"/>
      </w:r>
      <w:r w:rsidRPr="0068236B">
        <w:rPr>
          <w:rFonts w:cs="Arial"/>
          <w:bCs/>
          <w:iCs/>
          <w:sz w:val="18"/>
          <w:szCs w:val="18"/>
        </w:rPr>
        <w:t>: Criteria categories for Multi-Criteria Analysis, with their weighting factors</w:t>
      </w:r>
      <w:bookmarkEnd w:id="40"/>
    </w:p>
    <w:p w14:paraId="72C15B95" w14:textId="2459F2AA" w:rsidR="00BF7E0B" w:rsidRPr="0068236B" w:rsidRDefault="00BF7E0B" w:rsidP="005C1605">
      <w:pPr>
        <w:pStyle w:val="Heading3"/>
        <w:rPr>
          <w:rFonts w:cs="Tahoma"/>
          <w:szCs w:val="20"/>
        </w:rPr>
      </w:pPr>
      <w:bookmarkStart w:id="41" w:name="_Toc112852194"/>
      <w:r w:rsidRPr="0068236B">
        <w:lastRenderedPageBreak/>
        <w:t>Selection of Preferred Option</w:t>
      </w:r>
      <w:bookmarkEnd w:id="32"/>
      <w:bookmarkEnd w:id="41"/>
      <w:r w:rsidRPr="0068236B">
        <w:t xml:space="preserve"> </w:t>
      </w:r>
    </w:p>
    <w:p w14:paraId="7EE34954" w14:textId="346609A1" w:rsidR="00463A30" w:rsidRPr="0068236B" w:rsidRDefault="00463A30" w:rsidP="00463A30">
      <w:pPr>
        <w:rPr>
          <w:sz w:val="20"/>
        </w:rPr>
      </w:pPr>
      <w:r w:rsidRPr="0068236B">
        <w:rPr>
          <w:sz w:val="20"/>
        </w:rPr>
        <w:t xml:space="preserve">The selection process of the preferred Project option via the above MCA approach and methodology and based on the evaluation of each identified option and alternatives within the options against the selected criteria has indicated that preferred option would be the Option 2, Alternative 2 - New </w:t>
      </w:r>
      <w:r w:rsidR="00B91B1E" w:rsidRPr="0068236B">
        <w:rPr>
          <w:sz w:val="20"/>
        </w:rPr>
        <w:t>400/110 kV SS M</w:t>
      </w:r>
      <w:r w:rsidR="00B91B1E" w:rsidRPr="0068236B">
        <w:rPr>
          <w:sz w:val="20"/>
        </w:rPr>
        <w:t>i</w:t>
      </w:r>
      <w:r w:rsidR="00B91B1E" w:rsidRPr="0068236B">
        <w:rPr>
          <w:sz w:val="20"/>
        </w:rPr>
        <w:t>letkovo</w:t>
      </w:r>
      <w:r w:rsidRPr="0068236B">
        <w:rPr>
          <w:sz w:val="20"/>
        </w:rPr>
        <w:t xml:space="preserve"> and lead in-out of existing 400 kV OHL</w:t>
      </w:r>
      <w:r w:rsidRPr="0068236B">
        <w:rPr>
          <w:rFonts w:cs="Tahoma"/>
          <w:sz w:val="20"/>
        </w:rPr>
        <w:t xml:space="preserve"> Dubrovo – Thessalonica (GR)</w:t>
      </w:r>
      <w:r w:rsidRPr="0068236B">
        <w:rPr>
          <w:sz w:val="20"/>
        </w:rPr>
        <w:t>.</w:t>
      </w:r>
    </w:p>
    <w:p w14:paraId="7081126D" w14:textId="7715FEE5" w:rsidR="00463A30" w:rsidRPr="0068236B" w:rsidRDefault="00463A30" w:rsidP="00463A30">
      <w:pPr>
        <w:rPr>
          <w:sz w:val="20"/>
        </w:rPr>
      </w:pPr>
      <w:r w:rsidRPr="0068236B">
        <w:rPr>
          <w:sz w:val="20"/>
        </w:rPr>
        <w:t>The rationale behind this recommendation is as follows [Ref.4]:</w:t>
      </w:r>
    </w:p>
    <w:p w14:paraId="22ACC3A1" w14:textId="77777777" w:rsidR="00463A30" w:rsidRPr="0068236B" w:rsidRDefault="00463A30" w:rsidP="00463A30">
      <w:pPr>
        <w:numPr>
          <w:ilvl w:val="0"/>
          <w:numId w:val="9"/>
        </w:numPr>
        <w:ind w:left="738" w:hanging="454"/>
        <w:jc w:val="left"/>
        <w:rPr>
          <w:color w:val="000000"/>
          <w:sz w:val="20"/>
        </w:rPr>
      </w:pPr>
      <w:r w:rsidRPr="0068236B">
        <w:rPr>
          <w:sz w:val="20"/>
        </w:rPr>
        <w:t>System studies and economic assessment</w:t>
      </w:r>
    </w:p>
    <w:p w14:paraId="58D9BDD8" w14:textId="77777777" w:rsidR="00463A30" w:rsidRPr="0068236B" w:rsidRDefault="00463A30" w:rsidP="00463A30">
      <w:pPr>
        <w:pStyle w:val="ListBullet"/>
        <w:numPr>
          <w:ilvl w:val="0"/>
          <w:numId w:val="0"/>
        </w:numPr>
        <w:ind w:left="709"/>
        <w:rPr>
          <w:sz w:val="20"/>
        </w:rPr>
      </w:pPr>
      <w:r w:rsidRPr="0068236B">
        <w:rPr>
          <w:sz w:val="20"/>
        </w:rPr>
        <w:t>According to the results of system studies, Option 2 is indicated as the best one from the reduction of energy curtailed from RES in the Project region, from the biggest losses reduction, and increase of additional capacity reserve.</w:t>
      </w:r>
    </w:p>
    <w:p w14:paraId="3454F6D0" w14:textId="77777777" w:rsidR="00463A30" w:rsidRPr="0068236B" w:rsidRDefault="00463A30" w:rsidP="00463A30">
      <w:pPr>
        <w:pStyle w:val="ListBullet"/>
        <w:numPr>
          <w:ilvl w:val="0"/>
          <w:numId w:val="0"/>
        </w:numPr>
        <w:ind w:left="709"/>
        <w:rPr>
          <w:sz w:val="20"/>
        </w:rPr>
      </w:pPr>
      <w:r w:rsidRPr="0068236B">
        <w:rPr>
          <w:sz w:val="20"/>
        </w:rPr>
        <w:t>From economic assessment point of view, the Project brings sufficient monetised benefits to Mac</w:t>
      </w:r>
      <w:r w:rsidRPr="0068236B">
        <w:rPr>
          <w:sz w:val="20"/>
        </w:rPr>
        <w:t>e</w:t>
      </w:r>
      <w:r w:rsidRPr="0068236B">
        <w:rPr>
          <w:sz w:val="20"/>
        </w:rPr>
        <w:t>donia and it is economically viable for the society and the national economy as a whole. The a</w:t>
      </w:r>
      <w:r w:rsidRPr="0068236B">
        <w:rPr>
          <w:sz w:val="20"/>
        </w:rPr>
        <w:t>s</w:t>
      </w:r>
      <w:r w:rsidRPr="0068236B">
        <w:rPr>
          <w:sz w:val="20"/>
        </w:rPr>
        <w:t>sessment has indicated the preferred option (Option 2, Alternative 2) is the most viable option / a</w:t>
      </w:r>
      <w:r w:rsidRPr="0068236B">
        <w:rPr>
          <w:sz w:val="20"/>
        </w:rPr>
        <w:t>l</w:t>
      </w:r>
      <w:r w:rsidRPr="0068236B">
        <w:rPr>
          <w:sz w:val="20"/>
        </w:rPr>
        <w:t>ternative from economic point of view.</w:t>
      </w:r>
    </w:p>
    <w:p w14:paraId="3A8D6041" w14:textId="77777777" w:rsidR="00463A30" w:rsidRPr="0068236B" w:rsidRDefault="00463A30" w:rsidP="00463A30">
      <w:pPr>
        <w:numPr>
          <w:ilvl w:val="0"/>
          <w:numId w:val="9"/>
        </w:numPr>
        <w:ind w:left="738" w:hanging="454"/>
        <w:jc w:val="left"/>
        <w:rPr>
          <w:color w:val="000000"/>
          <w:sz w:val="20"/>
        </w:rPr>
      </w:pPr>
      <w:r w:rsidRPr="0068236B">
        <w:rPr>
          <w:rFonts w:cs="Tahoma"/>
          <w:sz w:val="20"/>
        </w:rPr>
        <w:t>Technical assessment and E&amp;S aspects</w:t>
      </w:r>
    </w:p>
    <w:p w14:paraId="5CB27D85" w14:textId="77777777" w:rsidR="00463A30" w:rsidRPr="0068236B" w:rsidRDefault="00463A30" w:rsidP="00463A30">
      <w:pPr>
        <w:ind w:left="709"/>
        <w:rPr>
          <w:rFonts w:cs="Tahoma"/>
          <w:sz w:val="20"/>
        </w:rPr>
      </w:pPr>
      <w:r w:rsidRPr="0068236B">
        <w:rPr>
          <w:rFonts w:cs="Tahoma"/>
          <w:sz w:val="20"/>
        </w:rPr>
        <w:t>From the technical as well as from the environmental and social perspective, the Option 2, Altern</w:t>
      </w:r>
      <w:r w:rsidRPr="0068236B">
        <w:rPr>
          <w:rFonts w:cs="Tahoma"/>
          <w:sz w:val="20"/>
        </w:rPr>
        <w:t>a</w:t>
      </w:r>
      <w:r w:rsidRPr="0068236B">
        <w:rPr>
          <w:rFonts w:cs="Tahoma"/>
          <w:sz w:val="20"/>
        </w:rPr>
        <w:t>tive 2 is superior in comparison to other identified Project options and respective alternatives, since:</w:t>
      </w:r>
    </w:p>
    <w:p w14:paraId="46864456" w14:textId="77777777" w:rsidR="00463A30" w:rsidRPr="0068236B" w:rsidRDefault="00463A30" w:rsidP="00463A30">
      <w:pPr>
        <w:pStyle w:val="ListBullet2"/>
        <w:rPr>
          <w:sz w:val="20"/>
        </w:rPr>
      </w:pPr>
      <w:r w:rsidRPr="0068236B">
        <w:rPr>
          <w:sz w:val="20"/>
        </w:rPr>
        <w:t>It does not require construction of new long 110 kV or 400 kV overhead line and, ther</w:t>
      </w:r>
      <w:r w:rsidRPr="0068236B">
        <w:rPr>
          <w:sz w:val="20"/>
        </w:rPr>
        <w:t>e</w:t>
      </w:r>
      <w:r w:rsidRPr="0068236B">
        <w:rPr>
          <w:sz w:val="20"/>
        </w:rPr>
        <w:t>fore, it implies the least land-take needs and land cover / land use changes;</w:t>
      </w:r>
    </w:p>
    <w:p w14:paraId="27F87C19" w14:textId="77777777" w:rsidR="00463A30" w:rsidRPr="0068236B" w:rsidRDefault="00463A30" w:rsidP="00463A30">
      <w:pPr>
        <w:pStyle w:val="ListBullet2"/>
        <w:rPr>
          <w:sz w:val="20"/>
        </w:rPr>
      </w:pPr>
      <w:r w:rsidRPr="0068236B">
        <w:rPr>
          <w:sz w:val="20"/>
        </w:rPr>
        <w:t>It implies the least interventions (reconfiguration and extensions) in the existing transmi</w:t>
      </w:r>
      <w:r w:rsidRPr="0068236B">
        <w:rPr>
          <w:sz w:val="20"/>
        </w:rPr>
        <w:t>s</w:t>
      </w:r>
      <w:r w:rsidRPr="0068236B">
        <w:rPr>
          <w:sz w:val="20"/>
        </w:rPr>
        <w:t>sion assets in the Project region and, therefore, the least impact on the existing operation of the power system;</w:t>
      </w:r>
    </w:p>
    <w:p w14:paraId="02BD914B" w14:textId="77777777" w:rsidR="00463A30" w:rsidRPr="0068236B" w:rsidRDefault="00463A30" w:rsidP="00463A30">
      <w:pPr>
        <w:pStyle w:val="ListBullet2"/>
        <w:rPr>
          <w:sz w:val="20"/>
        </w:rPr>
      </w:pPr>
      <w:r w:rsidRPr="0068236B">
        <w:rPr>
          <w:sz w:val="20"/>
        </w:rPr>
        <w:t>There are no settlements in proximity to the Project locations and no operational commun</w:t>
      </w:r>
      <w:r w:rsidRPr="0068236B">
        <w:rPr>
          <w:sz w:val="20"/>
        </w:rPr>
        <w:t>i</w:t>
      </w:r>
      <w:r w:rsidRPr="0068236B">
        <w:rPr>
          <w:sz w:val="20"/>
        </w:rPr>
        <w:t>ty safety risks (e.g. public exposure to electro-magnetic radiation or nuisance due to cor</w:t>
      </w:r>
      <w:r w:rsidRPr="0068236B">
        <w:rPr>
          <w:sz w:val="20"/>
        </w:rPr>
        <w:t>o</w:t>
      </w:r>
      <w:r w:rsidRPr="0068236B">
        <w:rPr>
          <w:sz w:val="20"/>
        </w:rPr>
        <w:t>na noise) are likely to occur;</w:t>
      </w:r>
    </w:p>
    <w:p w14:paraId="3D7BA54A" w14:textId="77777777" w:rsidR="00463A30" w:rsidRPr="0068236B" w:rsidRDefault="00463A30" w:rsidP="00463A30">
      <w:pPr>
        <w:pStyle w:val="ListBullet2"/>
        <w:rPr>
          <w:sz w:val="20"/>
        </w:rPr>
      </w:pPr>
      <w:r w:rsidRPr="0068236B">
        <w:rPr>
          <w:sz w:val="20"/>
        </w:rPr>
        <w:t>It implies the least potential impact magnitude to sensitive habitats in the Project region;</w:t>
      </w:r>
    </w:p>
    <w:p w14:paraId="4B80E6D2" w14:textId="77777777" w:rsidR="00463A30" w:rsidRPr="0068236B" w:rsidRDefault="00463A30" w:rsidP="00463A30">
      <w:pPr>
        <w:pStyle w:val="ListBullet2"/>
        <w:rPr>
          <w:sz w:val="20"/>
        </w:rPr>
      </w:pPr>
      <w:r w:rsidRPr="0068236B">
        <w:rPr>
          <w:sz w:val="20"/>
        </w:rPr>
        <w:t>It does not interact with any legally protected area or internationally recognised area in the Project region;</w:t>
      </w:r>
    </w:p>
    <w:p w14:paraId="2B23D617" w14:textId="77777777" w:rsidR="00463A30" w:rsidRPr="0068236B" w:rsidRDefault="00463A30" w:rsidP="00463A30">
      <w:pPr>
        <w:pStyle w:val="ListBullet2"/>
        <w:rPr>
          <w:sz w:val="20"/>
          <w:u w:val="single"/>
        </w:rPr>
      </w:pPr>
      <w:r w:rsidRPr="0068236B">
        <w:rPr>
          <w:sz w:val="20"/>
        </w:rPr>
        <w:t>It implies the least potential impact magnitude on agricultural land and, therefore, will lik</w:t>
      </w:r>
      <w:r w:rsidRPr="0068236B">
        <w:rPr>
          <w:sz w:val="20"/>
        </w:rPr>
        <w:t>e</w:t>
      </w:r>
      <w:r w:rsidRPr="0068236B">
        <w:rPr>
          <w:sz w:val="20"/>
        </w:rPr>
        <w:t>ly result in the least compensation arrangements;</w:t>
      </w:r>
    </w:p>
    <w:p w14:paraId="18D8F4FE" w14:textId="77777777" w:rsidR="00463A30" w:rsidRPr="0068236B" w:rsidRDefault="00463A30" w:rsidP="00463A30">
      <w:pPr>
        <w:pStyle w:val="ListBullet2"/>
        <w:rPr>
          <w:sz w:val="20"/>
          <w:u w:val="single"/>
        </w:rPr>
      </w:pPr>
      <w:r w:rsidRPr="0068236B">
        <w:rPr>
          <w:sz w:val="20"/>
        </w:rPr>
        <w:t xml:space="preserve">There are no cultural heritages sites and resources </w:t>
      </w:r>
      <w:r w:rsidRPr="0068236B">
        <w:rPr>
          <w:rFonts w:cs="Tahoma"/>
          <w:sz w:val="20"/>
        </w:rPr>
        <w:t>in proximity to the Project locations.</w:t>
      </w:r>
    </w:p>
    <w:p w14:paraId="563B766F" w14:textId="77777777" w:rsidR="00463A30" w:rsidRPr="0068236B" w:rsidRDefault="00463A30" w:rsidP="00463A30">
      <w:pPr>
        <w:rPr>
          <w:sz w:val="20"/>
        </w:rPr>
      </w:pPr>
      <w:r w:rsidRPr="0068236B">
        <w:rPr>
          <w:sz w:val="20"/>
        </w:rPr>
        <w:t>The preferred Project option consists of the following components:</w:t>
      </w:r>
    </w:p>
    <w:p w14:paraId="423B6913" w14:textId="333D2E5D" w:rsidR="00463A30" w:rsidRPr="0068236B" w:rsidRDefault="00463A30" w:rsidP="00463A30">
      <w:pPr>
        <w:pStyle w:val="ListBullet"/>
        <w:spacing w:line="240" w:lineRule="auto"/>
        <w:ind w:left="714" w:hanging="357"/>
        <w:jc w:val="left"/>
        <w:rPr>
          <w:sz w:val="20"/>
        </w:rPr>
      </w:pPr>
      <w:r w:rsidRPr="0068236B">
        <w:rPr>
          <w:rFonts w:cs="Tahoma"/>
          <w:sz w:val="20"/>
        </w:rPr>
        <w:t xml:space="preserve">Construction of a new 400/110 kV SS </w:t>
      </w:r>
      <w:r w:rsidR="00D4557C" w:rsidRPr="0068236B">
        <w:rPr>
          <w:rFonts w:cs="Tahoma"/>
          <w:sz w:val="20"/>
        </w:rPr>
        <w:t>Miletkovo</w:t>
      </w:r>
      <w:r w:rsidRPr="0068236B">
        <w:rPr>
          <w:rFonts w:cs="Tahoma"/>
          <w:sz w:val="20"/>
        </w:rPr>
        <w:t xml:space="preserve">, </w:t>
      </w:r>
      <w:r w:rsidRPr="0068236B">
        <w:rPr>
          <w:sz w:val="20"/>
        </w:rPr>
        <w:t xml:space="preserve">located in Miletkovo area (Gevgelija municipality), </w:t>
      </w:r>
      <w:r w:rsidRPr="0068236B">
        <w:rPr>
          <w:rFonts w:cs="Tahoma"/>
          <w:sz w:val="20"/>
        </w:rPr>
        <w:t>with its connection to the existing 400 kV and 110 kV transmission network (Sub-project 1) via the following interventions:</w:t>
      </w:r>
    </w:p>
    <w:p w14:paraId="7C3AD531" w14:textId="77777777" w:rsidR="00463A30" w:rsidRPr="0068236B" w:rsidRDefault="00463A30" w:rsidP="00463A30">
      <w:pPr>
        <w:pStyle w:val="ListBullet2"/>
        <w:rPr>
          <w:sz w:val="20"/>
        </w:rPr>
      </w:pPr>
      <w:r w:rsidRPr="0068236B">
        <w:rPr>
          <w:rFonts w:eastAsia="Calibri" w:cs="Tahoma"/>
          <w:color w:val="000000"/>
          <w:sz w:val="20"/>
          <w:szCs w:val="20"/>
        </w:rPr>
        <w:t xml:space="preserve">In-out, </w:t>
      </w:r>
      <w:r w:rsidRPr="0068236B">
        <w:rPr>
          <w:sz w:val="20"/>
        </w:rPr>
        <w:t>approx. 0.5 km long</w:t>
      </w:r>
      <w:r w:rsidRPr="0068236B">
        <w:rPr>
          <w:rFonts w:eastAsia="Calibri" w:cs="Tahoma"/>
          <w:color w:val="000000"/>
          <w:sz w:val="20"/>
          <w:szCs w:val="20"/>
        </w:rPr>
        <w:t xml:space="preserve">, connection with </w:t>
      </w:r>
      <w:r w:rsidRPr="0068236B">
        <w:rPr>
          <w:sz w:val="20"/>
        </w:rPr>
        <w:t>the existing 400 kV line from SS Dubrovo to Thessalonica (GR)</w:t>
      </w:r>
    </w:p>
    <w:p w14:paraId="7811AA17" w14:textId="212A706F" w:rsidR="00463A30" w:rsidRPr="0068236B" w:rsidRDefault="00160399" w:rsidP="00463A30">
      <w:pPr>
        <w:pStyle w:val="ListBullet2"/>
        <w:rPr>
          <w:sz w:val="20"/>
        </w:rPr>
      </w:pPr>
      <w:r w:rsidRPr="0068236B">
        <w:rPr>
          <w:sz w:val="20"/>
        </w:rPr>
        <w:t xml:space="preserve">Reconstruction </w:t>
      </w:r>
      <w:r w:rsidR="00463A30" w:rsidRPr="0068236B">
        <w:rPr>
          <w:sz w:val="20"/>
        </w:rPr>
        <w:t xml:space="preserve">of the existing approx. 6.4 km long </w:t>
      </w:r>
      <w:r w:rsidR="00144501" w:rsidRPr="0068236B">
        <w:rPr>
          <w:sz w:val="20"/>
        </w:rPr>
        <w:t>2x</w:t>
      </w:r>
      <w:r w:rsidR="00463A30" w:rsidRPr="0068236B">
        <w:rPr>
          <w:sz w:val="20"/>
        </w:rPr>
        <w:t>110 kV transmission line from SS Va</w:t>
      </w:r>
      <w:r w:rsidR="00463A30" w:rsidRPr="0068236B">
        <w:rPr>
          <w:sz w:val="20"/>
        </w:rPr>
        <w:t>l</w:t>
      </w:r>
      <w:r w:rsidR="00463A30" w:rsidRPr="0068236B">
        <w:rPr>
          <w:sz w:val="20"/>
        </w:rPr>
        <w:t xml:space="preserve">andovo to SS ‘EVP’ </w:t>
      </w:r>
      <w:r w:rsidR="00697138" w:rsidRPr="0068236B">
        <w:rPr>
          <w:sz w:val="20"/>
        </w:rPr>
        <w:t xml:space="preserve">Miletkovo and its extension to the new </w:t>
      </w:r>
      <w:r w:rsidR="00B91B1E" w:rsidRPr="0068236B">
        <w:rPr>
          <w:sz w:val="20"/>
        </w:rPr>
        <w:t>400/110 kV SS Miletkovo</w:t>
      </w:r>
      <w:r w:rsidR="00463A30" w:rsidRPr="0068236B">
        <w:rPr>
          <w:sz w:val="20"/>
        </w:rPr>
        <w:t>.</w:t>
      </w:r>
    </w:p>
    <w:p w14:paraId="58B726C5" w14:textId="77777777" w:rsidR="00463A30" w:rsidRPr="0068236B" w:rsidRDefault="00463A30" w:rsidP="00463A30">
      <w:pPr>
        <w:pStyle w:val="ListBullet2"/>
        <w:rPr>
          <w:sz w:val="20"/>
        </w:rPr>
      </w:pPr>
      <w:r w:rsidRPr="0068236B">
        <w:rPr>
          <w:sz w:val="20"/>
        </w:rPr>
        <w:t>C</w:t>
      </w:r>
      <w:r w:rsidR="00697138" w:rsidRPr="0068236B">
        <w:rPr>
          <w:sz w:val="20"/>
        </w:rPr>
        <w:t>onstruction of a new approx. 1.8</w:t>
      </w:r>
      <w:r w:rsidRPr="0068236B">
        <w:rPr>
          <w:sz w:val="20"/>
        </w:rPr>
        <w:t xml:space="preserve"> km long 110 kV OHL connector with the existing SS ‘EVP’ Miletkovo</w:t>
      </w:r>
    </w:p>
    <w:p w14:paraId="35DB2AAC" w14:textId="5323493D" w:rsidR="00074C60" w:rsidRPr="0068236B" w:rsidRDefault="00074C60" w:rsidP="00074C60">
      <w:pPr>
        <w:rPr>
          <w:rFonts w:cs="Tahoma"/>
          <w:sz w:val="20"/>
          <w:szCs w:val="20"/>
        </w:rPr>
      </w:pPr>
      <w:r w:rsidRPr="0068236B">
        <w:rPr>
          <w:sz w:val="20"/>
        </w:rPr>
        <w:lastRenderedPageBreak/>
        <w:t>Based on the subsequent review and consultative process with key relevant stakeholders</w:t>
      </w:r>
      <w:r w:rsidRPr="0068236B">
        <w:rPr>
          <w:rStyle w:val="FootnoteReference"/>
          <w:sz w:val="20"/>
        </w:rPr>
        <w:footnoteReference w:id="18"/>
      </w:r>
      <w:r w:rsidRPr="0068236B">
        <w:rPr>
          <w:sz w:val="20"/>
        </w:rPr>
        <w:t>, t</w:t>
      </w:r>
      <w:r w:rsidRPr="0068236B">
        <w:rPr>
          <w:rFonts w:cs="Tahoma"/>
          <w:sz w:val="20"/>
          <w:szCs w:val="20"/>
        </w:rPr>
        <w:t>his proposal was accepted by MEPSO in their capacity as Project Beneficiary and EBRD in their capacity as lead IFI in October 2021 and it was selected as preferred Project option for further development and E&amp;S assessment (this Report).</w:t>
      </w:r>
    </w:p>
    <w:p w14:paraId="481ABEF9" w14:textId="77777777" w:rsidR="00463A30" w:rsidRPr="0068236B" w:rsidRDefault="00463A30" w:rsidP="00463A30">
      <w:pPr>
        <w:shd w:val="clear" w:color="auto" w:fill="FFFFFF"/>
        <w:rPr>
          <w:rFonts w:cs="Tahoma"/>
          <w:color w:val="222222"/>
          <w:sz w:val="20"/>
          <w:szCs w:val="20"/>
          <w:shd w:val="clear" w:color="auto" w:fill="FFFFFF"/>
        </w:rPr>
      </w:pPr>
      <w:r w:rsidRPr="0068236B">
        <w:rPr>
          <w:rFonts w:cs="Tahoma"/>
          <w:color w:val="222222"/>
          <w:sz w:val="20"/>
          <w:szCs w:val="20"/>
          <w:shd w:val="clear" w:color="auto" w:fill="FFFFFF"/>
        </w:rPr>
        <w:t>The preferred Project option is shown in Annex 1.</w:t>
      </w:r>
    </w:p>
    <w:p w14:paraId="69ED426D" w14:textId="77777777" w:rsidR="005C1605" w:rsidRPr="0068236B" w:rsidRDefault="005C1605" w:rsidP="00463A30">
      <w:pPr>
        <w:shd w:val="clear" w:color="auto" w:fill="FFFFFF"/>
        <w:rPr>
          <w:rFonts w:cs="Tahoma"/>
          <w:color w:val="222222"/>
          <w:sz w:val="20"/>
          <w:szCs w:val="20"/>
          <w:shd w:val="clear" w:color="auto" w:fill="FFFFFF"/>
        </w:rPr>
      </w:pPr>
    </w:p>
    <w:p w14:paraId="451D44D4" w14:textId="5B70F573" w:rsidR="00BF7E0B" w:rsidRPr="0068236B" w:rsidRDefault="00BF7E0B" w:rsidP="005C1605">
      <w:pPr>
        <w:pStyle w:val="Heading2"/>
        <w:rPr>
          <w:rFonts w:asciiTheme="minorHAnsi" w:hAnsiTheme="minorHAnsi"/>
        </w:rPr>
      </w:pPr>
      <w:bookmarkStart w:id="42" w:name="_Toc112852195"/>
      <w:r w:rsidRPr="0068236B">
        <w:t>Project Categor</w:t>
      </w:r>
      <w:r w:rsidR="00074C60" w:rsidRPr="0068236B">
        <w:t>y</w:t>
      </w:r>
      <w:bookmarkEnd w:id="42"/>
    </w:p>
    <w:p w14:paraId="0EE641D9" w14:textId="2B11FC87" w:rsidR="003D36E1" w:rsidRPr="0068236B" w:rsidRDefault="00074C60" w:rsidP="00074C60">
      <w:pPr>
        <w:autoSpaceDE w:val="0"/>
        <w:autoSpaceDN w:val="0"/>
        <w:adjustRightInd w:val="0"/>
        <w:rPr>
          <w:rFonts w:cs="Tahoma"/>
          <w:sz w:val="20"/>
          <w:szCs w:val="20"/>
        </w:rPr>
      </w:pPr>
      <w:r w:rsidRPr="0068236B">
        <w:rPr>
          <w:rFonts w:cs="Tahoma"/>
          <w:sz w:val="20"/>
          <w:szCs w:val="20"/>
        </w:rPr>
        <w:t xml:space="preserve">During the </w:t>
      </w:r>
      <w:r w:rsidRPr="0068236B">
        <w:rPr>
          <w:rFonts w:cs="Tahoma"/>
          <w:sz w:val="20"/>
          <w:szCs w:val="20"/>
          <w:lang w:eastAsia="en-US"/>
        </w:rPr>
        <w:t xml:space="preserve">impact assessment scoping phase, </w:t>
      </w:r>
      <w:r w:rsidRPr="0068236B">
        <w:rPr>
          <w:rFonts w:cs="Tahoma"/>
          <w:sz w:val="20"/>
          <w:szCs w:val="20"/>
        </w:rPr>
        <w:t xml:space="preserve">with an aim to </w:t>
      </w:r>
      <w:r w:rsidRPr="0068236B">
        <w:rPr>
          <w:rFonts w:cs="Tahoma"/>
          <w:sz w:val="20"/>
          <w:szCs w:val="20"/>
          <w:lang w:eastAsia="en-US"/>
        </w:rPr>
        <w:t>determine the nature and level of environme</w:t>
      </w:r>
      <w:r w:rsidRPr="0068236B">
        <w:rPr>
          <w:rFonts w:cs="Tahoma"/>
          <w:sz w:val="20"/>
          <w:szCs w:val="20"/>
          <w:lang w:eastAsia="en-US"/>
        </w:rPr>
        <w:t>n</w:t>
      </w:r>
      <w:r w:rsidRPr="0068236B">
        <w:rPr>
          <w:rFonts w:cs="Tahoma"/>
          <w:sz w:val="20"/>
          <w:szCs w:val="20"/>
          <w:lang w:eastAsia="en-US"/>
        </w:rPr>
        <w:t>tal and social investigations, information disclosure and stakeholder engagement required</w:t>
      </w:r>
      <w:r w:rsidRPr="0068236B">
        <w:rPr>
          <w:rFonts w:cs="Tahoma"/>
          <w:sz w:val="20"/>
          <w:szCs w:val="20"/>
        </w:rPr>
        <w:t xml:space="preserve">, </w:t>
      </w:r>
      <w:r w:rsidR="003D36E1" w:rsidRPr="0068236B">
        <w:rPr>
          <w:rFonts w:cs="Tahoma"/>
          <w:sz w:val="20"/>
          <w:szCs w:val="20"/>
        </w:rPr>
        <w:t xml:space="preserve">the Project </w:t>
      </w:r>
      <w:r w:rsidRPr="0068236B">
        <w:rPr>
          <w:rFonts w:cs="Tahoma"/>
          <w:sz w:val="20"/>
          <w:szCs w:val="20"/>
        </w:rPr>
        <w:t>has</w:t>
      </w:r>
      <w:r w:rsidR="003D36E1" w:rsidRPr="0068236B">
        <w:rPr>
          <w:rFonts w:cs="Tahoma"/>
          <w:sz w:val="20"/>
          <w:szCs w:val="20"/>
        </w:rPr>
        <w:t xml:space="preserve"> been </w:t>
      </w:r>
      <w:r w:rsidRPr="0068236B">
        <w:rPr>
          <w:rFonts w:cs="Tahoma"/>
          <w:sz w:val="20"/>
          <w:szCs w:val="20"/>
        </w:rPr>
        <w:t xml:space="preserve">categorized </w:t>
      </w:r>
      <w:r w:rsidR="003D36E1" w:rsidRPr="0068236B">
        <w:rPr>
          <w:rFonts w:cs="Tahoma"/>
          <w:sz w:val="20"/>
          <w:szCs w:val="20"/>
        </w:rPr>
        <w:t xml:space="preserve">against </w:t>
      </w:r>
      <w:r w:rsidR="00AD5244" w:rsidRPr="0068236B">
        <w:rPr>
          <w:rFonts w:cs="Tahoma"/>
          <w:sz w:val="20"/>
          <w:szCs w:val="20"/>
        </w:rPr>
        <w:t xml:space="preserve">the key </w:t>
      </w:r>
      <w:r w:rsidR="003D36E1" w:rsidRPr="0068236B">
        <w:rPr>
          <w:rFonts w:cs="Tahoma"/>
          <w:sz w:val="20"/>
          <w:szCs w:val="20"/>
        </w:rPr>
        <w:t xml:space="preserve">applicable legal requirements and </w:t>
      </w:r>
      <w:r w:rsidR="00A24523" w:rsidRPr="0068236B">
        <w:rPr>
          <w:rFonts w:cs="Tahoma"/>
          <w:sz w:val="20"/>
          <w:szCs w:val="20"/>
        </w:rPr>
        <w:t xml:space="preserve">international </w:t>
      </w:r>
      <w:r w:rsidR="003D36E1" w:rsidRPr="0068236B">
        <w:rPr>
          <w:rFonts w:cs="Tahoma"/>
          <w:sz w:val="20"/>
          <w:szCs w:val="20"/>
        </w:rPr>
        <w:t>standards:</w:t>
      </w:r>
    </w:p>
    <w:p w14:paraId="0E212042" w14:textId="77777777" w:rsidR="003B2EC8" w:rsidRPr="0068236B" w:rsidRDefault="003B2EC8" w:rsidP="003B2EC8">
      <w:pPr>
        <w:pStyle w:val="ListParagraph"/>
        <w:numPr>
          <w:ilvl w:val="0"/>
          <w:numId w:val="45"/>
        </w:numPr>
        <w:spacing w:before="0" w:after="60" w:line="240" w:lineRule="auto"/>
        <w:ind w:left="714" w:hanging="357"/>
        <w:contextualSpacing w:val="0"/>
        <w:jc w:val="left"/>
        <w:rPr>
          <w:rFonts w:cs="Tahoma"/>
          <w:sz w:val="20"/>
        </w:rPr>
      </w:pPr>
      <w:r w:rsidRPr="0068236B">
        <w:rPr>
          <w:rFonts w:cs="Tahoma"/>
          <w:sz w:val="20"/>
          <w:szCs w:val="22"/>
        </w:rPr>
        <w:t>The EBRD Environmental and Social Policy (2019) (</w:t>
      </w:r>
      <w:r w:rsidRPr="0068236B">
        <w:rPr>
          <w:rFonts w:cs="Arial"/>
          <w:color w:val="000000"/>
          <w:sz w:val="20"/>
        </w:rPr>
        <w:t>Appendix 2: A list of Category A projects</w:t>
      </w:r>
      <w:r w:rsidRPr="0068236B">
        <w:rPr>
          <w:rStyle w:val="FootnoteReference"/>
          <w:rFonts w:cs="Arial"/>
          <w:color w:val="000000"/>
          <w:sz w:val="20"/>
        </w:rPr>
        <w:footnoteReference w:id="19"/>
      </w:r>
      <w:r w:rsidRPr="0068236B">
        <w:rPr>
          <w:rFonts w:cs="Arial"/>
          <w:color w:val="000000"/>
          <w:sz w:val="20"/>
        </w:rPr>
        <w:t>);</w:t>
      </w:r>
    </w:p>
    <w:p w14:paraId="3278EA97" w14:textId="77777777" w:rsidR="003D36E1" w:rsidRPr="0068236B" w:rsidRDefault="003D36E1" w:rsidP="008E77D3">
      <w:pPr>
        <w:pStyle w:val="ListParagraph"/>
        <w:numPr>
          <w:ilvl w:val="0"/>
          <w:numId w:val="45"/>
        </w:numPr>
        <w:spacing w:before="0" w:after="60" w:line="240" w:lineRule="auto"/>
        <w:ind w:left="714" w:hanging="357"/>
        <w:contextualSpacing w:val="0"/>
        <w:jc w:val="left"/>
        <w:rPr>
          <w:rFonts w:cs="Tahoma"/>
          <w:sz w:val="20"/>
        </w:rPr>
      </w:pPr>
      <w:r w:rsidRPr="0068236B">
        <w:rPr>
          <w:sz w:val="20"/>
        </w:rPr>
        <w:t xml:space="preserve">Macedonian </w:t>
      </w:r>
      <w:r w:rsidR="00AD5244" w:rsidRPr="0068236B">
        <w:rPr>
          <w:sz w:val="20"/>
        </w:rPr>
        <w:t>legal</w:t>
      </w:r>
      <w:r w:rsidRPr="0068236B">
        <w:rPr>
          <w:sz w:val="20"/>
        </w:rPr>
        <w:t xml:space="preserve"> EIA </w:t>
      </w:r>
      <w:r w:rsidR="00AD5244" w:rsidRPr="0068236B">
        <w:rPr>
          <w:sz w:val="20"/>
        </w:rPr>
        <w:t>screening requirements (</w:t>
      </w:r>
      <w:r w:rsidR="00AD5244" w:rsidRPr="0068236B">
        <w:rPr>
          <w:rFonts w:cs="Tahoma"/>
          <w:sz w:val="20"/>
          <w:szCs w:val="20"/>
        </w:rPr>
        <w:t xml:space="preserve">Decree on determining of projects and criteria upon which the need for an </w:t>
      </w:r>
      <w:r w:rsidR="00AD5244" w:rsidRPr="0068236B">
        <w:rPr>
          <w:rFonts w:cs="Tahoma"/>
          <w:sz w:val="20"/>
        </w:rPr>
        <w:t>environmental impact assessment (EIA) is established (Official Gazette of RM no.74/05, 109/09 &amp; 164/12)); and</w:t>
      </w:r>
    </w:p>
    <w:p w14:paraId="333DD3DA" w14:textId="31CBBE2D" w:rsidR="00AD5244" w:rsidRPr="0068236B" w:rsidRDefault="00A24523" w:rsidP="008E77D3">
      <w:pPr>
        <w:pStyle w:val="ListParagraph"/>
        <w:numPr>
          <w:ilvl w:val="0"/>
          <w:numId w:val="45"/>
        </w:numPr>
        <w:spacing w:before="0" w:after="60" w:line="240" w:lineRule="auto"/>
        <w:ind w:left="714" w:hanging="357"/>
        <w:contextualSpacing w:val="0"/>
        <w:jc w:val="left"/>
        <w:rPr>
          <w:rFonts w:cs="Tahoma"/>
          <w:sz w:val="20"/>
        </w:rPr>
      </w:pPr>
      <w:r w:rsidRPr="0068236B">
        <w:rPr>
          <w:rFonts w:cs="Tahoma"/>
          <w:sz w:val="20"/>
        </w:rPr>
        <w:t>The EU EIA requirements (EIA Directive, i.e. Annexes of the Directive which list the project</w:t>
      </w:r>
      <w:r w:rsidR="004B40D4" w:rsidRPr="0068236B">
        <w:rPr>
          <w:rFonts w:cs="Tahoma"/>
          <w:sz w:val="20"/>
        </w:rPr>
        <w:t>s</w:t>
      </w:r>
      <w:r w:rsidRPr="0068236B">
        <w:rPr>
          <w:rFonts w:cs="Tahoma"/>
          <w:sz w:val="20"/>
        </w:rPr>
        <w:t xml:space="preserve"> that fall under its scope</w:t>
      </w:r>
      <w:r w:rsidR="00E147D0" w:rsidRPr="0068236B">
        <w:rPr>
          <w:rFonts w:cs="Tahoma"/>
          <w:sz w:val="20"/>
        </w:rPr>
        <w:t>)</w:t>
      </w:r>
    </w:p>
    <w:p w14:paraId="65F517BA" w14:textId="77777777" w:rsidR="00A24523" w:rsidRPr="0068236B" w:rsidRDefault="00A24523" w:rsidP="00A24523">
      <w:pPr>
        <w:rPr>
          <w:sz w:val="20"/>
        </w:rPr>
      </w:pPr>
      <w:r w:rsidRPr="0068236B">
        <w:rPr>
          <w:sz w:val="20"/>
        </w:rPr>
        <w:t>The following Table summarizes the results of the screening exercise against the relevant regulative r</w:t>
      </w:r>
      <w:r w:rsidRPr="0068236B">
        <w:rPr>
          <w:sz w:val="20"/>
        </w:rPr>
        <w:t>e</w:t>
      </w:r>
      <w:r w:rsidRPr="0068236B">
        <w:rPr>
          <w:sz w:val="20"/>
        </w:rPr>
        <w:t>quirements.</w:t>
      </w:r>
    </w:p>
    <w:tbl>
      <w:tblPr>
        <w:tblStyle w:val="TableGrid"/>
        <w:tblW w:w="9808" w:type="dxa"/>
        <w:tblBorders>
          <w:top w:val="double" w:sz="4" w:space="0" w:color="auto"/>
          <w:left w:val="double" w:sz="4" w:space="0" w:color="auto"/>
          <w:bottom w:val="double" w:sz="4" w:space="0" w:color="auto"/>
          <w:right w:val="double" w:sz="4" w:space="0" w:color="auto"/>
        </w:tblBorders>
        <w:tblCellMar>
          <w:left w:w="28" w:type="dxa"/>
          <w:right w:w="28" w:type="dxa"/>
        </w:tblCellMar>
        <w:tblLook w:val="04A0" w:firstRow="1" w:lastRow="0" w:firstColumn="1" w:lastColumn="0" w:noHBand="0" w:noVBand="1"/>
      </w:tblPr>
      <w:tblGrid>
        <w:gridCol w:w="3269"/>
        <w:gridCol w:w="3269"/>
        <w:gridCol w:w="3270"/>
      </w:tblGrid>
      <w:tr w:rsidR="003B2EC8" w:rsidRPr="0068236B" w14:paraId="608981B1" w14:textId="77777777" w:rsidTr="003B2EC8">
        <w:tc>
          <w:tcPr>
            <w:tcW w:w="3269" w:type="dxa"/>
            <w:tcBorders>
              <w:top w:val="double" w:sz="4" w:space="0" w:color="auto"/>
              <w:left w:val="double" w:sz="4" w:space="0" w:color="auto"/>
              <w:bottom w:val="double" w:sz="4" w:space="0" w:color="auto"/>
              <w:right w:val="double" w:sz="4" w:space="0" w:color="auto"/>
            </w:tcBorders>
            <w:shd w:val="clear" w:color="auto" w:fill="9CC2E5" w:themeFill="accent5" w:themeFillTint="99"/>
          </w:tcPr>
          <w:p w14:paraId="18B980E5" w14:textId="355AC7FE" w:rsidR="003B2EC8" w:rsidRPr="0068236B" w:rsidRDefault="003B2EC8" w:rsidP="003B2EC8">
            <w:pPr>
              <w:spacing w:before="0" w:after="0" w:line="240" w:lineRule="auto"/>
              <w:jc w:val="left"/>
              <w:rPr>
                <w:sz w:val="20"/>
                <w:szCs w:val="20"/>
              </w:rPr>
            </w:pPr>
            <w:r w:rsidRPr="0068236B">
              <w:rPr>
                <w:sz w:val="20"/>
                <w:szCs w:val="20"/>
              </w:rPr>
              <w:t>EBRD ESP</w:t>
            </w:r>
          </w:p>
        </w:tc>
        <w:tc>
          <w:tcPr>
            <w:tcW w:w="3269" w:type="dxa"/>
            <w:tcBorders>
              <w:top w:val="double" w:sz="4" w:space="0" w:color="auto"/>
              <w:left w:val="double" w:sz="4" w:space="0" w:color="auto"/>
              <w:bottom w:val="double" w:sz="4" w:space="0" w:color="auto"/>
              <w:right w:val="double" w:sz="4" w:space="0" w:color="auto"/>
            </w:tcBorders>
            <w:shd w:val="clear" w:color="auto" w:fill="9CC2E5" w:themeFill="accent5" w:themeFillTint="99"/>
          </w:tcPr>
          <w:p w14:paraId="3003AC92" w14:textId="4375C954" w:rsidR="003B2EC8" w:rsidRPr="0068236B" w:rsidRDefault="003B2EC8" w:rsidP="003B2EC8">
            <w:pPr>
              <w:spacing w:before="0" w:after="0" w:line="240" w:lineRule="auto"/>
              <w:jc w:val="left"/>
              <w:rPr>
                <w:sz w:val="20"/>
                <w:szCs w:val="20"/>
              </w:rPr>
            </w:pPr>
            <w:r w:rsidRPr="0068236B">
              <w:rPr>
                <w:sz w:val="20"/>
                <w:szCs w:val="20"/>
              </w:rPr>
              <w:t>Macedonian EIA regulations</w:t>
            </w:r>
          </w:p>
        </w:tc>
        <w:tc>
          <w:tcPr>
            <w:tcW w:w="3270" w:type="dxa"/>
            <w:tcBorders>
              <w:top w:val="double" w:sz="4" w:space="0" w:color="auto"/>
              <w:left w:val="double" w:sz="4" w:space="0" w:color="auto"/>
              <w:bottom w:val="double" w:sz="4" w:space="0" w:color="auto"/>
              <w:right w:val="double" w:sz="4" w:space="0" w:color="auto"/>
            </w:tcBorders>
            <w:shd w:val="clear" w:color="auto" w:fill="9CC2E5" w:themeFill="accent5" w:themeFillTint="99"/>
          </w:tcPr>
          <w:p w14:paraId="5B90E40C" w14:textId="77777777" w:rsidR="003B2EC8" w:rsidRPr="0068236B" w:rsidRDefault="003B2EC8" w:rsidP="003B2EC8">
            <w:pPr>
              <w:spacing w:before="0" w:after="0" w:line="240" w:lineRule="auto"/>
              <w:jc w:val="left"/>
              <w:rPr>
                <w:sz w:val="20"/>
                <w:szCs w:val="20"/>
              </w:rPr>
            </w:pPr>
            <w:r w:rsidRPr="0068236B">
              <w:rPr>
                <w:sz w:val="20"/>
                <w:szCs w:val="20"/>
              </w:rPr>
              <w:t>EU EIA Directive</w:t>
            </w:r>
          </w:p>
        </w:tc>
      </w:tr>
      <w:tr w:rsidR="003B2EC8" w:rsidRPr="0068236B" w14:paraId="1F4D7FE7" w14:textId="77777777" w:rsidTr="003B2EC8">
        <w:tc>
          <w:tcPr>
            <w:tcW w:w="3269" w:type="dxa"/>
            <w:tcBorders>
              <w:top w:val="double" w:sz="4" w:space="0" w:color="auto"/>
            </w:tcBorders>
          </w:tcPr>
          <w:p w14:paraId="18AD66CB" w14:textId="77777777" w:rsidR="003B2EC8" w:rsidRPr="0068236B" w:rsidRDefault="003B2EC8" w:rsidP="003B2EC8">
            <w:pPr>
              <w:spacing w:before="0" w:after="0" w:line="240" w:lineRule="auto"/>
              <w:jc w:val="left"/>
              <w:rPr>
                <w:sz w:val="20"/>
                <w:szCs w:val="20"/>
              </w:rPr>
            </w:pPr>
            <w:r w:rsidRPr="0068236B">
              <w:rPr>
                <w:sz w:val="20"/>
                <w:szCs w:val="20"/>
              </w:rPr>
              <w:t>Category B development</w:t>
            </w:r>
            <w:r w:rsidRPr="0068236B">
              <w:rPr>
                <w:rStyle w:val="FootnoteReference"/>
                <w:sz w:val="20"/>
                <w:szCs w:val="20"/>
              </w:rPr>
              <w:footnoteReference w:id="20"/>
            </w:r>
            <w:r w:rsidRPr="0068236B">
              <w:rPr>
                <w:sz w:val="20"/>
                <w:szCs w:val="20"/>
                <w:vertAlign w:val="superscript"/>
              </w:rPr>
              <w:t>,</w:t>
            </w:r>
            <w:r w:rsidRPr="0068236B">
              <w:rPr>
                <w:rStyle w:val="FootnoteReference"/>
                <w:sz w:val="20"/>
                <w:szCs w:val="20"/>
              </w:rPr>
              <w:footnoteReference w:id="21"/>
            </w:r>
            <w:r w:rsidRPr="0068236B">
              <w:rPr>
                <w:sz w:val="20"/>
                <w:szCs w:val="20"/>
              </w:rPr>
              <w:t xml:space="preserve"> </w:t>
            </w:r>
          </w:p>
          <w:p w14:paraId="5756937C" w14:textId="4F4D3E88" w:rsidR="003B2EC8" w:rsidRPr="0068236B" w:rsidRDefault="003B2EC8" w:rsidP="003B2EC8">
            <w:pPr>
              <w:spacing w:before="0" w:after="0" w:line="240" w:lineRule="auto"/>
              <w:jc w:val="left"/>
              <w:rPr>
                <w:sz w:val="20"/>
                <w:szCs w:val="20"/>
              </w:rPr>
            </w:pPr>
            <w:r w:rsidRPr="0068236B">
              <w:rPr>
                <w:sz w:val="20"/>
                <w:szCs w:val="20"/>
              </w:rPr>
              <w:t>(E&amp;S Assessment report is required)</w:t>
            </w:r>
          </w:p>
        </w:tc>
        <w:tc>
          <w:tcPr>
            <w:tcW w:w="3269" w:type="dxa"/>
            <w:tcBorders>
              <w:top w:val="double" w:sz="4" w:space="0" w:color="auto"/>
            </w:tcBorders>
          </w:tcPr>
          <w:p w14:paraId="062CCAE0" w14:textId="1F92A1D1" w:rsidR="003B2EC8" w:rsidRPr="0068236B" w:rsidRDefault="003B2EC8" w:rsidP="003B2EC8">
            <w:pPr>
              <w:spacing w:before="0" w:after="0" w:line="240" w:lineRule="auto"/>
              <w:jc w:val="left"/>
              <w:rPr>
                <w:sz w:val="20"/>
                <w:szCs w:val="20"/>
              </w:rPr>
            </w:pPr>
            <w:r w:rsidRPr="0068236B">
              <w:rPr>
                <w:sz w:val="20"/>
                <w:szCs w:val="20"/>
              </w:rPr>
              <w:t>Annex II development</w:t>
            </w:r>
          </w:p>
          <w:p w14:paraId="7F6FB83B" w14:textId="77777777" w:rsidR="003B2EC8" w:rsidRPr="0068236B" w:rsidRDefault="003B2EC8" w:rsidP="003B2EC8">
            <w:pPr>
              <w:spacing w:before="0" w:after="0" w:line="240" w:lineRule="auto"/>
              <w:jc w:val="left"/>
              <w:rPr>
                <w:sz w:val="20"/>
                <w:szCs w:val="20"/>
              </w:rPr>
            </w:pPr>
            <w:r w:rsidRPr="0068236B">
              <w:rPr>
                <w:sz w:val="20"/>
                <w:szCs w:val="20"/>
              </w:rPr>
              <w:t xml:space="preserve">Formalised EIA not mandatory / </w:t>
            </w:r>
          </w:p>
          <w:p w14:paraId="7BFBACDC" w14:textId="77777777" w:rsidR="003B2EC8" w:rsidRPr="0068236B" w:rsidRDefault="003B2EC8" w:rsidP="003B2EC8">
            <w:pPr>
              <w:spacing w:before="0" w:after="0" w:line="240" w:lineRule="auto"/>
              <w:jc w:val="left"/>
              <w:rPr>
                <w:sz w:val="20"/>
                <w:szCs w:val="20"/>
              </w:rPr>
            </w:pPr>
            <w:r w:rsidRPr="0068236B">
              <w:rPr>
                <w:sz w:val="20"/>
                <w:szCs w:val="20"/>
              </w:rPr>
              <w:t>Formalised EIA may be required (case-by-case examination)</w:t>
            </w:r>
          </w:p>
        </w:tc>
        <w:tc>
          <w:tcPr>
            <w:tcW w:w="3270" w:type="dxa"/>
            <w:tcBorders>
              <w:top w:val="double" w:sz="4" w:space="0" w:color="auto"/>
            </w:tcBorders>
          </w:tcPr>
          <w:p w14:paraId="2D301DF0" w14:textId="77777777" w:rsidR="003B2EC8" w:rsidRPr="0068236B" w:rsidRDefault="003B2EC8" w:rsidP="003B2EC8">
            <w:pPr>
              <w:spacing w:before="0" w:after="0" w:line="240" w:lineRule="auto"/>
              <w:jc w:val="left"/>
              <w:rPr>
                <w:sz w:val="20"/>
                <w:szCs w:val="20"/>
              </w:rPr>
            </w:pPr>
            <w:r w:rsidRPr="0068236B">
              <w:rPr>
                <w:sz w:val="20"/>
                <w:szCs w:val="20"/>
              </w:rPr>
              <w:t xml:space="preserve">Annex II development </w:t>
            </w:r>
          </w:p>
          <w:p w14:paraId="29F93CE2" w14:textId="77777777" w:rsidR="003B2EC8" w:rsidRPr="0068236B" w:rsidRDefault="003B2EC8" w:rsidP="003B2EC8">
            <w:pPr>
              <w:spacing w:before="0" w:after="0" w:line="240" w:lineRule="auto"/>
              <w:jc w:val="left"/>
              <w:rPr>
                <w:sz w:val="20"/>
                <w:szCs w:val="20"/>
              </w:rPr>
            </w:pPr>
            <w:r w:rsidRPr="0068236B">
              <w:rPr>
                <w:sz w:val="20"/>
                <w:szCs w:val="20"/>
              </w:rPr>
              <w:t>EIA is not compulsory /</w:t>
            </w:r>
          </w:p>
          <w:p w14:paraId="59A16285" w14:textId="43A5D947" w:rsidR="003B2EC8" w:rsidRPr="0068236B" w:rsidRDefault="003B2EC8" w:rsidP="003B2EC8">
            <w:pPr>
              <w:spacing w:before="0" w:after="0" w:line="240" w:lineRule="auto"/>
              <w:jc w:val="left"/>
              <w:rPr>
                <w:sz w:val="20"/>
                <w:szCs w:val="20"/>
              </w:rPr>
            </w:pPr>
            <w:r w:rsidRPr="0068236B">
              <w:rPr>
                <w:sz w:val="20"/>
                <w:szCs w:val="20"/>
              </w:rPr>
              <w:t>EIA may be required (case-by-case examination)</w:t>
            </w:r>
          </w:p>
        </w:tc>
      </w:tr>
    </w:tbl>
    <w:p w14:paraId="680CE686" w14:textId="77777777" w:rsidR="00A24523" w:rsidRPr="0068236B" w:rsidRDefault="00A24523" w:rsidP="00A24523">
      <w:pPr>
        <w:pStyle w:val="CaptionTablesFigures"/>
        <w:spacing w:after="240"/>
        <w:jc w:val="left"/>
      </w:pPr>
      <w:bookmarkStart w:id="43" w:name="_Toc113018161"/>
      <w:r w:rsidRPr="0068236B">
        <w:t xml:space="preserve">Table </w:t>
      </w:r>
      <w:r w:rsidR="00377E43" w:rsidRPr="0068236B">
        <w:fldChar w:fldCharType="begin"/>
      </w:r>
      <w:r w:rsidRPr="0068236B">
        <w:instrText xml:space="preserve"> STYLEREF 1 \s </w:instrText>
      </w:r>
      <w:r w:rsidR="00377E43" w:rsidRPr="0068236B">
        <w:fldChar w:fldCharType="separate"/>
      </w:r>
      <w:r w:rsidR="00234EBE" w:rsidRPr="0068236B">
        <w:rPr>
          <w:noProof/>
        </w:rPr>
        <w:t>1</w:t>
      </w:r>
      <w:r w:rsidR="00377E43" w:rsidRPr="0068236B">
        <w:fldChar w:fldCharType="end"/>
      </w:r>
      <w:r w:rsidRPr="0068236B">
        <w:t>.</w:t>
      </w:r>
      <w:r w:rsidR="00377E43" w:rsidRPr="0068236B">
        <w:fldChar w:fldCharType="begin"/>
      </w:r>
      <w:r w:rsidRPr="0068236B">
        <w:instrText xml:space="preserve"> SEQ Table \* ARABIC \s 1 </w:instrText>
      </w:r>
      <w:r w:rsidR="00377E43" w:rsidRPr="0068236B">
        <w:fldChar w:fldCharType="separate"/>
      </w:r>
      <w:r w:rsidR="00234EBE" w:rsidRPr="0068236B">
        <w:rPr>
          <w:noProof/>
        </w:rPr>
        <w:t>2</w:t>
      </w:r>
      <w:r w:rsidR="00377E43" w:rsidRPr="0068236B">
        <w:fldChar w:fldCharType="end"/>
      </w:r>
      <w:r w:rsidR="006E2AC4" w:rsidRPr="0068236B">
        <w:t xml:space="preserve">: </w:t>
      </w:r>
      <w:r w:rsidRPr="0068236B">
        <w:t>Summary of the Project categorisation against the applicable standards</w:t>
      </w:r>
      <w:bookmarkEnd w:id="43"/>
    </w:p>
    <w:p w14:paraId="1CB3DE76" w14:textId="74CC5808" w:rsidR="000D1D88" w:rsidRPr="0068236B" w:rsidRDefault="000D1D88" w:rsidP="000D1D88">
      <w:pPr>
        <w:autoSpaceDE w:val="0"/>
        <w:autoSpaceDN w:val="0"/>
        <w:adjustRightInd w:val="0"/>
        <w:rPr>
          <w:rFonts w:cs="Arial"/>
          <w:sz w:val="20"/>
          <w:szCs w:val="20"/>
        </w:rPr>
      </w:pPr>
      <w:r w:rsidRPr="0068236B">
        <w:rPr>
          <w:rFonts w:cs="Arial"/>
          <w:sz w:val="20"/>
          <w:szCs w:val="20"/>
        </w:rPr>
        <w:t xml:space="preserve">Based on the </w:t>
      </w:r>
      <w:r w:rsidR="00BB5AC3" w:rsidRPr="0068236B">
        <w:rPr>
          <w:rFonts w:cs="Arial"/>
          <w:sz w:val="20"/>
          <w:szCs w:val="20"/>
        </w:rPr>
        <w:t>findings of the Project’s categorisation process</w:t>
      </w:r>
      <w:r w:rsidR="00BB5AC3" w:rsidRPr="0068236B">
        <w:rPr>
          <w:rStyle w:val="FootnoteReference"/>
          <w:rFonts w:cs="Arial"/>
          <w:sz w:val="20"/>
          <w:szCs w:val="20"/>
        </w:rPr>
        <w:footnoteReference w:id="22"/>
      </w:r>
      <w:r w:rsidR="0022295C" w:rsidRPr="0068236B">
        <w:rPr>
          <w:rFonts w:cs="Arial"/>
          <w:sz w:val="20"/>
          <w:szCs w:val="20"/>
        </w:rPr>
        <w:t xml:space="preserve"> and in consultation with EBRD, </w:t>
      </w:r>
      <w:r w:rsidRPr="0068236B">
        <w:rPr>
          <w:rFonts w:cs="Arial"/>
          <w:sz w:val="20"/>
          <w:szCs w:val="20"/>
        </w:rPr>
        <w:t>this Project is assessed as B Category according to the EBRD Environmental and Social Policy, requiring an Environmental and Social Assessment Report (this Report).</w:t>
      </w:r>
    </w:p>
    <w:p w14:paraId="70161745" w14:textId="77777777" w:rsidR="005C1605" w:rsidRPr="0068236B" w:rsidRDefault="005C1605" w:rsidP="000D1D88">
      <w:pPr>
        <w:autoSpaceDE w:val="0"/>
        <w:autoSpaceDN w:val="0"/>
        <w:adjustRightInd w:val="0"/>
        <w:rPr>
          <w:rFonts w:cs="Arial"/>
          <w:sz w:val="20"/>
          <w:szCs w:val="20"/>
        </w:rPr>
      </w:pPr>
    </w:p>
    <w:p w14:paraId="15498D8A" w14:textId="77777777" w:rsidR="00D223DA" w:rsidRDefault="00D223DA">
      <w:pPr>
        <w:spacing w:before="0" w:after="0" w:line="240" w:lineRule="auto"/>
        <w:jc w:val="left"/>
        <w:rPr>
          <w:b/>
          <w:color w:val="44697D"/>
          <w:sz w:val="28"/>
          <w:szCs w:val="32"/>
        </w:rPr>
      </w:pPr>
      <w:bookmarkStart w:id="44" w:name="_Toc71559721"/>
      <w:bookmarkStart w:id="45" w:name="_Toc112852196"/>
      <w:r>
        <w:br w:type="page"/>
      </w:r>
    </w:p>
    <w:p w14:paraId="51F4A1AF" w14:textId="3E170C8F" w:rsidR="00BF7E0B" w:rsidRPr="0068236B" w:rsidRDefault="00BF7E0B" w:rsidP="005C1605">
      <w:pPr>
        <w:pStyle w:val="Heading2"/>
      </w:pPr>
      <w:r w:rsidRPr="0068236B">
        <w:lastRenderedPageBreak/>
        <w:t>E</w:t>
      </w:r>
      <w:r w:rsidR="000D1D88" w:rsidRPr="0068236B">
        <w:t>nvironmental and Social Assessment Summary</w:t>
      </w:r>
      <w:bookmarkEnd w:id="44"/>
      <w:bookmarkEnd w:id="45"/>
    </w:p>
    <w:p w14:paraId="7BE7CC63" w14:textId="77777777" w:rsidR="00B55FB1" w:rsidRPr="0068236B" w:rsidRDefault="00B55FB1" w:rsidP="00B55FB1">
      <w:pPr>
        <w:autoSpaceDE w:val="0"/>
        <w:autoSpaceDN w:val="0"/>
        <w:adjustRightInd w:val="0"/>
        <w:rPr>
          <w:rFonts w:cs="Tahoma"/>
          <w:sz w:val="20"/>
          <w:szCs w:val="20"/>
        </w:rPr>
      </w:pPr>
      <w:r w:rsidRPr="0068236B">
        <w:rPr>
          <w:rFonts w:cs="Tahoma"/>
          <w:sz w:val="20"/>
          <w:szCs w:val="20"/>
        </w:rPr>
        <w:t>Different project aspects have been considered throughout the process of assessing the impact of the Pr</w:t>
      </w:r>
      <w:r w:rsidRPr="0068236B">
        <w:rPr>
          <w:rFonts w:cs="Tahoma"/>
          <w:sz w:val="20"/>
          <w:szCs w:val="20"/>
        </w:rPr>
        <w:t>o</w:t>
      </w:r>
      <w:r w:rsidRPr="0068236B">
        <w:rPr>
          <w:rFonts w:cs="Tahoma"/>
          <w:sz w:val="20"/>
          <w:szCs w:val="20"/>
        </w:rPr>
        <w:t xml:space="preserve">ject on the biophysical and societal environment. </w:t>
      </w:r>
    </w:p>
    <w:p w14:paraId="645A2E8A" w14:textId="304720BB" w:rsidR="00EF3454" w:rsidRPr="0068236B" w:rsidRDefault="00B55FB1" w:rsidP="00B55FB1">
      <w:pPr>
        <w:rPr>
          <w:rFonts w:ascii="Tahoma Bold" w:hAnsi="Tahoma Bold"/>
          <w:b/>
          <w:color w:val="44697D"/>
          <w:sz w:val="20"/>
          <w:szCs w:val="20"/>
          <w:u w:color="00B050"/>
        </w:rPr>
      </w:pPr>
      <w:r w:rsidRPr="0068236B">
        <w:rPr>
          <w:rFonts w:cs="Tahoma"/>
          <w:sz w:val="20"/>
          <w:szCs w:val="20"/>
        </w:rPr>
        <w:t>The assessment for individual relevant E&amp;S topics is</w:t>
      </w:r>
      <w:r w:rsidR="00FD1D4C" w:rsidRPr="0068236B">
        <w:rPr>
          <w:rFonts w:cs="Tahoma"/>
          <w:sz w:val="20"/>
          <w:szCs w:val="20"/>
        </w:rPr>
        <w:t xml:space="preserve"> provided in technical sections 7</w:t>
      </w:r>
      <w:r w:rsidRPr="0068236B">
        <w:rPr>
          <w:rFonts w:cs="Tahoma"/>
          <w:sz w:val="20"/>
          <w:szCs w:val="20"/>
        </w:rPr>
        <w:t xml:space="preserve"> - </w:t>
      </w:r>
      <w:r w:rsidR="00FD1D4C" w:rsidRPr="0068236B">
        <w:rPr>
          <w:rFonts w:cs="Tahoma"/>
          <w:sz w:val="20"/>
          <w:szCs w:val="20"/>
        </w:rPr>
        <w:t>12</w:t>
      </w:r>
      <w:r w:rsidRPr="0068236B">
        <w:rPr>
          <w:rFonts w:cs="Tahoma"/>
          <w:sz w:val="20"/>
          <w:szCs w:val="20"/>
        </w:rPr>
        <w:t xml:space="preserve"> of this Rep</w:t>
      </w:r>
      <w:r w:rsidR="00DD2767" w:rsidRPr="0068236B">
        <w:rPr>
          <w:rFonts w:cs="Tahoma"/>
          <w:sz w:val="20"/>
          <w:szCs w:val="20"/>
        </w:rPr>
        <w:t xml:space="preserve">ort. Each assessment provides an </w:t>
      </w:r>
      <w:r w:rsidRPr="0068236B">
        <w:rPr>
          <w:rFonts w:cs="Tahoma"/>
          <w:sz w:val="20"/>
          <w:szCs w:val="20"/>
        </w:rPr>
        <w:t>assessment of the likely significant effects and the Table below provides a high level summary of these effects.</w:t>
      </w:r>
    </w:p>
    <w:p w14:paraId="52227759" w14:textId="77777777" w:rsidR="00B55FB1" w:rsidRPr="0068236B" w:rsidRDefault="00B55FB1">
      <w:pPr>
        <w:spacing w:before="0" w:after="0" w:line="240" w:lineRule="auto"/>
        <w:jc w:val="left"/>
        <w:sectPr w:rsidR="00B55FB1" w:rsidRPr="0068236B" w:rsidSect="00F56664">
          <w:pgSz w:w="11907" w:h="16840" w:code="9"/>
          <w:pgMar w:top="1134" w:right="1134" w:bottom="1077" w:left="1134" w:header="397" w:footer="397" w:gutter="0"/>
          <w:cols w:space="708"/>
          <w:docGrid w:linePitch="360"/>
        </w:sectPr>
      </w:pPr>
    </w:p>
    <w:p w14:paraId="0D76561C" w14:textId="77777777" w:rsidR="00B55FB1" w:rsidRPr="0068236B" w:rsidRDefault="00B55FB1">
      <w:pPr>
        <w:spacing w:before="0" w:after="0" w:line="240" w:lineRule="auto"/>
        <w:jc w:val="left"/>
        <w:rPr>
          <w:sz w:val="20"/>
          <w:szCs w:val="20"/>
        </w:rPr>
      </w:pPr>
    </w:p>
    <w:p w14:paraId="4D495B9E" w14:textId="34E66481" w:rsidR="004227AF" w:rsidRPr="0068236B" w:rsidRDefault="004227AF" w:rsidP="004227AF">
      <w:pPr>
        <w:pStyle w:val="CaptionTablesFigures"/>
        <w:spacing w:after="120"/>
        <w:jc w:val="left"/>
      </w:pPr>
      <w:bookmarkStart w:id="46" w:name="_Toc113018162"/>
      <w:r w:rsidRPr="0068236B">
        <w:t xml:space="preserve">Table </w:t>
      </w:r>
      <w:r w:rsidRPr="0068236B">
        <w:fldChar w:fldCharType="begin"/>
      </w:r>
      <w:r w:rsidRPr="0068236B">
        <w:instrText xml:space="preserve"> STYLEREF 1 \s </w:instrText>
      </w:r>
      <w:r w:rsidRPr="0068236B">
        <w:fldChar w:fldCharType="separate"/>
      </w:r>
      <w:r w:rsidRPr="0068236B">
        <w:rPr>
          <w:noProof/>
        </w:rPr>
        <w:t>1</w:t>
      </w:r>
      <w:r w:rsidRPr="0068236B">
        <w:fldChar w:fldCharType="end"/>
      </w:r>
      <w:r w:rsidRPr="0068236B">
        <w:t>.</w:t>
      </w:r>
      <w:r w:rsidRPr="0068236B">
        <w:fldChar w:fldCharType="begin"/>
      </w:r>
      <w:r w:rsidRPr="0068236B">
        <w:instrText xml:space="preserve"> SEQ Table \* ARABIC \s 1 </w:instrText>
      </w:r>
      <w:r w:rsidRPr="0068236B">
        <w:fldChar w:fldCharType="separate"/>
      </w:r>
      <w:r w:rsidRPr="0068236B">
        <w:rPr>
          <w:noProof/>
        </w:rPr>
        <w:t>3</w:t>
      </w:r>
      <w:r w:rsidRPr="0068236B">
        <w:fldChar w:fldCharType="end"/>
      </w:r>
      <w:r w:rsidRPr="0068236B">
        <w:t xml:space="preserve">: </w:t>
      </w:r>
      <w:r w:rsidRPr="0068236B">
        <w:rPr>
          <w:rFonts w:cs="Tahoma"/>
          <w:lang w:eastAsia="en-US"/>
        </w:rPr>
        <w:t>Summary of assessment of likely significant environmental and social impacts</w:t>
      </w:r>
      <w:r w:rsidR="00154DBD" w:rsidRPr="00154DBD">
        <w:rPr>
          <w:rFonts w:cs="Tahoma"/>
          <w:lang w:eastAsia="en-US"/>
        </w:rPr>
        <w:t xml:space="preserve"> </w:t>
      </w:r>
      <w:r w:rsidR="00154DBD">
        <w:rPr>
          <w:rFonts w:cs="Tahoma"/>
          <w:lang w:eastAsia="en-US"/>
        </w:rPr>
        <w:t>and key mitigation</w:t>
      </w:r>
      <w:bookmarkEnd w:id="46"/>
    </w:p>
    <w:tbl>
      <w:tblPr>
        <w:tblStyle w:val="WSP"/>
        <w:tblW w:w="1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28" w:type="dxa"/>
          <w:bottom w:w="0" w:type="dxa"/>
          <w:right w:w="28" w:type="dxa"/>
        </w:tblCellMar>
        <w:tblLook w:val="04A0" w:firstRow="1" w:lastRow="0" w:firstColumn="1" w:lastColumn="0" w:noHBand="0" w:noVBand="1"/>
      </w:tblPr>
      <w:tblGrid>
        <w:gridCol w:w="1188"/>
        <w:gridCol w:w="1247"/>
        <w:gridCol w:w="4222"/>
        <w:gridCol w:w="1949"/>
        <w:gridCol w:w="5884"/>
        <w:gridCol w:w="1392"/>
      </w:tblGrid>
      <w:tr w:rsidR="00BB421B" w:rsidRPr="0068236B" w14:paraId="03DA4776" w14:textId="77777777" w:rsidTr="007531FB">
        <w:trPr>
          <w:cnfStyle w:val="100000000000" w:firstRow="1" w:lastRow="0" w:firstColumn="0" w:lastColumn="0" w:oddVBand="0" w:evenVBand="0" w:oddHBand="0" w:evenHBand="0" w:firstRowFirstColumn="0" w:firstRowLastColumn="0" w:lastRowFirstColumn="0" w:lastRowLastColumn="0"/>
          <w:cantSplit/>
          <w:tblHeader/>
          <w:jc w:val="center"/>
        </w:trPr>
        <w:tc>
          <w:tcPr>
            <w:tcW w:w="1188"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59F2C21E" w14:textId="77777777" w:rsidR="00B55FB1" w:rsidRPr="0068236B" w:rsidRDefault="00B55FB1" w:rsidP="00C56FEA">
            <w:pPr>
              <w:spacing w:before="0" w:after="0" w:line="240" w:lineRule="auto"/>
              <w:jc w:val="left"/>
              <w:rPr>
                <w:rFonts w:cs="Tahoma"/>
                <w:color w:val="auto"/>
                <w:sz w:val="20"/>
                <w:szCs w:val="20"/>
              </w:rPr>
            </w:pPr>
            <w:r w:rsidRPr="0068236B">
              <w:rPr>
                <w:rFonts w:cs="Tahoma"/>
                <w:color w:val="auto"/>
                <w:sz w:val="20"/>
                <w:szCs w:val="20"/>
              </w:rPr>
              <w:t>Topic</w:t>
            </w:r>
          </w:p>
        </w:tc>
        <w:tc>
          <w:tcPr>
            <w:tcW w:w="1247"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510DF069"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Phase</w:t>
            </w:r>
          </w:p>
        </w:tc>
        <w:tc>
          <w:tcPr>
            <w:tcW w:w="4222"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1ECCBB1F" w14:textId="77777777" w:rsidR="00B55FB1" w:rsidRPr="0068236B" w:rsidRDefault="00B55FB1" w:rsidP="00C56FEA">
            <w:pPr>
              <w:spacing w:before="0" w:after="0" w:line="240" w:lineRule="auto"/>
              <w:jc w:val="left"/>
              <w:rPr>
                <w:rFonts w:cs="Tahoma"/>
                <w:color w:val="auto"/>
                <w:sz w:val="20"/>
                <w:szCs w:val="20"/>
              </w:rPr>
            </w:pPr>
            <w:r w:rsidRPr="0068236B">
              <w:rPr>
                <w:rFonts w:cs="Tahoma"/>
                <w:color w:val="auto"/>
                <w:sz w:val="20"/>
                <w:szCs w:val="20"/>
              </w:rPr>
              <w:t>Key Potential Impacts</w:t>
            </w:r>
          </w:p>
        </w:tc>
        <w:tc>
          <w:tcPr>
            <w:tcW w:w="1949"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2F3358F9"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Significance</w:t>
            </w:r>
          </w:p>
          <w:p w14:paraId="5FE91196"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(without mitigation)</w:t>
            </w:r>
          </w:p>
        </w:tc>
        <w:tc>
          <w:tcPr>
            <w:tcW w:w="5884"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0B548C20"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Key Mitigation</w:t>
            </w:r>
          </w:p>
        </w:tc>
        <w:tc>
          <w:tcPr>
            <w:tcW w:w="1392"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459058EE" w14:textId="77777777" w:rsidR="00B55FB1" w:rsidRPr="0068236B" w:rsidRDefault="00B55FB1" w:rsidP="00C56FEA">
            <w:pPr>
              <w:spacing w:before="0" w:after="0" w:line="240" w:lineRule="auto"/>
              <w:jc w:val="left"/>
              <w:rPr>
                <w:rFonts w:cs="Tahoma"/>
                <w:color w:val="auto"/>
                <w:sz w:val="20"/>
                <w:szCs w:val="20"/>
              </w:rPr>
            </w:pPr>
            <w:r w:rsidRPr="0068236B">
              <w:rPr>
                <w:rFonts w:cs="Tahoma"/>
                <w:color w:val="auto"/>
                <w:sz w:val="20"/>
                <w:szCs w:val="20"/>
              </w:rPr>
              <w:t>Residual</w:t>
            </w:r>
          </w:p>
          <w:p w14:paraId="4DB069DE" w14:textId="77777777" w:rsidR="00B55FB1" w:rsidRPr="0068236B" w:rsidRDefault="00B55FB1" w:rsidP="00C56FEA">
            <w:pPr>
              <w:spacing w:before="0" w:after="0" w:line="240" w:lineRule="auto"/>
              <w:jc w:val="left"/>
              <w:rPr>
                <w:rFonts w:cs="Tahoma"/>
                <w:color w:val="auto"/>
                <w:sz w:val="20"/>
                <w:szCs w:val="20"/>
              </w:rPr>
            </w:pPr>
            <w:r w:rsidRPr="0068236B">
              <w:rPr>
                <w:rFonts w:cs="Tahoma"/>
                <w:color w:val="auto"/>
                <w:sz w:val="20"/>
                <w:szCs w:val="20"/>
              </w:rPr>
              <w:t>Impact</w:t>
            </w:r>
          </w:p>
        </w:tc>
      </w:tr>
      <w:tr w:rsidR="00BB421B" w:rsidRPr="002E6FA7" w14:paraId="0AA45FE5" w14:textId="77777777" w:rsidTr="007531FB">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val="restart"/>
            <w:tcBorders>
              <w:top w:val="double" w:sz="4" w:space="0" w:color="auto"/>
              <w:left w:val="double" w:sz="4" w:space="0" w:color="auto"/>
              <w:bottom w:val="single" w:sz="4" w:space="0" w:color="auto"/>
              <w:right w:val="single" w:sz="4" w:space="0" w:color="auto"/>
            </w:tcBorders>
            <w:shd w:val="clear" w:color="auto" w:fill="BFBFBF" w:themeFill="background1" w:themeFillShade="BF"/>
          </w:tcPr>
          <w:p w14:paraId="67F43D3A" w14:textId="77777777" w:rsidR="00B55FB1" w:rsidRPr="002E6FA7" w:rsidRDefault="00B55FB1" w:rsidP="00C56FEA">
            <w:pPr>
              <w:pStyle w:val="FootnoteText"/>
              <w:spacing w:line="240" w:lineRule="auto"/>
              <w:rPr>
                <w:rFonts w:ascii="Tahoma" w:hAnsi="Tahoma" w:cs="Tahoma"/>
                <w:color w:val="auto"/>
                <w:sz w:val="20"/>
              </w:rPr>
            </w:pPr>
            <w:r w:rsidRPr="002E6FA7">
              <w:rPr>
                <w:rFonts w:ascii="Tahoma" w:hAnsi="Tahoma" w:cs="Tahoma"/>
                <w:color w:val="auto"/>
                <w:sz w:val="20"/>
              </w:rPr>
              <w:t>Climate – Greenhouse Gases</w:t>
            </w:r>
          </w:p>
        </w:tc>
        <w:tc>
          <w:tcPr>
            <w:tcW w:w="1247" w:type="dxa"/>
            <w:tcBorders>
              <w:top w:val="double" w:sz="4" w:space="0" w:color="auto"/>
              <w:left w:val="single" w:sz="4" w:space="0" w:color="auto"/>
              <w:bottom w:val="single" w:sz="4" w:space="0" w:color="auto"/>
              <w:right w:val="single" w:sz="4" w:space="0" w:color="auto"/>
            </w:tcBorders>
            <w:shd w:val="clear" w:color="auto" w:fill="auto"/>
          </w:tcPr>
          <w:p w14:paraId="1FDDBF3A" w14:textId="77777777" w:rsidR="00B55FB1" w:rsidRPr="002E6FA7" w:rsidRDefault="00B55FB1" w:rsidP="00C56FEA">
            <w:pPr>
              <w:pStyle w:val="FootnoteText"/>
              <w:spacing w:line="240" w:lineRule="auto"/>
              <w:rPr>
                <w:rFonts w:ascii="Tahoma" w:hAnsi="Tahoma" w:cs="Tahoma"/>
                <w:color w:val="auto"/>
                <w:sz w:val="20"/>
              </w:rPr>
            </w:pPr>
            <w:r w:rsidRPr="002E6FA7">
              <w:rPr>
                <w:rFonts w:ascii="Tahoma" w:hAnsi="Tahoma" w:cs="Tahoma"/>
                <w:color w:val="auto"/>
                <w:sz w:val="20"/>
              </w:rPr>
              <w:t>Construction</w:t>
            </w:r>
          </w:p>
        </w:tc>
        <w:tc>
          <w:tcPr>
            <w:tcW w:w="4222" w:type="dxa"/>
            <w:tcBorders>
              <w:top w:val="double" w:sz="4" w:space="0" w:color="auto"/>
              <w:left w:val="single" w:sz="4" w:space="0" w:color="auto"/>
              <w:bottom w:val="single" w:sz="4" w:space="0" w:color="auto"/>
              <w:right w:val="single" w:sz="4" w:space="0" w:color="auto"/>
            </w:tcBorders>
            <w:shd w:val="clear" w:color="auto" w:fill="auto"/>
          </w:tcPr>
          <w:p w14:paraId="18FDCFCA" w14:textId="77777777" w:rsidR="00B55FB1" w:rsidRPr="002E6FA7" w:rsidRDefault="00B55FB1" w:rsidP="00C56FEA">
            <w:pPr>
              <w:pStyle w:val="FootnoteText"/>
              <w:spacing w:line="240" w:lineRule="auto"/>
              <w:rPr>
                <w:rFonts w:ascii="Tahoma" w:hAnsi="Tahoma" w:cs="Tahoma"/>
                <w:color w:val="auto"/>
                <w:sz w:val="20"/>
              </w:rPr>
            </w:pPr>
            <w:r w:rsidRPr="002E6FA7">
              <w:rPr>
                <w:rFonts w:ascii="Tahoma" w:hAnsi="Tahoma" w:cs="Tahoma"/>
                <w:color w:val="auto"/>
                <w:sz w:val="20"/>
              </w:rPr>
              <w:t>Construction GHG emissions</w:t>
            </w:r>
          </w:p>
          <w:p w14:paraId="5C19494E" w14:textId="23818426" w:rsidR="00B55FB1" w:rsidRPr="002E6FA7" w:rsidRDefault="00B55FB1" w:rsidP="00C56FEA">
            <w:pPr>
              <w:pStyle w:val="FootnoteText"/>
              <w:spacing w:line="240" w:lineRule="auto"/>
              <w:rPr>
                <w:rFonts w:ascii="Tahoma" w:hAnsi="Tahoma" w:cs="Tahoma"/>
                <w:b/>
                <w:color w:val="auto"/>
                <w:sz w:val="20"/>
              </w:rPr>
            </w:pPr>
            <w:r w:rsidRPr="002E6FA7">
              <w:rPr>
                <w:rFonts w:ascii="Tahoma" w:hAnsi="Tahoma" w:cs="Tahoma"/>
                <w:color w:val="auto"/>
                <w:sz w:val="20"/>
              </w:rPr>
              <w:t xml:space="preserve">Note: </w:t>
            </w:r>
            <w:r w:rsidRPr="002E6FA7">
              <w:rPr>
                <w:rFonts w:ascii="Tahoma" w:hAnsi="Tahoma" w:cs="Tahoma"/>
                <w:color w:val="auto"/>
                <w:sz w:val="20"/>
                <w:lang w:eastAsia="en-US"/>
              </w:rPr>
              <w:t>Since the Project is in its initial develo</w:t>
            </w:r>
            <w:r w:rsidRPr="002E6FA7">
              <w:rPr>
                <w:rFonts w:ascii="Tahoma" w:hAnsi="Tahoma" w:cs="Tahoma"/>
                <w:color w:val="auto"/>
                <w:sz w:val="20"/>
                <w:lang w:eastAsia="en-US"/>
              </w:rPr>
              <w:t>p</w:t>
            </w:r>
            <w:r w:rsidRPr="002E6FA7">
              <w:rPr>
                <w:rFonts w:ascii="Tahoma" w:hAnsi="Tahoma" w:cs="Tahoma"/>
                <w:color w:val="auto"/>
                <w:sz w:val="20"/>
                <w:lang w:eastAsia="en-US"/>
              </w:rPr>
              <w:t>ment stage and the relevant information for GHG calculation during construction stage of the Project is currently not available (e.g. number of OHL towers, construction transport</w:t>
            </w:r>
            <w:r w:rsidR="00831165" w:rsidRPr="002E6FA7">
              <w:rPr>
                <w:rFonts w:ascii="Tahoma" w:hAnsi="Tahoma" w:cs="Tahoma"/>
                <w:color w:val="auto"/>
                <w:sz w:val="20"/>
                <w:lang w:eastAsia="en-US"/>
              </w:rPr>
              <w:t xml:space="preserve"> and methods</w:t>
            </w:r>
            <w:r w:rsidRPr="002E6FA7">
              <w:rPr>
                <w:rFonts w:ascii="Tahoma" w:hAnsi="Tahoma" w:cs="Tahoma"/>
                <w:color w:val="auto"/>
                <w:sz w:val="20"/>
                <w:lang w:eastAsia="en-US"/>
              </w:rPr>
              <w:t>, etc.), the calculation of GHG emissions associated with the construction of the Project has been scoped out from the pr</w:t>
            </w:r>
            <w:r w:rsidRPr="002E6FA7">
              <w:rPr>
                <w:rFonts w:ascii="Tahoma" w:hAnsi="Tahoma" w:cs="Tahoma"/>
                <w:color w:val="auto"/>
                <w:sz w:val="20"/>
                <w:lang w:eastAsia="en-US"/>
              </w:rPr>
              <w:t>e</w:t>
            </w:r>
            <w:r w:rsidRPr="002E6FA7">
              <w:rPr>
                <w:rFonts w:ascii="Tahoma" w:hAnsi="Tahoma" w:cs="Tahoma"/>
                <w:color w:val="auto"/>
                <w:sz w:val="20"/>
                <w:lang w:eastAsia="en-US"/>
              </w:rPr>
              <w:t>sent assessment</w:t>
            </w:r>
            <w:r w:rsidR="00831165" w:rsidRPr="002E6FA7">
              <w:rPr>
                <w:rStyle w:val="FootnoteReference"/>
                <w:rFonts w:ascii="Tahoma" w:hAnsi="Tahoma" w:cs="Tahoma"/>
                <w:color w:val="auto"/>
                <w:sz w:val="20"/>
              </w:rPr>
              <w:footnoteReference w:id="23"/>
            </w:r>
            <w:r w:rsidR="00E3062F" w:rsidRPr="002E6FA7">
              <w:rPr>
                <w:rFonts w:ascii="Tahoma" w:hAnsi="Tahoma" w:cs="Tahoma"/>
                <w:color w:val="auto"/>
                <w:sz w:val="20"/>
                <w:lang w:eastAsia="en-US"/>
              </w:rPr>
              <w:t>. If required, it i</w:t>
            </w:r>
            <w:r w:rsidRPr="002E6FA7">
              <w:rPr>
                <w:rFonts w:ascii="Tahoma" w:hAnsi="Tahoma" w:cs="Tahoma"/>
                <w:color w:val="auto"/>
                <w:sz w:val="20"/>
                <w:lang w:eastAsia="en-US"/>
              </w:rPr>
              <w:t>s to be co</w:t>
            </w:r>
            <w:r w:rsidRPr="002E6FA7">
              <w:rPr>
                <w:rFonts w:ascii="Tahoma" w:hAnsi="Tahoma" w:cs="Tahoma"/>
                <w:color w:val="auto"/>
                <w:sz w:val="20"/>
                <w:lang w:eastAsia="en-US"/>
              </w:rPr>
              <w:t>n</w:t>
            </w:r>
            <w:r w:rsidRPr="002E6FA7">
              <w:rPr>
                <w:rFonts w:ascii="Tahoma" w:hAnsi="Tahoma" w:cs="Tahoma"/>
                <w:color w:val="auto"/>
                <w:sz w:val="20"/>
                <w:lang w:eastAsia="en-US"/>
              </w:rPr>
              <w:t xml:space="preserve">sidered as part of </w:t>
            </w:r>
            <w:r w:rsidR="00E3062F" w:rsidRPr="002E6FA7">
              <w:rPr>
                <w:rFonts w:ascii="Tahoma" w:hAnsi="Tahoma" w:cs="Tahoma"/>
                <w:color w:val="auto"/>
                <w:sz w:val="20"/>
                <w:lang w:eastAsia="en-US"/>
              </w:rPr>
              <w:t>supplementary</w:t>
            </w:r>
            <w:r w:rsidRPr="002E6FA7">
              <w:rPr>
                <w:rFonts w:ascii="Tahoma" w:hAnsi="Tahoma" w:cs="Tahoma"/>
                <w:color w:val="auto"/>
                <w:sz w:val="20"/>
                <w:lang w:eastAsia="en-US"/>
              </w:rPr>
              <w:t xml:space="preserve"> climate i</w:t>
            </w:r>
            <w:r w:rsidRPr="002E6FA7">
              <w:rPr>
                <w:rFonts w:ascii="Tahoma" w:hAnsi="Tahoma" w:cs="Tahoma"/>
                <w:color w:val="auto"/>
                <w:sz w:val="20"/>
                <w:lang w:eastAsia="en-US"/>
              </w:rPr>
              <w:t>m</w:t>
            </w:r>
            <w:r w:rsidR="00E3062F" w:rsidRPr="002E6FA7">
              <w:rPr>
                <w:rFonts w:ascii="Tahoma" w:hAnsi="Tahoma" w:cs="Tahoma"/>
                <w:color w:val="auto"/>
                <w:sz w:val="20"/>
                <w:lang w:eastAsia="en-US"/>
              </w:rPr>
              <w:t xml:space="preserve">pact assessment </w:t>
            </w:r>
            <w:r w:rsidRPr="002E6FA7">
              <w:rPr>
                <w:rFonts w:ascii="Tahoma" w:hAnsi="Tahoma" w:cs="Tahoma"/>
                <w:color w:val="auto"/>
                <w:sz w:val="20"/>
                <w:lang w:eastAsia="en-US"/>
              </w:rPr>
              <w:t xml:space="preserve">during </w:t>
            </w:r>
            <w:r w:rsidR="00E3062F" w:rsidRPr="002E6FA7">
              <w:rPr>
                <w:rFonts w:ascii="Tahoma" w:hAnsi="Tahoma" w:cs="Tahoma"/>
                <w:color w:val="auto"/>
                <w:sz w:val="20"/>
                <w:lang w:eastAsia="en-US"/>
              </w:rPr>
              <w:t>next development stages of the P</w:t>
            </w:r>
            <w:r w:rsidRPr="002E6FA7">
              <w:rPr>
                <w:rFonts w:ascii="Tahoma" w:hAnsi="Tahoma" w:cs="Tahoma"/>
                <w:color w:val="auto"/>
                <w:sz w:val="20"/>
                <w:lang w:eastAsia="en-US"/>
              </w:rPr>
              <w:t xml:space="preserve">roject (e.g. </w:t>
            </w:r>
            <w:r w:rsidR="00E3062F" w:rsidRPr="002E6FA7">
              <w:rPr>
                <w:rFonts w:ascii="Tahoma" w:hAnsi="Tahoma" w:cs="Tahoma"/>
                <w:color w:val="auto"/>
                <w:sz w:val="20"/>
                <w:lang w:eastAsia="en-US"/>
              </w:rPr>
              <w:t>P</w:t>
            </w:r>
            <w:r w:rsidRPr="002E6FA7">
              <w:rPr>
                <w:rFonts w:ascii="Tahoma" w:hAnsi="Tahoma" w:cs="Tahoma"/>
                <w:color w:val="auto"/>
                <w:sz w:val="20"/>
                <w:lang w:eastAsia="en-US"/>
              </w:rPr>
              <w:t xml:space="preserve">reliminary </w:t>
            </w:r>
            <w:r w:rsidR="00E3062F" w:rsidRPr="002E6FA7">
              <w:rPr>
                <w:rFonts w:ascii="Tahoma" w:hAnsi="Tahoma" w:cs="Tahoma"/>
                <w:color w:val="auto"/>
                <w:sz w:val="20"/>
                <w:lang w:eastAsia="en-US"/>
              </w:rPr>
              <w:t>D</w:t>
            </w:r>
            <w:r w:rsidRPr="002E6FA7">
              <w:rPr>
                <w:rFonts w:ascii="Tahoma" w:hAnsi="Tahoma" w:cs="Tahoma"/>
                <w:color w:val="auto"/>
                <w:sz w:val="20"/>
                <w:lang w:eastAsia="en-US"/>
              </w:rPr>
              <w:t xml:space="preserve">esign or </w:t>
            </w:r>
            <w:r w:rsidR="00E3062F" w:rsidRPr="002E6FA7">
              <w:rPr>
                <w:rFonts w:ascii="Tahoma" w:hAnsi="Tahoma" w:cs="Tahoma"/>
                <w:color w:val="auto"/>
                <w:sz w:val="20"/>
                <w:lang w:eastAsia="en-US"/>
              </w:rPr>
              <w:t>D</w:t>
            </w:r>
            <w:r w:rsidRPr="002E6FA7">
              <w:rPr>
                <w:rFonts w:ascii="Tahoma" w:hAnsi="Tahoma" w:cs="Tahoma"/>
                <w:color w:val="auto"/>
                <w:sz w:val="20"/>
                <w:lang w:eastAsia="en-US"/>
              </w:rPr>
              <w:t xml:space="preserve">etailed </w:t>
            </w:r>
            <w:r w:rsidR="00E3062F" w:rsidRPr="002E6FA7">
              <w:rPr>
                <w:rFonts w:ascii="Tahoma" w:hAnsi="Tahoma" w:cs="Tahoma"/>
                <w:color w:val="auto"/>
                <w:sz w:val="20"/>
                <w:lang w:eastAsia="en-US"/>
              </w:rPr>
              <w:t>D</w:t>
            </w:r>
            <w:r w:rsidR="00831165" w:rsidRPr="002E6FA7">
              <w:rPr>
                <w:rFonts w:ascii="Tahoma" w:hAnsi="Tahoma" w:cs="Tahoma"/>
                <w:color w:val="auto"/>
                <w:sz w:val="20"/>
                <w:lang w:eastAsia="en-US"/>
              </w:rPr>
              <w:t>esign).</w:t>
            </w:r>
          </w:p>
        </w:tc>
        <w:tc>
          <w:tcPr>
            <w:tcW w:w="1949" w:type="dxa"/>
            <w:tcBorders>
              <w:top w:val="double" w:sz="4" w:space="0" w:color="auto"/>
              <w:left w:val="single" w:sz="4" w:space="0" w:color="auto"/>
              <w:bottom w:val="single" w:sz="4" w:space="0" w:color="auto"/>
              <w:right w:val="single" w:sz="4" w:space="0" w:color="auto"/>
            </w:tcBorders>
            <w:shd w:val="clear" w:color="auto" w:fill="auto"/>
          </w:tcPr>
          <w:p w14:paraId="511E15C5" w14:textId="38806F05" w:rsidR="00B55FB1" w:rsidRPr="002E6FA7" w:rsidRDefault="009F5EE0" w:rsidP="00C56FEA">
            <w:pPr>
              <w:pStyle w:val="FootnoteText"/>
              <w:spacing w:line="240" w:lineRule="auto"/>
              <w:rPr>
                <w:rFonts w:ascii="Tahoma" w:hAnsi="Tahoma" w:cs="Tahoma"/>
                <w:b/>
                <w:color w:val="auto"/>
                <w:sz w:val="20"/>
              </w:rPr>
            </w:pPr>
            <w:r>
              <w:rPr>
                <w:rFonts w:ascii="Tahoma" w:hAnsi="Tahoma" w:cs="Tahoma"/>
                <w:color w:val="auto"/>
                <w:sz w:val="20"/>
              </w:rPr>
              <w:t>NA</w:t>
            </w:r>
          </w:p>
        </w:tc>
        <w:tc>
          <w:tcPr>
            <w:tcW w:w="5884" w:type="dxa"/>
            <w:tcBorders>
              <w:top w:val="double" w:sz="4" w:space="0" w:color="auto"/>
              <w:left w:val="single" w:sz="4" w:space="0" w:color="auto"/>
              <w:bottom w:val="single" w:sz="4" w:space="0" w:color="auto"/>
              <w:right w:val="single" w:sz="4" w:space="0" w:color="auto"/>
            </w:tcBorders>
            <w:shd w:val="clear" w:color="auto" w:fill="auto"/>
          </w:tcPr>
          <w:p w14:paraId="0F7885FF" w14:textId="6E4F60B1" w:rsidR="002E6FA7" w:rsidRPr="002E6FA7" w:rsidRDefault="002E6FA7" w:rsidP="002E6FA7">
            <w:pPr>
              <w:pStyle w:val="FootnoteText"/>
              <w:numPr>
                <w:ilvl w:val="0"/>
                <w:numId w:val="103"/>
              </w:numPr>
              <w:spacing w:line="240" w:lineRule="auto"/>
              <w:ind w:left="122" w:hanging="122"/>
              <w:rPr>
                <w:rFonts w:ascii="Tahoma" w:hAnsi="Tahoma" w:cs="Tahoma"/>
                <w:color w:val="auto"/>
                <w:sz w:val="20"/>
              </w:rPr>
            </w:pPr>
            <w:r w:rsidRPr="002E6FA7">
              <w:rPr>
                <w:rFonts w:ascii="Tahoma" w:hAnsi="Tahoma" w:cs="Tahoma"/>
                <w:color w:val="auto"/>
                <w:sz w:val="20"/>
                <w:lang w:eastAsia="en-US"/>
              </w:rPr>
              <w:t>Calculation of GHG emissions associated with the construction of the Project, based on proven methodology</w:t>
            </w:r>
          </w:p>
          <w:p w14:paraId="0A35F7A4" w14:textId="77777777" w:rsidR="00B55FB1" w:rsidRPr="002E6FA7" w:rsidRDefault="00B55FB1" w:rsidP="00D24CEF">
            <w:pPr>
              <w:pStyle w:val="FootnoteText"/>
              <w:numPr>
                <w:ilvl w:val="0"/>
                <w:numId w:val="103"/>
              </w:numPr>
              <w:spacing w:line="240" w:lineRule="auto"/>
              <w:ind w:left="122" w:hanging="122"/>
              <w:rPr>
                <w:rFonts w:ascii="Tahoma" w:hAnsi="Tahoma" w:cs="Tahoma"/>
                <w:color w:val="auto"/>
                <w:sz w:val="20"/>
              </w:rPr>
            </w:pPr>
            <w:r w:rsidRPr="002E6FA7">
              <w:rPr>
                <w:rFonts w:ascii="Tahoma" w:hAnsi="Tahoma" w:cs="Tahoma"/>
                <w:color w:val="auto"/>
                <w:sz w:val="20"/>
              </w:rPr>
              <w:t>Construction Environmental and Social Management Plan (CESMP)</w:t>
            </w:r>
          </w:p>
          <w:p w14:paraId="536A1695" w14:textId="77777777" w:rsidR="00B55FB1" w:rsidRPr="002E6FA7" w:rsidRDefault="00B55FB1" w:rsidP="00D24CEF">
            <w:pPr>
              <w:pStyle w:val="FootnoteText"/>
              <w:numPr>
                <w:ilvl w:val="0"/>
                <w:numId w:val="103"/>
              </w:numPr>
              <w:spacing w:line="240" w:lineRule="auto"/>
              <w:ind w:left="122" w:hanging="122"/>
              <w:rPr>
                <w:rFonts w:ascii="Tahoma" w:hAnsi="Tahoma" w:cs="Tahoma"/>
                <w:color w:val="auto"/>
                <w:sz w:val="20"/>
              </w:rPr>
            </w:pPr>
            <w:r w:rsidRPr="002E6FA7">
              <w:rPr>
                <w:rFonts w:ascii="Tahoma" w:hAnsi="Tahoma" w:cs="Tahoma"/>
                <w:color w:val="auto"/>
                <w:sz w:val="20"/>
              </w:rPr>
              <w:t>Traffic Management Plan</w:t>
            </w:r>
          </w:p>
          <w:p w14:paraId="27F14153" w14:textId="77777777" w:rsidR="00B55FB1" w:rsidRPr="002E6FA7" w:rsidRDefault="00B55FB1" w:rsidP="00D24CEF">
            <w:pPr>
              <w:pStyle w:val="FootnoteText"/>
              <w:numPr>
                <w:ilvl w:val="0"/>
                <w:numId w:val="103"/>
              </w:numPr>
              <w:spacing w:line="240" w:lineRule="auto"/>
              <w:ind w:left="122" w:hanging="122"/>
              <w:rPr>
                <w:rFonts w:ascii="Tahoma" w:hAnsi="Tahoma" w:cs="Tahoma"/>
                <w:color w:val="auto"/>
                <w:sz w:val="20"/>
              </w:rPr>
            </w:pPr>
            <w:r w:rsidRPr="002E6FA7">
              <w:rPr>
                <w:rFonts w:ascii="Tahoma" w:hAnsi="Tahoma" w:cs="Tahoma"/>
                <w:color w:val="auto"/>
                <w:sz w:val="20"/>
              </w:rPr>
              <w:t>Waste Management Plan</w:t>
            </w:r>
          </w:p>
          <w:p w14:paraId="6D63D5E8" w14:textId="77777777" w:rsidR="00B55FB1" w:rsidRPr="002E6FA7" w:rsidRDefault="00B55FB1" w:rsidP="00C56FEA">
            <w:pPr>
              <w:pStyle w:val="FootnoteText"/>
              <w:spacing w:line="240" w:lineRule="auto"/>
              <w:rPr>
                <w:rFonts w:ascii="Tahoma" w:hAnsi="Tahoma" w:cs="Tahoma"/>
                <w:color w:val="auto"/>
                <w:sz w:val="20"/>
              </w:rPr>
            </w:pPr>
            <w:r w:rsidRPr="002E6FA7">
              <w:rPr>
                <w:rFonts w:ascii="Tahoma" w:hAnsi="Tahoma" w:cs="Tahoma"/>
                <w:color w:val="auto"/>
                <w:sz w:val="20"/>
              </w:rPr>
              <w:t>Other principle mitigation:</w:t>
            </w:r>
          </w:p>
          <w:p w14:paraId="2A120D6F" w14:textId="77777777" w:rsidR="00B55FB1" w:rsidRPr="002E6FA7" w:rsidRDefault="00B55FB1" w:rsidP="00D24CEF">
            <w:pPr>
              <w:pStyle w:val="FootnoteText"/>
              <w:numPr>
                <w:ilvl w:val="0"/>
                <w:numId w:val="103"/>
              </w:numPr>
              <w:spacing w:line="240" w:lineRule="auto"/>
              <w:ind w:left="122" w:hanging="122"/>
              <w:rPr>
                <w:rFonts w:ascii="Tahoma" w:hAnsi="Tahoma" w:cs="Tahoma"/>
                <w:color w:val="auto"/>
                <w:sz w:val="20"/>
              </w:rPr>
            </w:pPr>
            <w:r w:rsidRPr="002E6FA7">
              <w:rPr>
                <w:rFonts w:ascii="Tahoma" w:hAnsi="Tahoma" w:cs="Tahoma"/>
                <w:color w:val="auto"/>
                <w:sz w:val="20"/>
              </w:rPr>
              <w:t>Optimisation of the construction methods to reflect the carbon reduction hierarchy</w:t>
            </w:r>
          </w:p>
          <w:p w14:paraId="119A2163" w14:textId="77777777" w:rsidR="00B55FB1" w:rsidRPr="002E6FA7" w:rsidRDefault="00B55FB1" w:rsidP="00D24CEF">
            <w:pPr>
              <w:pStyle w:val="FootnoteText"/>
              <w:numPr>
                <w:ilvl w:val="0"/>
                <w:numId w:val="103"/>
              </w:numPr>
              <w:spacing w:line="240" w:lineRule="auto"/>
              <w:ind w:left="122" w:hanging="122"/>
              <w:rPr>
                <w:rFonts w:ascii="Tahoma" w:hAnsi="Tahoma" w:cs="Tahoma"/>
                <w:color w:val="auto"/>
                <w:sz w:val="20"/>
              </w:rPr>
            </w:pPr>
            <w:r w:rsidRPr="002E6FA7">
              <w:rPr>
                <w:rFonts w:ascii="Tahoma" w:hAnsi="Tahoma" w:cs="Tahoma"/>
                <w:color w:val="auto"/>
                <w:sz w:val="20"/>
              </w:rPr>
              <w:t>Select and engage with material suppliers and Contractor(s) taking into account their policies and commitments to reduction of GHG emissions, including embodied emission in materials.</w:t>
            </w:r>
          </w:p>
          <w:p w14:paraId="60FF8012" w14:textId="77777777" w:rsidR="00B55FB1" w:rsidRPr="002E6FA7" w:rsidRDefault="00B55FB1" w:rsidP="00D24CEF">
            <w:pPr>
              <w:pStyle w:val="FootnoteText"/>
              <w:numPr>
                <w:ilvl w:val="0"/>
                <w:numId w:val="103"/>
              </w:numPr>
              <w:spacing w:line="240" w:lineRule="auto"/>
              <w:ind w:left="122" w:hanging="122"/>
              <w:rPr>
                <w:rFonts w:ascii="Tahoma" w:hAnsi="Tahoma" w:cs="Tahoma"/>
                <w:color w:val="auto"/>
                <w:sz w:val="20"/>
              </w:rPr>
            </w:pPr>
            <w:r w:rsidRPr="002E6FA7">
              <w:rPr>
                <w:rFonts w:ascii="Tahoma" w:hAnsi="Tahoma" w:cs="Tahoma"/>
                <w:color w:val="auto"/>
                <w:sz w:val="20"/>
              </w:rPr>
              <w:t>Request from Contractor(s) to: minimise energy consumption, including fuel usage; maximise the local sourcing of materials and the use of local waste management facilities.</w:t>
            </w:r>
          </w:p>
        </w:tc>
        <w:tc>
          <w:tcPr>
            <w:tcW w:w="1392" w:type="dxa"/>
            <w:tcBorders>
              <w:top w:val="double" w:sz="4" w:space="0" w:color="auto"/>
              <w:left w:val="single" w:sz="4" w:space="0" w:color="auto"/>
              <w:bottom w:val="single" w:sz="4" w:space="0" w:color="auto"/>
              <w:right w:val="double" w:sz="4" w:space="0" w:color="auto"/>
            </w:tcBorders>
            <w:shd w:val="clear" w:color="auto" w:fill="auto"/>
          </w:tcPr>
          <w:p w14:paraId="44E119B7" w14:textId="77777777" w:rsidR="00B55FB1" w:rsidRPr="002E6FA7" w:rsidRDefault="00B55FB1" w:rsidP="00C56FEA">
            <w:pPr>
              <w:pStyle w:val="FootnoteText"/>
              <w:spacing w:line="240" w:lineRule="auto"/>
              <w:rPr>
                <w:rFonts w:ascii="Tahoma" w:hAnsi="Tahoma" w:cs="Tahoma"/>
                <w:b/>
                <w:color w:val="auto"/>
                <w:sz w:val="20"/>
              </w:rPr>
            </w:pPr>
            <w:r w:rsidRPr="002E6FA7">
              <w:rPr>
                <w:rFonts w:ascii="Tahoma" w:hAnsi="Tahoma" w:cs="Tahoma"/>
                <w:color w:val="auto"/>
                <w:sz w:val="20"/>
              </w:rPr>
              <w:t>NA</w:t>
            </w:r>
          </w:p>
        </w:tc>
      </w:tr>
      <w:tr w:rsidR="00BB421B" w:rsidRPr="0068236B" w14:paraId="481A24A9" w14:textId="77777777" w:rsidTr="00E3062F">
        <w:trPr>
          <w:cantSplit/>
          <w:jc w:val="center"/>
        </w:trPr>
        <w:tc>
          <w:tcPr>
            <w:tcW w:w="1188" w:type="dxa"/>
            <w:vMerge/>
            <w:tcBorders>
              <w:left w:val="double" w:sz="4" w:space="0" w:color="auto"/>
            </w:tcBorders>
            <w:shd w:val="clear" w:color="auto" w:fill="BFBFBF" w:themeFill="background1" w:themeFillShade="BF"/>
          </w:tcPr>
          <w:p w14:paraId="5EFF8292" w14:textId="77777777" w:rsidR="00B55FB1" w:rsidRPr="0068236B" w:rsidRDefault="00B55FB1" w:rsidP="00C56FEA">
            <w:pPr>
              <w:pStyle w:val="FootnoteText"/>
              <w:spacing w:line="240" w:lineRule="auto"/>
              <w:rPr>
                <w:rFonts w:ascii="Tahoma" w:hAnsi="Tahoma" w:cs="Tahoma"/>
                <w:color w:val="auto"/>
                <w:sz w:val="20"/>
              </w:rPr>
            </w:pPr>
          </w:p>
        </w:tc>
        <w:tc>
          <w:tcPr>
            <w:tcW w:w="1247" w:type="dxa"/>
            <w:shd w:val="clear" w:color="auto" w:fill="auto"/>
          </w:tcPr>
          <w:p w14:paraId="0B410597" w14:textId="77777777" w:rsidR="00B55FB1" w:rsidRPr="0068236B" w:rsidRDefault="00B55FB1" w:rsidP="00C56FEA">
            <w:pPr>
              <w:pStyle w:val="FootnoteText"/>
              <w:spacing w:line="240" w:lineRule="auto"/>
              <w:rPr>
                <w:rFonts w:ascii="Tahoma" w:hAnsi="Tahoma" w:cs="Tahoma"/>
                <w:color w:val="auto"/>
                <w:sz w:val="20"/>
              </w:rPr>
            </w:pPr>
            <w:r w:rsidRPr="0068236B">
              <w:rPr>
                <w:rFonts w:ascii="Tahoma" w:hAnsi="Tahoma" w:cs="Tahoma"/>
                <w:color w:val="auto"/>
                <w:sz w:val="20"/>
              </w:rPr>
              <w:t>Operation</w:t>
            </w:r>
          </w:p>
        </w:tc>
        <w:tc>
          <w:tcPr>
            <w:tcW w:w="4222" w:type="dxa"/>
            <w:shd w:val="clear" w:color="auto" w:fill="auto"/>
          </w:tcPr>
          <w:p w14:paraId="58803092" w14:textId="77777777" w:rsidR="00B55FB1" w:rsidRPr="0068236B" w:rsidRDefault="00B55FB1" w:rsidP="00C56FEA">
            <w:pPr>
              <w:pStyle w:val="FootnoteText"/>
              <w:spacing w:line="240" w:lineRule="auto"/>
              <w:rPr>
                <w:rFonts w:ascii="Tahoma" w:hAnsi="Tahoma" w:cs="Tahoma"/>
                <w:color w:val="auto"/>
                <w:sz w:val="20"/>
              </w:rPr>
            </w:pPr>
            <w:r w:rsidRPr="0068236B">
              <w:rPr>
                <w:rFonts w:ascii="Tahoma" w:hAnsi="Tahoma" w:cs="Tahoma"/>
                <w:color w:val="auto"/>
                <w:sz w:val="20"/>
              </w:rPr>
              <w:t>Operational GHG emissions</w:t>
            </w:r>
          </w:p>
          <w:p w14:paraId="48D42C27" w14:textId="1BB40CCE" w:rsidR="00B55FB1" w:rsidRPr="0068236B" w:rsidRDefault="00B55FB1" w:rsidP="00C56FEA">
            <w:pPr>
              <w:pStyle w:val="FootnoteText"/>
              <w:spacing w:line="240" w:lineRule="auto"/>
              <w:rPr>
                <w:rFonts w:ascii="Tahoma" w:hAnsi="Tahoma" w:cs="Tahoma"/>
                <w:b/>
                <w:color w:val="auto"/>
                <w:sz w:val="20"/>
              </w:rPr>
            </w:pPr>
            <w:r w:rsidRPr="0068236B">
              <w:rPr>
                <w:rFonts w:ascii="Tahoma" w:hAnsi="Tahoma" w:cs="Tahoma"/>
                <w:color w:val="auto"/>
                <w:sz w:val="20"/>
              </w:rPr>
              <w:t xml:space="preserve">Note: </w:t>
            </w:r>
            <w:r w:rsidR="00E3062F" w:rsidRPr="0068236B">
              <w:rPr>
                <w:rFonts w:ascii="Tahoma" w:hAnsi="Tahoma" w:cs="Tahoma"/>
                <w:color w:val="auto"/>
                <w:sz w:val="20"/>
              </w:rPr>
              <w:t xml:space="preserve">GHG emissions are expected to be very small over time during operational life of the Project. Therefore, calculation of </w:t>
            </w:r>
            <w:r w:rsidRPr="0068236B">
              <w:rPr>
                <w:rFonts w:ascii="Tahoma" w:hAnsi="Tahoma" w:cs="Tahoma"/>
                <w:color w:val="auto"/>
                <w:sz w:val="20"/>
              </w:rPr>
              <w:t>GHG emi</w:t>
            </w:r>
            <w:r w:rsidRPr="0068236B">
              <w:rPr>
                <w:rFonts w:ascii="Tahoma" w:hAnsi="Tahoma" w:cs="Tahoma"/>
                <w:color w:val="auto"/>
                <w:sz w:val="20"/>
              </w:rPr>
              <w:t>s</w:t>
            </w:r>
            <w:r w:rsidRPr="0068236B">
              <w:rPr>
                <w:rFonts w:ascii="Tahoma" w:hAnsi="Tahoma" w:cs="Tahoma"/>
                <w:color w:val="auto"/>
                <w:sz w:val="20"/>
              </w:rPr>
              <w:t xml:space="preserve">sions during operation and maintenance of the Project have been scoped out from the </w:t>
            </w:r>
            <w:r w:rsidR="00E3062F" w:rsidRPr="0068236B">
              <w:rPr>
                <w:rFonts w:ascii="Tahoma" w:hAnsi="Tahoma" w:cs="Tahoma"/>
                <w:color w:val="auto"/>
                <w:sz w:val="20"/>
              </w:rPr>
              <w:t>a</w:t>
            </w:r>
            <w:r w:rsidR="00E3062F" w:rsidRPr="0068236B">
              <w:rPr>
                <w:rFonts w:ascii="Tahoma" w:hAnsi="Tahoma" w:cs="Tahoma"/>
                <w:color w:val="auto"/>
                <w:sz w:val="20"/>
              </w:rPr>
              <w:t>s</w:t>
            </w:r>
            <w:r w:rsidR="00E3062F" w:rsidRPr="0068236B">
              <w:rPr>
                <w:rFonts w:ascii="Tahoma" w:hAnsi="Tahoma" w:cs="Tahoma"/>
                <w:color w:val="auto"/>
                <w:sz w:val="20"/>
              </w:rPr>
              <w:t>sessment</w:t>
            </w:r>
            <w:r w:rsidR="00831165" w:rsidRPr="0068236B">
              <w:rPr>
                <w:rStyle w:val="FootnoteReference"/>
                <w:rFonts w:ascii="Tahoma" w:hAnsi="Tahoma" w:cs="Tahoma"/>
                <w:color w:val="auto"/>
                <w:sz w:val="20"/>
              </w:rPr>
              <w:footnoteReference w:id="24"/>
            </w:r>
            <w:r w:rsidR="00831165" w:rsidRPr="0068236B">
              <w:rPr>
                <w:rFonts w:ascii="Tahoma" w:hAnsi="Tahoma" w:cs="Tahoma"/>
                <w:color w:val="auto"/>
                <w:sz w:val="20"/>
              </w:rPr>
              <w:t>.</w:t>
            </w:r>
          </w:p>
        </w:tc>
        <w:tc>
          <w:tcPr>
            <w:tcW w:w="1949" w:type="dxa"/>
            <w:shd w:val="clear" w:color="auto" w:fill="auto"/>
          </w:tcPr>
          <w:p w14:paraId="0EAEA937" w14:textId="77777777" w:rsidR="00B55FB1" w:rsidRPr="0068236B" w:rsidRDefault="00B55FB1" w:rsidP="00C56FEA">
            <w:pPr>
              <w:pStyle w:val="FootnoteText"/>
              <w:spacing w:line="240" w:lineRule="auto"/>
              <w:rPr>
                <w:rFonts w:ascii="Tahoma" w:hAnsi="Tahoma" w:cs="Tahoma"/>
                <w:b/>
                <w:color w:val="auto"/>
                <w:sz w:val="20"/>
              </w:rPr>
            </w:pPr>
            <w:r w:rsidRPr="0068236B">
              <w:rPr>
                <w:rFonts w:ascii="Tahoma" w:hAnsi="Tahoma" w:cs="Tahoma"/>
                <w:color w:val="auto"/>
                <w:sz w:val="20"/>
              </w:rPr>
              <w:t>None to minor a</w:t>
            </w:r>
            <w:r w:rsidRPr="0068236B">
              <w:rPr>
                <w:rFonts w:ascii="Tahoma" w:hAnsi="Tahoma" w:cs="Tahoma"/>
                <w:color w:val="auto"/>
                <w:sz w:val="20"/>
              </w:rPr>
              <w:t>d</w:t>
            </w:r>
            <w:r w:rsidRPr="0068236B">
              <w:rPr>
                <w:rFonts w:ascii="Tahoma" w:hAnsi="Tahoma" w:cs="Tahoma"/>
                <w:color w:val="auto"/>
                <w:sz w:val="20"/>
              </w:rPr>
              <w:t>verse</w:t>
            </w:r>
          </w:p>
        </w:tc>
        <w:tc>
          <w:tcPr>
            <w:tcW w:w="5884" w:type="dxa"/>
            <w:shd w:val="clear" w:color="auto" w:fill="auto"/>
          </w:tcPr>
          <w:p w14:paraId="5D9E5CAC" w14:textId="77777777" w:rsidR="00B55FB1" w:rsidRPr="0068236B" w:rsidRDefault="00B55FB1" w:rsidP="00D24CEF">
            <w:pPr>
              <w:pStyle w:val="FootnoteText"/>
              <w:numPr>
                <w:ilvl w:val="0"/>
                <w:numId w:val="103"/>
              </w:numPr>
              <w:spacing w:line="240" w:lineRule="auto"/>
              <w:ind w:left="142" w:hanging="142"/>
              <w:rPr>
                <w:rFonts w:ascii="Tahoma" w:hAnsi="Tahoma" w:cs="Tahoma"/>
                <w:color w:val="auto"/>
                <w:sz w:val="20"/>
              </w:rPr>
            </w:pPr>
            <w:r w:rsidRPr="0068236B">
              <w:rPr>
                <w:rFonts w:ascii="Tahoma" w:hAnsi="Tahoma" w:cs="Tahoma"/>
                <w:color w:val="auto"/>
                <w:sz w:val="20"/>
                <w:lang w:eastAsia="en-US"/>
              </w:rPr>
              <w:t>Low carbon design specifications such as energy-efficient ligh</w:t>
            </w:r>
            <w:r w:rsidRPr="0068236B">
              <w:rPr>
                <w:rFonts w:ascii="Tahoma" w:hAnsi="Tahoma" w:cs="Tahoma"/>
                <w:color w:val="auto"/>
                <w:sz w:val="20"/>
                <w:lang w:eastAsia="en-US"/>
              </w:rPr>
              <w:t>t</w:t>
            </w:r>
            <w:r w:rsidRPr="0068236B">
              <w:rPr>
                <w:rFonts w:ascii="Tahoma" w:hAnsi="Tahoma" w:cs="Tahoma"/>
                <w:color w:val="auto"/>
                <w:sz w:val="20"/>
                <w:lang w:eastAsia="en-US"/>
              </w:rPr>
              <w:t>ing (at the substation) and durable construction materials to r</w:t>
            </w:r>
            <w:r w:rsidRPr="0068236B">
              <w:rPr>
                <w:rFonts w:ascii="Tahoma" w:hAnsi="Tahoma" w:cs="Tahoma"/>
                <w:color w:val="auto"/>
                <w:sz w:val="20"/>
                <w:lang w:eastAsia="en-US"/>
              </w:rPr>
              <w:t>e</w:t>
            </w:r>
            <w:r w:rsidRPr="0068236B">
              <w:rPr>
                <w:rFonts w:ascii="Tahoma" w:hAnsi="Tahoma" w:cs="Tahoma"/>
                <w:color w:val="auto"/>
                <w:sz w:val="20"/>
                <w:lang w:eastAsia="en-US"/>
              </w:rPr>
              <w:t>duce energy consumption and maintenance and decrease r</w:t>
            </w:r>
            <w:r w:rsidRPr="0068236B">
              <w:rPr>
                <w:rFonts w:ascii="Tahoma" w:hAnsi="Tahoma" w:cs="Tahoma"/>
                <w:color w:val="auto"/>
                <w:sz w:val="20"/>
                <w:lang w:eastAsia="en-US"/>
              </w:rPr>
              <w:t>e</w:t>
            </w:r>
            <w:r w:rsidRPr="0068236B">
              <w:rPr>
                <w:rFonts w:ascii="Tahoma" w:hAnsi="Tahoma" w:cs="Tahoma"/>
                <w:color w:val="auto"/>
                <w:sz w:val="20"/>
                <w:lang w:eastAsia="en-US"/>
              </w:rPr>
              <w:t>placement cycles.</w:t>
            </w:r>
          </w:p>
        </w:tc>
        <w:tc>
          <w:tcPr>
            <w:tcW w:w="1392" w:type="dxa"/>
            <w:tcBorders>
              <w:right w:val="double" w:sz="4" w:space="0" w:color="auto"/>
            </w:tcBorders>
            <w:shd w:val="clear" w:color="auto" w:fill="auto"/>
          </w:tcPr>
          <w:p w14:paraId="1F562D72" w14:textId="77777777" w:rsidR="00B55FB1" w:rsidRPr="0068236B" w:rsidRDefault="00B55FB1" w:rsidP="00C56FEA">
            <w:pPr>
              <w:pStyle w:val="FootnoteText"/>
              <w:spacing w:line="240" w:lineRule="auto"/>
              <w:rPr>
                <w:rFonts w:ascii="Tahoma" w:hAnsi="Tahoma" w:cs="Tahoma"/>
                <w:b/>
                <w:color w:val="auto"/>
                <w:sz w:val="20"/>
              </w:rPr>
            </w:pPr>
            <w:r w:rsidRPr="0068236B">
              <w:rPr>
                <w:rFonts w:ascii="Tahoma" w:hAnsi="Tahoma" w:cs="Tahoma"/>
                <w:color w:val="auto"/>
                <w:sz w:val="20"/>
              </w:rPr>
              <w:t>Minor adverse</w:t>
            </w:r>
          </w:p>
        </w:tc>
      </w:tr>
      <w:tr w:rsidR="00BB421B" w:rsidRPr="0068236B" w14:paraId="0E35660C" w14:textId="77777777" w:rsidTr="007531FB">
        <w:trPr>
          <w:cnfStyle w:val="000000100000" w:firstRow="0" w:lastRow="0" w:firstColumn="0" w:lastColumn="0" w:oddVBand="0" w:evenVBand="0" w:oddHBand="1" w:evenHBand="0" w:firstRowFirstColumn="0" w:firstRowLastColumn="0" w:lastRowFirstColumn="0" w:lastRowLastColumn="0"/>
          <w:cantSplit/>
          <w:trHeight w:val="4607"/>
          <w:jc w:val="center"/>
        </w:trPr>
        <w:tc>
          <w:tcPr>
            <w:tcW w:w="1188" w:type="dxa"/>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2DFD54B7" w14:textId="77777777" w:rsidR="00B55FB1" w:rsidRPr="0068236B" w:rsidRDefault="00B55FB1" w:rsidP="00C56FEA">
            <w:pPr>
              <w:pStyle w:val="FootnoteText"/>
              <w:spacing w:line="240" w:lineRule="auto"/>
              <w:rPr>
                <w:rFonts w:ascii="Tahoma" w:hAnsi="Tahoma" w:cs="Tahoma"/>
                <w:color w:val="auto"/>
                <w:sz w:val="20"/>
              </w:rPr>
            </w:pPr>
            <w:r w:rsidRPr="0068236B">
              <w:rPr>
                <w:rFonts w:ascii="Tahoma" w:hAnsi="Tahoma" w:cs="Tahoma"/>
                <w:color w:val="auto"/>
                <w:sz w:val="20"/>
              </w:rPr>
              <w:lastRenderedPageBreak/>
              <w:t>Climate - Resilience</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6AA7CAD7" w14:textId="77777777" w:rsidR="00B55FB1" w:rsidRPr="0068236B" w:rsidDel="007C6CAA" w:rsidRDefault="00B55FB1" w:rsidP="00C56FEA">
            <w:pPr>
              <w:pStyle w:val="FootnoteText"/>
              <w:spacing w:line="240" w:lineRule="auto"/>
              <w:rPr>
                <w:rFonts w:ascii="Tahoma" w:hAnsi="Tahoma" w:cs="Tahoma"/>
                <w:color w:val="auto"/>
                <w:sz w:val="20"/>
              </w:rPr>
            </w:pPr>
            <w:r w:rsidRPr="0068236B">
              <w:rPr>
                <w:rFonts w:ascii="Tahoma" w:hAnsi="Tahoma" w:cs="Tahoma"/>
                <w:color w:val="auto"/>
                <w:sz w:val="20"/>
              </w:rPr>
              <w:t>Operation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21D9C8E" w14:textId="02051015" w:rsidR="00B55FB1" w:rsidRPr="0068236B" w:rsidRDefault="00B55FB1" w:rsidP="00C56FEA">
            <w:pPr>
              <w:autoSpaceDE w:val="0"/>
              <w:autoSpaceDN w:val="0"/>
              <w:adjustRightInd w:val="0"/>
              <w:spacing w:before="0" w:after="0" w:line="240" w:lineRule="auto"/>
              <w:jc w:val="left"/>
              <w:rPr>
                <w:rFonts w:cs="Tahoma"/>
                <w:color w:val="auto"/>
                <w:sz w:val="20"/>
                <w:szCs w:val="20"/>
              </w:rPr>
            </w:pPr>
            <w:r w:rsidRPr="0068236B">
              <w:rPr>
                <w:rFonts w:cs="Tahoma"/>
                <w:color w:val="auto"/>
                <w:sz w:val="20"/>
                <w:szCs w:val="20"/>
              </w:rPr>
              <w:t>Vulnerability to a range of climate change risks, including an increased frequency and severity of prolonged and/or heavy precipit</w:t>
            </w:r>
            <w:r w:rsidRPr="0068236B">
              <w:rPr>
                <w:rFonts w:cs="Tahoma"/>
                <w:color w:val="auto"/>
                <w:sz w:val="20"/>
                <w:szCs w:val="20"/>
              </w:rPr>
              <w:t>a</w:t>
            </w:r>
            <w:r w:rsidRPr="0068236B">
              <w:rPr>
                <w:rFonts w:cs="Tahoma"/>
                <w:color w:val="auto"/>
                <w:sz w:val="20"/>
                <w:szCs w:val="20"/>
              </w:rPr>
              <w:t>tion events and lightning, cold and heat waves, and an increased risk of storms with high wind speed. These extreme weather events associated with the expected climate changes may result in the following principle impacts:</w:t>
            </w:r>
          </w:p>
          <w:p w14:paraId="050BD67F" w14:textId="77777777" w:rsidR="00B55FB1" w:rsidRPr="0068236B" w:rsidRDefault="00B55FB1" w:rsidP="00C56FEA">
            <w:pPr>
              <w:pStyle w:val="ListBullet"/>
              <w:spacing w:after="0" w:line="240" w:lineRule="auto"/>
              <w:ind w:left="164" w:hanging="164"/>
              <w:jc w:val="left"/>
              <w:rPr>
                <w:rFonts w:cs="Tahoma"/>
                <w:color w:val="auto"/>
                <w:sz w:val="20"/>
                <w:szCs w:val="20"/>
                <w:lang w:eastAsia="zh-CN"/>
              </w:rPr>
            </w:pPr>
            <w:r w:rsidRPr="0068236B">
              <w:rPr>
                <w:rFonts w:cs="Tahoma"/>
                <w:color w:val="auto"/>
                <w:sz w:val="20"/>
                <w:szCs w:val="20"/>
                <w:lang w:eastAsia="en-US"/>
              </w:rPr>
              <w:t>Material deterioration due to high or low temperatures and also from periods of heavy rainfall.</w:t>
            </w:r>
          </w:p>
          <w:p w14:paraId="3230709F" w14:textId="77777777" w:rsidR="00B55FB1" w:rsidRPr="0068236B" w:rsidRDefault="00B55FB1" w:rsidP="00C56FEA">
            <w:pPr>
              <w:pStyle w:val="ListBullet"/>
              <w:autoSpaceDE w:val="0"/>
              <w:autoSpaceDN w:val="0"/>
              <w:adjustRightInd w:val="0"/>
              <w:spacing w:after="0" w:line="240" w:lineRule="auto"/>
              <w:ind w:left="164" w:hanging="164"/>
              <w:jc w:val="left"/>
              <w:rPr>
                <w:rFonts w:cs="Tahoma"/>
                <w:color w:val="auto"/>
                <w:sz w:val="20"/>
                <w:szCs w:val="20"/>
                <w:lang w:eastAsia="en-US"/>
              </w:rPr>
            </w:pPr>
            <w:r w:rsidRPr="0068236B">
              <w:rPr>
                <w:rFonts w:cs="Tahoma"/>
                <w:color w:val="auto"/>
                <w:sz w:val="20"/>
                <w:szCs w:val="20"/>
                <w:lang w:eastAsia="en-US"/>
              </w:rPr>
              <w:t>Flood risk at the substation location, and damage to drainage systems and equipment.</w:t>
            </w:r>
          </w:p>
          <w:p w14:paraId="075D5D3B" w14:textId="77777777" w:rsidR="00B55FB1" w:rsidRPr="0068236B" w:rsidRDefault="00B55FB1" w:rsidP="00C56FEA">
            <w:pPr>
              <w:pStyle w:val="ListBullet"/>
              <w:autoSpaceDE w:val="0"/>
              <w:autoSpaceDN w:val="0"/>
              <w:adjustRightInd w:val="0"/>
              <w:spacing w:after="0" w:line="240" w:lineRule="auto"/>
              <w:ind w:left="164" w:hanging="164"/>
              <w:jc w:val="left"/>
              <w:rPr>
                <w:rFonts w:cs="Tahoma"/>
                <w:color w:val="auto"/>
                <w:sz w:val="20"/>
                <w:szCs w:val="20"/>
                <w:lang w:eastAsia="en-US"/>
              </w:rPr>
            </w:pPr>
            <w:r w:rsidRPr="0068236B">
              <w:rPr>
                <w:rFonts w:cs="Tahoma"/>
                <w:color w:val="auto"/>
                <w:sz w:val="20"/>
                <w:szCs w:val="20"/>
                <w:lang w:eastAsia="en-US"/>
              </w:rPr>
              <w:t>Storm damage to OHL tower structures and substation equipment and other project’s a</w:t>
            </w:r>
            <w:r w:rsidRPr="0068236B">
              <w:rPr>
                <w:rFonts w:cs="Tahoma"/>
                <w:color w:val="auto"/>
                <w:sz w:val="20"/>
                <w:szCs w:val="20"/>
                <w:lang w:eastAsia="en-US"/>
              </w:rPr>
              <w:t>s</w:t>
            </w:r>
            <w:r w:rsidRPr="0068236B">
              <w:rPr>
                <w:rFonts w:cs="Tahoma"/>
                <w:color w:val="auto"/>
                <w:sz w:val="20"/>
                <w:szCs w:val="20"/>
                <w:lang w:eastAsia="en-US"/>
              </w:rPr>
              <w:t>sets.</w:t>
            </w:r>
          </w:p>
          <w:p w14:paraId="23CE4F44" w14:textId="77777777" w:rsidR="00B55FB1" w:rsidRPr="0068236B" w:rsidRDefault="00B55FB1" w:rsidP="00C56FEA">
            <w:pPr>
              <w:pStyle w:val="ListBullet"/>
              <w:autoSpaceDE w:val="0"/>
              <w:autoSpaceDN w:val="0"/>
              <w:adjustRightInd w:val="0"/>
              <w:spacing w:after="0" w:line="240" w:lineRule="auto"/>
              <w:ind w:left="164" w:hanging="164"/>
              <w:jc w:val="left"/>
              <w:rPr>
                <w:rFonts w:cs="Tahoma"/>
                <w:color w:val="auto"/>
                <w:sz w:val="20"/>
                <w:szCs w:val="20"/>
                <w:lang w:eastAsia="en-US"/>
              </w:rPr>
            </w:pPr>
            <w:r w:rsidRPr="0068236B">
              <w:rPr>
                <w:rFonts w:cs="Tahoma"/>
                <w:color w:val="auto"/>
                <w:sz w:val="20"/>
                <w:szCs w:val="20"/>
                <w:lang w:eastAsia="en-US"/>
              </w:rPr>
              <w:t>Asset deterioration from exposure to heat, freezing, snow and ice.</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3CC3AB56" w14:textId="77777777" w:rsidR="00B55FB1" w:rsidRPr="0068236B" w:rsidDel="007C6CAA" w:rsidRDefault="00B55FB1" w:rsidP="00C56FEA">
            <w:pPr>
              <w:pStyle w:val="FootnoteText"/>
              <w:spacing w:line="240" w:lineRule="auto"/>
              <w:rPr>
                <w:rFonts w:ascii="Tahoma" w:hAnsi="Tahoma" w:cs="Tahoma"/>
                <w:color w:val="auto"/>
                <w:sz w:val="20"/>
              </w:rPr>
            </w:pPr>
            <w:r w:rsidRPr="0068236B">
              <w:rPr>
                <w:rFonts w:ascii="Tahoma" w:hAnsi="Tahoma" w:cs="Tahoma"/>
                <w:color w:val="auto"/>
                <w:sz w:val="20"/>
              </w:rPr>
              <w:t>Significant</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3990CE98" w14:textId="2343FB1B" w:rsidR="00B55FB1" w:rsidRPr="0068236B" w:rsidRDefault="00B55FB1" w:rsidP="00C56FEA">
            <w:pPr>
              <w:pStyle w:val="FootnoteText"/>
              <w:spacing w:line="240" w:lineRule="auto"/>
              <w:rPr>
                <w:rFonts w:ascii="Tahoma" w:hAnsi="Tahoma" w:cs="Tahoma"/>
                <w:color w:val="auto"/>
                <w:sz w:val="20"/>
                <w:lang w:eastAsia="en-US"/>
              </w:rPr>
            </w:pPr>
            <w:r w:rsidRPr="0068236B">
              <w:rPr>
                <w:rFonts w:ascii="Tahoma" w:hAnsi="Tahoma" w:cs="Tahoma"/>
                <w:color w:val="auto"/>
                <w:sz w:val="20"/>
              </w:rPr>
              <w:t xml:space="preserve">Design-based measures </w:t>
            </w:r>
            <w:r w:rsidRPr="0068236B">
              <w:rPr>
                <w:rFonts w:ascii="Tahoma" w:hAnsi="Tahoma" w:cs="Tahoma"/>
                <w:color w:val="auto"/>
                <w:sz w:val="20"/>
                <w:lang w:eastAsia="en-US"/>
              </w:rPr>
              <w:t>would need to be identified and incorp</w:t>
            </w:r>
            <w:r w:rsidRPr="0068236B">
              <w:rPr>
                <w:rFonts w:ascii="Tahoma" w:hAnsi="Tahoma" w:cs="Tahoma"/>
                <w:color w:val="auto"/>
                <w:sz w:val="20"/>
                <w:lang w:eastAsia="en-US"/>
              </w:rPr>
              <w:t>o</w:t>
            </w:r>
            <w:r w:rsidRPr="0068236B">
              <w:rPr>
                <w:rFonts w:ascii="Tahoma" w:hAnsi="Tahoma" w:cs="Tahoma"/>
                <w:color w:val="auto"/>
                <w:sz w:val="20"/>
                <w:lang w:eastAsia="en-US"/>
              </w:rPr>
              <w:t xml:space="preserve">rated into the further project design stages (e.g. </w:t>
            </w:r>
            <w:r w:rsidR="00E3062F" w:rsidRPr="0068236B">
              <w:rPr>
                <w:rFonts w:ascii="Tahoma" w:hAnsi="Tahoma" w:cs="Tahoma"/>
                <w:color w:val="auto"/>
                <w:sz w:val="20"/>
                <w:lang w:eastAsia="en-US"/>
              </w:rPr>
              <w:t>P</w:t>
            </w:r>
            <w:r w:rsidRPr="0068236B">
              <w:rPr>
                <w:rFonts w:ascii="Tahoma" w:hAnsi="Tahoma" w:cs="Tahoma"/>
                <w:color w:val="auto"/>
                <w:sz w:val="20"/>
                <w:lang w:eastAsia="en-US"/>
              </w:rPr>
              <w:t xml:space="preserve">reliminary </w:t>
            </w:r>
            <w:r w:rsidR="00E3062F" w:rsidRPr="0068236B">
              <w:rPr>
                <w:rFonts w:ascii="Tahoma" w:hAnsi="Tahoma" w:cs="Tahoma"/>
                <w:color w:val="auto"/>
                <w:sz w:val="20"/>
                <w:lang w:eastAsia="en-US"/>
              </w:rPr>
              <w:t>D</w:t>
            </w:r>
            <w:r w:rsidR="00E3062F" w:rsidRPr="0068236B">
              <w:rPr>
                <w:rFonts w:ascii="Tahoma" w:hAnsi="Tahoma" w:cs="Tahoma"/>
                <w:color w:val="auto"/>
                <w:sz w:val="20"/>
                <w:lang w:eastAsia="en-US"/>
              </w:rPr>
              <w:t>e</w:t>
            </w:r>
            <w:r w:rsidR="00E3062F" w:rsidRPr="0068236B">
              <w:rPr>
                <w:rFonts w:ascii="Tahoma" w:hAnsi="Tahoma" w:cs="Tahoma"/>
                <w:color w:val="auto"/>
                <w:sz w:val="20"/>
                <w:lang w:eastAsia="en-US"/>
              </w:rPr>
              <w:t xml:space="preserve">sign </w:t>
            </w:r>
            <w:r w:rsidRPr="0068236B">
              <w:rPr>
                <w:rFonts w:ascii="Tahoma" w:hAnsi="Tahoma" w:cs="Tahoma"/>
                <w:color w:val="auto"/>
                <w:sz w:val="20"/>
                <w:lang w:eastAsia="en-US"/>
              </w:rPr>
              <w:t xml:space="preserve">and </w:t>
            </w:r>
            <w:r w:rsidR="00E3062F" w:rsidRPr="0068236B">
              <w:rPr>
                <w:rFonts w:ascii="Tahoma" w:hAnsi="Tahoma" w:cs="Tahoma"/>
                <w:color w:val="auto"/>
                <w:sz w:val="20"/>
                <w:lang w:eastAsia="en-US"/>
              </w:rPr>
              <w:t>D</w:t>
            </w:r>
            <w:r w:rsidRPr="0068236B">
              <w:rPr>
                <w:rFonts w:ascii="Tahoma" w:hAnsi="Tahoma" w:cs="Tahoma"/>
                <w:color w:val="auto"/>
                <w:sz w:val="20"/>
                <w:lang w:eastAsia="en-US"/>
              </w:rPr>
              <w:t xml:space="preserve">etailed </w:t>
            </w:r>
            <w:r w:rsidR="00E3062F" w:rsidRPr="0068236B">
              <w:rPr>
                <w:rFonts w:ascii="Tahoma" w:hAnsi="Tahoma" w:cs="Tahoma"/>
                <w:color w:val="auto"/>
                <w:sz w:val="20"/>
                <w:lang w:eastAsia="en-US"/>
              </w:rPr>
              <w:t>D</w:t>
            </w:r>
            <w:r w:rsidRPr="0068236B">
              <w:rPr>
                <w:rFonts w:ascii="Tahoma" w:hAnsi="Tahoma" w:cs="Tahoma"/>
                <w:color w:val="auto"/>
                <w:sz w:val="20"/>
                <w:lang w:eastAsia="en-US"/>
              </w:rPr>
              <w:t>esign, based on the climate design param</w:t>
            </w:r>
            <w:r w:rsidRPr="0068236B">
              <w:rPr>
                <w:rFonts w:ascii="Tahoma" w:hAnsi="Tahoma" w:cs="Tahoma"/>
                <w:color w:val="auto"/>
                <w:sz w:val="20"/>
                <w:lang w:eastAsia="en-US"/>
              </w:rPr>
              <w:t>e</w:t>
            </w:r>
            <w:r w:rsidRPr="0068236B">
              <w:rPr>
                <w:rFonts w:ascii="Tahoma" w:hAnsi="Tahoma" w:cs="Tahoma"/>
                <w:color w:val="auto"/>
                <w:sz w:val="20"/>
                <w:lang w:eastAsia="en-US"/>
              </w:rPr>
              <w:t xml:space="preserve">ters </w:t>
            </w:r>
            <w:r w:rsidR="00E3062F" w:rsidRPr="0068236B">
              <w:rPr>
                <w:rFonts w:ascii="Tahoma" w:hAnsi="Tahoma" w:cs="Tahoma"/>
                <w:color w:val="auto"/>
                <w:sz w:val="20"/>
                <w:lang w:eastAsia="en-US"/>
              </w:rPr>
              <w:t>applicable for the Project region</w:t>
            </w:r>
            <w:r w:rsidRPr="0068236B">
              <w:rPr>
                <w:rFonts w:ascii="Tahoma" w:hAnsi="Tahoma" w:cs="Tahoma"/>
                <w:color w:val="auto"/>
                <w:sz w:val="20"/>
                <w:lang w:eastAsia="en-US"/>
              </w:rPr>
              <w:t>), so to achieve that the Pr</w:t>
            </w:r>
            <w:r w:rsidRPr="0068236B">
              <w:rPr>
                <w:rFonts w:ascii="Tahoma" w:hAnsi="Tahoma" w:cs="Tahoma"/>
                <w:color w:val="auto"/>
                <w:sz w:val="20"/>
                <w:lang w:eastAsia="en-US"/>
              </w:rPr>
              <w:t>o</w:t>
            </w:r>
            <w:r w:rsidRPr="0068236B">
              <w:rPr>
                <w:rFonts w:ascii="Tahoma" w:hAnsi="Tahoma" w:cs="Tahoma"/>
                <w:color w:val="auto"/>
                <w:sz w:val="20"/>
                <w:lang w:eastAsia="en-US"/>
              </w:rPr>
              <w:t>ject is designed to be resilient to impacts arising from current and future weather events and climatic conditions, and designed in accordance with current planning, design and engineering pra</w:t>
            </w:r>
            <w:r w:rsidRPr="0068236B">
              <w:rPr>
                <w:rFonts w:ascii="Tahoma" w:hAnsi="Tahoma" w:cs="Tahoma"/>
                <w:color w:val="auto"/>
                <w:sz w:val="20"/>
                <w:lang w:eastAsia="en-US"/>
              </w:rPr>
              <w:t>c</w:t>
            </w:r>
            <w:r w:rsidRPr="0068236B">
              <w:rPr>
                <w:rFonts w:ascii="Tahoma" w:hAnsi="Tahoma" w:cs="Tahoma"/>
                <w:color w:val="auto"/>
                <w:sz w:val="20"/>
                <w:lang w:eastAsia="en-US"/>
              </w:rPr>
              <w:t>tice and codes.</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03527A95" w14:textId="77777777" w:rsidR="00B55FB1" w:rsidRPr="0068236B" w:rsidRDefault="00B55FB1" w:rsidP="00C56FEA">
            <w:pPr>
              <w:pStyle w:val="FootnoteText"/>
              <w:spacing w:line="240" w:lineRule="auto"/>
              <w:rPr>
                <w:rFonts w:ascii="Tahoma" w:hAnsi="Tahoma" w:cs="Tahoma"/>
                <w:color w:val="auto"/>
                <w:sz w:val="20"/>
              </w:rPr>
            </w:pPr>
            <w:r w:rsidRPr="0068236B">
              <w:rPr>
                <w:rFonts w:ascii="Tahoma" w:hAnsi="Tahoma" w:cs="Tahoma"/>
                <w:color w:val="auto"/>
                <w:sz w:val="20"/>
              </w:rPr>
              <w:t>Not significant</w:t>
            </w:r>
          </w:p>
        </w:tc>
      </w:tr>
      <w:tr w:rsidR="00BB421B" w:rsidRPr="0068236B" w14:paraId="333558C4" w14:textId="77777777" w:rsidTr="00E3062F">
        <w:trPr>
          <w:cantSplit/>
          <w:jc w:val="center"/>
        </w:trPr>
        <w:tc>
          <w:tcPr>
            <w:tcW w:w="1188" w:type="dxa"/>
            <w:vMerge w:val="restart"/>
            <w:tcBorders>
              <w:left w:val="double" w:sz="4" w:space="0" w:color="auto"/>
            </w:tcBorders>
            <w:shd w:val="clear" w:color="auto" w:fill="BFBFBF" w:themeFill="background1" w:themeFillShade="BF"/>
          </w:tcPr>
          <w:p w14:paraId="31988B84" w14:textId="77777777" w:rsidR="00B55FB1" w:rsidRPr="0068236B" w:rsidRDefault="00B55FB1" w:rsidP="00C56FEA">
            <w:pPr>
              <w:pStyle w:val="FootnoteText"/>
              <w:spacing w:line="240" w:lineRule="auto"/>
              <w:rPr>
                <w:rFonts w:ascii="Tahoma" w:hAnsi="Tahoma" w:cs="Tahoma"/>
                <w:color w:val="auto"/>
                <w:sz w:val="20"/>
              </w:rPr>
            </w:pPr>
            <w:r w:rsidRPr="0068236B">
              <w:rPr>
                <w:rFonts w:ascii="Tahoma" w:hAnsi="Tahoma" w:cs="Tahoma"/>
                <w:color w:val="auto"/>
                <w:sz w:val="20"/>
              </w:rPr>
              <w:t>Air Quality</w:t>
            </w:r>
          </w:p>
        </w:tc>
        <w:tc>
          <w:tcPr>
            <w:tcW w:w="1247" w:type="dxa"/>
            <w:shd w:val="clear" w:color="auto" w:fill="auto"/>
          </w:tcPr>
          <w:p w14:paraId="442D176D" w14:textId="77777777" w:rsidR="00B55FB1" w:rsidRPr="0068236B" w:rsidRDefault="00B55FB1" w:rsidP="00C56FEA">
            <w:pPr>
              <w:pStyle w:val="FootnoteText"/>
              <w:spacing w:line="240" w:lineRule="auto"/>
              <w:rPr>
                <w:rFonts w:ascii="Tahoma" w:hAnsi="Tahoma" w:cs="Tahoma"/>
                <w:color w:val="auto"/>
                <w:sz w:val="20"/>
              </w:rPr>
            </w:pPr>
            <w:r w:rsidRPr="0068236B">
              <w:rPr>
                <w:rFonts w:ascii="Tahoma" w:hAnsi="Tahoma" w:cs="Tahoma"/>
                <w:color w:val="auto"/>
                <w:sz w:val="20"/>
              </w:rPr>
              <w:t>Construction</w:t>
            </w:r>
          </w:p>
        </w:tc>
        <w:tc>
          <w:tcPr>
            <w:tcW w:w="4222" w:type="dxa"/>
            <w:shd w:val="clear" w:color="auto" w:fill="auto"/>
          </w:tcPr>
          <w:p w14:paraId="10E88D96" w14:textId="7D8CF148" w:rsidR="00B55FB1" w:rsidRPr="0068236B" w:rsidRDefault="00B55FB1" w:rsidP="00C56FEA">
            <w:pPr>
              <w:pStyle w:val="FootnoteText"/>
              <w:spacing w:line="240" w:lineRule="auto"/>
              <w:rPr>
                <w:rFonts w:ascii="Tahoma" w:hAnsi="Tahoma" w:cs="Tahoma"/>
                <w:color w:val="auto"/>
                <w:sz w:val="20"/>
              </w:rPr>
            </w:pPr>
            <w:r w:rsidRPr="0068236B">
              <w:rPr>
                <w:rFonts w:ascii="Tahoma" w:hAnsi="Tahoma" w:cs="Tahoma"/>
                <w:color w:val="auto"/>
                <w:sz w:val="20"/>
              </w:rPr>
              <w:t xml:space="preserve">Construction </w:t>
            </w:r>
            <w:r w:rsidR="00891B30" w:rsidRPr="0068236B">
              <w:rPr>
                <w:rFonts w:ascii="Tahoma" w:hAnsi="Tahoma" w:cs="Tahoma"/>
                <w:color w:val="auto"/>
                <w:sz w:val="20"/>
              </w:rPr>
              <w:t>e</w:t>
            </w:r>
            <w:r w:rsidRPr="0068236B">
              <w:rPr>
                <w:rFonts w:ascii="Tahoma" w:hAnsi="Tahoma" w:cs="Tahoma"/>
                <w:color w:val="auto"/>
                <w:sz w:val="20"/>
              </w:rPr>
              <w:t>missions (dust and particulate matter, c</w:t>
            </w:r>
            <w:r w:rsidRPr="0068236B">
              <w:rPr>
                <w:rFonts w:ascii="Tahoma" w:eastAsia="SimSun" w:hAnsi="Tahoma" w:cs="Tahoma"/>
                <w:bCs/>
                <w:color w:val="auto"/>
                <w:sz w:val="20"/>
              </w:rPr>
              <w:t>onstruction traffic)</w:t>
            </w:r>
          </w:p>
        </w:tc>
        <w:tc>
          <w:tcPr>
            <w:tcW w:w="1949" w:type="dxa"/>
            <w:shd w:val="clear" w:color="auto" w:fill="auto"/>
          </w:tcPr>
          <w:p w14:paraId="448C76ED" w14:textId="77777777" w:rsidR="00B55FB1" w:rsidRPr="0068236B" w:rsidRDefault="00B55FB1" w:rsidP="00C56FEA">
            <w:pPr>
              <w:pStyle w:val="FootnoteText"/>
              <w:spacing w:line="240" w:lineRule="auto"/>
              <w:rPr>
                <w:rFonts w:ascii="Tahoma" w:eastAsia="SimSun" w:hAnsi="Tahoma" w:cs="Tahoma"/>
                <w:b/>
                <w:bCs/>
                <w:color w:val="auto"/>
                <w:sz w:val="20"/>
              </w:rPr>
            </w:pPr>
            <w:r w:rsidRPr="0068236B">
              <w:rPr>
                <w:rFonts w:ascii="Tahoma" w:hAnsi="Tahoma" w:cs="Tahoma"/>
                <w:color w:val="auto"/>
                <w:sz w:val="20"/>
              </w:rPr>
              <w:t>Minor to moderate adverse</w:t>
            </w:r>
          </w:p>
        </w:tc>
        <w:tc>
          <w:tcPr>
            <w:tcW w:w="5884" w:type="dxa"/>
            <w:shd w:val="clear" w:color="auto" w:fill="auto"/>
          </w:tcPr>
          <w:p w14:paraId="5BBB4E38" w14:textId="3F6BD0DE" w:rsidR="00B55FB1" w:rsidRPr="0068236B" w:rsidRDefault="00B55FB1" w:rsidP="00D24CEF">
            <w:pPr>
              <w:pStyle w:val="FootnoteText"/>
              <w:numPr>
                <w:ilvl w:val="0"/>
                <w:numId w:val="103"/>
              </w:numPr>
              <w:spacing w:line="240" w:lineRule="auto"/>
              <w:ind w:left="122" w:hanging="122"/>
              <w:rPr>
                <w:rFonts w:ascii="Tahoma" w:hAnsi="Tahoma" w:cs="Tahoma"/>
                <w:color w:val="auto"/>
                <w:sz w:val="20"/>
              </w:rPr>
            </w:pPr>
            <w:r w:rsidRPr="0068236B">
              <w:rPr>
                <w:rFonts w:ascii="Tahoma" w:hAnsi="Tahoma" w:cs="Tahoma"/>
                <w:color w:val="auto"/>
                <w:sz w:val="20"/>
              </w:rPr>
              <w:t>CESMP</w:t>
            </w:r>
            <w:r w:rsidR="004D0C37" w:rsidRPr="0068236B">
              <w:rPr>
                <w:rFonts w:ascii="Tahoma" w:hAnsi="Tahoma" w:cs="Tahoma"/>
                <w:color w:val="auto"/>
                <w:sz w:val="20"/>
              </w:rPr>
              <w:t xml:space="preserve"> with associated management procedure and plans</w:t>
            </w:r>
          </w:p>
          <w:p w14:paraId="3BB4984E" w14:textId="77777777" w:rsidR="00B55FB1" w:rsidRPr="0068236B" w:rsidRDefault="00B55FB1" w:rsidP="00D24CEF">
            <w:pPr>
              <w:pStyle w:val="FootnoteText"/>
              <w:numPr>
                <w:ilvl w:val="0"/>
                <w:numId w:val="103"/>
              </w:numPr>
              <w:spacing w:line="240" w:lineRule="auto"/>
              <w:ind w:left="122" w:hanging="122"/>
              <w:rPr>
                <w:rFonts w:ascii="Tahoma" w:eastAsia="SimSun" w:hAnsi="Tahoma" w:cs="Tahoma"/>
                <w:b/>
                <w:bCs/>
                <w:color w:val="auto"/>
                <w:sz w:val="20"/>
              </w:rPr>
            </w:pPr>
            <w:r w:rsidRPr="0068236B">
              <w:rPr>
                <w:rFonts w:ascii="Tahoma" w:hAnsi="Tahoma" w:cs="Tahoma"/>
                <w:color w:val="auto"/>
                <w:sz w:val="20"/>
              </w:rPr>
              <w:t>Traffic Management Plan</w:t>
            </w:r>
          </w:p>
        </w:tc>
        <w:tc>
          <w:tcPr>
            <w:tcW w:w="1392" w:type="dxa"/>
            <w:tcBorders>
              <w:right w:val="double" w:sz="4" w:space="0" w:color="auto"/>
            </w:tcBorders>
            <w:shd w:val="clear" w:color="auto" w:fill="auto"/>
          </w:tcPr>
          <w:p w14:paraId="1A43B9A3" w14:textId="2311611A" w:rsidR="00B55FB1" w:rsidRPr="0068236B" w:rsidRDefault="009B7FCF" w:rsidP="00C56FEA">
            <w:pPr>
              <w:pStyle w:val="FootnoteText"/>
              <w:spacing w:line="240" w:lineRule="auto"/>
              <w:rPr>
                <w:rFonts w:ascii="Tahoma" w:eastAsia="SimSun" w:hAnsi="Tahoma" w:cs="Tahoma"/>
                <w:b/>
                <w:bCs/>
                <w:color w:val="auto"/>
                <w:sz w:val="20"/>
              </w:rPr>
            </w:pPr>
            <w:r w:rsidRPr="0068236B">
              <w:rPr>
                <w:rFonts w:ascii="Tahoma" w:hAnsi="Tahoma" w:cs="Tahoma"/>
                <w:color w:val="auto"/>
                <w:sz w:val="20"/>
              </w:rPr>
              <w:t>Not significant</w:t>
            </w:r>
          </w:p>
        </w:tc>
      </w:tr>
      <w:tr w:rsidR="00BB421B" w:rsidRPr="0068236B" w14:paraId="4D39F606" w14:textId="77777777" w:rsidTr="007531FB">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209B13AC" w14:textId="77777777" w:rsidR="00B55FB1" w:rsidRPr="0068236B" w:rsidRDefault="00B55FB1" w:rsidP="00C56FEA">
            <w:pPr>
              <w:pStyle w:val="FootnoteText"/>
              <w:spacing w:line="240" w:lineRule="auto"/>
              <w:rPr>
                <w:rFonts w:ascii="Tahoma" w:hAnsi="Tahoma" w:cs="Tahoma"/>
                <w:color w:val="auto"/>
                <w:sz w:val="20"/>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84E775C" w14:textId="77777777" w:rsidR="00B55FB1" w:rsidRPr="0068236B" w:rsidRDefault="00B55FB1" w:rsidP="00C56FEA">
            <w:pPr>
              <w:pStyle w:val="FootnoteText"/>
              <w:spacing w:line="240" w:lineRule="auto"/>
              <w:rPr>
                <w:rFonts w:ascii="Tahoma" w:hAnsi="Tahoma" w:cs="Tahoma"/>
                <w:color w:val="auto"/>
                <w:sz w:val="20"/>
              </w:rPr>
            </w:pPr>
            <w:r w:rsidRPr="0068236B">
              <w:rPr>
                <w:rFonts w:ascii="Tahoma" w:hAnsi="Tahoma" w:cs="Tahoma"/>
                <w:color w:val="auto"/>
                <w:sz w:val="20"/>
              </w:rPr>
              <w:t>Operation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7546085E" w14:textId="77777777" w:rsidR="00B55FB1" w:rsidRPr="0068236B" w:rsidRDefault="00B55FB1" w:rsidP="00C56FEA">
            <w:pPr>
              <w:pStyle w:val="FootnoteText"/>
              <w:spacing w:line="240" w:lineRule="auto"/>
              <w:ind w:left="25"/>
              <w:rPr>
                <w:rFonts w:ascii="Tahoma" w:hAnsi="Tahoma" w:cs="Tahoma"/>
                <w:color w:val="auto"/>
                <w:sz w:val="20"/>
              </w:rPr>
            </w:pPr>
            <w:r w:rsidRPr="0068236B">
              <w:rPr>
                <w:rFonts w:ascii="Tahoma" w:hAnsi="Tahoma" w:cs="Tahoma"/>
                <w:color w:val="auto"/>
                <w:sz w:val="20"/>
              </w:rPr>
              <w:t>During the operation phase of the Project it is not anticipated that there would be any signi</w:t>
            </w:r>
            <w:r w:rsidRPr="0068236B">
              <w:rPr>
                <w:rFonts w:ascii="Tahoma" w:hAnsi="Tahoma" w:cs="Tahoma"/>
                <w:color w:val="auto"/>
                <w:sz w:val="20"/>
              </w:rPr>
              <w:t>f</w:t>
            </w:r>
            <w:r w:rsidRPr="0068236B">
              <w:rPr>
                <w:rFonts w:ascii="Tahoma" w:hAnsi="Tahoma" w:cs="Tahoma"/>
                <w:color w:val="auto"/>
                <w:sz w:val="20"/>
              </w:rPr>
              <w:t xml:space="preserve">icant emissions to air and no significant air quality impacts would occur. </w:t>
            </w:r>
          </w:p>
          <w:p w14:paraId="1ABBF968" w14:textId="7EE478D6" w:rsidR="00B55FB1" w:rsidRPr="0068236B" w:rsidRDefault="00B55FB1" w:rsidP="00C56FEA">
            <w:pPr>
              <w:pStyle w:val="FootnoteText"/>
              <w:spacing w:line="240" w:lineRule="auto"/>
              <w:ind w:left="25"/>
              <w:rPr>
                <w:rFonts w:ascii="Tahoma" w:eastAsia="SimSun" w:hAnsi="Tahoma" w:cs="Tahoma"/>
                <w:b/>
                <w:bCs/>
                <w:color w:val="auto"/>
                <w:sz w:val="20"/>
              </w:rPr>
            </w:pPr>
            <w:r w:rsidRPr="0068236B">
              <w:rPr>
                <w:rFonts w:ascii="Tahoma" w:hAnsi="Tahoma" w:cs="Tahoma"/>
                <w:color w:val="auto"/>
                <w:sz w:val="20"/>
              </w:rPr>
              <w:t xml:space="preserve">The assessment of air quality impacts during the operational phase is, therefore, scoped out of the </w:t>
            </w:r>
            <w:r w:rsidR="00E3062F" w:rsidRPr="0068236B">
              <w:rPr>
                <w:rFonts w:ascii="Tahoma" w:hAnsi="Tahoma" w:cs="Tahoma"/>
                <w:color w:val="auto"/>
                <w:sz w:val="20"/>
              </w:rPr>
              <w:t>assessment</w:t>
            </w:r>
            <w:r w:rsidR="00831165" w:rsidRPr="0068236B">
              <w:rPr>
                <w:rStyle w:val="FootnoteReference"/>
                <w:rFonts w:ascii="Tahoma" w:hAnsi="Tahoma" w:cs="Tahoma"/>
                <w:color w:val="auto"/>
                <w:sz w:val="20"/>
              </w:rPr>
              <w:footnoteReference w:id="25"/>
            </w:r>
            <w:r w:rsidR="00E3062F" w:rsidRPr="0068236B">
              <w:rPr>
                <w:rFonts w:ascii="Tahoma" w:hAnsi="Tahoma" w:cs="Tahoma"/>
                <w:color w:val="auto"/>
                <w:sz w:val="20"/>
              </w:rPr>
              <w:t>.</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385BDCFA" w14:textId="77777777" w:rsidR="00B55FB1" w:rsidRPr="0068236B" w:rsidRDefault="00B55FB1" w:rsidP="00C56FEA">
            <w:pPr>
              <w:pStyle w:val="FootnoteText"/>
              <w:spacing w:line="240" w:lineRule="auto"/>
              <w:rPr>
                <w:rFonts w:ascii="Tahoma" w:eastAsia="SimSun" w:hAnsi="Tahoma" w:cs="Tahoma"/>
                <w:bCs/>
                <w:color w:val="auto"/>
                <w:sz w:val="20"/>
              </w:rPr>
            </w:pPr>
            <w:r w:rsidRPr="0068236B">
              <w:rPr>
                <w:rFonts w:ascii="Tahoma" w:eastAsia="SimSun" w:hAnsi="Tahoma" w:cs="Tahoma"/>
                <w:bCs/>
                <w:color w:val="auto"/>
                <w:sz w:val="20"/>
              </w:rPr>
              <w:t>Minor adverse</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373946A0" w14:textId="77777777" w:rsidR="00B55FB1" w:rsidRPr="0068236B" w:rsidRDefault="00B55FB1" w:rsidP="00C56FEA">
            <w:pPr>
              <w:pStyle w:val="FootnoteText"/>
              <w:spacing w:line="240" w:lineRule="auto"/>
              <w:rPr>
                <w:rFonts w:ascii="Tahoma" w:eastAsia="SimSun" w:hAnsi="Tahoma" w:cs="Tahoma"/>
                <w:bCs/>
                <w:color w:val="auto"/>
                <w:sz w:val="20"/>
              </w:rPr>
            </w:pPr>
            <w:r w:rsidRPr="0068236B">
              <w:rPr>
                <w:rFonts w:ascii="Tahoma" w:eastAsia="SimSun" w:hAnsi="Tahoma" w:cs="Tahoma"/>
                <w:bCs/>
                <w:color w:val="auto"/>
                <w:sz w:val="20"/>
              </w:rPr>
              <w:t>Good operational practice</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2B573FDE" w14:textId="77777777" w:rsidR="00B55FB1" w:rsidRPr="0068236B" w:rsidRDefault="00B55FB1" w:rsidP="00C56FEA">
            <w:pPr>
              <w:pStyle w:val="FootnoteText"/>
              <w:spacing w:line="240" w:lineRule="auto"/>
              <w:rPr>
                <w:rFonts w:ascii="Tahoma" w:eastAsia="SimSun" w:hAnsi="Tahoma" w:cs="Tahoma"/>
                <w:b/>
                <w:bCs/>
                <w:color w:val="auto"/>
                <w:sz w:val="20"/>
              </w:rPr>
            </w:pPr>
            <w:r w:rsidRPr="0068236B">
              <w:rPr>
                <w:rFonts w:ascii="Tahoma" w:hAnsi="Tahoma" w:cs="Tahoma"/>
                <w:color w:val="auto"/>
                <w:sz w:val="20"/>
              </w:rPr>
              <w:t>None</w:t>
            </w:r>
          </w:p>
        </w:tc>
      </w:tr>
      <w:tr w:rsidR="00BB421B" w:rsidRPr="0068236B" w14:paraId="0F5A8C36" w14:textId="77777777" w:rsidTr="00E3062F">
        <w:trPr>
          <w:cantSplit/>
          <w:jc w:val="center"/>
        </w:trPr>
        <w:tc>
          <w:tcPr>
            <w:tcW w:w="1188" w:type="dxa"/>
            <w:vMerge w:val="restart"/>
            <w:tcBorders>
              <w:left w:val="double" w:sz="4" w:space="0" w:color="auto"/>
            </w:tcBorders>
            <w:shd w:val="clear" w:color="auto" w:fill="BFBFBF" w:themeFill="background1" w:themeFillShade="BF"/>
          </w:tcPr>
          <w:p w14:paraId="43A01DDE" w14:textId="77777777" w:rsidR="00B55FB1" w:rsidRPr="0068236B" w:rsidRDefault="00B55FB1" w:rsidP="00C56FEA">
            <w:pPr>
              <w:pStyle w:val="FootnoteText"/>
              <w:spacing w:line="240" w:lineRule="auto"/>
              <w:rPr>
                <w:rFonts w:ascii="Tahoma" w:hAnsi="Tahoma" w:cs="Tahoma"/>
                <w:color w:val="auto"/>
                <w:sz w:val="20"/>
              </w:rPr>
            </w:pPr>
            <w:r w:rsidRPr="0068236B">
              <w:rPr>
                <w:rFonts w:ascii="Tahoma" w:hAnsi="Tahoma" w:cs="Tahoma"/>
                <w:color w:val="auto"/>
                <w:sz w:val="20"/>
              </w:rPr>
              <w:lastRenderedPageBreak/>
              <w:t>Geology and Soils</w:t>
            </w:r>
          </w:p>
        </w:tc>
        <w:tc>
          <w:tcPr>
            <w:tcW w:w="1247" w:type="dxa"/>
            <w:vMerge w:val="restart"/>
            <w:shd w:val="clear" w:color="auto" w:fill="auto"/>
          </w:tcPr>
          <w:p w14:paraId="70A6B7BF" w14:textId="77777777" w:rsidR="00B55FB1" w:rsidRPr="0068236B" w:rsidRDefault="00B55FB1" w:rsidP="00C56FEA">
            <w:pPr>
              <w:pStyle w:val="FootnoteText"/>
              <w:spacing w:line="240" w:lineRule="auto"/>
              <w:rPr>
                <w:rFonts w:ascii="Tahoma" w:hAnsi="Tahoma" w:cs="Tahoma"/>
                <w:color w:val="auto"/>
                <w:sz w:val="20"/>
              </w:rPr>
            </w:pPr>
            <w:r w:rsidRPr="0068236B">
              <w:rPr>
                <w:rFonts w:ascii="Tahoma" w:hAnsi="Tahoma" w:cs="Tahoma"/>
                <w:color w:val="auto"/>
                <w:sz w:val="20"/>
              </w:rPr>
              <w:t>Construction</w:t>
            </w:r>
          </w:p>
        </w:tc>
        <w:tc>
          <w:tcPr>
            <w:tcW w:w="4222" w:type="dxa"/>
            <w:shd w:val="clear" w:color="auto" w:fill="auto"/>
          </w:tcPr>
          <w:p w14:paraId="46E3FC05" w14:textId="77777777" w:rsidR="00B55FB1" w:rsidRPr="0068236B" w:rsidRDefault="00B55FB1" w:rsidP="00C56FEA">
            <w:pPr>
              <w:pStyle w:val="FootnoteText"/>
              <w:spacing w:line="240" w:lineRule="auto"/>
              <w:rPr>
                <w:rFonts w:ascii="Tahoma" w:hAnsi="Tahoma" w:cs="Tahoma"/>
                <w:color w:val="auto"/>
                <w:sz w:val="20"/>
              </w:rPr>
            </w:pPr>
            <w:r w:rsidRPr="0068236B">
              <w:rPr>
                <w:rFonts w:ascii="Tahoma" w:hAnsi="Tahoma" w:cs="Tahoma"/>
                <w:color w:val="auto"/>
                <w:sz w:val="20"/>
              </w:rPr>
              <w:t>Disturbance effects to geological deposits and soils due to construction works and transport activities.</w:t>
            </w:r>
          </w:p>
          <w:p w14:paraId="3348195E" w14:textId="77777777" w:rsidR="00B55FB1" w:rsidRPr="0068236B" w:rsidRDefault="00B55FB1" w:rsidP="00C56FEA">
            <w:pPr>
              <w:pStyle w:val="FootnoteText"/>
              <w:spacing w:line="240" w:lineRule="auto"/>
              <w:rPr>
                <w:rFonts w:ascii="Tahoma" w:hAnsi="Tahoma" w:cs="Tahoma"/>
                <w:color w:val="auto"/>
                <w:sz w:val="20"/>
              </w:rPr>
            </w:pPr>
            <w:r w:rsidRPr="0068236B">
              <w:rPr>
                <w:rFonts w:ascii="Tahoma" w:hAnsi="Tahoma" w:cs="Tahoma"/>
                <w:color w:val="auto"/>
                <w:sz w:val="20"/>
              </w:rPr>
              <w:t>The project area is characterised with very low potential erosion risk and landslide hazard.</w:t>
            </w:r>
          </w:p>
        </w:tc>
        <w:tc>
          <w:tcPr>
            <w:tcW w:w="1949" w:type="dxa"/>
            <w:shd w:val="clear" w:color="auto" w:fill="auto"/>
          </w:tcPr>
          <w:p w14:paraId="700204E9" w14:textId="77777777" w:rsidR="00B55FB1" w:rsidRPr="0068236B" w:rsidRDefault="00B55FB1" w:rsidP="00C56FEA">
            <w:pPr>
              <w:pStyle w:val="FootnoteText"/>
              <w:spacing w:line="240" w:lineRule="auto"/>
              <w:rPr>
                <w:rFonts w:ascii="Tahoma" w:hAnsi="Tahoma" w:cs="Tahoma"/>
                <w:color w:val="auto"/>
                <w:sz w:val="20"/>
              </w:rPr>
            </w:pPr>
            <w:r w:rsidRPr="0068236B">
              <w:rPr>
                <w:rFonts w:ascii="Tahoma" w:hAnsi="Tahoma" w:cs="Tahoma"/>
                <w:color w:val="auto"/>
                <w:sz w:val="20"/>
              </w:rPr>
              <w:t>Minor adverse (for the Project as a whole)</w:t>
            </w:r>
          </w:p>
        </w:tc>
        <w:tc>
          <w:tcPr>
            <w:tcW w:w="5884" w:type="dxa"/>
            <w:vMerge w:val="restart"/>
            <w:shd w:val="clear" w:color="auto" w:fill="auto"/>
          </w:tcPr>
          <w:p w14:paraId="18834FB7" w14:textId="77777777" w:rsidR="00B55FB1" w:rsidRPr="0068236B" w:rsidRDefault="00B55FB1" w:rsidP="00C56FEA">
            <w:pPr>
              <w:pStyle w:val="FootnoteText"/>
              <w:spacing w:line="240" w:lineRule="auto"/>
              <w:rPr>
                <w:rFonts w:ascii="Tahoma" w:hAnsi="Tahoma" w:cs="Tahoma"/>
                <w:color w:val="auto"/>
                <w:sz w:val="20"/>
              </w:rPr>
            </w:pPr>
            <w:r w:rsidRPr="0068236B">
              <w:rPr>
                <w:rFonts w:ascii="Tahoma" w:hAnsi="Tahoma" w:cs="Tahoma"/>
                <w:color w:val="auto"/>
                <w:sz w:val="20"/>
              </w:rPr>
              <w:t>CESMP with associated management procedure and plans</w:t>
            </w:r>
          </w:p>
        </w:tc>
        <w:tc>
          <w:tcPr>
            <w:tcW w:w="1392" w:type="dxa"/>
            <w:tcBorders>
              <w:right w:val="double" w:sz="4" w:space="0" w:color="auto"/>
            </w:tcBorders>
            <w:shd w:val="clear" w:color="auto" w:fill="auto"/>
          </w:tcPr>
          <w:p w14:paraId="0095D6B5" w14:textId="77777777" w:rsidR="00B55FB1" w:rsidRPr="0068236B" w:rsidRDefault="00B55FB1" w:rsidP="00C56FEA">
            <w:pPr>
              <w:pStyle w:val="FootnoteText"/>
              <w:spacing w:line="240" w:lineRule="auto"/>
              <w:rPr>
                <w:rFonts w:ascii="Tahoma" w:hAnsi="Tahoma" w:cs="Tahoma"/>
                <w:color w:val="auto"/>
                <w:sz w:val="20"/>
              </w:rPr>
            </w:pPr>
            <w:r w:rsidRPr="0068236B">
              <w:rPr>
                <w:rFonts w:ascii="Tahoma" w:eastAsia="SimSun" w:hAnsi="Tahoma" w:cs="Tahoma"/>
                <w:color w:val="auto"/>
                <w:sz w:val="20"/>
              </w:rPr>
              <w:t xml:space="preserve">Neutral </w:t>
            </w:r>
          </w:p>
        </w:tc>
      </w:tr>
      <w:tr w:rsidR="00BB421B" w:rsidRPr="0068236B" w14:paraId="3C8A02CE" w14:textId="77777777" w:rsidTr="007531FB">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1FC1BEC6" w14:textId="77777777" w:rsidR="00B55FB1" w:rsidRPr="0068236B" w:rsidRDefault="00B55FB1" w:rsidP="00C56FEA">
            <w:pPr>
              <w:pStyle w:val="FootnoteText"/>
              <w:spacing w:line="240" w:lineRule="auto"/>
              <w:rPr>
                <w:rFonts w:ascii="Tahoma" w:hAnsi="Tahoma" w:cs="Tahoma"/>
                <w:color w:val="auto"/>
                <w:sz w:val="20"/>
              </w:rPr>
            </w:pPr>
          </w:p>
        </w:tc>
        <w:tc>
          <w:tcPr>
            <w:tcW w:w="1247" w:type="dxa"/>
            <w:vMerge/>
            <w:tcBorders>
              <w:top w:val="single" w:sz="4" w:space="0" w:color="auto"/>
              <w:left w:val="single" w:sz="4" w:space="0" w:color="auto"/>
              <w:bottom w:val="single" w:sz="4" w:space="0" w:color="auto"/>
              <w:right w:val="single" w:sz="4" w:space="0" w:color="auto"/>
            </w:tcBorders>
            <w:shd w:val="clear" w:color="auto" w:fill="auto"/>
          </w:tcPr>
          <w:p w14:paraId="66C07806" w14:textId="77777777" w:rsidR="00B55FB1" w:rsidRPr="0068236B" w:rsidRDefault="00B55FB1" w:rsidP="00C56FEA">
            <w:pPr>
              <w:pStyle w:val="FootnoteText"/>
              <w:spacing w:line="240" w:lineRule="auto"/>
              <w:rPr>
                <w:rFonts w:ascii="Tahoma" w:hAnsi="Tahoma" w:cs="Tahoma"/>
                <w:color w:val="auto"/>
                <w:sz w:val="20"/>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0C96852" w14:textId="77777777" w:rsidR="00B55FB1" w:rsidRPr="0068236B" w:rsidRDefault="00B55FB1" w:rsidP="00C56FEA">
            <w:pPr>
              <w:pStyle w:val="FootnoteText"/>
              <w:spacing w:line="240" w:lineRule="auto"/>
              <w:rPr>
                <w:rFonts w:ascii="Tahoma" w:hAnsi="Tahoma" w:cs="Tahoma"/>
                <w:color w:val="auto"/>
                <w:sz w:val="20"/>
                <w:lang w:eastAsia="en-US"/>
              </w:rPr>
            </w:pPr>
            <w:r w:rsidRPr="0068236B">
              <w:rPr>
                <w:rFonts w:ascii="Tahoma" w:hAnsi="Tahoma" w:cs="Tahoma"/>
                <w:color w:val="auto"/>
                <w:sz w:val="20"/>
                <w:lang w:eastAsia="en-US"/>
              </w:rPr>
              <w:t>Key risks to soils:</w:t>
            </w:r>
          </w:p>
          <w:p w14:paraId="49B3BD66" w14:textId="77777777" w:rsidR="00B55FB1" w:rsidRPr="0068236B" w:rsidRDefault="00B55FB1" w:rsidP="00D24CEF">
            <w:pPr>
              <w:pStyle w:val="FootnoteText"/>
              <w:numPr>
                <w:ilvl w:val="0"/>
                <w:numId w:val="103"/>
              </w:numPr>
              <w:spacing w:line="240" w:lineRule="auto"/>
              <w:ind w:left="128" w:hanging="128"/>
              <w:rPr>
                <w:rFonts w:ascii="Tahoma" w:hAnsi="Tahoma" w:cs="Tahoma"/>
                <w:color w:val="auto"/>
                <w:sz w:val="20"/>
              </w:rPr>
            </w:pPr>
            <w:r w:rsidRPr="0068236B">
              <w:rPr>
                <w:rFonts w:ascii="Tahoma" w:hAnsi="Tahoma" w:cs="Tahoma"/>
                <w:color w:val="auto"/>
                <w:sz w:val="20"/>
              </w:rPr>
              <w:t>Degradation of shallow geology and topsoil due to contamination</w:t>
            </w:r>
          </w:p>
          <w:p w14:paraId="0F75C0F5" w14:textId="77777777" w:rsidR="00B55FB1" w:rsidRPr="0068236B" w:rsidRDefault="00B55FB1" w:rsidP="00D24CEF">
            <w:pPr>
              <w:pStyle w:val="FootnoteText"/>
              <w:numPr>
                <w:ilvl w:val="0"/>
                <w:numId w:val="103"/>
              </w:numPr>
              <w:spacing w:line="240" w:lineRule="auto"/>
              <w:ind w:left="128" w:hanging="128"/>
              <w:rPr>
                <w:rFonts w:ascii="Tahoma" w:hAnsi="Tahoma" w:cs="Tahoma"/>
                <w:color w:val="auto"/>
                <w:sz w:val="20"/>
              </w:rPr>
            </w:pPr>
            <w:r w:rsidRPr="0068236B">
              <w:rPr>
                <w:rFonts w:ascii="Tahoma" w:hAnsi="Tahoma" w:cs="Tahoma"/>
                <w:color w:val="auto"/>
                <w:sz w:val="20"/>
              </w:rPr>
              <w:t>Loss of fertile soil through excavation and removal</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33784036" w14:textId="77777777" w:rsidR="00B55FB1" w:rsidRPr="0068236B" w:rsidRDefault="00B55FB1" w:rsidP="00C56FEA">
            <w:pPr>
              <w:pStyle w:val="FootnoteText"/>
              <w:spacing w:line="240" w:lineRule="auto"/>
              <w:rPr>
                <w:rFonts w:ascii="Tahoma" w:hAnsi="Tahoma" w:cs="Tahoma"/>
                <w:color w:val="auto"/>
                <w:sz w:val="20"/>
              </w:rPr>
            </w:pPr>
            <w:r w:rsidRPr="0068236B">
              <w:rPr>
                <w:rFonts w:ascii="Tahoma" w:eastAsia="SimSun" w:hAnsi="Tahoma" w:cs="Tahoma"/>
                <w:color w:val="auto"/>
                <w:sz w:val="20"/>
              </w:rPr>
              <w:t>Minor to moderate adverse</w:t>
            </w:r>
          </w:p>
        </w:tc>
        <w:tc>
          <w:tcPr>
            <w:tcW w:w="5884" w:type="dxa"/>
            <w:vMerge/>
            <w:tcBorders>
              <w:top w:val="single" w:sz="4" w:space="0" w:color="auto"/>
              <w:left w:val="single" w:sz="4" w:space="0" w:color="auto"/>
              <w:bottom w:val="single" w:sz="4" w:space="0" w:color="auto"/>
              <w:right w:val="single" w:sz="4" w:space="0" w:color="auto"/>
            </w:tcBorders>
            <w:shd w:val="clear" w:color="auto" w:fill="auto"/>
          </w:tcPr>
          <w:p w14:paraId="27441CDA" w14:textId="77777777" w:rsidR="00B55FB1" w:rsidRPr="0068236B" w:rsidRDefault="00B55FB1" w:rsidP="00C56FEA">
            <w:pPr>
              <w:pStyle w:val="FootnoteText"/>
              <w:spacing w:line="240" w:lineRule="auto"/>
              <w:rPr>
                <w:rFonts w:ascii="Tahoma" w:hAnsi="Tahoma" w:cs="Tahoma"/>
                <w:color w:val="auto"/>
                <w:sz w:val="20"/>
              </w:rPr>
            </w:pP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7B13AABD" w14:textId="77777777" w:rsidR="00B55FB1" w:rsidRPr="0068236B" w:rsidRDefault="00B55FB1" w:rsidP="00C56FEA">
            <w:pPr>
              <w:pStyle w:val="FootnoteText"/>
              <w:spacing w:line="240" w:lineRule="auto"/>
              <w:rPr>
                <w:rFonts w:ascii="Tahoma" w:hAnsi="Tahoma" w:cs="Tahoma"/>
                <w:color w:val="auto"/>
                <w:sz w:val="20"/>
              </w:rPr>
            </w:pPr>
            <w:r w:rsidRPr="0068236B">
              <w:rPr>
                <w:rFonts w:ascii="Tahoma" w:eastAsia="SimSun" w:hAnsi="Tahoma" w:cs="Tahoma"/>
                <w:color w:val="auto"/>
                <w:sz w:val="20"/>
              </w:rPr>
              <w:t>Neutral to minor</w:t>
            </w:r>
          </w:p>
        </w:tc>
      </w:tr>
      <w:tr w:rsidR="00BB421B" w:rsidRPr="0068236B" w14:paraId="0D9BCC61" w14:textId="77777777" w:rsidTr="00E3062F">
        <w:trPr>
          <w:cantSplit/>
          <w:trHeight w:val="423"/>
          <w:jc w:val="center"/>
        </w:trPr>
        <w:tc>
          <w:tcPr>
            <w:tcW w:w="1188" w:type="dxa"/>
            <w:vMerge/>
            <w:tcBorders>
              <w:left w:val="double" w:sz="4" w:space="0" w:color="auto"/>
            </w:tcBorders>
            <w:shd w:val="clear" w:color="auto" w:fill="BFBFBF" w:themeFill="background1" w:themeFillShade="BF"/>
          </w:tcPr>
          <w:p w14:paraId="159A7347" w14:textId="77777777" w:rsidR="00B55FB1" w:rsidRPr="0068236B" w:rsidRDefault="00B55FB1" w:rsidP="00C56FEA">
            <w:pPr>
              <w:spacing w:before="0" w:after="0" w:line="240" w:lineRule="auto"/>
              <w:jc w:val="left"/>
              <w:rPr>
                <w:rFonts w:cs="Tahoma"/>
                <w:color w:val="auto"/>
                <w:sz w:val="20"/>
                <w:szCs w:val="20"/>
              </w:rPr>
            </w:pPr>
          </w:p>
        </w:tc>
        <w:tc>
          <w:tcPr>
            <w:tcW w:w="1247" w:type="dxa"/>
            <w:shd w:val="clear" w:color="auto" w:fill="auto"/>
          </w:tcPr>
          <w:p w14:paraId="6145277C"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Operation</w:t>
            </w:r>
          </w:p>
        </w:tc>
        <w:tc>
          <w:tcPr>
            <w:tcW w:w="4222" w:type="dxa"/>
            <w:shd w:val="clear" w:color="auto" w:fill="auto"/>
          </w:tcPr>
          <w:p w14:paraId="35089ED5" w14:textId="77777777" w:rsidR="00B55FB1" w:rsidRPr="0068236B" w:rsidRDefault="00B55FB1" w:rsidP="00C56FEA">
            <w:pPr>
              <w:spacing w:before="0" w:after="0" w:line="240" w:lineRule="auto"/>
              <w:jc w:val="left"/>
              <w:rPr>
                <w:rFonts w:cs="Tahoma"/>
                <w:color w:val="auto"/>
                <w:sz w:val="20"/>
                <w:szCs w:val="20"/>
              </w:rPr>
            </w:pPr>
            <w:r w:rsidRPr="0068236B">
              <w:rPr>
                <w:rFonts w:cs="Tahoma"/>
                <w:color w:val="auto"/>
                <w:sz w:val="20"/>
                <w:szCs w:val="20"/>
              </w:rPr>
              <w:t>Degradation of topsoil due to contamination during maintenance works</w:t>
            </w:r>
          </w:p>
        </w:tc>
        <w:tc>
          <w:tcPr>
            <w:tcW w:w="1949" w:type="dxa"/>
            <w:shd w:val="clear" w:color="auto" w:fill="auto"/>
          </w:tcPr>
          <w:p w14:paraId="26C2229A" w14:textId="77777777" w:rsidR="00B55FB1" w:rsidRPr="0068236B" w:rsidRDefault="00B55FB1" w:rsidP="00C56FEA">
            <w:pPr>
              <w:pStyle w:val="Heading4"/>
              <w:numPr>
                <w:ilvl w:val="0"/>
                <w:numId w:val="0"/>
              </w:numPr>
              <w:tabs>
                <w:tab w:val="left" w:pos="720"/>
              </w:tabs>
              <w:spacing w:before="0" w:after="0" w:line="240" w:lineRule="auto"/>
              <w:outlineLvl w:val="3"/>
              <w:rPr>
                <w:rFonts w:cs="Tahoma"/>
                <w:b w:val="0"/>
                <w:color w:val="auto"/>
                <w:sz w:val="20"/>
                <w:szCs w:val="20"/>
              </w:rPr>
            </w:pPr>
            <w:r w:rsidRPr="0068236B">
              <w:rPr>
                <w:rFonts w:eastAsia="SimSun" w:cs="Tahoma"/>
                <w:b w:val="0"/>
                <w:color w:val="auto"/>
                <w:sz w:val="20"/>
                <w:szCs w:val="20"/>
              </w:rPr>
              <w:t>Minor adverse</w:t>
            </w:r>
          </w:p>
        </w:tc>
        <w:tc>
          <w:tcPr>
            <w:tcW w:w="5884" w:type="dxa"/>
            <w:shd w:val="clear" w:color="auto" w:fill="auto"/>
          </w:tcPr>
          <w:p w14:paraId="00B643E4"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Prevent and control pollution</w:t>
            </w:r>
          </w:p>
        </w:tc>
        <w:tc>
          <w:tcPr>
            <w:tcW w:w="1392" w:type="dxa"/>
            <w:tcBorders>
              <w:right w:val="double" w:sz="4" w:space="0" w:color="auto"/>
            </w:tcBorders>
            <w:shd w:val="clear" w:color="auto" w:fill="auto"/>
          </w:tcPr>
          <w:p w14:paraId="6B57426A" w14:textId="77777777" w:rsidR="00B55FB1" w:rsidRPr="0068236B" w:rsidRDefault="00B55FB1" w:rsidP="00C56FEA">
            <w:pPr>
              <w:pStyle w:val="Heading4"/>
              <w:numPr>
                <w:ilvl w:val="0"/>
                <w:numId w:val="0"/>
              </w:numPr>
              <w:spacing w:before="0" w:after="0" w:line="240" w:lineRule="auto"/>
              <w:outlineLvl w:val="3"/>
              <w:rPr>
                <w:rFonts w:eastAsia="SimSun" w:cs="Tahoma"/>
                <w:b w:val="0"/>
                <w:bCs w:val="0"/>
                <w:color w:val="auto"/>
                <w:sz w:val="20"/>
                <w:szCs w:val="20"/>
              </w:rPr>
            </w:pPr>
            <w:r w:rsidRPr="0068236B">
              <w:rPr>
                <w:rFonts w:eastAsia="SimSun" w:cs="Tahoma"/>
                <w:b w:val="0"/>
                <w:color w:val="auto"/>
                <w:sz w:val="20"/>
                <w:szCs w:val="20"/>
              </w:rPr>
              <w:t>Neutral to minor</w:t>
            </w:r>
          </w:p>
        </w:tc>
      </w:tr>
      <w:tr w:rsidR="00BB421B" w:rsidRPr="0068236B" w14:paraId="0FB44943" w14:textId="77777777" w:rsidTr="007531FB">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val="restart"/>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2CFC6B99" w14:textId="77777777" w:rsidR="00B55FB1" w:rsidRPr="0068236B" w:rsidRDefault="00B55FB1" w:rsidP="00C56FEA">
            <w:pPr>
              <w:pStyle w:val="FootnoteText"/>
              <w:spacing w:line="240" w:lineRule="auto"/>
              <w:rPr>
                <w:rFonts w:ascii="Tahoma" w:hAnsi="Tahoma" w:cs="Tahoma"/>
                <w:color w:val="auto"/>
                <w:sz w:val="20"/>
              </w:rPr>
            </w:pPr>
            <w:r w:rsidRPr="0068236B">
              <w:rPr>
                <w:rFonts w:ascii="Tahoma" w:hAnsi="Tahoma" w:cs="Tahoma"/>
                <w:color w:val="auto"/>
                <w:sz w:val="20"/>
              </w:rPr>
              <w:t>Water Env</w:t>
            </w:r>
            <w:r w:rsidRPr="0068236B">
              <w:rPr>
                <w:rFonts w:ascii="Tahoma" w:hAnsi="Tahoma" w:cs="Tahoma"/>
                <w:color w:val="auto"/>
                <w:sz w:val="20"/>
              </w:rPr>
              <w:t>i</w:t>
            </w:r>
            <w:r w:rsidRPr="0068236B">
              <w:rPr>
                <w:rFonts w:ascii="Tahoma" w:hAnsi="Tahoma" w:cs="Tahoma"/>
                <w:color w:val="auto"/>
                <w:sz w:val="20"/>
              </w:rPr>
              <w:t>ronment</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6AB8958F" w14:textId="77777777" w:rsidR="00B55FB1" w:rsidRPr="0068236B" w:rsidRDefault="00B55FB1" w:rsidP="00C56FEA">
            <w:pPr>
              <w:pStyle w:val="FootnoteText"/>
              <w:spacing w:line="240" w:lineRule="auto"/>
              <w:rPr>
                <w:rFonts w:ascii="Tahoma" w:hAnsi="Tahoma" w:cs="Tahoma"/>
                <w:color w:val="auto"/>
                <w:sz w:val="20"/>
              </w:rPr>
            </w:pPr>
            <w:r w:rsidRPr="0068236B">
              <w:rPr>
                <w:rFonts w:ascii="Tahoma" w:hAnsi="Tahoma" w:cs="Tahoma"/>
                <w:color w:val="auto"/>
                <w:sz w:val="20"/>
              </w:rPr>
              <w:t>Construction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64E8C01" w14:textId="77777777" w:rsidR="00B55FB1" w:rsidRPr="0068236B" w:rsidRDefault="00B55FB1" w:rsidP="00C56FEA">
            <w:pPr>
              <w:pStyle w:val="ListBullet"/>
              <w:numPr>
                <w:ilvl w:val="0"/>
                <w:numId w:val="0"/>
              </w:numPr>
              <w:spacing w:after="0" w:line="240" w:lineRule="auto"/>
              <w:ind w:left="25"/>
              <w:jc w:val="left"/>
              <w:rPr>
                <w:rFonts w:cs="Tahoma"/>
                <w:color w:val="auto"/>
                <w:sz w:val="20"/>
                <w:szCs w:val="20"/>
                <w:lang w:eastAsia="en-US"/>
              </w:rPr>
            </w:pPr>
            <w:r w:rsidRPr="0068236B">
              <w:rPr>
                <w:rFonts w:cs="Tahoma"/>
                <w:color w:val="auto"/>
                <w:sz w:val="20"/>
                <w:szCs w:val="20"/>
                <w:lang w:eastAsia="en-US"/>
              </w:rPr>
              <w:t>Risks to the water environment due to:</w:t>
            </w:r>
          </w:p>
          <w:p w14:paraId="4E5DE245" w14:textId="77777777" w:rsidR="00B55FB1" w:rsidRPr="0068236B" w:rsidRDefault="00B55FB1" w:rsidP="00C56FEA">
            <w:pPr>
              <w:pStyle w:val="ListBullet"/>
              <w:spacing w:after="0" w:line="240" w:lineRule="auto"/>
              <w:ind w:left="167" w:hanging="167"/>
              <w:jc w:val="left"/>
              <w:rPr>
                <w:rFonts w:cs="Tahoma"/>
                <w:color w:val="auto"/>
                <w:sz w:val="20"/>
                <w:szCs w:val="20"/>
                <w:lang w:eastAsia="zh-CN"/>
              </w:rPr>
            </w:pPr>
            <w:r w:rsidRPr="0068236B">
              <w:rPr>
                <w:rFonts w:cs="Tahoma"/>
                <w:color w:val="auto"/>
                <w:sz w:val="20"/>
                <w:szCs w:val="20"/>
              </w:rPr>
              <w:t>excavation, and the subsequent deposition of soils, sediment, or othe</w:t>
            </w:r>
            <w:r w:rsidRPr="0068236B">
              <w:rPr>
                <w:rFonts w:cs="Tahoma"/>
                <w:color w:val="auto"/>
                <w:sz w:val="20"/>
                <w:szCs w:val="20"/>
                <w:lang w:eastAsia="zh-CN"/>
              </w:rPr>
              <w:t xml:space="preserve">r </w:t>
            </w:r>
            <w:r w:rsidRPr="0068236B">
              <w:rPr>
                <w:rFonts w:cs="Tahoma"/>
                <w:color w:val="auto"/>
                <w:sz w:val="20"/>
                <w:szCs w:val="20"/>
              </w:rPr>
              <w:t>construction m</w:t>
            </w:r>
            <w:r w:rsidRPr="0068236B">
              <w:rPr>
                <w:rFonts w:cs="Tahoma"/>
                <w:color w:val="auto"/>
                <w:sz w:val="20"/>
                <w:szCs w:val="20"/>
              </w:rPr>
              <w:t>a</w:t>
            </w:r>
            <w:r w:rsidRPr="0068236B">
              <w:rPr>
                <w:rFonts w:cs="Tahoma"/>
                <w:color w:val="auto"/>
                <w:sz w:val="20"/>
                <w:szCs w:val="20"/>
              </w:rPr>
              <w:t>terials causing pollution</w:t>
            </w:r>
            <w:r w:rsidRPr="0068236B">
              <w:rPr>
                <w:rFonts w:cs="Tahoma"/>
                <w:color w:val="auto"/>
                <w:sz w:val="20"/>
                <w:szCs w:val="20"/>
                <w:lang w:eastAsia="zh-CN"/>
              </w:rPr>
              <w:t>;</w:t>
            </w:r>
          </w:p>
          <w:p w14:paraId="02BE5E17" w14:textId="77777777" w:rsidR="00B55FB1" w:rsidRPr="0068236B" w:rsidRDefault="00B55FB1" w:rsidP="00C56FEA">
            <w:pPr>
              <w:pStyle w:val="ListBullet"/>
              <w:spacing w:after="0" w:line="240" w:lineRule="auto"/>
              <w:ind w:left="167" w:hanging="167"/>
              <w:jc w:val="left"/>
              <w:rPr>
                <w:rFonts w:cs="Tahoma"/>
                <w:color w:val="auto"/>
                <w:sz w:val="20"/>
                <w:szCs w:val="20"/>
                <w:lang w:eastAsia="zh-CN"/>
              </w:rPr>
            </w:pPr>
            <w:r w:rsidRPr="0068236B">
              <w:rPr>
                <w:rFonts w:cs="Tahoma"/>
                <w:color w:val="auto"/>
                <w:sz w:val="20"/>
                <w:szCs w:val="20"/>
              </w:rPr>
              <w:t>spillage of fuels or other contaminating li</w:t>
            </w:r>
            <w:r w:rsidRPr="0068236B">
              <w:rPr>
                <w:rFonts w:cs="Tahoma"/>
                <w:color w:val="auto"/>
                <w:sz w:val="20"/>
                <w:szCs w:val="20"/>
              </w:rPr>
              <w:t>q</w:t>
            </w:r>
            <w:r w:rsidRPr="0068236B">
              <w:rPr>
                <w:rFonts w:cs="Tahoma"/>
                <w:color w:val="auto"/>
                <w:sz w:val="20"/>
                <w:szCs w:val="20"/>
              </w:rPr>
              <w:t>uids causing pollution;</w:t>
            </w:r>
          </w:p>
          <w:p w14:paraId="5C2C56D8" w14:textId="77777777" w:rsidR="00B55FB1" w:rsidRPr="0068236B" w:rsidRDefault="00B55FB1" w:rsidP="00C56FEA">
            <w:pPr>
              <w:pStyle w:val="ListBullet"/>
              <w:spacing w:after="0" w:line="240" w:lineRule="auto"/>
              <w:ind w:left="167" w:hanging="167"/>
              <w:jc w:val="left"/>
              <w:rPr>
                <w:rFonts w:cs="Tahoma"/>
                <w:color w:val="auto"/>
                <w:sz w:val="20"/>
                <w:szCs w:val="20"/>
                <w:lang w:eastAsia="zh-CN"/>
              </w:rPr>
            </w:pPr>
            <w:r w:rsidRPr="0068236B">
              <w:rPr>
                <w:rFonts w:cs="Tahoma"/>
                <w:color w:val="auto"/>
                <w:sz w:val="20"/>
                <w:szCs w:val="20"/>
              </w:rPr>
              <w:t>temporary physical modifications interrupting the natural passage of</w:t>
            </w:r>
            <w:r w:rsidRPr="0068236B">
              <w:rPr>
                <w:rFonts w:cs="Tahoma"/>
                <w:color w:val="auto"/>
                <w:sz w:val="20"/>
                <w:szCs w:val="20"/>
                <w:lang w:eastAsia="zh-CN"/>
              </w:rPr>
              <w:t xml:space="preserve"> </w:t>
            </w:r>
            <w:r w:rsidRPr="0068236B">
              <w:rPr>
                <w:rFonts w:cs="Tahoma"/>
                <w:color w:val="auto"/>
                <w:sz w:val="20"/>
                <w:szCs w:val="20"/>
              </w:rPr>
              <w:t>surface and sub-surface flow;</w:t>
            </w:r>
          </w:p>
          <w:p w14:paraId="2C0C890B" w14:textId="77777777" w:rsidR="00B55FB1" w:rsidRPr="0068236B" w:rsidRDefault="00B55FB1" w:rsidP="00C56FEA">
            <w:pPr>
              <w:pStyle w:val="ListBullet"/>
              <w:spacing w:after="0" w:line="240" w:lineRule="auto"/>
              <w:ind w:left="167" w:hanging="167"/>
              <w:jc w:val="left"/>
              <w:rPr>
                <w:rFonts w:cs="Tahoma"/>
                <w:color w:val="auto"/>
                <w:sz w:val="20"/>
                <w:szCs w:val="20"/>
                <w:lang w:eastAsia="zh-CN"/>
              </w:rPr>
            </w:pPr>
            <w:r w:rsidRPr="0068236B">
              <w:rPr>
                <w:rFonts w:cs="Tahoma"/>
                <w:color w:val="auto"/>
                <w:sz w:val="20"/>
                <w:szCs w:val="20"/>
              </w:rPr>
              <w:t>mobilisation of contaminants following di</w:t>
            </w:r>
            <w:r w:rsidRPr="0068236B">
              <w:rPr>
                <w:rFonts w:cs="Tahoma"/>
                <w:color w:val="auto"/>
                <w:sz w:val="20"/>
                <w:szCs w:val="20"/>
              </w:rPr>
              <w:t>s</w:t>
            </w:r>
            <w:r w:rsidRPr="0068236B">
              <w:rPr>
                <w:rFonts w:cs="Tahoma"/>
                <w:color w:val="auto"/>
                <w:sz w:val="20"/>
                <w:szCs w:val="20"/>
              </w:rPr>
              <w:t>turbance of ground or through uncontrolled site runoff.</w:t>
            </w:r>
          </w:p>
          <w:p w14:paraId="77F23D0A" w14:textId="77777777" w:rsidR="00B55FB1" w:rsidRPr="0068236B" w:rsidRDefault="00B55FB1" w:rsidP="00C56FEA">
            <w:pPr>
              <w:pStyle w:val="ListBullet"/>
              <w:numPr>
                <w:ilvl w:val="0"/>
                <w:numId w:val="0"/>
              </w:numPr>
              <w:spacing w:after="0" w:line="240" w:lineRule="auto"/>
              <w:jc w:val="left"/>
              <w:rPr>
                <w:rFonts w:cs="Tahoma"/>
                <w:color w:val="auto"/>
                <w:sz w:val="20"/>
                <w:szCs w:val="20"/>
                <w:lang w:eastAsia="zh-CN"/>
              </w:rPr>
            </w:pPr>
            <w:r w:rsidRPr="0068236B">
              <w:rPr>
                <w:rFonts w:cs="Tahoma"/>
                <w:color w:val="auto"/>
                <w:sz w:val="20"/>
                <w:szCs w:val="20"/>
              </w:rPr>
              <w:t>Potential increase in flood risk, mainly due to undertaking construction works within floo</w:t>
            </w:r>
            <w:r w:rsidRPr="0068236B">
              <w:rPr>
                <w:rFonts w:cs="Tahoma"/>
                <w:color w:val="auto"/>
                <w:sz w:val="20"/>
                <w:szCs w:val="20"/>
              </w:rPr>
              <w:t>d</w:t>
            </w:r>
            <w:r w:rsidRPr="0068236B">
              <w:rPr>
                <w:rFonts w:cs="Tahoma"/>
                <w:color w:val="auto"/>
                <w:sz w:val="20"/>
                <w:szCs w:val="20"/>
              </w:rPr>
              <w:t>plains.</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231CA4DE" w14:textId="77777777" w:rsidR="00B55FB1" w:rsidRPr="0068236B" w:rsidRDefault="00B55FB1" w:rsidP="00C56FEA">
            <w:pPr>
              <w:pStyle w:val="FootnoteText"/>
              <w:spacing w:line="240" w:lineRule="auto"/>
              <w:rPr>
                <w:rFonts w:ascii="Tahoma" w:eastAsia="SimSun" w:hAnsi="Tahoma" w:cs="Tahoma"/>
                <w:b/>
                <w:bCs/>
                <w:color w:val="auto"/>
                <w:sz w:val="20"/>
              </w:rPr>
            </w:pPr>
            <w:r w:rsidRPr="0068236B">
              <w:rPr>
                <w:rFonts w:ascii="Tahoma" w:hAnsi="Tahoma" w:cs="Tahoma"/>
                <w:color w:val="auto"/>
                <w:sz w:val="20"/>
              </w:rPr>
              <w:t xml:space="preserve">Minor to moderate adverse </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1CED926C" w14:textId="1300B027" w:rsidR="00B55FB1" w:rsidRPr="0068236B" w:rsidRDefault="00B55FB1" w:rsidP="00D24CEF">
            <w:pPr>
              <w:pStyle w:val="FootnoteText"/>
              <w:numPr>
                <w:ilvl w:val="0"/>
                <w:numId w:val="103"/>
              </w:numPr>
              <w:spacing w:line="240" w:lineRule="auto"/>
              <w:ind w:left="160" w:hanging="160"/>
              <w:rPr>
                <w:rFonts w:ascii="Tahoma" w:hAnsi="Tahoma" w:cs="Tahoma"/>
                <w:color w:val="auto"/>
                <w:sz w:val="20"/>
              </w:rPr>
            </w:pPr>
            <w:r w:rsidRPr="0068236B">
              <w:rPr>
                <w:rFonts w:ascii="Tahoma" w:hAnsi="Tahoma" w:cs="Tahoma"/>
                <w:color w:val="auto"/>
                <w:sz w:val="20"/>
                <w:lang w:eastAsia="en-US"/>
              </w:rPr>
              <w:t xml:space="preserve">Good design practice based on avoidance strategy (e.g. </w:t>
            </w:r>
            <w:r w:rsidR="00E3062F" w:rsidRPr="0068236B">
              <w:rPr>
                <w:rFonts w:ascii="Tahoma" w:hAnsi="Tahoma" w:cs="Tahoma"/>
                <w:color w:val="auto"/>
                <w:sz w:val="20"/>
                <w:lang w:eastAsia="en-US"/>
              </w:rPr>
              <w:t xml:space="preserve">setting Project locations </w:t>
            </w:r>
            <w:r w:rsidRPr="0068236B">
              <w:rPr>
                <w:rFonts w:ascii="Tahoma" w:hAnsi="Tahoma" w:cs="Tahoma"/>
                <w:color w:val="auto"/>
                <w:sz w:val="20"/>
                <w:lang w:eastAsia="en-US"/>
              </w:rPr>
              <w:t>away from watercourses and wetlands</w:t>
            </w:r>
            <w:r w:rsidRPr="0068236B">
              <w:rPr>
                <w:rFonts w:ascii="Tahoma" w:hAnsi="Tahoma" w:cs="Tahoma"/>
                <w:color w:val="auto"/>
                <w:sz w:val="20"/>
              </w:rPr>
              <w:t>)</w:t>
            </w:r>
          </w:p>
          <w:p w14:paraId="6116EE6F" w14:textId="77777777" w:rsidR="00B55FB1" w:rsidRPr="0068236B" w:rsidRDefault="00B55FB1" w:rsidP="00D24CEF">
            <w:pPr>
              <w:pStyle w:val="FootnoteText"/>
              <w:numPr>
                <w:ilvl w:val="0"/>
                <w:numId w:val="103"/>
              </w:numPr>
              <w:spacing w:line="240" w:lineRule="auto"/>
              <w:ind w:left="160" w:hanging="160"/>
              <w:rPr>
                <w:rFonts w:ascii="Tahoma" w:hAnsi="Tahoma" w:cs="Tahoma"/>
                <w:color w:val="auto"/>
                <w:sz w:val="20"/>
              </w:rPr>
            </w:pPr>
            <w:r w:rsidRPr="0068236B">
              <w:rPr>
                <w:rFonts w:ascii="Tahoma" w:hAnsi="Tahoma" w:cs="Tahoma"/>
                <w:color w:val="auto"/>
                <w:sz w:val="20"/>
              </w:rPr>
              <w:t>CESMP with associated management procedure and plans</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47C5F0D0" w14:textId="77777777" w:rsidR="00B55FB1" w:rsidRPr="0068236B" w:rsidRDefault="00B55FB1" w:rsidP="00C56FEA">
            <w:pPr>
              <w:pStyle w:val="FootnoteText"/>
              <w:spacing w:line="240" w:lineRule="auto"/>
              <w:rPr>
                <w:rFonts w:ascii="Tahoma" w:eastAsia="SimSun" w:hAnsi="Tahoma" w:cs="Tahoma"/>
                <w:b/>
                <w:bCs/>
                <w:color w:val="auto"/>
                <w:sz w:val="20"/>
              </w:rPr>
            </w:pPr>
            <w:r w:rsidRPr="0068236B">
              <w:rPr>
                <w:rFonts w:ascii="Tahoma" w:hAnsi="Tahoma" w:cs="Tahoma"/>
                <w:color w:val="auto"/>
                <w:sz w:val="20"/>
              </w:rPr>
              <w:t>Neutral</w:t>
            </w:r>
          </w:p>
        </w:tc>
      </w:tr>
      <w:tr w:rsidR="00BB421B" w:rsidRPr="0068236B" w14:paraId="2E202D51" w14:textId="77777777" w:rsidTr="00E3062F">
        <w:trPr>
          <w:cantSplit/>
          <w:jc w:val="center"/>
        </w:trPr>
        <w:tc>
          <w:tcPr>
            <w:tcW w:w="1188" w:type="dxa"/>
            <w:vMerge/>
            <w:tcBorders>
              <w:left w:val="double" w:sz="4" w:space="0" w:color="auto"/>
            </w:tcBorders>
            <w:shd w:val="clear" w:color="auto" w:fill="BFBFBF" w:themeFill="background1" w:themeFillShade="BF"/>
          </w:tcPr>
          <w:p w14:paraId="126B3FD2" w14:textId="77777777" w:rsidR="00B55FB1" w:rsidRPr="0068236B" w:rsidRDefault="00B55FB1" w:rsidP="00C56FEA">
            <w:pPr>
              <w:pStyle w:val="FootnoteText"/>
              <w:spacing w:line="240" w:lineRule="auto"/>
              <w:rPr>
                <w:rFonts w:ascii="Tahoma" w:hAnsi="Tahoma" w:cs="Tahoma"/>
                <w:color w:val="auto"/>
                <w:sz w:val="20"/>
              </w:rPr>
            </w:pPr>
          </w:p>
        </w:tc>
        <w:tc>
          <w:tcPr>
            <w:tcW w:w="1247" w:type="dxa"/>
            <w:shd w:val="clear" w:color="auto" w:fill="auto"/>
          </w:tcPr>
          <w:p w14:paraId="377C22C6" w14:textId="77777777" w:rsidR="00B55FB1" w:rsidRPr="0068236B" w:rsidRDefault="00B55FB1" w:rsidP="00C56FEA">
            <w:pPr>
              <w:pStyle w:val="FootnoteText"/>
              <w:spacing w:line="240" w:lineRule="auto"/>
              <w:rPr>
                <w:rFonts w:ascii="Tahoma" w:hAnsi="Tahoma" w:cs="Tahoma"/>
                <w:color w:val="auto"/>
                <w:sz w:val="20"/>
              </w:rPr>
            </w:pPr>
            <w:r w:rsidRPr="0068236B">
              <w:rPr>
                <w:rFonts w:ascii="Tahoma" w:hAnsi="Tahoma" w:cs="Tahoma"/>
                <w:color w:val="auto"/>
                <w:sz w:val="20"/>
              </w:rPr>
              <w:t>Operation</w:t>
            </w:r>
          </w:p>
        </w:tc>
        <w:tc>
          <w:tcPr>
            <w:tcW w:w="4222" w:type="dxa"/>
            <w:shd w:val="clear" w:color="auto" w:fill="auto"/>
          </w:tcPr>
          <w:p w14:paraId="304EC459" w14:textId="77777777" w:rsidR="00B55FB1" w:rsidRPr="0068236B" w:rsidRDefault="00B55FB1" w:rsidP="00C56FEA">
            <w:pPr>
              <w:pStyle w:val="ListBullet"/>
              <w:spacing w:after="0" w:line="240" w:lineRule="auto"/>
              <w:ind w:left="165" w:hanging="142"/>
              <w:jc w:val="left"/>
              <w:rPr>
                <w:rFonts w:cs="Tahoma"/>
                <w:color w:val="auto"/>
                <w:sz w:val="20"/>
                <w:szCs w:val="20"/>
                <w:lang w:eastAsia="zh-CN"/>
              </w:rPr>
            </w:pPr>
            <w:r w:rsidRPr="0068236B">
              <w:rPr>
                <w:rFonts w:cs="Tahoma"/>
                <w:color w:val="auto"/>
                <w:sz w:val="20"/>
                <w:szCs w:val="20"/>
              </w:rPr>
              <w:t>Accidental spillage of oils and fuels from vehicles;</w:t>
            </w:r>
          </w:p>
          <w:p w14:paraId="58CF4992" w14:textId="77777777" w:rsidR="00B55FB1" w:rsidRPr="0068236B" w:rsidRDefault="00B55FB1" w:rsidP="00C56FEA">
            <w:pPr>
              <w:pStyle w:val="ListBullet"/>
              <w:spacing w:after="0" w:line="240" w:lineRule="auto"/>
              <w:ind w:left="165" w:hanging="142"/>
              <w:jc w:val="left"/>
              <w:rPr>
                <w:rFonts w:cs="Tahoma"/>
                <w:color w:val="auto"/>
                <w:sz w:val="20"/>
                <w:szCs w:val="20"/>
                <w:lang w:eastAsia="zh-CN"/>
              </w:rPr>
            </w:pPr>
            <w:r w:rsidRPr="0068236B">
              <w:rPr>
                <w:rFonts w:cs="Tahoma"/>
                <w:color w:val="auto"/>
                <w:sz w:val="20"/>
                <w:szCs w:val="20"/>
              </w:rPr>
              <w:t>Compaction of land around OHL towers foundations, leading to local effects on h</w:t>
            </w:r>
            <w:r w:rsidRPr="0068236B">
              <w:rPr>
                <w:rFonts w:cs="Tahoma"/>
                <w:color w:val="auto"/>
                <w:sz w:val="20"/>
                <w:szCs w:val="20"/>
              </w:rPr>
              <w:t>y</w:t>
            </w:r>
            <w:r w:rsidRPr="0068236B">
              <w:rPr>
                <w:rFonts w:cs="Tahoma"/>
                <w:color w:val="auto"/>
                <w:sz w:val="20"/>
                <w:szCs w:val="20"/>
              </w:rPr>
              <w:t>drology from compaction;</w:t>
            </w:r>
          </w:p>
          <w:p w14:paraId="23464B92" w14:textId="77777777" w:rsidR="00B55FB1" w:rsidRPr="0068236B" w:rsidRDefault="00B55FB1" w:rsidP="00C56FEA">
            <w:pPr>
              <w:pStyle w:val="ListBullet"/>
              <w:spacing w:after="0" w:line="240" w:lineRule="auto"/>
              <w:ind w:left="165" w:hanging="142"/>
              <w:jc w:val="left"/>
              <w:rPr>
                <w:rFonts w:cs="Tahoma"/>
                <w:color w:val="auto"/>
                <w:sz w:val="20"/>
                <w:szCs w:val="20"/>
                <w:lang w:eastAsia="zh-CN"/>
              </w:rPr>
            </w:pPr>
            <w:r w:rsidRPr="0068236B">
              <w:rPr>
                <w:rFonts w:cs="Tahoma"/>
                <w:color w:val="auto"/>
                <w:sz w:val="20"/>
                <w:szCs w:val="20"/>
              </w:rPr>
              <w:t>Accidental spillage of transformer oils at the substation, which is a potential risk of groundwater pollution from hazardous su</w:t>
            </w:r>
            <w:r w:rsidRPr="0068236B">
              <w:rPr>
                <w:rFonts w:cs="Tahoma"/>
                <w:color w:val="auto"/>
                <w:sz w:val="20"/>
                <w:szCs w:val="20"/>
              </w:rPr>
              <w:t>b</w:t>
            </w:r>
            <w:r w:rsidRPr="0068236B">
              <w:rPr>
                <w:rFonts w:cs="Tahoma"/>
                <w:color w:val="auto"/>
                <w:sz w:val="20"/>
                <w:szCs w:val="20"/>
              </w:rPr>
              <w:t>stances.</w:t>
            </w:r>
          </w:p>
        </w:tc>
        <w:tc>
          <w:tcPr>
            <w:tcW w:w="1949" w:type="dxa"/>
            <w:shd w:val="clear" w:color="auto" w:fill="auto"/>
          </w:tcPr>
          <w:p w14:paraId="6F3B18BC" w14:textId="152EF2A8" w:rsidR="004630C7" w:rsidRPr="0068236B" w:rsidRDefault="00DF5E77" w:rsidP="00D24CEF">
            <w:pPr>
              <w:pStyle w:val="FootnoteText"/>
              <w:numPr>
                <w:ilvl w:val="0"/>
                <w:numId w:val="103"/>
              </w:numPr>
              <w:spacing w:line="240" w:lineRule="auto"/>
              <w:ind w:left="179" w:hanging="141"/>
              <w:rPr>
                <w:rFonts w:ascii="Tahoma" w:hAnsi="Tahoma" w:cs="Tahoma"/>
                <w:color w:val="auto"/>
                <w:sz w:val="20"/>
              </w:rPr>
            </w:pPr>
            <w:r w:rsidRPr="0068236B">
              <w:rPr>
                <w:rFonts w:ascii="Tahoma" w:hAnsi="Tahoma" w:cs="Tahoma"/>
                <w:color w:val="auto"/>
                <w:sz w:val="20"/>
              </w:rPr>
              <w:t>Minor</w:t>
            </w:r>
            <w:r w:rsidR="00B55FB1" w:rsidRPr="0068236B">
              <w:rPr>
                <w:rFonts w:ascii="Tahoma" w:hAnsi="Tahoma" w:cs="Tahoma"/>
                <w:color w:val="auto"/>
                <w:sz w:val="20"/>
              </w:rPr>
              <w:t xml:space="preserve"> adverse</w:t>
            </w:r>
            <w:r w:rsidR="00F94956" w:rsidRPr="0068236B">
              <w:rPr>
                <w:rFonts w:ascii="Tahoma" w:hAnsi="Tahoma" w:cs="Tahoma"/>
                <w:color w:val="auto"/>
                <w:sz w:val="20"/>
              </w:rPr>
              <w:t xml:space="preserve"> u</w:t>
            </w:r>
            <w:r w:rsidR="00F94956" w:rsidRPr="0068236B">
              <w:rPr>
                <w:rFonts w:ascii="Tahoma" w:hAnsi="Tahoma" w:cs="Tahoma"/>
                <w:color w:val="auto"/>
                <w:sz w:val="20"/>
              </w:rPr>
              <w:t>n</w:t>
            </w:r>
            <w:r w:rsidR="00F94956" w:rsidRPr="0068236B">
              <w:rPr>
                <w:rFonts w:ascii="Tahoma" w:hAnsi="Tahoma" w:cs="Tahoma"/>
                <w:color w:val="auto"/>
                <w:sz w:val="20"/>
              </w:rPr>
              <w:t>der usual oper</w:t>
            </w:r>
            <w:r w:rsidR="00F94956" w:rsidRPr="0068236B">
              <w:rPr>
                <w:rFonts w:ascii="Tahoma" w:hAnsi="Tahoma" w:cs="Tahoma"/>
                <w:color w:val="auto"/>
                <w:sz w:val="20"/>
              </w:rPr>
              <w:t>a</w:t>
            </w:r>
            <w:r w:rsidR="00F94956" w:rsidRPr="0068236B">
              <w:rPr>
                <w:rFonts w:ascii="Tahoma" w:hAnsi="Tahoma" w:cs="Tahoma"/>
                <w:color w:val="auto"/>
                <w:sz w:val="20"/>
              </w:rPr>
              <w:t>tional phase</w:t>
            </w:r>
          </w:p>
          <w:p w14:paraId="451FC45D" w14:textId="77777777" w:rsidR="00F94956" w:rsidRPr="0068236B" w:rsidRDefault="00F94956" w:rsidP="00756A3C">
            <w:pPr>
              <w:pStyle w:val="FootnoteText"/>
              <w:spacing w:line="240" w:lineRule="auto"/>
              <w:ind w:left="38"/>
              <w:rPr>
                <w:rFonts w:ascii="Tahoma" w:eastAsia="SimSun" w:hAnsi="Tahoma" w:cs="Tahoma"/>
                <w:bCs/>
                <w:color w:val="auto"/>
                <w:sz w:val="20"/>
              </w:rPr>
            </w:pPr>
          </w:p>
          <w:p w14:paraId="5ACDD83C" w14:textId="4930D31E" w:rsidR="004630C7" w:rsidRPr="0068236B" w:rsidRDefault="004630C7" w:rsidP="00D24CEF">
            <w:pPr>
              <w:pStyle w:val="FootnoteText"/>
              <w:numPr>
                <w:ilvl w:val="0"/>
                <w:numId w:val="103"/>
              </w:numPr>
              <w:spacing w:line="240" w:lineRule="auto"/>
              <w:ind w:left="179" w:hanging="141"/>
              <w:rPr>
                <w:rFonts w:ascii="Tahoma" w:eastAsia="SimSun" w:hAnsi="Tahoma" w:cs="Tahoma"/>
                <w:bCs/>
                <w:color w:val="auto"/>
                <w:sz w:val="20"/>
              </w:rPr>
            </w:pPr>
            <w:r w:rsidRPr="0068236B">
              <w:rPr>
                <w:rFonts w:ascii="Tahoma" w:eastAsia="SimSun" w:hAnsi="Tahoma" w:cs="Tahoma"/>
                <w:bCs/>
                <w:color w:val="auto"/>
                <w:sz w:val="20"/>
              </w:rPr>
              <w:t>Moderate adverse (in a case of spi</w:t>
            </w:r>
            <w:r w:rsidRPr="0068236B">
              <w:rPr>
                <w:rFonts w:ascii="Tahoma" w:eastAsia="SimSun" w:hAnsi="Tahoma" w:cs="Tahoma"/>
                <w:bCs/>
                <w:color w:val="auto"/>
                <w:sz w:val="20"/>
              </w:rPr>
              <w:t>l</w:t>
            </w:r>
            <w:r w:rsidRPr="0068236B">
              <w:rPr>
                <w:rFonts w:ascii="Tahoma" w:eastAsia="SimSun" w:hAnsi="Tahoma" w:cs="Tahoma"/>
                <w:bCs/>
                <w:color w:val="auto"/>
                <w:sz w:val="20"/>
              </w:rPr>
              <w:t>age)</w:t>
            </w:r>
          </w:p>
        </w:tc>
        <w:tc>
          <w:tcPr>
            <w:tcW w:w="5884" w:type="dxa"/>
            <w:shd w:val="clear" w:color="auto" w:fill="auto"/>
          </w:tcPr>
          <w:p w14:paraId="25ED587B" w14:textId="0F6F16F0" w:rsidR="00B55FB1" w:rsidRPr="0068236B" w:rsidRDefault="00B55FB1" w:rsidP="00D24CEF">
            <w:pPr>
              <w:pStyle w:val="FootnoteText"/>
              <w:numPr>
                <w:ilvl w:val="0"/>
                <w:numId w:val="103"/>
              </w:numPr>
              <w:spacing w:line="240" w:lineRule="auto"/>
              <w:ind w:left="122" w:hanging="160"/>
              <w:rPr>
                <w:rFonts w:ascii="Tahoma" w:eastAsia="SimSun" w:hAnsi="Tahoma" w:cs="Tahoma"/>
                <w:b/>
                <w:bCs/>
                <w:color w:val="auto"/>
                <w:sz w:val="20"/>
              </w:rPr>
            </w:pPr>
            <w:r w:rsidRPr="0068236B">
              <w:rPr>
                <w:rFonts w:ascii="Tahoma" w:hAnsi="Tahoma" w:cs="Tahoma"/>
                <w:color w:val="auto"/>
                <w:sz w:val="20"/>
                <w:lang w:eastAsia="en-US"/>
              </w:rPr>
              <w:t xml:space="preserve">Good design practice based on avoidance strategy (e.g. prevent accidental spillages of transformer oils at the substation by </w:t>
            </w:r>
            <w:r w:rsidR="00B96DFD" w:rsidRPr="0068236B">
              <w:rPr>
                <w:rFonts w:ascii="Tahoma" w:hAnsi="Tahoma" w:cs="Tahoma"/>
                <w:color w:val="auto"/>
                <w:sz w:val="20"/>
                <w:lang w:eastAsia="en-US"/>
              </w:rPr>
              <w:t>i</w:t>
            </w:r>
            <w:r w:rsidR="00B96DFD" w:rsidRPr="0068236B">
              <w:rPr>
                <w:rFonts w:ascii="Tahoma" w:hAnsi="Tahoma" w:cs="Tahoma"/>
                <w:color w:val="auto"/>
                <w:sz w:val="20"/>
                <w:lang w:eastAsia="en-US"/>
              </w:rPr>
              <w:t>n</w:t>
            </w:r>
            <w:r w:rsidR="00B96DFD" w:rsidRPr="0068236B">
              <w:rPr>
                <w:rFonts w:ascii="Tahoma" w:hAnsi="Tahoma" w:cs="Tahoma"/>
                <w:color w:val="auto"/>
                <w:sz w:val="20"/>
                <w:lang w:eastAsia="en-US"/>
              </w:rPr>
              <w:t>stallation</w:t>
            </w:r>
            <w:r w:rsidRPr="0068236B">
              <w:rPr>
                <w:rFonts w:ascii="Tahoma" w:hAnsi="Tahoma" w:cs="Tahoma"/>
                <w:color w:val="auto"/>
                <w:sz w:val="20"/>
                <w:lang w:eastAsia="en-US"/>
              </w:rPr>
              <w:t xml:space="preserve"> of protection</w:t>
            </w:r>
            <w:r w:rsidRPr="0068236B">
              <w:rPr>
                <w:rFonts w:ascii="Tahoma" w:hAnsi="Tahoma" w:cs="Tahoma"/>
                <w:color w:val="auto"/>
                <w:sz w:val="20"/>
              </w:rPr>
              <w:t xml:space="preserve"> </w:t>
            </w:r>
            <w:r w:rsidR="00B96DFD" w:rsidRPr="0068236B">
              <w:rPr>
                <w:rFonts w:ascii="Tahoma" w:hAnsi="Tahoma" w:cs="Tahoma"/>
                <w:color w:val="auto"/>
                <w:sz w:val="20"/>
              </w:rPr>
              <w:t xml:space="preserve">measures against spills in line </w:t>
            </w:r>
            <w:r w:rsidRPr="0068236B">
              <w:rPr>
                <w:rFonts w:ascii="Tahoma" w:hAnsi="Tahoma" w:cs="Tahoma"/>
                <w:color w:val="auto"/>
                <w:sz w:val="20"/>
              </w:rPr>
              <w:t>with d</w:t>
            </w:r>
            <w:r w:rsidRPr="0068236B">
              <w:rPr>
                <w:rFonts w:ascii="Tahoma" w:hAnsi="Tahoma" w:cs="Tahoma"/>
                <w:color w:val="auto"/>
                <w:sz w:val="20"/>
              </w:rPr>
              <w:t>e</w:t>
            </w:r>
            <w:r w:rsidRPr="0068236B">
              <w:rPr>
                <w:rFonts w:ascii="Tahoma" w:hAnsi="Tahoma" w:cs="Tahoma"/>
                <w:color w:val="auto"/>
                <w:sz w:val="20"/>
              </w:rPr>
              <w:t>sign standards). These include oil / storm water tank, placed bellow energy transformers with suitable capacity designed to accept accident oil spillage.</w:t>
            </w:r>
          </w:p>
          <w:p w14:paraId="1D6822A1" w14:textId="77777777" w:rsidR="00B55FB1" w:rsidRPr="0068236B" w:rsidRDefault="00B55FB1" w:rsidP="00D24CEF">
            <w:pPr>
              <w:pStyle w:val="FootnoteText"/>
              <w:numPr>
                <w:ilvl w:val="0"/>
                <w:numId w:val="103"/>
              </w:numPr>
              <w:spacing w:line="240" w:lineRule="auto"/>
              <w:ind w:left="122" w:hanging="160"/>
              <w:rPr>
                <w:rFonts w:ascii="Tahoma" w:eastAsia="SimSun" w:hAnsi="Tahoma" w:cs="Tahoma"/>
                <w:b/>
                <w:bCs/>
                <w:color w:val="auto"/>
                <w:sz w:val="20"/>
              </w:rPr>
            </w:pPr>
            <w:r w:rsidRPr="0068236B">
              <w:rPr>
                <w:rFonts w:ascii="Tahoma" w:hAnsi="Tahoma" w:cs="Tahoma"/>
                <w:color w:val="auto"/>
                <w:sz w:val="20"/>
              </w:rPr>
              <w:t>Good operational and maintenance practice</w:t>
            </w:r>
          </w:p>
          <w:p w14:paraId="3F0539F4" w14:textId="77777777" w:rsidR="00B55FB1" w:rsidRPr="0068236B" w:rsidRDefault="00B55FB1" w:rsidP="00C56FEA">
            <w:pPr>
              <w:pStyle w:val="FootnoteText"/>
              <w:spacing w:line="240" w:lineRule="auto"/>
              <w:rPr>
                <w:rFonts w:ascii="Tahoma" w:eastAsia="SimSun" w:hAnsi="Tahoma" w:cs="Tahoma"/>
                <w:b/>
                <w:bCs/>
                <w:color w:val="auto"/>
                <w:sz w:val="20"/>
              </w:rPr>
            </w:pPr>
          </w:p>
        </w:tc>
        <w:tc>
          <w:tcPr>
            <w:tcW w:w="1392" w:type="dxa"/>
            <w:tcBorders>
              <w:right w:val="double" w:sz="4" w:space="0" w:color="auto"/>
            </w:tcBorders>
            <w:shd w:val="clear" w:color="auto" w:fill="auto"/>
          </w:tcPr>
          <w:p w14:paraId="468D19B6" w14:textId="77777777" w:rsidR="00B55FB1" w:rsidRPr="0068236B" w:rsidRDefault="00B55FB1" w:rsidP="00C56FEA">
            <w:pPr>
              <w:pStyle w:val="FootnoteText"/>
              <w:spacing w:line="240" w:lineRule="auto"/>
              <w:rPr>
                <w:rFonts w:ascii="Tahoma" w:eastAsia="SimSun" w:hAnsi="Tahoma" w:cs="Tahoma"/>
                <w:b/>
                <w:bCs/>
                <w:color w:val="auto"/>
                <w:sz w:val="20"/>
              </w:rPr>
            </w:pPr>
            <w:r w:rsidRPr="0068236B">
              <w:rPr>
                <w:rFonts w:ascii="Tahoma" w:hAnsi="Tahoma" w:cs="Tahoma"/>
                <w:color w:val="auto"/>
                <w:sz w:val="20"/>
              </w:rPr>
              <w:t>Neutral to minor</w:t>
            </w:r>
          </w:p>
        </w:tc>
      </w:tr>
      <w:tr w:rsidR="00BB421B" w:rsidRPr="0068236B" w14:paraId="7C243B20" w14:textId="77777777" w:rsidTr="007531FB">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val="restart"/>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237739DE" w14:textId="78F5001D" w:rsidR="00B55FB1" w:rsidRPr="0068236B" w:rsidRDefault="00B55FB1" w:rsidP="00C56FEA">
            <w:pPr>
              <w:spacing w:before="0" w:after="0" w:line="240" w:lineRule="auto"/>
              <w:jc w:val="left"/>
              <w:rPr>
                <w:rFonts w:cs="Tahoma"/>
                <w:color w:val="auto"/>
                <w:sz w:val="20"/>
                <w:szCs w:val="20"/>
              </w:rPr>
            </w:pPr>
            <w:r w:rsidRPr="0068236B">
              <w:rPr>
                <w:rFonts w:cs="Tahoma"/>
                <w:color w:val="auto"/>
                <w:sz w:val="20"/>
                <w:szCs w:val="20"/>
              </w:rPr>
              <w:lastRenderedPageBreak/>
              <w:t>Noise and Vibration</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2FF3D164"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Construction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7B4B7B4" w14:textId="77777777" w:rsidR="00B55FB1" w:rsidRPr="0068236B" w:rsidRDefault="00B55FB1" w:rsidP="00C56FEA">
            <w:pPr>
              <w:spacing w:before="0" w:after="0" w:line="240" w:lineRule="auto"/>
              <w:jc w:val="left"/>
              <w:rPr>
                <w:rFonts w:cs="Tahoma"/>
                <w:color w:val="auto"/>
                <w:sz w:val="20"/>
                <w:szCs w:val="20"/>
              </w:rPr>
            </w:pPr>
            <w:r w:rsidRPr="0068236B">
              <w:rPr>
                <w:rFonts w:cs="Tahoma"/>
                <w:color w:val="auto"/>
                <w:sz w:val="20"/>
                <w:szCs w:val="20"/>
              </w:rPr>
              <w:t>Noise emissions from construction vehicles and machinery</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2AF84E15" w14:textId="77777777" w:rsidR="00B55FB1" w:rsidRPr="0068236B" w:rsidRDefault="00B55FB1" w:rsidP="00C56FE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cs="Tahoma"/>
                <w:b w:val="0"/>
                <w:color w:val="auto"/>
                <w:sz w:val="20"/>
                <w:szCs w:val="20"/>
              </w:rPr>
              <w:t>Moderate adverse</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12D83F5E" w14:textId="77777777" w:rsidR="00B55FB1" w:rsidRPr="0068236B" w:rsidRDefault="00B55FB1" w:rsidP="00D24CEF">
            <w:pPr>
              <w:pStyle w:val="FootnoteText"/>
              <w:numPr>
                <w:ilvl w:val="0"/>
                <w:numId w:val="103"/>
              </w:numPr>
              <w:spacing w:line="240" w:lineRule="auto"/>
              <w:ind w:left="122" w:hanging="122"/>
              <w:rPr>
                <w:rFonts w:ascii="Tahoma" w:hAnsi="Tahoma" w:cs="Tahoma"/>
                <w:color w:val="auto"/>
                <w:sz w:val="20"/>
              </w:rPr>
            </w:pPr>
            <w:r w:rsidRPr="0068236B">
              <w:rPr>
                <w:rFonts w:ascii="Tahoma" w:hAnsi="Tahoma" w:cs="Tahoma"/>
                <w:color w:val="auto"/>
                <w:sz w:val="20"/>
              </w:rPr>
              <w:t>CESMP</w:t>
            </w:r>
          </w:p>
          <w:p w14:paraId="0D03B46C" w14:textId="77777777" w:rsidR="00B55FB1" w:rsidRPr="0068236B" w:rsidRDefault="00B55FB1" w:rsidP="00D24CEF">
            <w:pPr>
              <w:pStyle w:val="FootnoteText"/>
              <w:numPr>
                <w:ilvl w:val="0"/>
                <w:numId w:val="103"/>
              </w:numPr>
              <w:spacing w:line="240" w:lineRule="auto"/>
              <w:ind w:left="122" w:hanging="122"/>
              <w:rPr>
                <w:rFonts w:ascii="Tahoma" w:hAnsi="Tahoma" w:cs="Tahoma"/>
                <w:color w:val="auto"/>
                <w:sz w:val="20"/>
              </w:rPr>
            </w:pPr>
            <w:r w:rsidRPr="0068236B">
              <w:rPr>
                <w:rFonts w:ascii="Tahoma" w:hAnsi="Tahoma" w:cs="Tahoma"/>
                <w:color w:val="auto"/>
                <w:sz w:val="20"/>
              </w:rPr>
              <w:t>Traffic Management Plan</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622D3A58" w14:textId="5A0DC141" w:rsidR="00B55FB1" w:rsidRPr="0068236B" w:rsidRDefault="009B7FCF" w:rsidP="00C56FE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eastAsia="SimSun" w:cs="Tahoma"/>
                <w:b w:val="0"/>
                <w:bCs w:val="0"/>
                <w:color w:val="auto"/>
                <w:sz w:val="20"/>
                <w:szCs w:val="20"/>
              </w:rPr>
              <w:t>Minor</w:t>
            </w:r>
          </w:p>
        </w:tc>
      </w:tr>
      <w:tr w:rsidR="00BB421B" w:rsidRPr="0068236B" w14:paraId="6EABAFEF" w14:textId="77777777" w:rsidTr="00E3062F">
        <w:trPr>
          <w:cantSplit/>
          <w:jc w:val="center"/>
        </w:trPr>
        <w:tc>
          <w:tcPr>
            <w:tcW w:w="1188" w:type="dxa"/>
            <w:vMerge/>
            <w:tcBorders>
              <w:left w:val="double" w:sz="4" w:space="0" w:color="auto"/>
            </w:tcBorders>
            <w:shd w:val="clear" w:color="auto" w:fill="BFBFBF" w:themeFill="background1" w:themeFillShade="BF"/>
          </w:tcPr>
          <w:p w14:paraId="14FD2FD1" w14:textId="77777777" w:rsidR="00B55FB1" w:rsidRPr="0068236B" w:rsidRDefault="00B55FB1" w:rsidP="00C56FEA">
            <w:pPr>
              <w:spacing w:before="0" w:after="0" w:line="240" w:lineRule="auto"/>
              <w:jc w:val="left"/>
              <w:rPr>
                <w:rFonts w:cs="Tahoma"/>
                <w:color w:val="auto"/>
                <w:sz w:val="20"/>
                <w:szCs w:val="20"/>
              </w:rPr>
            </w:pPr>
          </w:p>
        </w:tc>
        <w:tc>
          <w:tcPr>
            <w:tcW w:w="1247" w:type="dxa"/>
            <w:shd w:val="clear" w:color="auto" w:fill="auto"/>
          </w:tcPr>
          <w:p w14:paraId="50201BB3"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Operation</w:t>
            </w:r>
          </w:p>
        </w:tc>
        <w:tc>
          <w:tcPr>
            <w:tcW w:w="4222" w:type="dxa"/>
            <w:shd w:val="clear" w:color="auto" w:fill="auto"/>
          </w:tcPr>
          <w:p w14:paraId="1CFEF3F0" w14:textId="4C528783" w:rsidR="00B55FB1" w:rsidRPr="0068236B" w:rsidRDefault="00B55FB1" w:rsidP="00C56FEA">
            <w:pPr>
              <w:spacing w:before="0" w:after="0" w:line="240" w:lineRule="auto"/>
              <w:jc w:val="left"/>
              <w:rPr>
                <w:rFonts w:cs="Tahoma"/>
                <w:color w:val="auto"/>
                <w:sz w:val="20"/>
                <w:szCs w:val="20"/>
              </w:rPr>
            </w:pPr>
            <w:r w:rsidRPr="0068236B">
              <w:rPr>
                <w:rFonts w:eastAsia="Calibri" w:cs="Tahoma"/>
                <w:color w:val="auto"/>
                <w:sz w:val="20"/>
                <w:szCs w:val="20"/>
              </w:rPr>
              <w:t>Noise due to the phenomenon known as "c</w:t>
            </w:r>
            <w:r w:rsidRPr="0068236B">
              <w:rPr>
                <w:rFonts w:eastAsia="Calibri" w:cs="Tahoma"/>
                <w:color w:val="auto"/>
                <w:sz w:val="20"/>
                <w:szCs w:val="20"/>
              </w:rPr>
              <w:t>o</w:t>
            </w:r>
            <w:r w:rsidRPr="0068236B">
              <w:rPr>
                <w:rFonts w:eastAsia="Calibri" w:cs="Tahoma"/>
                <w:color w:val="auto"/>
                <w:sz w:val="20"/>
                <w:szCs w:val="20"/>
              </w:rPr>
              <w:t>rona discharge"</w:t>
            </w:r>
            <w:r w:rsidRPr="0068236B">
              <w:rPr>
                <w:rFonts w:cs="Tahoma"/>
                <w:color w:val="auto"/>
                <w:sz w:val="20"/>
                <w:szCs w:val="20"/>
              </w:rPr>
              <w:t xml:space="preserve"> </w:t>
            </w:r>
          </w:p>
        </w:tc>
        <w:tc>
          <w:tcPr>
            <w:tcW w:w="1949" w:type="dxa"/>
            <w:shd w:val="clear" w:color="auto" w:fill="auto"/>
          </w:tcPr>
          <w:p w14:paraId="7BE0F69B" w14:textId="77777777" w:rsidR="00B55FB1" w:rsidRPr="0068236B" w:rsidRDefault="00B55FB1" w:rsidP="00C56FE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cs="Tahoma"/>
                <w:b w:val="0"/>
                <w:color w:val="auto"/>
                <w:sz w:val="20"/>
                <w:szCs w:val="20"/>
              </w:rPr>
              <w:t>Major adverse</w:t>
            </w:r>
          </w:p>
        </w:tc>
        <w:tc>
          <w:tcPr>
            <w:tcW w:w="5884" w:type="dxa"/>
            <w:shd w:val="clear" w:color="auto" w:fill="auto"/>
          </w:tcPr>
          <w:p w14:paraId="00618FE6"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Design-based measures:</w:t>
            </w:r>
          </w:p>
          <w:p w14:paraId="7F29714D" w14:textId="7A9A7C75" w:rsidR="00B55FB1" w:rsidRPr="0068236B" w:rsidRDefault="00726F7B" w:rsidP="00D24CEF">
            <w:pPr>
              <w:pStyle w:val="ListParagraph"/>
              <w:numPr>
                <w:ilvl w:val="0"/>
                <w:numId w:val="103"/>
              </w:numPr>
              <w:spacing w:before="0" w:after="0" w:line="240" w:lineRule="auto"/>
              <w:ind w:left="142" w:hanging="142"/>
              <w:contextualSpacing w:val="0"/>
              <w:jc w:val="left"/>
              <w:rPr>
                <w:rFonts w:cs="Tahoma"/>
                <w:color w:val="auto"/>
                <w:sz w:val="20"/>
                <w:szCs w:val="20"/>
                <w:lang w:eastAsia="en-US"/>
              </w:rPr>
            </w:pPr>
            <w:r w:rsidRPr="0068236B">
              <w:rPr>
                <w:rFonts w:cs="Tahoma"/>
                <w:color w:val="auto"/>
                <w:sz w:val="20"/>
                <w:szCs w:val="20"/>
              </w:rPr>
              <w:t>A</w:t>
            </w:r>
            <w:r w:rsidR="00B55FB1" w:rsidRPr="0068236B">
              <w:rPr>
                <w:rFonts w:cs="Tahoma"/>
                <w:color w:val="auto"/>
                <w:sz w:val="20"/>
                <w:szCs w:val="20"/>
              </w:rPr>
              <w:t xml:space="preserve">voidance of </w:t>
            </w:r>
            <w:r w:rsidRPr="0068236B">
              <w:rPr>
                <w:rFonts w:cs="Tahoma"/>
                <w:color w:val="auto"/>
                <w:sz w:val="20"/>
                <w:szCs w:val="20"/>
              </w:rPr>
              <w:t xml:space="preserve">potential effects due to operational noose </w:t>
            </w:r>
            <w:r w:rsidR="005E6643" w:rsidRPr="0068236B">
              <w:rPr>
                <w:rFonts w:cs="Tahoma"/>
                <w:color w:val="auto"/>
                <w:sz w:val="20"/>
                <w:szCs w:val="20"/>
              </w:rPr>
              <w:t>from</w:t>
            </w:r>
            <w:r w:rsidRPr="0068236B">
              <w:rPr>
                <w:rFonts w:cs="Tahoma"/>
                <w:color w:val="auto"/>
                <w:sz w:val="20"/>
                <w:szCs w:val="20"/>
              </w:rPr>
              <w:t xml:space="preserve"> the Project have been achieved by avoiding the </w:t>
            </w:r>
            <w:r w:rsidR="00B55FB1" w:rsidRPr="0068236B">
              <w:rPr>
                <w:rFonts w:cs="Tahoma"/>
                <w:color w:val="auto"/>
                <w:sz w:val="20"/>
                <w:szCs w:val="20"/>
              </w:rPr>
              <w:t>populated areas in the Project region as well as residential zo</w:t>
            </w:r>
            <w:r w:rsidRPr="0068236B">
              <w:rPr>
                <w:rFonts w:cs="Tahoma"/>
                <w:color w:val="auto"/>
                <w:sz w:val="20"/>
                <w:szCs w:val="20"/>
              </w:rPr>
              <w:t xml:space="preserve">nes and other properties have been achieved </w:t>
            </w:r>
          </w:p>
          <w:p w14:paraId="73EC9539" w14:textId="6A7377EA" w:rsidR="00B55FB1" w:rsidRPr="0068236B" w:rsidRDefault="00B55FB1" w:rsidP="00D24CEF">
            <w:pPr>
              <w:pStyle w:val="ListParagraph"/>
              <w:numPr>
                <w:ilvl w:val="0"/>
                <w:numId w:val="103"/>
              </w:numPr>
              <w:spacing w:before="0" w:after="0" w:line="240" w:lineRule="auto"/>
              <w:ind w:left="142" w:hanging="142"/>
              <w:contextualSpacing w:val="0"/>
              <w:jc w:val="left"/>
              <w:rPr>
                <w:rFonts w:cs="Tahoma"/>
                <w:color w:val="auto"/>
                <w:sz w:val="20"/>
                <w:szCs w:val="20"/>
                <w:lang w:eastAsia="en-US"/>
              </w:rPr>
            </w:pPr>
            <w:r w:rsidRPr="0068236B">
              <w:rPr>
                <w:rFonts w:cs="Tahoma"/>
                <w:color w:val="auto"/>
                <w:sz w:val="20"/>
                <w:szCs w:val="20"/>
              </w:rPr>
              <w:t>Incorporation of respective design parameters into the Project design (e.g. set out minimum required conductor vertical clea</w:t>
            </w:r>
            <w:r w:rsidRPr="0068236B">
              <w:rPr>
                <w:rFonts w:cs="Tahoma"/>
                <w:color w:val="auto"/>
                <w:sz w:val="20"/>
                <w:szCs w:val="20"/>
              </w:rPr>
              <w:t>r</w:t>
            </w:r>
            <w:r w:rsidRPr="0068236B">
              <w:rPr>
                <w:rFonts w:cs="Tahoma"/>
                <w:color w:val="auto"/>
                <w:sz w:val="20"/>
                <w:szCs w:val="20"/>
              </w:rPr>
              <w:t xml:space="preserve">ance </w:t>
            </w:r>
            <w:r w:rsidR="003C2DF4">
              <w:rPr>
                <w:rFonts w:cs="Tahoma"/>
                <w:color w:val="auto"/>
                <w:sz w:val="20"/>
                <w:szCs w:val="20"/>
              </w:rPr>
              <w:t xml:space="preserve">(6 metres) </w:t>
            </w:r>
            <w:r w:rsidRPr="0068236B">
              <w:rPr>
                <w:rFonts w:cs="Tahoma"/>
                <w:color w:val="auto"/>
                <w:sz w:val="20"/>
                <w:szCs w:val="20"/>
              </w:rPr>
              <w:t xml:space="preserve">and </w:t>
            </w:r>
            <w:r w:rsidRPr="0068236B">
              <w:rPr>
                <w:rFonts w:cs="Tahoma"/>
                <w:bCs/>
                <w:color w:val="auto"/>
                <w:sz w:val="20"/>
                <w:szCs w:val="20"/>
              </w:rPr>
              <w:t>application of noise reducing coatings for conductors</w:t>
            </w:r>
            <w:r w:rsidR="00726F7B" w:rsidRPr="0068236B">
              <w:rPr>
                <w:rFonts w:cs="Tahoma"/>
                <w:bCs/>
                <w:color w:val="auto"/>
                <w:sz w:val="20"/>
                <w:szCs w:val="20"/>
              </w:rPr>
              <w:t>, if deemed necessary</w:t>
            </w:r>
            <w:r w:rsidRPr="0068236B">
              <w:rPr>
                <w:rFonts w:cs="Tahoma"/>
                <w:color w:val="auto"/>
                <w:sz w:val="20"/>
                <w:szCs w:val="20"/>
              </w:rPr>
              <w:t>)</w:t>
            </w:r>
            <w:r w:rsidRPr="0068236B">
              <w:rPr>
                <w:rFonts w:cs="Tahoma"/>
                <w:bCs/>
                <w:color w:val="auto"/>
                <w:sz w:val="20"/>
                <w:szCs w:val="20"/>
              </w:rPr>
              <w:t>.</w:t>
            </w:r>
          </w:p>
          <w:p w14:paraId="5625AE75" w14:textId="20CCD82A"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Pre-construction and construction</w:t>
            </w:r>
            <w:r w:rsidR="00726F7B" w:rsidRPr="0068236B">
              <w:rPr>
                <w:rFonts w:cs="Tahoma"/>
                <w:color w:val="auto"/>
                <w:sz w:val="20"/>
                <w:szCs w:val="20"/>
              </w:rPr>
              <w:t>:</w:t>
            </w:r>
          </w:p>
          <w:p w14:paraId="7EA296FE" w14:textId="77777777" w:rsidR="00B55FB1" w:rsidRPr="0068236B" w:rsidRDefault="00B55FB1" w:rsidP="00D24CEF">
            <w:pPr>
              <w:pStyle w:val="ListParagraph"/>
              <w:numPr>
                <w:ilvl w:val="0"/>
                <w:numId w:val="103"/>
              </w:numPr>
              <w:spacing w:before="0" w:after="0" w:line="240" w:lineRule="auto"/>
              <w:ind w:left="142" w:hanging="142"/>
              <w:contextualSpacing w:val="0"/>
              <w:jc w:val="left"/>
              <w:rPr>
                <w:rFonts w:cs="Tahoma"/>
                <w:color w:val="auto"/>
                <w:sz w:val="20"/>
                <w:szCs w:val="20"/>
              </w:rPr>
            </w:pPr>
            <w:r w:rsidRPr="0068236B">
              <w:rPr>
                <w:rFonts w:cs="Tahoma"/>
                <w:color w:val="auto"/>
                <w:sz w:val="20"/>
                <w:szCs w:val="20"/>
                <w:lang w:eastAsia="en-US"/>
              </w:rPr>
              <w:t xml:space="preserve">Ensure that </w:t>
            </w:r>
            <w:r w:rsidRPr="0068236B">
              <w:rPr>
                <w:rFonts w:eastAsia="Calibri" w:cs="Tahoma"/>
                <w:color w:val="auto"/>
                <w:sz w:val="20"/>
                <w:szCs w:val="20"/>
              </w:rPr>
              <w:t>correct manufacturing and installation methods and procedures are provided as an essential prerequisite measure that would allow reduction of eventual audible nuisance due to operations of the transmission line.</w:t>
            </w:r>
          </w:p>
        </w:tc>
        <w:tc>
          <w:tcPr>
            <w:tcW w:w="1392" w:type="dxa"/>
            <w:tcBorders>
              <w:right w:val="double" w:sz="4" w:space="0" w:color="auto"/>
            </w:tcBorders>
            <w:shd w:val="clear" w:color="auto" w:fill="auto"/>
          </w:tcPr>
          <w:p w14:paraId="3E877BF8" w14:textId="77777777" w:rsidR="00B55FB1" w:rsidRPr="0068236B" w:rsidRDefault="00B55FB1" w:rsidP="00C56FE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cs="Tahoma"/>
                <w:b w:val="0"/>
                <w:color w:val="auto"/>
                <w:sz w:val="20"/>
                <w:szCs w:val="20"/>
              </w:rPr>
              <w:t>Neutral</w:t>
            </w:r>
          </w:p>
        </w:tc>
      </w:tr>
      <w:tr w:rsidR="00BB421B" w:rsidRPr="0068236B" w14:paraId="42011BBD" w14:textId="77777777" w:rsidTr="007531FB">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val="restart"/>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4B8951AB" w14:textId="6807AB8E" w:rsidR="00462949" w:rsidRPr="0068236B" w:rsidRDefault="00462949" w:rsidP="00C56FEA">
            <w:pPr>
              <w:spacing w:before="0" w:after="0" w:line="240" w:lineRule="auto"/>
              <w:jc w:val="left"/>
              <w:rPr>
                <w:rFonts w:cs="Tahoma"/>
                <w:color w:val="auto"/>
                <w:sz w:val="20"/>
                <w:szCs w:val="20"/>
              </w:rPr>
            </w:pPr>
            <w:r w:rsidRPr="0068236B">
              <w:rPr>
                <w:rFonts w:cs="Tahoma"/>
                <w:color w:val="auto"/>
                <w:sz w:val="20"/>
                <w:szCs w:val="20"/>
              </w:rPr>
              <w:t>Biodiversity</w:t>
            </w:r>
          </w:p>
        </w:tc>
        <w:tc>
          <w:tcPr>
            <w:tcW w:w="1247" w:type="dxa"/>
            <w:vMerge w:val="restart"/>
            <w:tcBorders>
              <w:top w:val="single" w:sz="4" w:space="0" w:color="auto"/>
              <w:left w:val="single" w:sz="4" w:space="0" w:color="auto"/>
              <w:bottom w:val="single" w:sz="4" w:space="0" w:color="auto"/>
              <w:right w:val="single" w:sz="4" w:space="0" w:color="auto"/>
            </w:tcBorders>
            <w:shd w:val="clear" w:color="auto" w:fill="auto"/>
          </w:tcPr>
          <w:p w14:paraId="6E0EF20C" w14:textId="77777777" w:rsidR="00462949" w:rsidRPr="0068236B" w:rsidRDefault="00462949" w:rsidP="00C56FEA">
            <w:pPr>
              <w:spacing w:before="0" w:after="0" w:line="240" w:lineRule="auto"/>
              <w:rPr>
                <w:rFonts w:cs="Tahoma"/>
                <w:color w:val="auto"/>
                <w:sz w:val="20"/>
                <w:szCs w:val="20"/>
              </w:rPr>
            </w:pPr>
            <w:r w:rsidRPr="0068236B">
              <w:rPr>
                <w:rFonts w:cs="Tahoma"/>
                <w:color w:val="auto"/>
                <w:sz w:val="20"/>
                <w:szCs w:val="20"/>
              </w:rPr>
              <w:t>Construction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E68A9E6" w14:textId="45FC8116" w:rsidR="00462949" w:rsidRPr="0068236B" w:rsidRDefault="00462949" w:rsidP="00BD1B0F">
            <w:pPr>
              <w:pStyle w:val="ListBullet"/>
              <w:numPr>
                <w:ilvl w:val="0"/>
                <w:numId w:val="0"/>
              </w:numPr>
              <w:spacing w:after="0" w:line="240" w:lineRule="auto"/>
              <w:jc w:val="left"/>
              <w:rPr>
                <w:rFonts w:cs="Tahoma"/>
                <w:color w:val="auto"/>
                <w:sz w:val="20"/>
                <w:szCs w:val="20"/>
              </w:rPr>
            </w:pPr>
            <w:r w:rsidRPr="0068236B">
              <w:rPr>
                <w:rFonts w:cs="Tahoma"/>
                <w:color w:val="auto"/>
                <w:sz w:val="20"/>
                <w:szCs w:val="20"/>
              </w:rPr>
              <w:t>Loss and disturbance of terrestrial habitats (</w:t>
            </w:r>
            <w:r w:rsidRPr="0068236B">
              <w:rPr>
                <w:color w:val="auto"/>
                <w:sz w:val="20"/>
              </w:rPr>
              <w:t>destruction and alteration of habitats as a result of land take requirements</w:t>
            </w:r>
            <w:r w:rsidR="00A313E5" w:rsidRPr="0068236B">
              <w:rPr>
                <w:color w:val="auto"/>
                <w:sz w:val="20"/>
              </w:rPr>
              <w:t xml:space="preserve"> </w:t>
            </w:r>
            <w:r w:rsidRPr="0068236B">
              <w:rPr>
                <w:color w:val="auto"/>
                <w:sz w:val="20"/>
              </w:rPr>
              <w:t>– due to site clearance for construction of the substation and the towers and habitat conversion at the substation site and beneath OHL conductors (creation of a clearance corridor</w:t>
            </w:r>
            <w:r w:rsidRPr="0068236B">
              <w:rPr>
                <w:rFonts w:cs="Tahoma"/>
                <w:color w:val="auto"/>
                <w:sz w:val="20"/>
                <w:szCs w:val="20"/>
              </w:rPr>
              <w:t>)</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204AB9FE" w14:textId="77777777" w:rsidR="00462949" w:rsidRPr="0068236B" w:rsidRDefault="00462949" w:rsidP="00D24CEF">
            <w:pPr>
              <w:pStyle w:val="Heading4"/>
              <w:numPr>
                <w:ilvl w:val="0"/>
                <w:numId w:val="103"/>
              </w:numPr>
              <w:tabs>
                <w:tab w:val="left" w:pos="720"/>
              </w:tabs>
              <w:spacing w:before="0" w:after="0" w:line="240" w:lineRule="auto"/>
              <w:ind w:left="196" w:hanging="196"/>
              <w:outlineLvl w:val="3"/>
              <w:rPr>
                <w:rFonts w:cs="Tahoma"/>
                <w:b w:val="0"/>
                <w:color w:val="auto"/>
                <w:sz w:val="20"/>
                <w:szCs w:val="20"/>
              </w:rPr>
            </w:pPr>
            <w:r w:rsidRPr="0068236B">
              <w:rPr>
                <w:rFonts w:cs="Tahoma"/>
                <w:b w:val="0"/>
                <w:color w:val="auto"/>
                <w:sz w:val="20"/>
                <w:szCs w:val="20"/>
              </w:rPr>
              <w:t>Minor adverse (for the Project as a whole)</w:t>
            </w:r>
          </w:p>
          <w:p w14:paraId="6DCE0C27" w14:textId="25A4D688" w:rsidR="00462949" w:rsidRPr="0068236B" w:rsidRDefault="00462949" w:rsidP="00D24CEF">
            <w:pPr>
              <w:pStyle w:val="Heading4"/>
              <w:numPr>
                <w:ilvl w:val="0"/>
                <w:numId w:val="103"/>
              </w:numPr>
              <w:tabs>
                <w:tab w:val="left" w:pos="720"/>
              </w:tabs>
              <w:spacing w:before="0" w:after="0" w:line="240" w:lineRule="auto"/>
              <w:ind w:left="196" w:hanging="196"/>
              <w:outlineLvl w:val="3"/>
              <w:rPr>
                <w:rFonts w:cs="Tahoma"/>
                <w:b w:val="0"/>
                <w:color w:val="auto"/>
                <w:sz w:val="20"/>
                <w:szCs w:val="20"/>
              </w:rPr>
            </w:pPr>
            <w:r w:rsidRPr="0068236B">
              <w:rPr>
                <w:rFonts w:cs="Tahoma"/>
                <w:b w:val="0"/>
                <w:color w:val="auto"/>
                <w:sz w:val="20"/>
                <w:szCs w:val="20"/>
              </w:rPr>
              <w:t>Moderate adverse (sensitive habitats at crossing of Va</w:t>
            </w:r>
            <w:r w:rsidRPr="0068236B">
              <w:rPr>
                <w:rFonts w:cs="Tahoma"/>
                <w:b w:val="0"/>
                <w:color w:val="auto"/>
                <w:sz w:val="20"/>
                <w:szCs w:val="20"/>
              </w:rPr>
              <w:t>r</w:t>
            </w:r>
            <w:r w:rsidRPr="0068236B">
              <w:rPr>
                <w:rFonts w:cs="Tahoma"/>
                <w:b w:val="0"/>
                <w:color w:val="auto"/>
                <w:sz w:val="20"/>
                <w:szCs w:val="20"/>
              </w:rPr>
              <w:t xml:space="preserve">dar River) </w:t>
            </w:r>
          </w:p>
        </w:tc>
        <w:tc>
          <w:tcPr>
            <w:tcW w:w="5884" w:type="dxa"/>
            <w:vMerge w:val="restart"/>
            <w:tcBorders>
              <w:top w:val="single" w:sz="4" w:space="0" w:color="auto"/>
              <w:left w:val="single" w:sz="4" w:space="0" w:color="auto"/>
              <w:bottom w:val="single" w:sz="4" w:space="0" w:color="auto"/>
              <w:right w:val="single" w:sz="4" w:space="0" w:color="auto"/>
            </w:tcBorders>
            <w:shd w:val="clear" w:color="auto" w:fill="auto"/>
          </w:tcPr>
          <w:p w14:paraId="14B52DEE" w14:textId="77777777" w:rsidR="00462949" w:rsidRPr="0068236B" w:rsidRDefault="00462949" w:rsidP="00C56FEA">
            <w:pPr>
              <w:spacing w:before="0" w:after="0" w:line="240" w:lineRule="auto"/>
              <w:rPr>
                <w:rFonts w:cs="Tahoma"/>
                <w:color w:val="auto"/>
                <w:sz w:val="20"/>
                <w:szCs w:val="20"/>
              </w:rPr>
            </w:pPr>
            <w:r w:rsidRPr="0068236B">
              <w:rPr>
                <w:rFonts w:cs="Tahoma"/>
                <w:color w:val="auto"/>
                <w:sz w:val="20"/>
                <w:szCs w:val="20"/>
              </w:rPr>
              <w:t xml:space="preserve">CESMP with associated management procedure and plans </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05AFBD62" w14:textId="77777777" w:rsidR="00462949" w:rsidRPr="0068236B" w:rsidRDefault="00462949" w:rsidP="00C56FE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eastAsia="SimSun" w:cs="Tahoma"/>
                <w:b w:val="0"/>
                <w:bCs w:val="0"/>
                <w:color w:val="auto"/>
                <w:sz w:val="20"/>
                <w:szCs w:val="20"/>
              </w:rPr>
              <w:t>Minor</w:t>
            </w:r>
          </w:p>
        </w:tc>
      </w:tr>
      <w:tr w:rsidR="00BB421B" w:rsidRPr="0068236B" w14:paraId="1C8C83FA" w14:textId="77777777" w:rsidTr="00E3062F">
        <w:trPr>
          <w:cantSplit/>
          <w:jc w:val="center"/>
        </w:trPr>
        <w:tc>
          <w:tcPr>
            <w:tcW w:w="1188" w:type="dxa"/>
            <w:vMerge/>
            <w:tcBorders>
              <w:left w:val="double" w:sz="4" w:space="0" w:color="auto"/>
            </w:tcBorders>
            <w:shd w:val="clear" w:color="auto" w:fill="BFBFBF" w:themeFill="background1" w:themeFillShade="BF"/>
          </w:tcPr>
          <w:p w14:paraId="3F91F1E9" w14:textId="77777777" w:rsidR="00462949" w:rsidRPr="0068236B" w:rsidRDefault="00462949" w:rsidP="00C56FEA">
            <w:pPr>
              <w:spacing w:before="0" w:after="0" w:line="240" w:lineRule="auto"/>
              <w:jc w:val="left"/>
              <w:rPr>
                <w:rFonts w:cs="Tahoma"/>
                <w:color w:val="auto"/>
                <w:sz w:val="20"/>
                <w:szCs w:val="20"/>
              </w:rPr>
            </w:pPr>
          </w:p>
        </w:tc>
        <w:tc>
          <w:tcPr>
            <w:tcW w:w="1247" w:type="dxa"/>
            <w:vMerge/>
            <w:shd w:val="clear" w:color="auto" w:fill="auto"/>
          </w:tcPr>
          <w:p w14:paraId="5CFA3FB9" w14:textId="77777777" w:rsidR="00462949" w:rsidRPr="0068236B" w:rsidRDefault="00462949" w:rsidP="00C56FEA">
            <w:pPr>
              <w:spacing w:before="0" w:after="0" w:line="240" w:lineRule="auto"/>
              <w:rPr>
                <w:rFonts w:cs="Tahoma"/>
                <w:color w:val="auto"/>
                <w:sz w:val="20"/>
                <w:szCs w:val="20"/>
              </w:rPr>
            </w:pPr>
          </w:p>
        </w:tc>
        <w:tc>
          <w:tcPr>
            <w:tcW w:w="4222" w:type="dxa"/>
            <w:shd w:val="clear" w:color="auto" w:fill="auto"/>
          </w:tcPr>
          <w:p w14:paraId="076B925F" w14:textId="77777777" w:rsidR="00462949" w:rsidRPr="0068236B" w:rsidRDefault="00462949" w:rsidP="00C56FEA">
            <w:pPr>
              <w:pStyle w:val="ListBullet"/>
              <w:numPr>
                <w:ilvl w:val="0"/>
                <w:numId w:val="0"/>
              </w:numPr>
              <w:spacing w:after="0" w:line="240" w:lineRule="auto"/>
              <w:jc w:val="left"/>
              <w:rPr>
                <w:rFonts w:cs="Tahoma"/>
                <w:color w:val="auto"/>
                <w:sz w:val="20"/>
                <w:szCs w:val="20"/>
              </w:rPr>
            </w:pPr>
            <w:r w:rsidRPr="0068236B">
              <w:rPr>
                <w:rFonts w:cs="Tahoma"/>
                <w:color w:val="auto"/>
                <w:sz w:val="20"/>
                <w:szCs w:val="20"/>
              </w:rPr>
              <w:t>Adverse changes in aquatic habitats</w:t>
            </w:r>
          </w:p>
        </w:tc>
        <w:tc>
          <w:tcPr>
            <w:tcW w:w="1949" w:type="dxa"/>
            <w:shd w:val="clear" w:color="auto" w:fill="auto"/>
          </w:tcPr>
          <w:p w14:paraId="44DB0B25" w14:textId="09C5A7C4" w:rsidR="00462949" w:rsidRPr="0068236B" w:rsidRDefault="00462949" w:rsidP="001A7D65">
            <w:pPr>
              <w:pStyle w:val="Heading4"/>
              <w:numPr>
                <w:ilvl w:val="0"/>
                <w:numId w:val="0"/>
              </w:numPr>
              <w:tabs>
                <w:tab w:val="left" w:pos="720"/>
              </w:tabs>
              <w:spacing w:before="0" w:after="0" w:line="240" w:lineRule="auto"/>
              <w:outlineLvl w:val="3"/>
              <w:rPr>
                <w:rFonts w:cs="Tahoma"/>
                <w:b w:val="0"/>
                <w:color w:val="auto"/>
                <w:sz w:val="20"/>
                <w:szCs w:val="20"/>
              </w:rPr>
            </w:pPr>
            <w:r w:rsidRPr="0068236B">
              <w:rPr>
                <w:rFonts w:cs="Tahoma"/>
                <w:b w:val="0"/>
                <w:color w:val="auto"/>
                <w:sz w:val="20"/>
                <w:szCs w:val="20"/>
              </w:rPr>
              <w:t>Minor to moderate adverse</w:t>
            </w:r>
          </w:p>
        </w:tc>
        <w:tc>
          <w:tcPr>
            <w:tcW w:w="5884" w:type="dxa"/>
            <w:vMerge/>
            <w:shd w:val="clear" w:color="auto" w:fill="auto"/>
          </w:tcPr>
          <w:p w14:paraId="224772F8" w14:textId="77777777" w:rsidR="00462949" w:rsidRPr="0068236B" w:rsidRDefault="00462949" w:rsidP="00C56FEA">
            <w:pPr>
              <w:spacing w:before="0" w:after="0" w:line="240" w:lineRule="auto"/>
              <w:rPr>
                <w:rFonts w:cs="Tahoma"/>
                <w:color w:val="auto"/>
                <w:sz w:val="20"/>
                <w:szCs w:val="20"/>
              </w:rPr>
            </w:pPr>
          </w:p>
        </w:tc>
        <w:tc>
          <w:tcPr>
            <w:tcW w:w="1392" w:type="dxa"/>
            <w:tcBorders>
              <w:right w:val="double" w:sz="4" w:space="0" w:color="auto"/>
            </w:tcBorders>
            <w:shd w:val="clear" w:color="auto" w:fill="auto"/>
          </w:tcPr>
          <w:p w14:paraId="2A12567B" w14:textId="753C271B" w:rsidR="00462949" w:rsidRPr="0068236B" w:rsidRDefault="00462949" w:rsidP="00C56FE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cs="Tahoma"/>
                <w:b w:val="0"/>
                <w:color w:val="auto"/>
                <w:sz w:val="20"/>
                <w:szCs w:val="20"/>
              </w:rPr>
              <w:t>Neutral</w:t>
            </w:r>
          </w:p>
        </w:tc>
      </w:tr>
      <w:tr w:rsidR="00BB421B" w:rsidRPr="0068236B" w14:paraId="4FE59903" w14:textId="77777777" w:rsidTr="007531FB">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55AFD8BF" w14:textId="77777777" w:rsidR="00462949" w:rsidRPr="0068236B" w:rsidRDefault="00462949" w:rsidP="00C56FEA">
            <w:pPr>
              <w:spacing w:before="0" w:after="0" w:line="240" w:lineRule="auto"/>
              <w:jc w:val="left"/>
              <w:rPr>
                <w:rFonts w:cs="Tahoma"/>
                <w:color w:val="auto"/>
                <w:sz w:val="20"/>
                <w:szCs w:val="20"/>
              </w:rPr>
            </w:pPr>
          </w:p>
        </w:tc>
        <w:tc>
          <w:tcPr>
            <w:tcW w:w="1247" w:type="dxa"/>
            <w:vMerge/>
            <w:tcBorders>
              <w:top w:val="single" w:sz="4" w:space="0" w:color="auto"/>
              <w:left w:val="single" w:sz="4" w:space="0" w:color="auto"/>
              <w:bottom w:val="single" w:sz="4" w:space="0" w:color="auto"/>
              <w:right w:val="single" w:sz="4" w:space="0" w:color="auto"/>
            </w:tcBorders>
            <w:shd w:val="clear" w:color="auto" w:fill="auto"/>
          </w:tcPr>
          <w:p w14:paraId="561B09CD" w14:textId="77777777" w:rsidR="00462949" w:rsidRPr="0068236B" w:rsidRDefault="00462949" w:rsidP="00C56FEA">
            <w:pPr>
              <w:spacing w:before="0" w:after="0" w:line="240" w:lineRule="auto"/>
              <w:rPr>
                <w:rFonts w:cs="Tahoma"/>
                <w:color w:val="auto"/>
                <w:sz w:val="20"/>
                <w:szCs w:val="20"/>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6653E552" w14:textId="2C00CC22" w:rsidR="00462949" w:rsidRPr="0068236B" w:rsidRDefault="00462949" w:rsidP="001A7D65">
            <w:pPr>
              <w:pStyle w:val="ListBullet"/>
              <w:numPr>
                <w:ilvl w:val="0"/>
                <w:numId w:val="0"/>
              </w:numPr>
              <w:spacing w:after="0" w:line="240" w:lineRule="auto"/>
              <w:jc w:val="left"/>
              <w:rPr>
                <w:rFonts w:cs="Tahoma"/>
                <w:color w:val="auto"/>
                <w:sz w:val="20"/>
                <w:szCs w:val="20"/>
              </w:rPr>
            </w:pPr>
            <w:r w:rsidRPr="0068236B">
              <w:rPr>
                <w:rFonts w:cs="Tahoma"/>
                <w:color w:val="auto"/>
                <w:sz w:val="20"/>
                <w:szCs w:val="20"/>
              </w:rPr>
              <w:t>Loss of terrestrial flora</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3B91718D" w14:textId="44766B18" w:rsidR="00462949" w:rsidRPr="0068236B" w:rsidRDefault="00462949" w:rsidP="00C56FEA">
            <w:pPr>
              <w:pStyle w:val="Heading4"/>
              <w:numPr>
                <w:ilvl w:val="0"/>
                <w:numId w:val="0"/>
              </w:numPr>
              <w:tabs>
                <w:tab w:val="left" w:pos="720"/>
              </w:tabs>
              <w:spacing w:before="0" w:after="0" w:line="240" w:lineRule="auto"/>
              <w:outlineLvl w:val="3"/>
              <w:rPr>
                <w:rFonts w:cs="Tahoma"/>
                <w:b w:val="0"/>
                <w:color w:val="auto"/>
                <w:sz w:val="20"/>
                <w:szCs w:val="20"/>
              </w:rPr>
            </w:pPr>
            <w:r w:rsidRPr="0068236B">
              <w:rPr>
                <w:rFonts w:cs="Tahoma"/>
                <w:b w:val="0"/>
                <w:color w:val="auto"/>
                <w:sz w:val="20"/>
                <w:szCs w:val="20"/>
              </w:rPr>
              <w:t>Negligible</w:t>
            </w:r>
          </w:p>
        </w:tc>
        <w:tc>
          <w:tcPr>
            <w:tcW w:w="5884" w:type="dxa"/>
            <w:vMerge/>
            <w:tcBorders>
              <w:top w:val="single" w:sz="4" w:space="0" w:color="auto"/>
              <w:left w:val="single" w:sz="4" w:space="0" w:color="auto"/>
              <w:bottom w:val="single" w:sz="4" w:space="0" w:color="auto"/>
              <w:right w:val="single" w:sz="4" w:space="0" w:color="auto"/>
            </w:tcBorders>
            <w:shd w:val="clear" w:color="auto" w:fill="auto"/>
          </w:tcPr>
          <w:p w14:paraId="55BE043D" w14:textId="77777777" w:rsidR="00462949" w:rsidRPr="0068236B" w:rsidRDefault="00462949" w:rsidP="00C56FEA">
            <w:pPr>
              <w:spacing w:before="0" w:after="0" w:line="240" w:lineRule="auto"/>
              <w:rPr>
                <w:rFonts w:cs="Tahoma"/>
                <w:color w:val="auto"/>
                <w:sz w:val="20"/>
                <w:szCs w:val="20"/>
              </w:rPr>
            </w:pP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75B58614" w14:textId="77777777" w:rsidR="00462949" w:rsidRPr="0068236B" w:rsidRDefault="00462949" w:rsidP="00C56FEA">
            <w:pPr>
              <w:pStyle w:val="Heading4"/>
              <w:numPr>
                <w:ilvl w:val="0"/>
                <w:numId w:val="0"/>
              </w:numPr>
              <w:tabs>
                <w:tab w:val="left" w:pos="720"/>
              </w:tabs>
              <w:spacing w:before="0" w:after="0" w:line="240" w:lineRule="auto"/>
              <w:outlineLvl w:val="3"/>
              <w:rPr>
                <w:rFonts w:cs="Tahoma"/>
                <w:b w:val="0"/>
                <w:color w:val="auto"/>
                <w:sz w:val="20"/>
                <w:szCs w:val="20"/>
              </w:rPr>
            </w:pPr>
            <w:r w:rsidRPr="0068236B">
              <w:rPr>
                <w:rFonts w:cs="Tahoma"/>
                <w:b w:val="0"/>
                <w:color w:val="auto"/>
                <w:sz w:val="20"/>
                <w:szCs w:val="20"/>
              </w:rPr>
              <w:t>Neutral</w:t>
            </w:r>
          </w:p>
        </w:tc>
      </w:tr>
      <w:tr w:rsidR="00BB421B" w:rsidRPr="0068236B" w14:paraId="26C1888E" w14:textId="77777777" w:rsidTr="00E3062F">
        <w:trPr>
          <w:cantSplit/>
          <w:jc w:val="center"/>
        </w:trPr>
        <w:tc>
          <w:tcPr>
            <w:tcW w:w="1188" w:type="dxa"/>
            <w:vMerge/>
            <w:tcBorders>
              <w:left w:val="double" w:sz="4" w:space="0" w:color="auto"/>
            </w:tcBorders>
            <w:shd w:val="clear" w:color="auto" w:fill="BFBFBF" w:themeFill="background1" w:themeFillShade="BF"/>
          </w:tcPr>
          <w:p w14:paraId="362BE9B9" w14:textId="77777777" w:rsidR="00462949" w:rsidRPr="0068236B" w:rsidRDefault="00462949" w:rsidP="00C56FEA">
            <w:pPr>
              <w:spacing w:before="0" w:after="0" w:line="240" w:lineRule="auto"/>
              <w:jc w:val="left"/>
              <w:rPr>
                <w:rFonts w:cs="Tahoma"/>
                <w:color w:val="auto"/>
                <w:sz w:val="20"/>
                <w:szCs w:val="20"/>
              </w:rPr>
            </w:pPr>
          </w:p>
        </w:tc>
        <w:tc>
          <w:tcPr>
            <w:tcW w:w="1247" w:type="dxa"/>
            <w:vMerge/>
            <w:shd w:val="clear" w:color="auto" w:fill="auto"/>
          </w:tcPr>
          <w:p w14:paraId="4DB22BAF" w14:textId="77777777" w:rsidR="00462949" w:rsidRPr="0068236B" w:rsidRDefault="00462949" w:rsidP="00C56FEA">
            <w:pPr>
              <w:spacing w:before="0" w:after="0" w:line="240" w:lineRule="auto"/>
              <w:rPr>
                <w:rFonts w:cs="Tahoma"/>
                <w:color w:val="auto"/>
                <w:sz w:val="20"/>
                <w:szCs w:val="20"/>
              </w:rPr>
            </w:pPr>
          </w:p>
        </w:tc>
        <w:tc>
          <w:tcPr>
            <w:tcW w:w="4222" w:type="dxa"/>
            <w:shd w:val="clear" w:color="auto" w:fill="auto"/>
          </w:tcPr>
          <w:p w14:paraId="4742AB5F" w14:textId="77777777" w:rsidR="00462949" w:rsidRPr="0068236B" w:rsidRDefault="00462949" w:rsidP="00C56FEA">
            <w:pPr>
              <w:pStyle w:val="ListBullet"/>
              <w:numPr>
                <w:ilvl w:val="0"/>
                <w:numId w:val="0"/>
              </w:numPr>
              <w:spacing w:after="0" w:line="240" w:lineRule="auto"/>
              <w:jc w:val="left"/>
              <w:rPr>
                <w:rFonts w:cs="Tahoma"/>
                <w:color w:val="auto"/>
                <w:sz w:val="20"/>
                <w:szCs w:val="20"/>
              </w:rPr>
            </w:pPr>
            <w:r w:rsidRPr="0068236B">
              <w:rPr>
                <w:rFonts w:cs="Tahoma"/>
                <w:color w:val="auto"/>
                <w:sz w:val="20"/>
                <w:szCs w:val="20"/>
              </w:rPr>
              <w:t>Disturbance of species due to construction (breeding, foraging, roosting)</w:t>
            </w:r>
          </w:p>
        </w:tc>
        <w:tc>
          <w:tcPr>
            <w:tcW w:w="1949" w:type="dxa"/>
            <w:shd w:val="clear" w:color="auto" w:fill="auto"/>
          </w:tcPr>
          <w:p w14:paraId="63B52A56" w14:textId="77777777" w:rsidR="00462949" w:rsidRPr="0068236B" w:rsidRDefault="00462949" w:rsidP="00C56FEA">
            <w:pPr>
              <w:pStyle w:val="Heading4"/>
              <w:numPr>
                <w:ilvl w:val="0"/>
                <w:numId w:val="0"/>
              </w:numPr>
              <w:tabs>
                <w:tab w:val="left" w:pos="720"/>
              </w:tabs>
              <w:spacing w:before="0" w:after="0" w:line="240" w:lineRule="auto"/>
              <w:outlineLvl w:val="3"/>
              <w:rPr>
                <w:rFonts w:cs="Tahoma"/>
                <w:b w:val="0"/>
                <w:color w:val="auto"/>
                <w:sz w:val="20"/>
                <w:szCs w:val="20"/>
              </w:rPr>
            </w:pPr>
            <w:r w:rsidRPr="0068236B">
              <w:rPr>
                <w:rFonts w:cs="Tahoma"/>
                <w:b w:val="0"/>
                <w:color w:val="auto"/>
                <w:sz w:val="20"/>
                <w:szCs w:val="20"/>
              </w:rPr>
              <w:t>Minor adverse</w:t>
            </w:r>
          </w:p>
        </w:tc>
        <w:tc>
          <w:tcPr>
            <w:tcW w:w="5884" w:type="dxa"/>
            <w:vMerge/>
            <w:shd w:val="clear" w:color="auto" w:fill="auto"/>
          </w:tcPr>
          <w:p w14:paraId="38260261" w14:textId="77777777" w:rsidR="00462949" w:rsidRPr="0068236B" w:rsidRDefault="00462949" w:rsidP="00C56FEA">
            <w:pPr>
              <w:spacing w:before="0" w:after="0" w:line="240" w:lineRule="auto"/>
              <w:rPr>
                <w:rFonts w:cs="Tahoma"/>
                <w:color w:val="auto"/>
                <w:sz w:val="20"/>
                <w:szCs w:val="20"/>
              </w:rPr>
            </w:pPr>
          </w:p>
        </w:tc>
        <w:tc>
          <w:tcPr>
            <w:tcW w:w="1392" w:type="dxa"/>
            <w:tcBorders>
              <w:right w:val="double" w:sz="4" w:space="0" w:color="auto"/>
            </w:tcBorders>
            <w:shd w:val="clear" w:color="auto" w:fill="auto"/>
          </w:tcPr>
          <w:p w14:paraId="2536149D" w14:textId="77777777" w:rsidR="00462949" w:rsidRPr="0068236B" w:rsidRDefault="00462949" w:rsidP="00C56FEA">
            <w:pPr>
              <w:pStyle w:val="Heading4"/>
              <w:numPr>
                <w:ilvl w:val="0"/>
                <w:numId w:val="0"/>
              </w:numPr>
              <w:tabs>
                <w:tab w:val="left" w:pos="720"/>
              </w:tabs>
              <w:spacing w:before="0" w:after="0" w:line="240" w:lineRule="auto"/>
              <w:outlineLvl w:val="3"/>
              <w:rPr>
                <w:rFonts w:cs="Tahoma"/>
                <w:b w:val="0"/>
                <w:color w:val="auto"/>
                <w:sz w:val="20"/>
                <w:szCs w:val="20"/>
              </w:rPr>
            </w:pPr>
            <w:r w:rsidRPr="0068236B">
              <w:rPr>
                <w:rFonts w:cs="Tahoma"/>
                <w:b w:val="0"/>
                <w:color w:val="auto"/>
                <w:sz w:val="20"/>
                <w:szCs w:val="20"/>
              </w:rPr>
              <w:t>Neutral</w:t>
            </w:r>
          </w:p>
        </w:tc>
      </w:tr>
      <w:tr w:rsidR="00BB421B" w:rsidRPr="0068236B" w14:paraId="448E7EEC" w14:textId="77777777" w:rsidTr="007531FB">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69A067EE" w14:textId="77777777" w:rsidR="00462949" w:rsidRPr="0068236B" w:rsidRDefault="00462949" w:rsidP="00C56FEA">
            <w:pPr>
              <w:spacing w:before="0" w:after="0" w:line="240" w:lineRule="auto"/>
              <w:jc w:val="left"/>
              <w:rPr>
                <w:rFonts w:cs="Tahoma"/>
                <w:color w:val="auto"/>
                <w:sz w:val="20"/>
                <w:szCs w:val="20"/>
              </w:rPr>
            </w:pPr>
          </w:p>
        </w:tc>
        <w:tc>
          <w:tcPr>
            <w:tcW w:w="1247" w:type="dxa"/>
            <w:vMerge/>
            <w:tcBorders>
              <w:top w:val="single" w:sz="4" w:space="0" w:color="auto"/>
              <w:left w:val="single" w:sz="4" w:space="0" w:color="auto"/>
              <w:bottom w:val="single" w:sz="4" w:space="0" w:color="auto"/>
              <w:right w:val="single" w:sz="4" w:space="0" w:color="auto"/>
            </w:tcBorders>
            <w:shd w:val="clear" w:color="auto" w:fill="auto"/>
          </w:tcPr>
          <w:p w14:paraId="49C00614" w14:textId="77777777" w:rsidR="00462949" w:rsidRPr="0068236B" w:rsidRDefault="00462949" w:rsidP="00C56FEA">
            <w:pPr>
              <w:spacing w:before="0" w:after="0" w:line="240" w:lineRule="auto"/>
              <w:rPr>
                <w:rFonts w:cs="Tahoma"/>
                <w:color w:val="auto"/>
                <w:sz w:val="20"/>
                <w:szCs w:val="20"/>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66B60754" w14:textId="77777777" w:rsidR="00462949" w:rsidRPr="0068236B" w:rsidRDefault="00462949" w:rsidP="00C56FEA">
            <w:pPr>
              <w:pStyle w:val="ListBullet"/>
              <w:numPr>
                <w:ilvl w:val="0"/>
                <w:numId w:val="0"/>
              </w:numPr>
              <w:spacing w:after="0" w:line="240" w:lineRule="auto"/>
              <w:jc w:val="left"/>
              <w:rPr>
                <w:rFonts w:cs="Tahoma"/>
                <w:color w:val="auto"/>
                <w:sz w:val="20"/>
                <w:szCs w:val="20"/>
              </w:rPr>
            </w:pPr>
            <w:r w:rsidRPr="0068236B">
              <w:rPr>
                <w:rFonts w:cs="Tahoma"/>
                <w:color w:val="auto"/>
                <w:sz w:val="20"/>
                <w:szCs w:val="20"/>
              </w:rPr>
              <w:t>Introduction of alien species</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70440817" w14:textId="62A41351" w:rsidR="00462949" w:rsidRPr="0068236B" w:rsidRDefault="00462949" w:rsidP="00C56FEA">
            <w:pPr>
              <w:pStyle w:val="Heading4"/>
              <w:numPr>
                <w:ilvl w:val="0"/>
                <w:numId w:val="0"/>
              </w:numPr>
              <w:tabs>
                <w:tab w:val="left" w:pos="720"/>
              </w:tabs>
              <w:spacing w:before="0" w:after="0" w:line="240" w:lineRule="auto"/>
              <w:outlineLvl w:val="3"/>
              <w:rPr>
                <w:rFonts w:cs="Tahoma"/>
                <w:b w:val="0"/>
                <w:color w:val="auto"/>
                <w:sz w:val="20"/>
                <w:szCs w:val="20"/>
              </w:rPr>
            </w:pPr>
            <w:r w:rsidRPr="0068236B">
              <w:rPr>
                <w:rFonts w:cs="Tahoma"/>
                <w:b w:val="0"/>
                <w:color w:val="auto"/>
                <w:sz w:val="20"/>
                <w:szCs w:val="20"/>
              </w:rPr>
              <w:t>Negligible</w:t>
            </w:r>
          </w:p>
        </w:tc>
        <w:tc>
          <w:tcPr>
            <w:tcW w:w="5884" w:type="dxa"/>
            <w:vMerge/>
            <w:tcBorders>
              <w:top w:val="single" w:sz="4" w:space="0" w:color="auto"/>
              <w:left w:val="single" w:sz="4" w:space="0" w:color="auto"/>
              <w:bottom w:val="single" w:sz="4" w:space="0" w:color="auto"/>
              <w:right w:val="single" w:sz="4" w:space="0" w:color="auto"/>
            </w:tcBorders>
            <w:shd w:val="clear" w:color="auto" w:fill="auto"/>
          </w:tcPr>
          <w:p w14:paraId="7CF74DBE" w14:textId="77777777" w:rsidR="00462949" w:rsidRPr="0068236B" w:rsidRDefault="00462949" w:rsidP="00C56FEA">
            <w:pPr>
              <w:spacing w:before="0" w:after="0" w:line="240" w:lineRule="auto"/>
              <w:rPr>
                <w:rFonts w:cs="Tahoma"/>
                <w:color w:val="auto"/>
                <w:sz w:val="20"/>
                <w:szCs w:val="20"/>
              </w:rPr>
            </w:pP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366E67BD" w14:textId="5D43883B" w:rsidR="00462949" w:rsidRPr="0068236B" w:rsidRDefault="00462949" w:rsidP="00C56FEA">
            <w:pPr>
              <w:pStyle w:val="Heading4"/>
              <w:numPr>
                <w:ilvl w:val="0"/>
                <w:numId w:val="0"/>
              </w:numPr>
              <w:tabs>
                <w:tab w:val="left" w:pos="720"/>
              </w:tabs>
              <w:spacing w:before="0" w:after="0" w:line="240" w:lineRule="auto"/>
              <w:outlineLvl w:val="3"/>
              <w:rPr>
                <w:rFonts w:cs="Tahoma"/>
                <w:b w:val="0"/>
                <w:color w:val="auto"/>
                <w:sz w:val="20"/>
                <w:szCs w:val="20"/>
              </w:rPr>
            </w:pPr>
            <w:r w:rsidRPr="0068236B">
              <w:rPr>
                <w:rFonts w:cs="Tahoma"/>
                <w:b w:val="0"/>
                <w:color w:val="auto"/>
                <w:sz w:val="20"/>
                <w:szCs w:val="20"/>
              </w:rPr>
              <w:t>Neutral</w:t>
            </w:r>
          </w:p>
        </w:tc>
      </w:tr>
      <w:tr w:rsidR="00BB421B" w:rsidRPr="0068236B" w14:paraId="06B87BC1" w14:textId="77777777" w:rsidTr="00E3062F">
        <w:trPr>
          <w:cantSplit/>
          <w:jc w:val="center"/>
        </w:trPr>
        <w:tc>
          <w:tcPr>
            <w:tcW w:w="1188" w:type="dxa"/>
            <w:vMerge/>
            <w:tcBorders>
              <w:left w:val="double" w:sz="4" w:space="0" w:color="auto"/>
            </w:tcBorders>
            <w:shd w:val="clear" w:color="auto" w:fill="BFBFBF" w:themeFill="background1" w:themeFillShade="BF"/>
          </w:tcPr>
          <w:p w14:paraId="4603F8C2" w14:textId="77777777" w:rsidR="00462949" w:rsidRPr="0068236B" w:rsidRDefault="00462949" w:rsidP="00C56FEA">
            <w:pPr>
              <w:spacing w:before="0" w:after="0" w:line="240" w:lineRule="auto"/>
              <w:jc w:val="left"/>
              <w:rPr>
                <w:rFonts w:cs="Tahoma"/>
                <w:color w:val="auto"/>
                <w:sz w:val="20"/>
                <w:szCs w:val="20"/>
              </w:rPr>
            </w:pPr>
          </w:p>
        </w:tc>
        <w:tc>
          <w:tcPr>
            <w:tcW w:w="1247" w:type="dxa"/>
            <w:vMerge/>
            <w:shd w:val="clear" w:color="auto" w:fill="auto"/>
          </w:tcPr>
          <w:p w14:paraId="216AFD33" w14:textId="77777777" w:rsidR="00462949" w:rsidRPr="0068236B" w:rsidRDefault="00462949" w:rsidP="00C56FEA">
            <w:pPr>
              <w:spacing w:before="0" w:after="0" w:line="240" w:lineRule="auto"/>
              <w:rPr>
                <w:rFonts w:cs="Tahoma"/>
                <w:color w:val="auto"/>
                <w:sz w:val="20"/>
                <w:szCs w:val="20"/>
              </w:rPr>
            </w:pPr>
          </w:p>
        </w:tc>
        <w:tc>
          <w:tcPr>
            <w:tcW w:w="4222" w:type="dxa"/>
            <w:shd w:val="clear" w:color="auto" w:fill="auto"/>
          </w:tcPr>
          <w:p w14:paraId="20805563" w14:textId="00516C76" w:rsidR="00462949" w:rsidRPr="0068236B" w:rsidRDefault="00462949" w:rsidP="001A7D65">
            <w:pPr>
              <w:pStyle w:val="ListBullet"/>
              <w:numPr>
                <w:ilvl w:val="0"/>
                <w:numId w:val="0"/>
              </w:numPr>
              <w:spacing w:after="0" w:line="240" w:lineRule="auto"/>
              <w:jc w:val="left"/>
              <w:rPr>
                <w:rFonts w:cs="Tahoma"/>
                <w:color w:val="auto"/>
                <w:sz w:val="20"/>
                <w:szCs w:val="20"/>
              </w:rPr>
            </w:pPr>
            <w:r w:rsidRPr="0068236B">
              <w:rPr>
                <w:rFonts w:cs="Tahoma"/>
                <w:color w:val="auto"/>
                <w:sz w:val="20"/>
                <w:szCs w:val="20"/>
              </w:rPr>
              <w:t>Key Biodiversity Features (</w:t>
            </w:r>
            <w:r w:rsidRPr="0068236B">
              <w:rPr>
                <w:rFonts w:cs="Tahoma"/>
                <w:color w:val="auto"/>
                <w:sz w:val="20"/>
              </w:rPr>
              <w:t>Critical Habitat and Priority Biodiversity Features)</w:t>
            </w:r>
          </w:p>
        </w:tc>
        <w:tc>
          <w:tcPr>
            <w:tcW w:w="1949" w:type="dxa"/>
            <w:shd w:val="clear" w:color="auto" w:fill="auto"/>
          </w:tcPr>
          <w:p w14:paraId="765871DB" w14:textId="1CDD89D6" w:rsidR="00462949" w:rsidRPr="0068236B" w:rsidRDefault="00462949" w:rsidP="00C56FEA">
            <w:pPr>
              <w:pStyle w:val="Heading4"/>
              <w:numPr>
                <w:ilvl w:val="0"/>
                <w:numId w:val="0"/>
              </w:numPr>
              <w:tabs>
                <w:tab w:val="left" w:pos="720"/>
              </w:tabs>
              <w:spacing w:before="0" w:after="0" w:line="240" w:lineRule="auto"/>
              <w:outlineLvl w:val="3"/>
              <w:rPr>
                <w:rFonts w:cs="Tahoma"/>
                <w:b w:val="0"/>
                <w:color w:val="auto"/>
                <w:sz w:val="20"/>
                <w:szCs w:val="20"/>
              </w:rPr>
            </w:pPr>
            <w:r w:rsidRPr="0068236B">
              <w:rPr>
                <w:rFonts w:cs="Tahoma"/>
                <w:b w:val="0"/>
                <w:color w:val="auto"/>
                <w:sz w:val="20"/>
                <w:szCs w:val="20"/>
              </w:rPr>
              <w:t>Negligible</w:t>
            </w:r>
            <w:r w:rsidR="00742D24" w:rsidRPr="0068236B">
              <w:rPr>
                <w:rFonts w:cs="Tahoma"/>
                <w:b w:val="0"/>
                <w:color w:val="auto"/>
                <w:sz w:val="20"/>
                <w:szCs w:val="20"/>
              </w:rPr>
              <w:t xml:space="preserve"> to minor</w:t>
            </w:r>
          </w:p>
        </w:tc>
        <w:tc>
          <w:tcPr>
            <w:tcW w:w="5884" w:type="dxa"/>
            <w:vMerge/>
            <w:shd w:val="clear" w:color="auto" w:fill="auto"/>
          </w:tcPr>
          <w:p w14:paraId="3A14D5EC" w14:textId="77777777" w:rsidR="00462949" w:rsidRPr="0068236B" w:rsidRDefault="00462949" w:rsidP="00C56FEA">
            <w:pPr>
              <w:spacing w:before="0" w:after="0" w:line="240" w:lineRule="auto"/>
              <w:rPr>
                <w:rFonts w:cs="Tahoma"/>
                <w:color w:val="auto"/>
                <w:sz w:val="20"/>
                <w:szCs w:val="20"/>
              </w:rPr>
            </w:pPr>
          </w:p>
        </w:tc>
        <w:tc>
          <w:tcPr>
            <w:tcW w:w="1392" w:type="dxa"/>
            <w:tcBorders>
              <w:right w:val="double" w:sz="4" w:space="0" w:color="auto"/>
            </w:tcBorders>
            <w:shd w:val="clear" w:color="auto" w:fill="auto"/>
          </w:tcPr>
          <w:p w14:paraId="4C5F7FD9" w14:textId="5CBBB799" w:rsidR="00462949" w:rsidRPr="0068236B" w:rsidRDefault="00742D24" w:rsidP="00C56FEA">
            <w:pPr>
              <w:pStyle w:val="Heading4"/>
              <w:numPr>
                <w:ilvl w:val="0"/>
                <w:numId w:val="0"/>
              </w:numPr>
              <w:tabs>
                <w:tab w:val="left" w:pos="720"/>
              </w:tabs>
              <w:spacing w:before="0" w:after="0" w:line="240" w:lineRule="auto"/>
              <w:outlineLvl w:val="3"/>
              <w:rPr>
                <w:rFonts w:cs="Tahoma"/>
                <w:b w:val="0"/>
                <w:color w:val="auto"/>
                <w:sz w:val="20"/>
                <w:szCs w:val="20"/>
              </w:rPr>
            </w:pPr>
            <w:r w:rsidRPr="0068236B">
              <w:rPr>
                <w:rFonts w:cs="Tahoma"/>
                <w:b w:val="0"/>
                <w:color w:val="auto"/>
                <w:sz w:val="20"/>
                <w:szCs w:val="20"/>
              </w:rPr>
              <w:t>Minor</w:t>
            </w:r>
          </w:p>
        </w:tc>
      </w:tr>
      <w:tr w:rsidR="00BB421B" w:rsidRPr="0068236B" w14:paraId="0294523F" w14:textId="77777777" w:rsidTr="007531FB">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29A80598" w14:textId="77777777" w:rsidR="00B55FB1" w:rsidRPr="0068236B" w:rsidRDefault="00B55FB1" w:rsidP="00C56FEA">
            <w:pPr>
              <w:spacing w:before="0" w:after="0" w:line="240" w:lineRule="auto"/>
              <w:jc w:val="left"/>
              <w:rPr>
                <w:rFonts w:cs="Tahoma"/>
                <w:color w:val="auto"/>
                <w:sz w:val="20"/>
                <w:szCs w:val="20"/>
              </w:rPr>
            </w:pPr>
          </w:p>
        </w:tc>
        <w:tc>
          <w:tcPr>
            <w:tcW w:w="1247" w:type="dxa"/>
            <w:vMerge/>
            <w:tcBorders>
              <w:top w:val="single" w:sz="4" w:space="0" w:color="auto"/>
              <w:left w:val="single" w:sz="4" w:space="0" w:color="auto"/>
              <w:bottom w:val="single" w:sz="4" w:space="0" w:color="auto"/>
              <w:right w:val="single" w:sz="4" w:space="0" w:color="auto"/>
            </w:tcBorders>
            <w:shd w:val="clear" w:color="auto" w:fill="auto"/>
          </w:tcPr>
          <w:p w14:paraId="2DEB543D" w14:textId="77777777" w:rsidR="00B55FB1" w:rsidRPr="0068236B" w:rsidRDefault="00B55FB1" w:rsidP="00C56FEA">
            <w:pPr>
              <w:spacing w:before="0" w:after="0" w:line="240" w:lineRule="auto"/>
              <w:rPr>
                <w:rFonts w:cs="Tahoma"/>
                <w:color w:val="auto"/>
                <w:sz w:val="20"/>
                <w:szCs w:val="20"/>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C04A6B9" w14:textId="77777777" w:rsidR="00B55FB1" w:rsidRPr="0068236B" w:rsidRDefault="00B55FB1" w:rsidP="00C56FEA">
            <w:pPr>
              <w:pStyle w:val="ListBullet"/>
              <w:numPr>
                <w:ilvl w:val="0"/>
                <w:numId w:val="0"/>
              </w:numPr>
              <w:spacing w:after="0" w:line="240" w:lineRule="auto"/>
              <w:jc w:val="left"/>
              <w:rPr>
                <w:rFonts w:cs="Tahoma"/>
                <w:color w:val="auto"/>
                <w:sz w:val="20"/>
                <w:szCs w:val="20"/>
              </w:rPr>
            </w:pPr>
            <w:r w:rsidRPr="0068236B">
              <w:rPr>
                <w:rFonts w:cs="Tahoma"/>
                <w:color w:val="auto"/>
                <w:sz w:val="20"/>
                <w:szCs w:val="20"/>
              </w:rPr>
              <w:t>Designated Areas (</w:t>
            </w:r>
            <w:r w:rsidR="00C56FEA" w:rsidRPr="0068236B">
              <w:rPr>
                <w:rFonts w:cs="Tahoma"/>
                <w:color w:val="auto"/>
                <w:sz w:val="20"/>
                <w:szCs w:val="20"/>
              </w:rPr>
              <w:t>legally protected areas and/or internationally recognised areas)</w:t>
            </w:r>
          </w:p>
          <w:p w14:paraId="380B6E98" w14:textId="0B4F29A6" w:rsidR="00C56FEA" w:rsidRPr="0068236B" w:rsidRDefault="00C56FEA" w:rsidP="00C56FEA">
            <w:pPr>
              <w:pStyle w:val="ListBullet"/>
              <w:numPr>
                <w:ilvl w:val="0"/>
                <w:numId w:val="0"/>
              </w:numPr>
              <w:spacing w:after="0" w:line="240" w:lineRule="auto"/>
              <w:jc w:val="left"/>
              <w:rPr>
                <w:rFonts w:cs="Tahoma"/>
                <w:color w:val="auto"/>
                <w:sz w:val="20"/>
                <w:szCs w:val="20"/>
              </w:rPr>
            </w:pPr>
            <w:r w:rsidRPr="0068236B">
              <w:rPr>
                <w:rFonts w:cs="Tahoma"/>
                <w:color w:val="auto"/>
                <w:sz w:val="20"/>
                <w:szCs w:val="20"/>
              </w:rPr>
              <w:t>Note: The</w:t>
            </w:r>
            <w:r w:rsidR="00F47F14" w:rsidRPr="0068236B">
              <w:rPr>
                <w:rFonts w:cs="Tahoma"/>
                <w:color w:val="auto"/>
                <w:sz w:val="20"/>
                <w:szCs w:val="20"/>
              </w:rPr>
              <w:t xml:space="preserve">re is no interaction </w:t>
            </w:r>
            <w:r w:rsidRPr="0068236B">
              <w:rPr>
                <w:rFonts w:cs="Tahoma"/>
                <w:color w:val="auto"/>
                <w:sz w:val="20"/>
                <w:szCs w:val="20"/>
              </w:rPr>
              <w:t>between the Project and any designated area</w:t>
            </w:r>
            <w:r w:rsidR="00F47F14" w:rsidRPr="0068236B">
              <w:rPr>
                <w:rFonts w:cs="Tahoma"/>
                <w:color w:val="auto"/>
                <w:sz w:val="20"/>
                <w:szCs w:val="20"/>
              </w:rPr>
              <w:t>.</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299E8D2B" w14:textId="41E5354C" w:rsidR="00B55FB1" w:rsidRPr="0068236B" w:rsidRDefault="00C56FEA" w:rsidP="00C56FEA">
            <w:pPr>
              <w:pStyle w:val="Heading4"/>
              <w:numPr>
                <w:ilvl w:val="0"/>
                <w:numId w:val="0"/>
              </w:numPr>
              <w:tabs>
                <w:tab w:val="left" w:pos="720"/>
              </w:tabs>
              <w:spacing w:before="0" w:after="0" w:line="240" w:lineRule="auto"/>
              <w:outlineLvl w:val="3"/>
              <w:rPr>
                <w:rFonts w:cs="Tahoma"/>
                <w:b w:val="0"/>
                <w:color w:val="auto"/>
                <w:sz w:val="20"/>
                <w:szCs w:val="20"/>
              </w:rPr>
            </w:pPr>
            <w:r w:rsidRPr="0068236B">
              <w:rPr>
                <w:rFonts w:cs="Tahoma"/>
                <w:b w:val="0"/>
                <w:color w:val="auto"/>
                <w:sz w:val="20"/>
                <w:szCs w:val="20"/>
              </w:rPr>
              <w:t>None</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0E4D8C22" w14:textId="2085FB77" w:rsidR="00B55FB1" w:rsidRPr="0068236B" w:rsidRDefault="00C56FEA" w:rsidP="00C56FEA">
            <w:pPr>
              <w:pStyle w:val="ListParagraph"/>
              <w:spacing w:before="0" w:after="0" w:line="240" w:lineRule="auto"/>
              <w:ind w:left="142"/>
              <w:contextualSpacing w:val="0"/>
              <w:jc w:val="left"/>
              <w:rPr>
                <w:rFonts w:cs="Tahoma"/>
                <w:color w:val="auto"/>
                <w:sz w:val="20"/>
                <w:szCs w:val="20"/>
              </w:rPr>
            </w:pPr>
            <w:r w:rsidRPr="0068236B">
              <w:rPr>
                <w:rFonts w:cs="Tahoma"/>
                <w:color w:val="auto"/>
                <w:sz w:val="20"/>
                <w:szCs w:val="20"/>
                <w:lang w:eastAsia="en-US"/>
              </w:rPr>
              <w:t>Not applicable</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50059E3C" w14:textId="77777777" w:rsidR="00B55FB1" w:rsidRPr="0068236B" w:rsidRDefault="00B55FB1" w:rsidP="00C56FEA">
            <w:pPr>
              <w:pStyle w:val="Heading4"/>
              <w:numPr>
                <w:ilvl w:val="0"/>
                <w:numId w:val="0"/>
              </w:numPr>
              <w:tabs>
                <w:tab w:val="left" w:pos="720"/>
              </w:tabs>
              <w:spacing w:before="0" w:after="0" w:line="240" w:lineRule="auto"/>
              <w:outlineLvl w:val="3"/>
              <w:rPr>
                <w:rFonts w:cs="Tahoma"/>
                <w:b w:val="0"/>
                <w:color w:val="auto"/>
                <w:sz w:val="20"/>
                <w:szCs w:val="20"/>
              </w:rPr>
            </w:pPr>
            <w:r w:rsidRPr="0068236B">
              <w:rPr>
                <w:rFonts w:cs="Tahoma"/>
                <w:b w:val="0"/>
                <w:color w:val="auto"/>
                <w:sz w:val="20"/>
                <w:szCs w:val="20"/>
              </w:rPr>
              <w:t>Neutral</w:t>
            </w:r>
          </w:p>
        </w:tc>
      </w:tr>
      <w:tr w:rsidR="00BB421B" w:rsidRPr="0068236B" w14:paraId="56F03151" w14:textId="77777777" w:rsidTr="00E3062F">
        <w:trPr>
          <w:cantSplit/>
          <w:trHeight w:val="496"/>
          <w:jc w:val="center"/>
        </w:trPr>
        <w:tc>
          <w:tcPr>
            <w:tcW w:w="1188" w:type="dxa"/>
            <w:vMerge/>
            <w:tcBorders>
              <w:left w:val="double" w:sz="4" w:space="0" w:color="auto"/>
            </w:tcBorders>
            <w:shd w:val="clear" w:color="auto" w:fill="BFBFBF" w:themeFill="background1" w:themeFillShade="BF"/>
          </w:tcPr>
          <w:p w14:paraId="0F23E453" w14:textId="77777777" w:rsidR="00B55FB1" w:rsidRPr="0068236B" w:rsidRDefault="00B55FB1" w:rsidP="00C56FEA">
            <w:pPr>
              <w:spacing w:before="0" w:after="0" w:line="240" w:lineRule="auto"/>
              <w:jc w:val="left"/>
              <w:rPr>
                <w:rFonts w:cs="Tahoma"/>
                <w:color w:val="auto"/>
                <w:sz w:val="20"/>
                <w:szCs w:val="20"/>
              </w:rPr>
            </w:pPr>
          </w:p>
        </w:tc>
        <w:tc>
          <w:tcPr>
            <w:tcW w:w="1247" w:type="dxa"/>
            <w:vMerge w:val="restart"/>
            <w:shd w:val="clear" w:color="auto" w:fill="auto"/>
          </w:tcPr>
          <w:p w14:paraId="6EFB08C9"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Operation</w:t>
            </w:r>
          </w:p>
        </w:tc>
        <w:tc>
          <w:tcPr>
            <w:tcW w:w="4222" w:type="dxa"/>
            <w:shd w:val="clear" w:color="auto" w:fill="auto"/>
          </w:tcPr>
          <w:p w14:paraId="2F8D068C" w14:textId="04FB267E" w:rsidR="00B55FB1" w:rsidRPr="0068236B" w:rsidRDefault="00B55FB1" w:rsidP="00F47F14">
            <w:pPr>
              <w:spacing w:before="0" w:after="0" w:line="240" w:lineRule="auto"/>
              <w:jc w:val="left"/>
              <w:rPr>
                <w:rFonts w:cs="Tahoma"/>
                <w:color w:val="auto"/>
                <w:sz w:val="20"/>
                <w:szCs w:val="20"/>
              </w:rPr>
            </w:pPr>
            <w:r w:rsidRPr="0068236B">
              <w:rPr>
                <w:rFonts w:cs="Tahoma"/>
                <w:color w:val="auto"/>
                <w:sz w:val="20"/>
                <w:szCs w:val="20"/>
              </w:rPr>
              <w:t xml:space="preserve">Conversion of habitats (maintenance of </w:t>
            </w:r>
            <w:r w:rsidR="00F47F14" w:rsidRPr="0068236B">
              <w:rPr>
                <w:rFonts w:cs="Tahoma"/>
                <w:color w:val="auto"/>
                <w:sz w:val="20"/>
                <w:szCs w:val="20"/>
              </w:rPr>
              <w:t xml:space="preserve">the </w:t>
            </w:r>
            <w:r w:rsidRPr="0068236B">
              <w:rPr>
                <w:rFonts w:cs="Tahoma"/>
                <w:color w:val="auto"/>
                <w:sz w:val="20"/>
                <w:szCs w:val="20"/>
              </w:rPr>
              <w:t>clearance corridor)</w:t>
            </w:r>
          </w:p>
        </w:tc>
        <w:tc>
          <w:tcPr>
            <w:tcW w:w="1949" w:type="dxa"/>
            <w:shd w:val="clear" w:color="auto" w:fill="auto"/>
          </w:tcPr>
          <w:p w14:paraId="504108B1" w14:textId="287F5262" w:rsidR="00B55FB1" w:rsidRPr="0068236B" w:rsidRDefault="001A7D65" w:rsidP="00742D24">
            <w:pPr>
              <w:pStyle w:val="Heading4"/>
              <w:numPr>
                <w:ilvl w:val="0"/>
                <w:numId w:val="0"/>
              </w:numPr>
              <w:tabs>
                <w:tab w:val="left" w:pos="720"/>
              </w:tabs>
              <w:spacing w:before="0" w:after="0" w:line="240" w:lineRule="auto"/>
              <w:outlineLvl w:val="3"/>
              <w:rPr>
                <w:rFonts w:cs="Tahoma"/>
                <w:b w:val="0"/>
                <w:color w:val="auto"/>
                <w:sz w:val="20"/>
                <w:szCs w:val="20"/>
              </w:rPr>
            </w:pPr>
            <w:r w:rsidRPr="0068236B">
              <w:rPr>
                <w:rFonts w:cs="Tahoma"/>
                <w:b w:val="0"/>
                <w:color w:val="auto"/>
                <w:sz w:val="20"/>
                <w:szCs w:val="20"/>
              </w:rPr>
              <w:t>Negligible</w:t>
            </w:r>
            <w:r w:rsidR="00742D24" w:rsidRPr="0068236B">
              <w:rPr>
                <w:rFonts w:cs="Tahoma"/>
                <w:b w:val="0"/>
                <w:color w:val="auto"/>
                <w:sz w:val="20"/>
                <w:szCs w:val="20"/>
              </w:rPr>
              <w:t xml:space="preserve"> </w:t>
            </w:r>
          </w:p>
        </w:tc>
        <w:tc>
          <w:tcPr>
            <w:tcW w:w="5884" w:type="dxa"/>
            <w:shd w:val="clear" w:color="auto" w:fill="auto"/>
          </w:tcPr>
          <w:p w14:paraId="69F7545A" w14:textId="77777777" w:rsidR="00B55FB1" w:rsidRPr="0068236B" w:rsidRDefault="00B55FB1" w:rsidP="00C56FEA">
            <w:pPr>
              <w:pStyle w:val="FootnoteText"/>
              <w:spacing w:line="240" w:lineRule="auto"/>
              <w:rPr>
                <w:rFonts w:ascii="Tahoma" w:eastAsia="SimSun" w:hAnsi="Tahoma" w:cs="Tahoma"/>
                <w:bCs/>
                <w:color w:val="auto"/>
                <w:sz w:val="20"/>
              </w:rPr>
            </w:pPr>
            <w:r w:rsidRPr="0068236B">
              <w:rPr>
                <w:rFonts w:ascii="Tahoma" w:hAnsi="Tahoma" w:cs="Tahoma"/>
                <w:color w:val="auto"/>
                <w:sz w:val="20"/>
              </w:rPr>
              <w:t>Good operational and maintenance practice</w:t>
            </w:r>
          </w:p>
        </w:tc>
        <w:tc>
          <w:tcPr>
            <w:tcW w:w="1392" w:type="dxa"/>
            <w:tcBorders>
              <w:right w:val="double" w:sz="4" w:space="0" w:color="auto"/>
            </w:tcBorders>
            <w:shd w:val="clear" w:color="auto" w:fill="auto"/>
          </w:tcPr>
          <w:p w14:paraId="506BE9AB" w14:textId="1C9173A0" w:rsidR="00B55FB1" w:rsidRPr="0068236B" w:rsidRDefault="001A7D65" w:rsidP="00C56FEA">
            <w:pPr>
              <w:spacing w:before="0" w:after="0" w:line="240" w:lineRule="auto"/>
              <w:rPr>
                <w:rFonts w:cs="Tahoma"/>
                <w:color w:val="auto"/>
                <w:sz w:val="20"/>
                <w:szCs w:val="20"/>
              </w:rPr>
            </w:pPr>
            <w:r w:rsidRPr="0068236B">
              <w:rPr>
                <w:rFonts w:cs="Tahoma"/>
                <w:color w:val="auto"/>
                <w:sz w:val="20"/>
                <w:szCs w:val="20"/>
              </w:rPr>
              <w:t>Neutral</w:t>
            </w:r>
          </w:p>
        </w:tc>
      </w:tr>
      <w:tr w:rsidR="00BB421B" w:rsidRPr="0068236B" w14:paraId="49BEED5D" w14:textId="77777777" w:rsidTr="007531FB">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57A0D55A" w14:textId="77777777" w:rsidR="00B55FB1" w:rsidRPr="0068236B" w:rsidRDefault="00B55FB1" w:rsidP="00C56FEA">
            <w:pPr>
              <w:spacing w:before="0" w:after="0" w:line="240" w:lineRule="auto"/>
              <w:jc w:val="left"/>
              <w:rPr>
                <w:rFonts w:cs="Tahoma"/>
                <w:color w:val="auto"/>
                <w:sz w:val="20"/>
                <w:szCs w:val="20"/>
              </w:rPr>
            </w:pPr>
          </w:p>
        </w:tc>
        <w:tc>
          <w:tcPr>
            <w:tcW w:w="1247" w:type="dxa"/>
            <w:vMerge/>
            <w:tcBorders>
              <w:top w:val="single" w:sz="4" w:space="0" w:color="auto"/>
              <w:left w:val="single" w:sz="4" w:space="0" w:color="auto"/>
              <w:bottom w:val="single" w:sz="4" w:space="0" w:color="auto"/>
              <w:right w:val="single" w:sz="4" w:space="0" w:color="auto"/>
            </w:tcBorders>
            <w:shd w:val="clear" w:color="auto" w:fill="auto"/>
          </w:tcPr>
          <w:p w14:paraId="5025D13C" w14:textId="77777777" w:rsidR="00B55FB1" w:rsidRPr="0068236B" w:rsidRDefault="00B55FB1" w:rsidP="00C56FEA">
            <w:pPr>
              <w:spacing w:before="0" w:after="0" w:line="240" w:lineRule="auto"/>
              <w:rPr>
                <w:rFonts w:cs="Tahoma"/>
                <w:color w:val="auto"/>
                <w:sz w:val="20"/>
                <w:szCs w:val="20"/>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5D8C815" w14:textId="77777777" w:rsidR="00B55FB1" w:rsidRPr="0068236B" w:rsidRDefault="00B55FB1" w:rsidP="00C56FEA">
            <w:pPr>
              <w:spacing w:before="0" w:after="0" w:line="240" w:lineRule="auto"/>
              <w:jc w:val="left"/>
              <w:rPr>
                <w:rFonts w:cs="Tahoma"/>
                <w:color w:val="auto"/>
                <w:sz w:val="20"/>
                <w:szCs w:val="20"/>
              </w:rPr>
            </w:pPr>
            <w:r w:rsidRPr="0068236B">
              <w:rPr>
                <w:rFonts w:cs="Tahoma"/>
                <w:color w:val="auto"/>
                <w:sz w:val="20"/>
                <w:szCs w:val="20"/>
              </w:rPr>
              <w:t>Fauna: potential impact to avian fauna (coll</w:t>
            </w:r>
            <w:r w:rsidRPr="0068236B">
              <w:rPr>
                <w:rFonts w:cs="Tahoma"/>
                <w:color w:val="auto"/>
                <w:sz w:val="20"/>
                <w:szCs w:val="20"/>
              </w:rPr>
              <w:t>i</w:t>
            </w:r>
            <w:r w:rsidRPr="0068236B">
              <w:rPr>
                <w:rFonts w:cs="Tahoma"/>
                <w:color w:val="auto"/>
                <w:sz w:val="20"/>
                <w:szCs w:val="20"/>
              </w:rPr>
              <w:t>sion risk and electrocution of birds)</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7880ACEF" w14:textId="087B81F7" w:rsidR="00B55FB1" w:rsidRPr="0068236B" w:rsidRDefault="00B55FB1" w:rsidP="00D24CEF">
            <w:pPr>
              <w:pStyle w:val="Heading4"/>
              <w:numPr>
                <w:ilvl w:val="0"/>
                <w:numId w:val="103"/>
              </w:numPr>
              <w:tabs>
                <w:tab w:val="left" w:pos="107"/>
              </w:tabs>
              <w:spacing w:before="0" w:after="0" w:line="240" w:lineRule="auto"/>
              <w:ind w:left="108" w:hanging="108"/>
              <w:outlineLvl w:val="3"/>
              <w:rPr>
                <w:rFonts w:cs="Tahoma"/>
                <w:b w:val="0"/>
                <w:color w:val="auto"/>
                <w:sz w:val="20"/>
                <w:szCs w:val="20"/>
              </w:rPr>
            </w:pPr>
            <w:r w:rsidRPr="0068236B">
              <w:rPr>
                <w:rFonts w:cs="Tahoma"/>
                <w:b w:val="0"/>
                <w:color w:val="auto"/>
                <w:sz w:val="20"/>
                <w:szCs w:val="20"/>
              </w:rPr>
              <w:t>Collision risk: M</w:t>
            </w:r>
            <w:r w:rsidR="001A7D65" w:rsidRPr="0068236B">
              <w:rPr>
                <w:rFonts w:cs="Tahoma"/>
                <w:b w:val="0"/>
                <w:color w:val="auto"/>
                <w:sz w:val="20"/>
                <w:szCs w:val="20"/>
              </w:rPr>
              <w:t xml:space="preserve">inor </w:t>
            </w:r>
          </w:p>
          <w:p w14:paraId="7B774ED2" w14:textId="77777777" w:rsidR="00B55FB1" w:rsidRPr="0068236B" w:rsidRDefault="00B55FB1" w:rsidP="00D24CEF">
            <w:pPr>
              <w:pStyle w:val="ListParagraph"/>
              <w:numPr>
                <w:ilvl w:val="0"/>
                <w:numId w:val="103"/>
              </w:numPr>
              <w:tabs>
                <w:tab w:val="left" w:pos="107"/>
              </w:tabs>
              <w:spacing w:before="0" w:after="0" w:line="240" w:lineRule="auto"/>
              <w:ind w:left="108" w:hanging="108"/>
              <w:contextualSpacing w:val="0"/>
              <w:jc w:val="left"/>
              <w:rPr>
                <w:rFonts w:cs="Tahoma"/>
                <w:color w:val="auto"/>
                <w:sz w:val="20"/>
                <w:szCs w:val="20"/>
              </w:rPr>
            </w:pPr>
            <w:r w:rsidRPr="0068236B">
              <w:rPr>
                <w:rFonts w:cs="Tahoma"/>
                <w:color w:val="auto"/>
                <w:sz w:val="20"/>
                <w:szCs w:val="20"/>
              </w:rPr>
              <w:t>Electrocution: Ne</w:t>
            </w:r>
            <w:r w:rsidRPr="0068236B">
              <w:rPr>
                <w:rFonts w:cs="Tahoma"/>
                <w:color w:val="auto"/>
                <w:sz w:val="20"/>
                <w:szCs w:val="20"/>
              </w:rPr>
              <w:t>g</w:t>
            </w:r>
            <w:r w:rsidRPr="0068236B">
              <w:rPr>
                <w:rFonts w:cs="Tahoma"/>
                <w:color w:val="auto"/>
                <w:sz w:val="20"/>
                <w:szCs w:val="20"/>
              </w:rPr>
              <w:t>ligible</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2F6A42A5" w14:textId="4D0429AD" w:rsidR="001A7D65" w:rsidRPr="0068236B" w:rsidRDefault="00B55FB1" w:rsidP="00D24CEF">
            <w:pPr>
              <w:pStyle w:val="ListParagraph"/>
              <w:numPr>
                <w:ilvl w:val="0"/>
                <w:numId w:val="111"/>
              </w:numPr>
              <w:tabs>
                <w:tab w:val="left" w:pos="215"/>
              </w:tabs>
              <w:spacing w:before="0" w:after="0" w:line="240" w:lineRule="auto"/>
              <w:ind w:left="215" w:hanging="215"/>
              <w:jc w:val="left"/>
              <w:rPr>
                <w:rFonts w:eastAsia="Calibri" w:cs="Arial"/>
                <w:color w:val="auto"/>
                <w:sz w:val="20"/>
              </w:rPr>
            </w:pPr>
            <w:r w:rsidRPr="0068236B">
              <w:rPr>
                <w:rFonts w:cs="Tahoma"/>
                <w:color w:val="auto"/>
                <w:sz w:val="20"/>
                <w:szCs w:val="20"/>
              </w:rPr>
              <w:t>Design-based measures would need to be incorporated into the further project design stages</w:t>
            </w:r>
            <w:r w:rsidR="001A7D65" w:rsidRPr="0068236B">
              <w:rPr>
                <w:rFonts w:cs="Tahoma"/>
                <w:color w:val="auto"/>
                <w:sz w:val="20"/>
                <w:szCs w:val="20"/>
              </w:rPr>
              <w:t xml:space="preserve"> (e.g.</w:t>
            </w:r>
            <w:r w:rsidRPr="0068236B">
              <w:rPr>
                <w:rFonts w:cs="Tahoma"/>
                <w:color w:val="auto"/>
                <w:sz w:val="20"/>
                <w:szCs w:val="20"/>
              </w:rPr>
              <w:t xml:space="preserve"> </w:t>
            </w:r>
            <w:r w:rsidR="00B96DFD" w:rsidRPr="0068236B">
              <w:rPr>
                <w:color w:val="auto"/>
                <w:sz w:val="20"/>
              </w:rPr>
              <w:t>installation</w:t>
            </w:r>
            <w:r w:rsidR="001A7D65" w:rsidRPr="0068236B">
              <w:rPr>
                <w:color w:val="auto"/>
                <w:sz w:val="20"/>
              </w:rPr>
              <w:t xml:space="preserve"> of bird (flight) diverters to the earth wire of the transmission line </w:t>
            </w:r>
            <w:r w:rsidR="001A7D65" w:rsidRPr="0068236B">
              <w:rPr>
                <w:rFonts w:eastAsia="Calibri" w:cs="Arial"/>
                <w:color w:val="auto"/>
                <w:sz w:val="20"/>
              </w:rPr>
              <w:t>at the cros</w:t>
            </w:r>
            <w:r w:rsidR="001A7D65" w:rsidRPr="0068236B">
              <w:rPr>
                <w:rFonts w:eastAsia="Calibri" w:cs="Arial"/>
                <w:color w:val="auto"/>
                <w:sz w:val="20"/>
              </w:rPr>
              <w:t>s</w:t>
            </w:r>
            <w:r w:rsidR="001A7D65" w:rsidRPr="0068236B">
              <w:rPr>
                <w:rFonts w:eastAsia="Calibri" w:cs="Arial"/>
                <w:color w:val="auto"/>
                <w:sz w:val="20"/>
              </w:rPr>
              <w:t>ing over the Vardar River</w:t>
            </w:r>
            <w:r w:rsidR="00E770AF" w:rsidRPr="0068236B">
              <w:rPr>
                <w:rFonts w:eastAsia="Calibri" w:cs="Arial"/>
                <w:color w:val="auto"/>
                <w:sz w:val="20"/>
              </w:rPr>
              <w:t xml:space="preserve">, </w:t>
            </w:r>
            <w:r w:rsidR="00E770AF" w:rsidRPr="0068236B">
              <w:rPr>
                <w:rFonts w:eastAsia="Calibri" w:cs="Tahoma"/>
                <w:color w:val="auto"/>
                <w:sz w:val="20"/>
                <w:szCs w:val="20"/>
              </w:rPr>
              <w:t xml:space="preserve">use of </w:t>
            </w:r>
            <w:r w:rsidR="00E770AF" w:rsidRPr="0068236B">
              <w:rPr>
                <w:color w:val="auto"/>
                <w:sz w:val="20"/>
                <w:szCs w:val="20"/>
              </w:rPr>
              <w:t xml:space="preserve">insulator chains to ensure </w:t>
            </w:r>
            <w:r w:rsidR="00E770AF" w:rsidRPr="0068236B">
              <w:rPr>
                <w:color w:val="auto"/>
                <w:sz w:val="20"/>
                <w:szCs w:val="20"/>
                <w:lang w:val="en-US"/>
              </w:rPr>
              <w:t>that the bird electrocution hazard is prevented</w:t>
            </w:r>
            <w:r w:rsidR="00E770AF" w:rsidRPr="0068236B">
              <w:rPr>
                <w:color w:val="auto"/>
                <w:sz w:val="20"/>
                <w:szCs w:val="20"/>
              </w:rPr>
              <w:t>, which comply with the international energy standards</w:t>
            </w:r>
            <w:r w:rsidR="00E770AF" w:rsidRPr="0068236B">
              <w:rPr>
                <w:rStyle w:val="FootnoteReference"/>
                <w:color w:val="auto"/>
                <w:sz w:val="20"/>
                <w:szCs w:val="20"/>
              </w:rPr>
              <w:footnoteReference w:id="26"/>
            </w:r>
            <w:r w:rsidR="001A7D65" w:rsidRPr="0068236B">
              <w:rPr>
                <w:rFonts w:eastAsia="Calibri" w:cs="Arial"/>
                <w:color w:val="auto"/>
                <w:sz w:val="20"/>
              </w:rPr>
              <w:t>).</w:t>
            </w:r>
          </w:p>
          <w:p w14:paraId="4C33FFB1" w14:textId="18244BE4" w:rsidR="00B55FB1" w:rsidRPr="0068236B" w:rsidRDefault="001A7D65" w:rsidP="00D24CEF">
            <w:pPr>
              <w:pStyle w:val="ListParagraph"/>
              <w:numPr>
                <w:ilvl w:val="0"/>
                <w:numId w:val="111"/>
              </w:numPr>
              <w:tabs>
                <w:tab w:val="left" w:pos="215"/>
              </w:tabs>
              <w:spacing w:before="0" w:after="0" w:line="240" w:lineRule="auto"/>
              <w:ind w:left="215" w:hanging="215"/>
              <w:jc w:val="left"/>
              <w:rPr>
                <w:rFonts w:eastAsia="Calibri" w:cs="Arial"/>
                <w:color w:val="auto"/>
                <w:sz w:val="20"/>
                <w:szCs w:val="22"/>
              </w:rPr>
            </w:pPr>
            <w:r w:rsidRPr="0068236B">
              <w:rPr>
                <w:rFonts w:eastAsia="Calibri"/>
                <w:color w:val="auto"/>
                <w:sz w:val="20"/>
              </w:rPr>
              <w:t>A post construction monitoring programme to assess eventual bird mortality due to collision is to be designed and implemen</w:t>
            </w:r>
            <w:r w:rsidRPr="0068236B">
              <w:rPr>
                <w:rFonts w:eastAsia="Calibri"/>
                <w:color w:val="auto"/>
                <w:sz w:val="20"/>
              </w:rPr>
              <w:t>t</w:t>
            </w:r>
            <w:r w:rsidRPr="0068236B">
              <w:rPr>
                <w:rFonts w:eastAsia="Calibri"/>
                <w:color w:val="auto"/>
                <w:sz w:val="20"/>
              </w:rPr>
              <w:t>ed at the Vardar River crossing section during first three years of the Project implementation.</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01E5035E" w14:textId="43673C64" w:rsidR="00B55FB1" w:rsidRPr="0068236B" w:rsidRDefault="001A7D65" w:rsidP="00C56FEA">
            <w:pPr>
              <w:pStyle w:val="Heading4"/>
              <w:numPr>
                <w:ilvl w:val="0"/>
                <w:numId w:val="0"/>
              </w:numPr>
              <w:tabs>
                <w:tab w:val="left" w:pos="720"/>
              </w:tabs>
              <w:spacing w:before="0" w:after="0" w:line="240" w:lineRule="auto"/>
              <w:outlineLvl w:val="3"/>
              <w:rPr>
                <w:rFonts w:cs="Tahoma"/>
                <w:b w:val="0"/>
                <w:color w:val="auto"/>
                <w:sz w:val="20"/>
                <w:szCs w:val="20"/>
              </w:rPr>
            </w:pPr>
            <w:r w:rsidRPr="0068236B">
              <w:rPr>
                <w:rFonts w:cs="Tahoma"/>
                <w:b w:val="0"/>
                <w:color w:val="auto"/>
                <w:sz w:val="20"/>
                <w:szCs w:val="20"/>
              </w:rPr>
              <w:t>Neutral to minor</w:t>
            </w:r>
          </w:p>
        </w:tc>
      </w:tr>
      <w:tr w:rsidR="00BB421B" w:rsidRPr="0068236B" w14:paraId="68F50BBC" w14:textId="77777777" w:rsidTr="00E3062F">
        <w:trPr>
          <w:cantSplit/>
          <w:jc w:val="center"/>
        </w:trPr>
        <w:tc>
          <w:tcPr>
            <w:tcW w:w="1188" w:type="dxa"/>
            <w:vMerge w:val="restart"/>
            <w:tcBorders>
              <w:left w:val="double" w:sz="4" w:space="0" w:color="auto"/>
            </w:tcBorders>
            <w:shd w:val="clear" w:color="auto" w:fill="BFBFBF" w:themeFill="background1" w:themeFillShade="BF"/>
          </w:tcPr>
          <w:p w14:paraId="3CA4D5D0" w14:textId="77777777" w:rsidR="00B55FB1" w:rsidRPr="0068236B" w:rsidRDefault="00B55FB1" w:rsidP="00C56FEA">
            <w:pPr>
              <w:spacing w:before="0" w:after="0" w:line="240" w:lineRule="auto"/>
              <w:jc w:val="left"/>
              <w:rPr>
                <w:rFonts w:cs="Tahoma"/>
                <w:color w:val="auto"/>
                <w:sz w:val="20"/>
                <w:szCs w:val="20"/>
              </w:rPr>
            </w:pPr>
            <w:r w:rsidRPr="0068236B">
              <w:rPr>
                <w:rFonts w:cs="Tahoma"/>
                <w:color w:val="auto"/>
                <w:sz w:val="20"/>
                <w:szCs w:val="20"/>
              </w:rPr>
              <w:t>Landscape and Visual</w:t>
            </w:r>
          </w:p>
        </w:tc>
        <w:tc>
          <w:tcPr>
            <w:tcW w:w="1247" w:type="dxa"/>
            <w:shd w:val="clear" w:color="auto" w:fill="auto"/>
          </w:tcPr>
          <w:p w14:paraId="1AAB72EB"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Construction</w:t>
            </w:r>
          </w:p>
        </w:tc>
        <w:tc>
          <w:tcPr>
            <w:tcW w:w="4222" w:type="dxa"/>
            <w:shd w:val="clear" w:color="auto" w:fill="auto"/>
          </w:tcPr>
          <w:p w14:paraId="3E64597E" w14:textId="16D75670" w:rsidR="00B55FB1" w:rsidRPr="0068236B" w:rsidRDefault="00B55FB1" w:rsidP="00C56FEA">
            <w:pPr>
              <w:spacing w:before="0" w:after="0" w:line="240" w:lineRule="auto"/>
              <w:jc w:val="left"/>
              <w:rPr>
                <w:rFonts w:cs="Tahoma"/>
                <w:color w:val="auto"/>
                <w:sz w:val="20"/>
                <w:szCs w:val="20"/>
              </w:rPr>
            </w:pPr>
            <w:r w:rsidRPr="0068236B">
              <w:rPr>
                <w:rFonts w:cs="Tahoma"/>
                <w:color w:val="auto"/>
                <w:sz w:val="20"/>
                <w:szCs w:val="20"/>
              </w:rPr>
              <w:t>Visual impacts - direct temporary physical and visual change to the landscape</w:t>
            </w:r>
            <w:r w:rsidR="00831165" w:rsidRPr="0068236B">
              <w:rPr>
                <w:rFonts w:cs="Tahoma"/>
                <w:color w:val="auto"/>
                <w:sz w:val="20"/>
                <w:szCs w:val="20"/>
              </w:rPr>
              <w:t xml:space="preserve"> of negligible significance and, therefore, s</w:t>
            </w:r>
            <w:r w:rsidR="00831165" w:rsidRPr="0068236B">
              <w:rPr>
                <w:rFonts w:eastAsia="Calibri" w:cs="Tahoma"/>
                <w:color w:val="auto"/>
                <w:sz w:val="20"/>
                <w:szCs w:val="20"/>
              </w:rPr>
              <w:t>coped out from the assessment</w:t>
            </w:r>
            <w:r w:rsidR="00831165" w:rsidRPr="0068236B">
              <w:rPr>
                <w:rStyle w:val="FootnoteReference"/>
                <w:rFonts w:cs="Tahoma"/>
                <w:color w:val="auto"/>
                <w:sz w:val="20"/>
                <w:szCs w:val="20"/>
              </w:rPr>
              <w:footnoteReference w:id="27"/>
            </w:r>
            <w:r w:rsidR="00831165" w:rsidRPr="0068236B">
              <w:rPr>
                <w:rFonts w:eastAsia="Calibri" w:cs="Tahoma"/>
                <w:color w:val="auto"/>
                <w:sz w:val="20"/>
                <w:szCs w:val="20"/>
              </w:rPr>
              <w:t>.</w:t>
            </w:r>
          </w:p>
        </w:tc>
        <w:tc>
          <w:tcPr>
            <w:tcW w:w="1949" w:type="dxa"/>
            <w:shd w:val="clear" w:color="auto" w:fill="auto"/>
          </w:tcPr>
          <w:p w14:paraId="2ACA127D" w14:textId="636F5400" w:rsidR="00B55FB1" w:rsidRPr="0068236B" w:rsidRDefault="00831165" w:rsidP="00C56FEA">
            <w:pPr>
              <w:pStyle w:val="Heading4"/>
              <w:numPr>
                <w:ilvl w:val="0"/>
                <w:numId w:val="0"/>
              </w:numPr>
              <w:tabs>
                <w:tab w:val="left" w:pos="720"/>
              </w:tabs>
              <w:spacing w:before="0" w:after="0" w:line="240" w:lineRule="auto"/>
              <w:outlineLvl w:val="3"/>
              <w:rPr>
                <w:rFonts w:cs="Tahoma"/>
                <w:b w:val="0"/>
                <w:color w:val="auto"/>
                <w:sz w:val="20"/>
                <w:szCs w:val="20"/>
              </w:rPr>
            </w:pPr>
            <w:r w:rsidRPr="0068236B">
              <w:rPr>
                <w:rFonts w:cs="Tahoma"/>
                <w:b w:val="0"/>
                <w:color w:val="auto"/>
                <w:sz w:val="20"/>
                <w:szCs w:val="20"/>
              </w:rPr>
              <w:t>None to minor a</w:t>
            </w:r>
            <w:r w:rsidRPr="0068236B">
              <w:rPr>
                <w:rFonts w:cs="Tahoma"/>
                <w:b w:val="0"/>
                <w:color w:val="auto"/>
                <w:sz w:val="20"/>
                <w:szCs w:val="20"/>
              </w:rPr>
              <w:t>d</w:t>
            </w:r>
            <w:r w:rsidRPr="0068236B">
              <w:rPr>
                <w:rFonts w:cs="Tahoma"/>
                <w:b w:val="0"/>
                <w:color w:val="auto"/>
                <w:sz w:val="20"/>
                <w:szCs w:val="20"/>
              </w:rPr>
              <w:t>verse</w:t>
            </w:r>
          </w:p>
        </w:tc>
        <w:tc>
          <w:tcPr>
            <w:tcW w:w="5884" w:type="dxa"/>
            <w:shd w:val="clear" w:color="auto" w:fill="auto"/>
          </w:tcPr>
          <w:p w14:paraId="2534057A"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 xml:space="preserve">CESMP with associated management procedure and plans </w:t>
            </w:r>
          </w:p>
        </w:tc>
        <w:tc>
          <w:tcPr>
            <w:tcW w:w="1392" w:type="dxa"/>
            <w:tcBorders>
              <w:right w:val="double" w:sz="4" w:space="0" w:color="auto"/>
            </w:tcBorders>
            <w:shd w:val="clear" w:color="auto" w:fill="auto"/>
          </w:tcPr>
          <w:p w14:paraId="57C2D869" w14:textId="77777777" w:rsidR="00B55FB1" w:rsidRPr="0068236B" w:rsidRDefault="00B55FB1" w:rsidP="00C56FEA">
            <w:pPr>
              <w:pStyle w:val="Heading4"/>
              <w:keepNext w:val="0"/>
              <w:numPr>
                <w:ilvl w:val="0"/>
                <w:numId w:val="0"/>
              </w:numPr>
              <w:spacing w:before="0" w:after="0" w:line="240" w:lineRule="auto"/>
              <w:outlineLvl w:val="3"/>
              <w:rPr>
                <w:rFonts w:cs="Tahoma"/>
                <w:b w:val="0"/>
                <w:color w:val="auto"/>
                <w:sz w:val="20"/>
                <w:szCs w:val="20"/>
              </w:rPr>
            </w:pPr>
            <w:r w:rsidRPr="0068236B">
              <w:rPr>
                <w:rFonts w:cs="Tahoma"/>
                <w:b w:val="0"/>
                <w:color w:val="auto"/>
                <w:sz w:val="20"/>
                <w:szCs w:val="20"/>
              </w:rPr>
              <w:t>Neutral</w:t>
            </w:r>
          </w:p>
        </w:tc>
      </w:tr>
      <w:tr w:rsidR="00BB421B" w:rsidRPr="0068236B" w14:paraId="5B6C3C5A" w14:textId="77777777" w:rsidTr="007531FB">
        <w:trPr>
          <w:cnfStyle w:val="000000100000" w:firstRow="0" w:lastRow="0" w:firstColumn="0" w:lastColumn="0" w:oddVBand="0" w:evenVBand="0" w:oddHBand="1" w:evenHBand="0" w:firstRowFirstColumn="0" w:firstRowLastColumn="0" w:lastRowFirstColumn="0" w:lastRowLastColumn="0"/>
          <w:cantSplit/>
          <w:trHeight w:val="1214"/>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1BD0121A" w14:textId="77777777" w:rsidR="00B55FB1" w:rsidRPr="0068236B" w:rsidRDefault="00B55FB1" w:rsidP="00C56FEA">
            <w:pPr>
              <w:spacing w:before="0" w:after="0" w:line="240" w:lineRule="auto"/>
              <w:jc w:val="left"/>
              <w:rPr>
                <w:rFonts w:cs="Tahoma"/>
                <w:color w:val="auto"/>
                <w:sz w:val="20"/>
                <w:szCs w:val="20"/>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8532B04"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Operation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9A5FB70" w14:textId="222F2867" w:rsidR="00831165" w:rsidRPr="0068236B" w:rsidRDefault="00B55FB1" w:rsidP="00C56FEA">
            <w:pPr>
              <w:spacing w:before="0" w:after="0" w:line="240" w:lineRule="auto"/>
              <w:jc w:val="left"/>
              <w:rPr>
                <w:rFonts w:cs="Tahoma"/>
                <w:color w:val="auto"/>
                <w:sz w:val="20"/>
                <w:szCs w:val="20"/>
              </w:rPr>
            </w:pPr>
            <w:r w:rsidRPr="0068236B">
              <w:rPr>
                <w:rFonts w:cs="Tahoma"/>
                <w:color w:val="auto"/>
                <w:sz w:val="20"/>
                <w:szCs w:val="20"/>
              </w:rPr>
              <w:t xml:space="preserve">Visual impacts – exposure of the </w:t>
            </w:r>
            <w:r w:rsidR="00831165" w:rsidRPr="0068236B">
              <w:rPr>
                <w:rFonts w:cs="Tahoma"/>
                <w:color w:val="auto"/>
                <w:sz w:val="20"/>
                <w:szCs w:val="20"/>
              </w:rPr>
              <w:t xml:space="preserve">particular </w:t>
            </w:r>
            <w:r w:rsidRPr="0068236B">
              <w:rPr>
                <w:rFonts w:cs="Tahoma"/>
                <w:color w:val="auto"/>
                <w:sz w:val="20"/>
                <w:szCs w:val="20"/>
              </w:rPr>
              <w:t xml:space="preserve">Project </w:t>
            </w:r>
            <w:r w:rsidR="00831165" w:rsidRPr="0068236B">
              <w:rPr>
                <w:rFonts w:cs="Tahoma"/>
                <w:color w:val="auto"/>
                <w:sz w:val="20"/>
                <w:szCs w:val="20"/>
              </w:rPr>
              <w:t xml:space="preserve">elements (i.e. the new substation and connectors) </w:t>
            </w:r>
            <w:r w:rsidRPr="0068236B">
              <w:rPr>
                <w:rFonts w:cs="Tahoma"/>
                <w:color w:val="auto"/>
                <w:sz w:val="20"/>
                <w:szCs w:val="20"/>
              </w:rPr>
              <w:t>as new structure</w:t>
            </w:r>
            <w:r w:rsidR="00831165" w:rsidRPr="0068236B">
              <w:rPr>
                <w:rFonts w:cs="Tahoma"/>
                <w:color w:val="auto"/>
                <w:sz w:val="20"/>
                <w:szCs w:val="20"/>
              </w:rPr>
              <w:t xml:space="preserve">s </w:t>
            </w:r>
            <w:r w:rsidRPr="0068236B">
              <w:rPr>
                <w:rFonts w:cs="Tahoma"/>
                <w:color w:val="auto"/>
                <w:sz w:val="20"/>
                <w:szCs w:val="20"/>
              </w:rPr>
              <w:t>to the lan</w:t>
            </w:r>
            <w:r w:rsidRPr="0068236B">
              <w:rPr>
                <w:rFonts w:cs="Tahoma"/>
                <w:color w:val="auto"/>
                <w:sz w:val="20"/>
                <w:szCs w:val="20"/>
              </w:rPr>
              <w:t>d</w:t>
            </w:r>
            <w:r w:rsidRPr="0068236B">
              <w:rPr>
                <w:rFonts w:cs="Tahoma"/>
                <w:color w:val="auto"/>
                <w:sz w:val="20"/>
                <w:szCs w:val="20"/>
              </w:rPr>
              <w:t>scape</w:t>
            </w:r>
            <w:r w:rsidR="00831165" w:rsidRPr="0068236B">
              <w:rPr>
                <w:rFonts w:cs="Tahoma"/>
                <w:color w:val="auto"/>
                <w:sz w:val="20"/>
                <w:szCs w:val="20"/>
              </w:rPr>
              <w:t xml:space="preserve"> </w:t>
            </w:r>
            <w:r w:rsidR="00831165" w:rsidRPr="0068236B">
              <w:rPr>
                <w:rFonts w:cs="Tahoma"/>
                <w:color w:val="auto"/>
                <w:sz w:val="20"/>
                <w:szCs w:val="20"/>
                <w:lang w:eastAsia="en-US"/>
              </w:rPr>
              <w:t xml:space="preserve">- </w:t>
            </w:r>
            <w:r w:rsidR="00831165" w:rsidRPr="0068236B">
              <w:rPr>
                <w:rFonts w:cs="Tahoma"/>
                <w:color w:val="auto"/>
                <w:sz w:val="20"/>
                <w:szCs w:val="20"/>
              </w:rPr>
              <w:t>not anticipated as significant and, therefore, s</w:t>
            </w:r>
            <w:r w:rsidR="00831165" w:rsidRPr="0068236B">
              <w:rPr>
                <w:rFonts w:eastAsia="Calibri" w:cs="Tahoma"/>
                <w:color w:val="auto"/>
                <w:sz w:val="20"/>
                <w:szCs w:val="20"/>
              </w:rPr>
              <w:t>coped out from the assessment</w:t>
            </w:r>
            <w:r w:rsidR="00831165" w:rsidRPr="0068236B">
              <w:rPr>
                <w:rStyle w:val="FootnoteReference"/>
                <w:rFonts w:cs="Tahoma"/>
                <w:color w:val="auto"/>
                <w:sz w:val="20"/>
                <w:szCs w:val="20"/>
              </w:rPr>
              <w:footnoteReference w:id="28"/>
            </w:r>
            <w:r w:rsidR="00831165" w:rsidRPr="0068236B">
              <w:rPr>
                <w:rFonts w:eastAsia="Calibri" w:cs="Tahoma"/>
                <w:color w:val="auto"/>
                <w:sz w:val="20"/>
                <w:szCs w:val="20"/>
              </w:rPr>
              <w:t>.</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7FCB201B" w14:textId="49AE0DEB" w:rsidR="00B55FB1" w:rsidRPr="0068236B" w:rsidRDefault="00831165" w:rsidP="00C56FEA">
            <w:pPr>
              <w:pStyle w:val="Heading4"/>
              <w:numPr>
                <w:ilvl w:val="0"/>
                <w:numId w:val="0"/>
              </w:numPr>
              <w:tabs>
                <w:tab w:val="left" w:pos="720"/>
              </w:tabs>
              <w:spacing w:before="0" w:after="0" w:line="240" w:lineRule="auto"/>
              <w:outlineLvl w:val="3"/>
              <w:rPr>
                <w:rFonts w:cs="Tahoma"/>
                <w:b w:val="0"/>
                <w:color w:val="auto"/>
                <w:sz w:val="20"/>
                <w:szCs w:val="20"/>
              </w:rPr>
            </w:pPr>
            <w:r w:rsidRPr="0068236B">
              <w:rPr>
                <w:rFonts w:cs="Tahoma"/>
                <w:b w:val="0"/>
                <w:color w:val="auto"/>
                <w:sz w:val="20"/>
                <w:szCs w:val="20"/>
              </w:rPr>
              <w:t>None to minor a</w:t>
            </w:r>
            <w:r w:rsidRPr="0068236B">
              <w:rPr>
                <w:rFonts w:cs="Tahoma"/>
                <w:b w:val="0"/>
                <w:color w:val="auto"/>
                <w:sz w:val="20"/>
                <w:szCs w:val="20"/>
              </w:rPr>
              <w:t>d</w:t>
            </w:r>
            <w:r w:rsidRPr="0068236B">
              <w:rPr>
                <w:rFonts w:cs="Tahoma"/>
                <w:b w:val="0"/>
                <w:color w:val="auto"/>
                <w:sz w:val="20"/>
                <w:szCs w:val="20"/>
              </w:rPr>
              <w:t xml:space="preserve">verse </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2384D376" w14:textId="5914EE76" w:rsidR="00B55FB1" w:rsidRPr="0068236B" w:rsidRDefault="00B55FB1" w:rsidP="00EC022C">
            <w:pPr>
              <w:spacing w:before="0" w:after="0" w:line="240" w:lineRule="auto"/>
              <w:jc w:val="left"/>
              <w:rPr>
                <w:rFonts w:cs="Tahoma"/>
                <w:color w:val="auto"/>
                <w:sz w:val="20"/>
                <w:szCs w:val="20"/>
              </w:rPr>
            </w:pPr>
            <w:r w:rsidRPr="0068236B">
              <w:rPr>
                <w:rFonts w:cs="Tahoma"/>
                <w:color w:val="auto"/>
                <w:sz w:val="20"/>
                <w:szCs w:val="20"/>
              </w:rPr>
              <w:t>Good operational and maintenance practice (e.g. a</w:t>
            </w:r>
            <w:r w:rsidRPr="0068236B">
              <w:rPr>
                <w:rFonts w:eastAsia="Calibri" w:cs="Tahoma"/>
                <w:color w:val="auto"/>
                <w:sz w:val="20"/>
                <w:szCs w:val="20"/>
              </w:rPr>
              <w:t>llow the max</w:t>
            </w:r>
            <w:r w:rsidRPr="0068236B">
              <w:rPr>
                <w:rFonts w:eastAsia="Calibri" w:cs="Tahoma"/>
                <w:color w:val="auto"/>
                <w:sz w:val="20"/>
                <w:szCs w:val="20"/>
              </w:rPr>
              <w:t>i</w:t>
            </w:r>
            <w:r w:rsidRPr="0068236B">
              <w:rPr>
                <w:rFonts w:eastAsia="Calibri" w:cs="Tahoma"/>
                <w:color w:val="auto"/>
                <w:sz w:val="20"/>
                <w:szCs w:val="20"/>
              </w:rPr>
              <w:t xml:space="preserve">mum vegetation height within the Right of Way corridor while still maintaining the required clearance; </w:t>
            </w:r>
            <w:r w:rsidR="00EC022C" w:rsidRPr="0068236B">
              <w:rPr>
                <w:rFonts w:eastAsia="Calibri" w:cs="Tahoma"/>
                <w:color w:val="auto"/>
                <w:sz w:val="20"/>
                <w:szCs w:val="20"/>
              </w:rPr>
              <w:t>w</w:t>
            </w:r>
            <w:r w:rsidRPr="0068236B">
              <w:rPr>
                <w:rFonts w:eastAsia="Calibri" w:cs="Tahoma"/>
                <w:color w:val="auto"/>
                <w:sz w:val="20"/>
                <w:szCs w:val="20"/>
              </w:rPr>
              <w:t>idth of all access roads and tracks to be kept to the minimum necessary for their use).</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39B121D8" w14:textId="4D67CCF8" w:rsidR="00B55FB1" w:rsidRPr="0068236B" w:rsidRDefault="00EC022C" w:rsidP="00EC022C">
            <w:pPr>
              <w:pStyle w:val="Heading4"/>
              <w:keepNext w:val="0"/>
              <w:numPr>
                <w:ilvl w:val="0"/>
                <w:numId w:val="0"/>
              </w:numPr>
              <w:spacing w:before="0" w:after="0" w:line="240" w:lineRule="auto"/>
              <w:outlineLvl w:val="3"/>
              <w:rPr>
                <w:rFonts w:cs="Tahoma"/>
                <w:b w:val="0"/>
                <w:color w:val="auto"/>
                <w:sz w:val="20"/>
                <w:szCs w:val="20"/>
              </w:rPr>
            </w:pPr>
            <w:r w:rsidRPr="0068236B">
              <w:rPr>
                <w:rFonts w:cs="Tahoma"/>
                <w:b w:val="0"/>
                <w:color w:val="auto"/>
                <w:sz w:val="20"/>
                <w:szCs w:val="20"/>
              </w:rPr>
              <w:t>Neutral</w:t>
            </w:r>
          </w:p>
        </w:tc>
      </w:tr>
      <w:tr w:rsidR="00BB421B" w:rsidRPr="0068236B" w14:paraId="10E4F178" w14:textId="77777777" w:rsidTr="00E3062F">
        <w:trPr>
          <w:cantSplit/>
          <w:trHeight w:val="2197"/>
          <w:jc w:val="center"/>
        </w:trPr>
        <w:tc>
          <w:tcPr>
            <w:tcW w:w="1188" w:type="dxa"/>
            <w:vMerge w:val="restart"/>
            <w:tcBorders>
              <w:left w:val="double" w:sz="4" w:space="0" w:color="auto"/>
            </w:tcBorders>
            <w:shd w:val="clear" w:color="auto" w:fill="BFBFBF" w:themeFill="background1" w:themeFillShade="BF"/>
          </w:tcPr>
          <w:p w14:paraId="62541D36" w14:textId="77777777" w:rsidR="00B55FB1" w:rsidRPr="0068236B" w:rsidRDefault="00B55FB1" w:rsidP="00C56FEA">
            <w:pPr>
              <w:spacing w:before="0" w:after="0" w:line="240" w:lineRule="auto"/>
              <w:jc w:val="left"/>
              <w:rPr>
                <w:rFonts w:cs="Tahoma"/>
                <w:color w:val="auto"/>
                <w:sz w:val="20"/>
                <w:szCs w:val="20"/>
              </w:rPr>
            </w:pPr>
            <w:r w:rsidRPr="0068236B">
              <w:rPr>
                <w:rFonts w:cs="Tahoma"/>
                <w:color w:val="auto"/>
                <w:sz w:val="20"/>
                <w:szCs w:val="20"/>
              </w:rPr>
              <w:lastRenderedPageBreak/>
              <w:t>Waste Ge</w:t>
            </w:r>
            <w:r w:rsidRPr="0068236B">
              <w:rPr>
                <w:rFonts w:cs="Tahoma"/>
                <w:color w:val="auto"/>
                <w:sz w:val="20"/>
                <w:szCs w:val="20"/>
              </w:rPr>
              <w:t>n</w:t>
            </w:r>
            <w:r w:rsidRPr="0068236B">
              <w:rPr>
                <w:rFonts w:cs="Tahoma"/>
                <w:color w:val="auto"/>
                <w:sz w:val="20"/>
                <w:szCs w:val="20"/>
              </w:rPr>
              <w:t xml:space="preserve">eration </w:t>
            </w:r>
          </w:p>
        </w:tc>
        <w:tc>
          <w:tcPr>
            <w:tcW w:w="1247" w:type="dxa"/>
            <w:shd w:val="clear" w:color="auto" w:fill="auto"/>
          </w:tcPr>
          <w:p w14:paraId="4FF19C9F"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Construction</w:t>
            </w:r>
          </w:p>
        </w:tc>
        <w:tc>
          <w:tcPr>
            <w:tcW w:w="4222" w:type="dxa"/>
            <w:shd w:val="clear" w:color="auto" w:fill="auto"/>
          </w:tcPr>
          <w:p w14:paraId="03127135" w14:textId="5DF496E2" w:rsidR="00B55FB1" w:rsidRPr="0068236B" w:rsidRDefault="00B55FB1" w:rsidP="00C56FEA">
            <w:pPr>
              <w:spacing w:before="0" w:after="0" w:line="240" w:lineRule="auto"/>
              <w:jc w:val="left"/>
              <w:rPr>
                <w:rFonts w:cs="Tahoma"/>
                <w:color w:val="auto"/>
                <w:sz w:val="20"/>
                <w:szCs w:val="20"/>
              </w:rPr>
            </w:pPr>
            <w:r w:rsidRPr="0068236B">
              <w:rPr>
                <w:rFonts w:cs="Tahoma"/>
                <w:color w:val="auto"/>
                <w:sz w:val="20"/>
                <w:szCs w:val="20"/>
              </w:rPr>
              <w:t>Waste generation and disposal</w:t>
            </w:r>
            <w:r w:rsidR="00672975" w:rsidRPr="0068236B">
              <w:rPr>
                <w:rFonts w:cs="Tahoma"/>
                <w:color w:val="auto"/>
                <w:sz w:val="20"/>
                <w:szCs w:val="20"/>
              </w:rPr>
              <w:t>, including ha</w:t>
            </w:r>
            <w:r w:rsidR="00672975" w:rsidRPr="0068236B">
              <w:rPr>
                <w:rFonts w:cs="Tahoma"/>
                <w:color w:val="auto"/>
                <w:sz w:val="20"/>
                <w:szCs w:val="20"/>
              </w:rPr>
              <w:t>z</w:t>
            </w:r>
            <w:r w:rsidR="00672975" w:rsidRPr="0068236B">
              <w:rPr>
                <w:rFonts w:cs="Tahoma"/>
                <w:color w:val="auto"/>
                <w:sz w:val="20"/>
                <w:szCs w:val="20"/>
              </w:rPr>
              <w:t>ardous waste</w:t>
            </w:r>
          </w:p>
        </w:tc>
        <w:tc>
          <w:tcPr>
            <w:tcW w:w="1949" w:type="dxa"/>
            <w:shd w:val="clear" w:color="auto" w:fill="auto"/>
          </w:tcPr>
          <w:p w14:paraId="758DB1E0" w14:textId="77777777" w:rsidR="00B55FB1" w:rsidRPr="0068236B" w:rsidRDefault="00B55FB1" w:rsidP="00C56FE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cs="Tahoma"/>
                <w:b w:val="0"/>
                <w:color w:val="auto"/>
                <w:sz w:val="20"/>
                <w:szCs w:val="20"/>
              </w:rPr>
              <w:t>Moderate adverse</w:t>
            </w:r>
          </w:p>
        </w:tc>
        <w:tc>
          <w:tcPr>
            <w:tcW w:w="5884" w:type="dxa"/>
            <w:shd w:val="clear" w:color="auto" w:fill="auto"/>
          </w:tcPr>
          <w:p w14:paraId="57EDE459"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Waste Management Plan, based on the following key principles:</w:t>
            </w:r>
          </w:p>
          <w:p w14:paraId="5C5E128E" w14:textId="77777777" w:rsidR="00B55FB1" w:rsidRPr="0068236B" w:rsidRDefault="00B55FB1" w:rsidP="00D24CEF">
            <w:pPr>
              <w:pStyle w:val="ListBullet"/>
              <w:numPr>
                <w:ilvl w:val="0"/>
                <w:numId w:val="104"/>
              </w:numPr>
              <w:spacing w:after="0" w:line="240" w:lineRule="auto"/>
              <w:ind w:left="226" w:hanging="226"/>
              <w:jc w:val="left"/>
              <w:rPr>
                <w:rFonts w:eastAsia="46xmh" w:cs="Tahoma"/>
                <w:color w:val="auto"/>
                <w:sz w:val="20"/>
                <w:szCs w:val="20"/>
              </w:rPr>
            </w:pPr>
            <w:r w:rsidRPr="0068236B">
              <w:rPr>
                <w:rFonts w:cs="Tahoma"/>
                <w:color w:val="auto"/>
                <w:sz w:val="20"/>
                <w:szCs w:val="20"/>
              </w:rPr>
              <w:t>Waste would be minimized wherever practicable by reusing and recycling any materials</w:t>
            </w:r>
            <w:r w:rsidRPr="0068236B">
              <w:rPr>
                <w:rFonts w:eastAsia="46xmh" w:cs="Tahoma"/>
                <w:color w:val="auto"/>
                <w:sz w:val="20"/>
                <w:szCs w:val="20"/>
              </w:rPr>
              <w:t>, including the spoil and surplus e</w:t>
            </w:r>
            <w:r w:rsidRPr="0068236B">
              <w:rPr>
                <w:rFonts w:eastAsia="46xmh" w:cs="Tahoma"/>
                <w:color w:val="auto"/>
                <w:sz w:val="20"/>
                <w:szCs w:val="20"/>
              </w:rPr>
              <w:t>x</w:t>
            </w:r>
            <w:r w:rsidRPr="0068236B">
              <w:rPr>
                <w:rFonts w:eastAsia="46xmh" w:cs="Tahoma"/>
                <w:color w:val="auto"/>
                <w:sz w:val="20"/>
                <w:szCs w:val="20"/>
              </w:rPr>
              <w:t>cavated material.</w:t>
            </w:r>
          </w:p>
          <w:p w14:paraId="1FFAC4D4" w14:textId="77777777" w:rsidR="00B55FB1" w:rsidRPr="0068236B" w:rsidRDefault="00B55FB1" w:rsidP="00D24CEF">
            <w:pPr>
              <w:pStyle w:val="ListBullet"/>
              <w:numPr>
                <w:ilvl w:val="0"/>
                <w:numId w:val="104"/>
              </w:numPr>
              <w:spacing w:after="0" w:line="240" w:lineRule="auto"/>
              <w:ind w:left="226" w:hanging="226"/>
              <w:jc w:val="left"/>
              <w:rPr>
                <w:rFonts w:cs="Tahoma"/>
                <w:color w:val="auto"/>
                <w:sz w:val="20"/>
                <w:szCs w:val="20"/>
              </w:rPr>
            </w:pPr>
            <w:r w:rsidRPr="0068236B">
              <w:rPr>
                <w:rFonts w:cs="Tahoma"/>
                <w:color w:val="auto"/>
                <w:sz w:val="20"/>
                <w:szCs w:val="20"/>
              </w:rPr>
              <w:t xml:space="preserve">All wastes would be identified, classified, quantified and, where practicable, appropriately segregated. </w:t>
            </w:r>
          </w:p>
          <w:p w14:paraId="725DBA6D" w14:textId="77777777" w:rsidR="00B55FB1" w:rsidRPr="0068236B" w:rsidRDefault="00B55FB1" w:rsidP="00D24CEF">
            <w:pPr>
              <w:pStyle w:val="ListBullet"/>
              <w:numPr>
                <w:ilvl w:val="0"/>
                <w:numId w:val="104"/>
              </w:numPr>
              <w:spacing w:after="0" w:line="240" w:lineRule="auto"/>
              <w:ind w:left="226" w:hanging="226"/>
              <w:jc w:val="left"/>
              <w:rPr>
                <w:rFonts w:cs="Tahoma"/>
                <w:color w:val="auto"/>
                <w:sz w:val="20"/>
                <w:szCs w:val="20"/>
              </w:rPr>
            </w:pPr>
            <w:r w:rsidRPr="0068236B">
              <w:rPr>
                <w:rFonts w:cs="Tahoma"/>
                <w:color w:val="auto"/>
                <w:sz w:val="20"/>
                <w:szCs w:val="20"/>
              </w:rPr>
              <w:t>All waste materials removed from construction sites would be in accordance with relevant national waste and environmental regulations.</w:t>
            </w:r>
          </w:p>
        </w:tc>
        <w:tc>
          <w:tcPr>
            <w:tcW w:w="1392" w:type="dxa"/>
            <w:tcBorders>
              <w:right w:val="double" w:sz="4" w:space="0" w:color="auto"/>
            </w:tcBorders>
            <w:shd w:val="clear" w:color="auto" w:fill="auto"/>
          </w:tcPr>
          <w:p w14:paraId="10C5D765" w14:textId="77777777" w:rsidR="00B55FB1" w:rsidRPr="0068236B" w:rsidRDefault="00B55FB1" w:rsidP="00C56FE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eastAsia="SimSun" w:cs="Tahoma"/>
                <w:b w:val="0"/>
                <w:bCs w:val="0"/>
                <w:color w:val="auto"/>
                <w:sz w:val="20"/>
                <w:szCs w:val="20"/>
              </w:rPr>
              <w:t>Minor</w:t>
            </w:r>
          </w:p>
        </w:tc>
      </w:tr>
      <w:tr w:rsidR="00BB421B" w:rsidRPr="0068236B" w14:paraId="07E2EEA1" w14:textId="77777777" w:rsidTr="007531FB">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3A104FC7" w14:textId="77777777" w:rsidR="00B55FB1" w:rsidRPr="0068236B" w:rsidRDefault="00B55FB1" w:rsidP="00C56FEA">
            <w:pPr>
              <w:spacing w:before="0" w:after="0" w:line="240" w:lineRule="auto"/>
              <w:jc w:val="left"/>
              <w:rPr>
                <w:rFonts w:cs="Tahoma"/>
                <w:color w:val="auto"/>
                <w:sz w:val="20"/>
                <w:szCs w:val="20"/>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1ED14E33"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Operation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7531B6C6" w14:textId="0F3DC8A3" w:rsidR="00D663B6" w:rsidRPr="0068236B" w:rsidRDefault="00D663B6" w:rsidP="00C56FEA">
            <w:pPr>
              <w:spacing w:before="0" w:after="0" w:line="240" w:lineRule="auto"/>
              <w:jc w:val="left"/>
              <w:rPr>
                <w:rFonts w:cs="Tahoma"/>
                <w:color w:val="auto"/>
                <w:sz w:val="20"/>
                <w:szCs w:val="20"/>
              </w:rPr>
            </w:pPr>
            <w:r w:rsidRPr="0068236B">
              <w:rPr>
                <w:rFonts w:cs="Tahoma"/>
                <w:color w:val="auto"/>
                <w:sz w:val="20"/>
                <w:szCs w:val="20"/>
              </w:rPr>
              <w:t>Waste generation and disposal</w:t>
            </w:r>
          </w:p>
          <w:p w14:paraId="1793545C" w14:textId="1927A5F0" w:rsidR="003F6E71" w:rsidRPr="0068236B" w:rsidRDefault="00B55FB1" w:rsidP="003F6E71">
            <w:pPr>
              <w:spacing w:before="0" w:after="0" w:line="240" w:lineRule="auto"/>
              <w:jc w:val="left"/>
              <w:rPr>
                <w:rFonts w:cs="Tahoma"/>
                <w:color w:val="auto"/>
                <w:sz w:val="20"/>
                <w:szCs w:val="20"/>
              </w:rPr>
            </w:pPr>
            <w:r w:rsidRPr="0068236B">
              <w:rPr>
                <w:rFonts w:cs="Tahoma"/>
                <w:color w:val="auto"/>
                <w:sz w:val="20"/>
                <w:szCs w:val="20"/>
              </w:rPr>
              <w:t xml:space="preserve">Note: </w:t>
            </w:r>
            <w:r w:rsidR="003F6E71" w:rsidRPr="0068236B">
              <w:rPr>
                <w:rFonts w:cs="Tahoma"/>
                <w:color w:val="auto"/>
                <w:sz w:val="20"/>
                <w:szCs w:val="20"/>
              </w:rPr>
              <w:t>Waste</w:t>
            </w:r>
            <w:r w:rsidR="003F6E71" w:rsidRPr="0068236B">
              <w:rPr>
                <w:rFonts w:cs="Tahoma"/>
                <w:color w:val="auto"/>
                <w:sz w:val="20"/>
                <w:szCs w:val="20"/>
                <w:lang w:eastAsia="en-US"/>
              </w:rPr>
              <w:t xml:space="preserve"> generation is expected to be very small during operation of the Project. </w:t>
            </w:r>
          </w:p>
          <w:p w14:paraId="5EB1CA40" w14:textId="5776156B" w:rsidR="00B55FB1" w:rsidRPr="0068236B" w:rsidRDefault="00B55FB1" w:rsidP="00C56FEA">
            <w:pPr>
              <w:spacing w:before="0" w:after="0" w:line="240" w:lineRule="auto"/>
              <w:jc w:val="left"/>
              <w:rPr>
                <w:rFonts w:cs="Tahoma"/>
                <w:color w:val="auto"/>
                <w:sz w:val="20"/>
                <w:szCs w:val="20"/>
              </w:rPr>
            </w:pP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65A8DD47" w14:textId="02BB4F04" w:rsidR="00B55FB1" w:rsidRPr="0068236B" w:rsidRDefault="003F6E71" w:rsidP="00C56FEA">
            <w:pPr>
              <w:pStyle w:val="Heading4"/>
              <w:numPr>
                <w:ilvl w:val="0"/>
                <w:numId w:val="0"/>
              </w:numPr>
              <w:tabs>
                <w:tab w:val="left" w:pos="720"/>
              </w:tabs>
              <w:spacing w:before="0" w:after="0" w:line="240" w:lineRule="auto"/>
              <w:outlineLvl w:val="3"/>
              <w:rPr>
                <w:rFonts w:cs="Tahoma"/>
                <w:b w:val="0"/>
                <w:color w:val="auto"/>
                <w:sz w:val="20"/>
                <w:szCs w:val="20"/>
              </w:rPr>
            </w:pPr>
            <w:r w:rsidRPr="0068236B">
              <w:rPr>
                <w:rFonts w:cs="Tahoma"/>
                <w:b w:val="0"/>
                <w:color w:val="auto"/>
                <w:sz w:val="20"/>
                <w:szCs w:val="20"/>
              </w:rPr>
              <w:t>Minor adverse</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1A3DD971" w14:textId="71221747" w:rsidR="00B55FB1" w:rsidRPr="0068236B" w:rsidRDefault="003F6E71" w:rsidP="003F6E71">
            <w:pPr>
              <w:spacing w:before="0" w:after="0" w:line="240" w:lineRule="auto"/>
              <w:rPr>
                <w:rFonts w:cs="Tahoma"/>
                <w:color w:val="auto"/>
                <w:sz w:val="20"/>
                <w:szCs w:val="20"/>
              </w:rPr>
            </w:pPr>
            <w:r w:rsidRPr="0068236B">
              <w:rPr>
                <w:rFonts w:cs="Tahoma"/>
                <w:color w:val="auto"/>
                <w:sz w:val="20"/>
                <w:szCs w:val="20"/>
                <w:lang w:eastAsia="en-US"/>
              </w:rPr>
              <w:t xml:space="preserve">These wastes to be managed by MEPSO using the procedures established in their </w:t>
            </w:r>
            <w:r w:rsidRPr="0068236B">
              <w:rPr>
                <w:rFonts w:cs="Tahoma"/>
                <w:color w:val="auto"/>
                <w:sz w:val="20"/>
                <w:szCs w:val="20"/>
              </w:rPr>
              <w:t>Integrated Management System</w:t>
            </w:r>
            <w:r w:rsidRPr="0068236B">
              <w:rPr>
                <w:rStyle w:val="FootnoteReference"/>
                <w:rFonts w:cs="Tahoma"/>
                <w:color w:val="auto"/>
                <w:sz w:val="20"/>
                <w:szCs w:val="20"/>
                <w:shd w:val="clear" w:color="auto" w:fill="FFFFFF"/>
              </w:rPr>
              <w:footnoteReference w:id="29"/>
            </w:r>
            <w:r w:rsidRPr="0068236B">
              <w:rPr>
                <w:rFonts w:cs="Tahoma"/>
                <w:color w:val="auto"/>
                <w:sz w:val="20"/>
                <w:szCs w:val="20"/>
              </w:rPr>
              <w:t xml:space="preserve"> which, inter alia, includes a certified environmental </w:t>
            </w:r>
            <w:r w:rsidRPr="0068236B">
              <w:rPr>
                <w:rFonts w:cs="Tahoma"/>
                <w:color w:val="auto"/>
                <w:sz w:val="20"/>
                <w:szCs w:val="20"/>
                <w:shd w:val="clear" w:color="auto" w:fill="FFFFFF"/>
              </w:rPr>
              <w:t>management system.</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51CB8610" w14:textId="76398EC9" w:rsidR="00B55FB1" w:rsidRPr="0068236B" w:rsidRDefault="003F6E71" w:rsidP="00C56FE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eastAsia="SimSun" w:cs="Tahoma"/>
                <w:b w:val="0"/>
                <w:bCs w:val="0"/>
                <w:color w:val="auto"/>
                <w:sz w:val="20"/>
                <w:szCs w:val="20"/>
              </w:rPr>
              <w:t>Neutral</w:t>
            </w:r>
          </w:p>
        </w:tc>
      </w:tr>
      <w:tr w:rsidR="00BB421B" w:rsidRPr="0068236B" w14:paraId="162ABD2F" w14:textId="77777777" w:rsidTr="00E3062F">
        <w:trPr>
          <w:cantSplit/>
          <w:jc w:val="center"/>
        </w:trPr>
        <w:tc>
          <w:tcPr>
            <w:tcW w:w="1188" w:type="dxa"/>
            <w:vMerge w:val="restart"/>
            <w:tcBorders>
              <w:left w:val="double" w:sz="4" w:space="0" w:color="auto"/>
            </w:tcBorders>
            <w:shd w:val="clear" w:color="auto" w:fill="BFBFBF" w:themeFill="background1" w:themeFillShade="BF"/>
          </w:tcPr>
          <w:p w14:paraId="27E94FA9" w14:textId="77777777" w:rsidR="00B55FB1" w:rsidRPr="0068236B" w:rsidRDefault="00B55FB1" w:rsidP="00C56FEA">
            <w:pPr>
              <w:spacing w:before="0" w:after="0" w:line="240" w:lineRule="auto"/>
              <w:jc w:val="left"/>
              <w:rPr>
                <w:rFonts w:cs="Tahoma"/>
                <w:color w:val="auto"/>
                <w:sz w:val="20"/>
                <w:szCs w:val="20"/>
              </w:rPr>
            </w:pPr>
            <w:r w:rsidRPr="0068236B">
              <w:rPr>
                <w:rFonts w:cs="Tahoma"/>
                <w:color w:val="auto"/>
                <w:sz w:val="20"/>
                <w:szCs w:val="20"/>
              </w:rPr>
              <w:t>Beneficial social a</w:t>
            </w:r>
            <w:r w:rsidRPr="0068236B">
              <w:rPr>
                <w:rFonts w:cs="Tahoma"/>
                <w:color w:val="auto"/>
                <w:sz w:val="20"/>
                <w:szCs w:val="20"/>
              </w:rPr>
              <w:t>s</w:t>
            </w:r>
            <w:r w:rsidRPr="0068236B">
              <w:rPr>
                <w:rFonts w:cs="Tahoma"/>
                <w:color w:val="auto"/>
                <w:sz w:val="20"/>
                <w:szCs w:val="20"/>
              </w:rPr>
              <w:t>pects</w:t>
            </w:r>
          </w:p>
        </w:tc>
        <w:tc>
          <w:tcPr>
            <w:tcW w:w="1247" w:type="dxa"/>
            <w:shd w:val="clear" w:color="auto" w:fill="auto"/>
          </w:tcPr>
          <w:p w14:paraId="3CA1D093"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Construction</w:t>
            </w:r>
          </w:p>
        </w:tc>
        <w:tc>
          <w:tcPr>
            <w:tcW w:w="4222" w:type="dxa"/>
            <w:shd w:val="clear" w:color="auto" w:fill="auto"/>
          </w:tcPr>
          <w:p w14:paraId="26CB6A80" w14:textId="77777777" w:rsidR="00B55FB1" w:rsidRPr="0068236B" w:rsidRDefault="00B55FB1" w:rsidP="00C56FEA">
            <w:pPr>
              <w:spacing w:before="0" w:after="0" w:line="240" w:lineRule="auto"/>
              <w:jc w:val="left"/>
              <w:rPr>
                <w:rFonts w:cs="Tahoma"/>
                <w:color w:val="auto"/>
                <w:sz w:val="20"/>
                <w:szCs w:val="20"/>
              </w:rPr>
            </w:pPr>
            <w:r w:rsidRPr="0068236B">
              <w:rPr>
                <w:rFonts w:cs="Tahoma"/>
                <w:color w:val="auto"/>
                <w:sz w:val="20"/>
                <w:szCs w:val="20"/>
              </w:rPr>
              <w:t>Opportunities:</w:t>
            </w:r>
          </w:p>
          <w:p w14:paraId="64C174D5" w14:textId="77777777" w:rsidR="00B55FB1" w:rsidRPr="0068236B" w:rsidRDefault="00B55FB1" w:rsidP="00C56FEA">
            <w:pPr>
              <w:pStyle w:val="ListBullet"/>
              <w:spacing w:after="0" w:line="240" w:lineRule="auto"/>
              <w:ind w:left="189" w:hanging="189"/>
              <w:jc w:val="left"/>
              <w:rPr>
                <w:rFonts w:cs="Tahoma"/>
                <w:color w:val="auto"/>
                <w:sz w:val="20"/>
                <w:szCs w:val="20"/>
              </w:rPr>
            </w:pPr>
            <w:r w:rsidRPr="0068236B">
              <w:rPr>
                <w:rFonts w:cs="Tahoma"/>
                <w:color w:val="auto"/>
                <w:sz w:val="20"/>
                <w:szCs w:val="20"/>
              </w:rPr>
              <w:t>Employment opportunities</w:t>
            </w:r>
          </w:p>
          <w:p w14:paraId="6CAC0264" w14:textId="77777777" w:rsidR="00B55FB1" w:rsidRPr="0068236B" w:rsidRDefault="00B55FB1" w:rsidP="00C56FEA">
            <w:pPr>
              <w:pStyle w:val="ListBullet"/>
              <w:spacing w:after="0" w:line="240" w:lineRule="auto"/>
              <w:ind w:left="189" w:hanging="189"/>
              <w:jc w:val="left"/>
              <w:rPr>
                <w:rFonts w:cs="Tahoma"/>
                <w:color w:val="auto"/>
                <w:sz w:val="20"/>
                <w:szCs w:val="20"/>
              </w:rPr>
            </w:pPr>
            <w:r w:rsidRPr="0068236B">
              <w:rPr>
                <w:rFonts w:cs="Tahoma"/>
                <w:color w:val="auto"/>
                <w:sz w:val="20"/>
                <w:szCs w:val="20"/>
              </w:rPr>
              <w:t>Local economy and supply chain opportun</w:t>
            </w:r>
            <w:r w:rsidRPr="0068236B">
              <w:rPr>
                <w:rFonts w:cs="Tahoma"/>
                <w:color w:val="auto"/>
                <w:sz w:val="20"/>
                <w:szCs w:val="20"/>
              </w:rPr>
              <w:t>i</w:t>
            </w:r>
            <w:r w:rsidRPr="0068236B">
              <w:rPr>
                <w:rFonts w:cs="Tahoma"/>
                <w:color w:val="auto"/>
                <w:sz w:val="20"/>
                <w:szCs w:val="20"/>
              </w:rPr>
              <w:t>ties</w:t>
            </w:r>
          </w:p>
        </w:tc>
        <w:tc>
          <w:tcPr>
            <w:tcW w:w="1949" w:type="dxa"/>
            <w:shd w:val="clear" w:color="auto" w:fill="auto"/>
          </w:tcPr>
          <w:p w14:paraId="1DE4AF91" w14:textId="77777777" w:rsidR="00B55FB1" w:rsidRPr="0068236B" w:rsidRDefault="00B55FB1" w:rsidP="00C56FEA">
            <w:pPr>
              <w:pStyle w:val="Heading4"/>
              <w:numPr>
                <w:ilvl w:val="0"/>
                <w:numId w:val="0"/>
              </w:numPr>
              <w:tabs>
                <w:tab w:val="left" w:pos="720"/>
              </w:tabs>
              <w:spacing w:before="0" w:after="0" w:line="240" w:lineRule="auto"/>
              <w:outlineLvl w:val="3"/>
              <w:rPr>
                <w:rFonts w:cs="Tahoma"/>
                <w:b w:val="0"/>
                <w:color w:val="auto"/>
                <w:sz w:val="20"/>
                <w:szCs w:val="20"/>
              </w:rPr>
            </w:pPr>
            <w:r w:rsidRPr="0068236B">
              <w:rPr>
                <w:rFonts w:cs="Tahoma"/>
                <w:b w:val="0"/>
                <w:color w:val="auto"/>
                <w:sz w:val="20"/>
                <w:szCs w:val="20"/>
              </w:rPr>
              <w:t>Moderate beneficial</w:t>
            </w:r>
          </w:p>
        </w:tc>
        <w:tc>
          <w:tcPr>
            <w:tcW w:w="5884" w:type="dxa"/>
            <w:shd w:val="clear" w:color="auto" w:fill="auto"/>
          </w:tcPr>
          <w:p w14:paraId="692FFD41" w14:textId="099A4278" w:rsidR="00B55FB1" w:rsidRPr="0068236B" w:rsidRDefault="00B55FB1" w:rsidP="001A7D65">
            <w:pPr>
              <w:spacing w:before="0" w:after="0" w:line="240" w:lineRule="auto"/>
              <w:rPr>
                <w:rFonts w:cs="Tahoma"/>
                <w:color w:val="auto"/>
                <w:sz w:val="20"/>
                <w:szCs w:val="20"/>
              </w:rPr>
            </w:pPr>
            <w:r w:rsidRPr="0068236B">
              <w:rPr>
                <w:rFonts w:cs="Tahoma"/>
                <w:color w:val="auto"/>
                <w:sz w:val="20"/>
                <w:szCs w:val="20"/>
              </w:rPr>
              <w:t>Various instruments (e.g. Supply Chain Management based on preferable supply from local suppliers)</w:t>
            </w:r>
          </w:p>
        </w:tc>
        <w:tc>
          <w:tcPr>
            <w:tcW w:w="1392" w:type="dxa"/>
            <w:tcBorders>
              <w:right w:val="double" w:sz="4" w:space="0" w:color="auto"/>
            </w:tcBorders>
            <w:shd w:val="clear" w:color="auto" w:fill="auto"/>
          </w:tcPr>
          <w:p w14:paraId="71138D90" w14:textId="77777777" w:rsidR="00B55FB1" w:rsidRPr="0068236B" w:rsidRDefault="00B55FB1" w:rsidP="00C56FE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eastAsia="SimSun" w:cs="Tahoma"/>
                <w:b w:val="0"/>
                <w:bCs w:val="0"/>
                <w:color w:val="auto"/>
                <w:sz w:val="20"/>
                <w:szCs w:val="20"/>
              </w:rPr>
              <w:t>NA</w:t>
            </w:r>
          </w:p>
        </w:tc>
      </w:tr>
      <w:tr w:rsidR="00BB421B" w:rsidRPr="0068236B" w14:paraId="4F36332D" w14:textId="77777777" w:rsidTr="007531FB">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00A86EE6" w14:textId="77777777" w:rsidR="00B55FB1" w:rsidRPr="0068236B" w:rsidRDefault="00B55FB1" w:rsidP="00C56FEA">
            <w:pPr>
              <w:spacing w:before="0" w:after="0" w:line="240" w:lineRule="auto"/>
              <w:jc w:val="left"/>
              <w:rPr>
                <w:rFonts w:cs="Tahoma"/>
                <w:color w:val="auto"/>
                <w:sz w:val="20"/>
                <w:szCs w:val="20"/>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8B31138"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Operation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68A87CDD" w14:textId="77777777" w:rsidR="00B55FB1" w:rsidRPr="0068236B" w:rsidRDefault="00B55FB1" w:rsidP="00C56FEA">
            <w:pPr>
              <w:spacing w:before="0" w:after="0" w:line="240" w:lineRule="auto"/>
              <w:jc w:val="left"/>
              <w:rPr>
                <w:rFonts w:cs="Tahoma"/>
                <w:color w:val="auto"/>
                <w:sz w:val="20"/>
                <w:szCs w:val="20"/>
              </w:rPr>
            </w:pPr>
            <w:r w:rsidRPr="0068236B">
              <w:rPr>
                <w:rFonts w:cs="Tahoma"/>
                <w:color w:val="auto"/>
                <w:sz w:val="20"/>
                <w:szCs w:val="20"/>
              </w:rPr>
              <w:t>Improvement of the national power system</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22CB28B1" w14:textId="77777777" w:rsidR="00B55FB1" w:rsidRPr="0068236B" w:rsidRDefault="00B55FB1" w:rsidP="00C56FEA">
            <w:pPr>
              <w:pStyle w:val="Heading4"/>
              <w:numPr>
                <w:ilvl w:val="0"/>
                <w:numId w:val="0"/>
              </w:numPr>
              <w:tabs>
                <w:tab w:val="left" w:pos="720"/>
              </w:tabs>
              <w:spacing w:before="0" w:after="0" w:line="240" w:lineRule="auto"/>
              <w:outlineLvl w:val="3"/>
              <w:rPr>
                <w:rFonts w:cs="Tahoma"/>
                <w:b w:val="0"/>
                <w:color w:val="auto"/>
                <w:sz w:val="20"/>
                <w:szCs w:val="20"/>
              </w:rPr>
            </w:pPr>
            <w:r w:rsidRPr="0068236B">
              <w:rPr>
                <w:rFonts w:cs="Tahoma"/>
                <w:b w:val="0"/>
                <w:color w:val="auto"/>
                <w:sz w:val="20"/>
                <w:szCs w:val="20"/>
              </w:rPr>
              <w:t>Major beneficial</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66E4D22F"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736044A4" w14:textId="77777777" w:rsidR="00B55FB1" w:rsidRPr="0068236B" w:rsidRDefault="00B55FB1" w:rsidP="00C56FE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eastAsia="SimSun" w:cs="Tahoma"/>
                <w:b w:val="0"/>
                <w:bCs w:val="0"/>
                <w:color w:val="auto"/>
                <w:sz w:val="20"/>
                <w:szCs w:val="20"/>
              </w:rPr>
              <w:t>NA</w:t>
            </w:r>
          </w:p>
        </w:tc>
      </w:tr>
      <w:tr w:rsidR="00BB421B" w:rsidRPr="0068236B" w14:paraId="11F28E1E" w14:textId="77777777" w:rsidTr="00E3062F">
        <w:trPr>
          <w:cantSplit/>
          <w:trHeight w:val="457"/>
          <w:jc w:val="center"/>
        </w:trPr>
        <w:tc>
          <w:tcPr>
            <w:tcW w:w="1188" w:type="dxa"/>
            <w:vMerge w:val="restart"/>
            <w:tcBorders>
              <w:left w:val="double" w:sz="4" w:space="0" w:color="auto"/>
            </w:tcBorders>
            <w:shd w:val="clear" w:color="auto" w:fill="BFBFBF" w:themeFill="background1" w:themeFillShade="BF"/>
          </w:tcPr>
          <w:p w14:paraId="6D5618E4" w14:textId="77777777" w:rsidR="00B55FB1" w:rsidRPr="0068236B" w:rsidRDefault="00B55FB1" w:rsidP="00C56FEA">
            <w:pPr>
              <w:spacing w:before="0" w:after="0" w:line="240" w:lineRule="auto"/>
              <w:jc w:val="left"/>
              <w:rPr>
                <w:rFonts w:cs="Tahoma"/>
                <w:color w:val="auto"/>
                <w:sz w:val="20"/>
                <w:szCs w:val="20"/>
              </w:rPr>
            </w:pPr>
            <w:r w:rsidRPr="0068236B">
              <w:rPr>
                <w:rFonts w:cs="Tahoma"/>
                <w:color w:val="auto"/>
                <w:sz w:val="20"/>
                <w:szCs w:val="20"/>
              </w:rPr>
              <w:t xml:space="preserve">Labour and Working Conditions </w:t>
            </w:r>
          </w:p>
        </w:tc>
        <w:tc>
          <w:tcPr>
            <w:tcW w:w="1247" w:type="dxa"/>
            <w:vMerge w:val="restart"/>
            <w:shd w:val="clear" w:color="auto" w:fill="auto"/>
          </w:tcPr>
          <w:p w14:paraId="1B05D0FA"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Construction</w:t>
            </w:r>
          </w:p>
        </w:tc>
        <w:tc>
          <w:tcPr>
            <w:tcW w:w="4222" w:type="dxa"/>
            <w:shd w:val="clear" w:color="auto" w:fill="auto"/>
          </w:tcPr>
          <w:p w14:paraId="492EBAE5" w14:textId="77777777" w:rsidR="00B55FB1" w:rsidRPr="0068236B" w:rsidRDefault="00B55FB1" w:rsidP="00C56FEA">
            <w:pPr>
              <w:spacing w:before="0" w:after="0" w:line="240" w:lineRule="auto"/>
              <w:jc w:val="left"/>
              <w:rPr>
                <w:rFonts w:cs="Tahoma"/>
                <w:color w:val="auto"/>
                <w:sz w:val="20"/>
                <w:szCs w:val="20"/>
              </w:rPr>
            </w:pPr>
            <w:r w:rsidRPr="0068236B">
              <w:rPr>
                <w:rFonts w:cs="Tahoma"/>
                <w:color w:val="auto"/>
                <w:sz w:val="20"/>
                <w:szCs w:val="20"/>
              </w:rPr>
              <w:t>Workers employment, rights and working co</w:t>
            </w:r>
            <w:r w:rsidRPr="0068236B">
              <w:rPr>
                <w:rFonts w:cs="Tahoma"/>
                <w:color w:val="auto"/>
                <w:sz w:val="20"/>
                <w:szCs w:val="20"/>
              </w:rPr>
              <w:t>n</w:t>
            </w:r>
            <w:r w:rsidRPr="0068236B">
              <w:rPr>
                <w:rFonts w:cs="Tahoma"/>
                <w:color w:val="auto"/>
                <w:sz w:val="20"/>
                <w:szCs w:val="20"/>
              </w:rPr>
              <w:t>ditions</w:t>
            </w:r>
          </w:p>
        </w:tc>
        <w:tc>
          <w:tcPr>
            <w:tcW w:w="1949" w:type="dxa"/>
            <w:shd w:val="clear" w:color="auto" w:fill="auto"/>
          </w:tcPr>
          <w:p w14:paraId="20C4C640" w14:textId="77777777" w:rsidR="00B55FB1" w:rsidRPr="0068236B" w:rsidRDefault="00B55FB1" w:rsidP="00C56FEA">
            <w:pPr>
              <w:pStyle w:val="TableParagraph"/>
              <w:ind w:right="110"/>
              <w:rPr>
                <w:rFonts w:ascii="Tahoma" w:hAnsi="Tahoma" w:cs="Tahoma"/>
                <w:color w:val="auto"/>
                <w:sz w:val="20"/>
                <w:szCs w:val="20"/>
              </w:rPr>
            </w:pPr>
            <w:r w:rsidRPr="0068236B">
              <w:rPr>
                <w:rFonts w:ascii="Tahoma" w:hAnsi="Tahoma" w:cs="Tahoma"/>
                <w:color w:val="auto"/>
                <w:sz w:val="20"/>
                <w:szCs w:val="20"/>
              </w:rPr>
              <w:t>Minor to Moderate adverse</w:t>
            </w:r>
          </w:p>
        </w:tc>
        <w:tc>
          <w:tcPr>
            <w:tcW w:w="5884" w:type="dxa"/>
            <w:vMerge w:val="restart"/>
            <w:shd w:val="clear" w:color="auto" w:fill="auto"/>
          </w:tcPr>
          <w:p w14:paraId="37F63DAC" w14:textId="77777777" w:rsidR="00B55FB1" w:rsidRPr="0068236B" w:rsidRDefault="00B55FB1" w:rsidP="00C56FEA">
            <w:pPr>
              <w:pStyle w:val="1209Bullets1"/>
              <w:widowControl/>
              <w:numPr>
                <w:ilvl w:val="0"/>
                <w:numId w:val="0"/>
              </w:numPr>
              <w:spacing w:before="0"/>
              <w:jc w:val="left"/>
              <w:rPr>
                <w:rFonts w:ascii="Tahoma" w:hAnsi="Tahoma" w:cs="Tahoma"/>
                <w:color w:val="auto"/>
                <w:sz w:val="20"/>
              </w:rPr>
            </w:pPr>
            <w:r w:rsidRPr="0068236B">
              <w:rPr>
                <w:rFonts w:ascii="Tahoma" w:hAnsi="Tahoma" w:cs="Tahoma"/>
                <w:color w:val="auto"/>
                <w:sz w:val="20"/>
              </w:rPr>
              <w:t>Package of management procedures and plans, e.g.:</w:t>
            </w:r>
          </w:p>
          <w:p w14:paraId="7CA8C0B4" w14:textId="77777777" w:rsidR="00B55FB1" w:rsidRPr="0068236B" w:rsidRDefault="00B55FB1" w:rsidP="00D24CEF">
            <w:pPr>
              <w:pStyle w:val="1209Bullets1"/>
              <w:widowControl/>
              <w:numPr>
                <w:ilvl w:val="0"/>
                <w:numId w:val="107"/>
              </w:numPr>
              <w:spacing w:before="0"/>
              <w:ind w:left="142" w:hanging="142"/>
              <w:jc w:val="left"/>
              <w:rPr>
                <w:rFonts w:ascii="Tahoma" w:hAnsi="Tahoma" w:cs="Tahoma"/>
                <w:color w:val="auto"/>
                <w:sz w:val="20"/>
              </w:rPr>
            </w:pPr>
            <w:r w:rsidRPr="0068236B">
              <w:rPr>
                <w:rFonts w:ascii="Tahoma" w:hAnsi="Tahoma" w:cs="Tahoma"/>
                <w:color w:val="auto"/>
                <w:sz w:val="20"/>
              </w:rPr>
              <w:t>Code of Conduct for Workers</w:t>
            </w:r>
          </w:p>
          <w:p w14:paraId="70F5B5B2" w14:textId="77777777" w:rsidR="00B55FB1" w:rsidRPr="0068236B" w:rsidRDefault="00B55FB1" w:rsidP="00D24CEF">
            <w:pPr>
              <w:pStyle w:val="1209Bullets1"/>
              <w:widowControl/>
              <w:numPr>
                <w:ilvl w:val="0"/>
                <w:numId w:val="107"/>
              </w:numPr>
              <w:spacing w:before="0"/>
              <w:ind w:left="142" w:hanging="142"/>
              <w:jc w:val="left"/>
              <w:rPr>
                <w:rFonts w:ascii="Tahoma" w:hAnsi="Tahoma" w:cs="Tahoma"/>
                <w:color w:val="auto"/>
                <w:sz w:val="20"/>
              </w:rPr>
            </w:pPr>
            <w:r w:rsidRPr="0068236B">
              <w:rPr>
                <w:rFonts w:ascii="Tahoma" w:hAnsi="Tahoma" w:cs="Tahoma"/>
                <w:color w:val="auto"/>
                <w:sz w:val="20"/>
              </w:rPr>
              <w:t>Occupational Health and Safety Plan</w:t>
            </w:r>
          </w:p>
          <w:p w14:paraId="78F5F630" w14:textId="77777777" w:rsidR="001A7D65" w:rsidRPr="0068236B" w:rsidRDefault="00B55FB1" w:rsidP="00D24CEF">
            <w:pPr>
              <w:pStyle w:val="1209Bullets1"/>
              <w:widowControl/>
              <w:numPr>
                <w:ilvl w:val="0"/>
                <w:numId w:val="107"/>
              </w:numPr>
              <w:spacing w:before="0"/>
              <w:ind w:left="142" w:hanging="142"/>
              <w:jc w:val="left"/>
              <w:rPr>
                <w:rFonts w:ascii="Tahoma" w:hAnsi="Tahoma" w:cs="Tahoma"/>
                <w:color w:val="auto"/>
                <w:sz w:val="20"/>
              </w:rPr>
            </w:pPr>
            <w:r w:rsidRPr="0068236B">
              <w:rPr>
                <w:rFonts w:ascii="Tahoma" w:hAnsi="Tahoma" w:cs="Tahoma"/>
                <w:color w:val="auto"/>
                <w:sz w:val="20"/>
              </w:rPr>
              <w:t>Grievance Mechanism for Workers</w:t>
            </w:r>
          </w:p>
          <w:p w14:paraId="0E83F6DA" w14:textId="0EF289B9" w:rsidR="00B55FB1" w:rsidRPr="0068236B" w:rsidRDefault="00B55FB1" w:rsidP="00D24CEF">
            <w:pPr>
              <w:pStyle w:val="1209Bullets1"/>
              <w:widowControl/>
              <w:numPr>
                <w:ilvl w:val="0"/>
                <w:numId w:val="107"/>
              </w:numPr>
              <w:spacing w:before="0"/>
              <w:ind w:left="142" w:hanging="142"/>
              <w:jc w:val="left"/>
              <w:rPr>
                <w:rFonts w:ascii="Tahoma" w:hAnsi="Tahoma" w:cs="Tahoma"/>
                <w:color w:val="auto"/>
                <w:sz w:val="20"/>
              </w:rPr>
            </w:pPr>
            <w:r w:rsidRPr="0068236B">
              <w:rPr>
                <w:rFonts w:ascii="Tahoma" w:hAnsi="Tahoma" w:cs="Tahoma"/>
                <w:color w:val="auto"/>
                <w:sz w:val="20"/>
              </w:rPr>
              <w:t>Emergency Preparedness and Response Plan</w:t>
            </w:r>
          </w:p>
        </w:tc>
        <w:tc>
          <w:tcPr>
            <w:tcW w:w="1392" w:type="dxa"/>
            <w:tcBorders>
              <w:right w:val="double" w:sz="4" w:space="0" w:color="auto"/>
            </w:tcBorders>
            <w:shd w:val="clear" w:color="auto" w:fill="auto"/>
          </w:tcPr>
          <w:p w14:paraId="77A1B6E6" w14:textId="77777777" w:rsidR="00B55FB1" w:rsidRPr="0068236B" w:rsidRDefault="00B55FB1" w:rsidP="00C56FE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cs="Tahoma"/>
                <w:b w:val="0"/>
                <w:color w:val="auto"/>
                <w:sz w:val="20"/>
                <w:szCs w:val="20"/>
              </w:rPr>
              <w:t>Neutral to minor</w:t>
            </w:r>
          </w:p>
        </w:tc>
      </w:tr>
      <w:tr w:rsidR="00BB421B" w:rsidRPr="0068236B" w14:paraId="0A74C0FB" w14:textId="77777777" w:rsidTr="007531FB">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2142D26B" w14:textId="77777777" w:rsidR="00B55FB1" w:rsidRPr="0068236B" w:rsidRDefault="00B55FB1" w:rsidP="00C56FEA">
            <w:pPr>
              <w:spacing w:before="0" w:after="0" w:line="240" w:lineRule="auto"/>
              <w:jc w:val="left"/>
              <w:rPr>
                <w:rFonts w:cs="Tahoma"/>
                <w:color w:val="auto"/>
                <w:sz w:val="20"/>
                <w:szCs w:val="20"/>
              </w:rPr>
            </w:pPr>
          </w:p>
        </w:tc>
        <w:tc>
          <w:tcPr>
            <w:tcW w:w="1247" w:type="dxa"/>
            <w:vMerge/>
            <w:tcBorders>
              <w:top w:val="single" w:sz="4" w:space="0" w:color="auto"/>
              <w:left w:val="single" w:sz="4" w:space="0" w:color="auto"/>
              <w:bottom w:val="single" w:sz="4" w:space="0" w:color="auto"/>
              <w:right w:val="single" w:sz="4" w:space="0" w:color="auto"/>
            </w:tcBorders>
            <w:shd w:val="clear" w:color="auto" w:fill="auto"/>
          </w:tcPr>
          <w:p w14:paraId="1B8F0B38" w14:textId="77777777" w:rsidR="00B55FB1" w:rsidRPr="0068236B" w:rsidRDefault="00B55FB1" w:rsidP="00C56FEA">
            <w:pPr>
              <w:spacing w:before="0" w:after="0" w:line="240" w:lineRule="auto"/>
              <w:rPr>
                <w:rFonts w:cs="Tahoma"/>
                <w:color w:val="auto"/>
                <w:sz w:val="20"/>
                <w:szCs w:val="20"/>
              </w:rPr>
            </w:pP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9AE2D99" w14:textId="7DE3CD2D" w:rsidR="00B55FB1" w:rsidRPr="0068236B" w:rsidRDefault="00B55FB1" w:rsidP="00C56FEA">
            <w:pPr>
              <w:pStyle w:val="TableParagraph"/>
              <w:ind w:right="110"/>
              <w:rPr>
                <w:rFonts w:ascii="Tahoma" w:hAnsi="Tahoma" w:cs="Tahoma"/>
                <w:color w:val="auto"/>
                <w:sz w:val="20"/>
                <w:szCs w:val="20"/>
              </w:rPr>
            </w:pPr>
            <w:r w:rsidRPr="0068236B">
              <w:rPr>
                <w:rFonts w:ascii="Tahoma" w:hAnsi="Tahoma" w:cs="Tahoma"/>
                <w:color w:val="auto"/>
                <w:sz w:val="20"/>
                <w:szCs w:val="20"/>
              </w:rPr>
              <w:t>Occupational health and s</w:t>
            </w:r>
            <w:r w:rsidR="00D663B6" w:rsidRPr="0068236B">
              <w:rPr>
                <w:rFonts w:ascii="Tahoma" w:hAnsi="Tahoma" w:cs="Tahoma"/>
                <w:color w:val="auto"/>
                <w:sz w:val="20"/>
                <w:szCs w:val="20"/>
              </w:rPr>
              <w:t>afety (e.g. working on height, e</w:t>
            </w:r>
            <w:r w:rsidRPr="0068236B">
              <w:rPr>
                <w:rFonts w:ascii="Tahoma" w:hAnsi="Tahoma" w:cs="Tahoma"/>
                <w:color w:val="auto"/>
                <w:sz w:val="20"/>
                <w:szCs w:val="20"/>
              </w:rPr>
              <w:t>lectrocution, etc.)</w:t>
            </w:r>
          </w:p>
          <w:p w14:paraId="0A1820A6" w14:textId="77777777" w:rsidR="00B55FB1" w:rsidRPr="0068236B" w:rsidRDefault="00B55FB1" w:rsidP="00C56FEA">
            <w:pPr>
              <w:spacing w:before="0" w:after="0" w:line="240" w:lineRule="auto"/>
              <w:jc w:val="left"/>
              <w:rPr>
                <w:rFonts w:cs="Tahoma"/>
                <w:color w:val="auto"/>
                <w:sz w:val="20"/>
                <w:szCs w:val="20"/>
              </w:rPr>
            </w:pP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5AA94084" w14:textId="77777777" w:rsidR="00B55FB1" w:rsidRPr="0068236B" w:rsidRDefault="00B55FB1" w:rsidP="00C56FE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cs="Tahoma"/>
                <w:b w:val="0"/>
                <w:color w:val="auto"/>
                <w:sz w:val="20"/>
                <w:szCs w:val="20"/>
              </w:rPr>
              <w:t xml:space="preserve">Moderate adverse </w:t>
            </w:r>
          </w:p>
        </w:tc>
        <w:tc>
          <w:tcPr>
            <w:tcW w:w="5884" w:type="dxa"/>
            <w:vMerge/>
            <w:tcBorders>
              <w:top w:val="single" w:sz="4" w:space="0" w:color="auto"/>
              <w:left w:val="single" w:sz="4" w:space="0" w:color="auto"/>
              <w:bottom w:val="single" w:sz="4" w:space="0" w:color="auto"/>
              <w:right w:val="single" w:sz="4" w:space="0" w:color="auto"/>
            </w:tcBorders>
            <w:shd w:val="clear" w:color="auto" w:fill="auto"/>
          </w:tcPr>
          <w:p w14:paraId="2A1CFB58" w14:textId="77777777" w:rsidR="00B55FB1" w:rsidRPr="0068236B" w:rsidRDefault="00B55FB1" w:rsidP="00C56FEA">
            <w:pPr>
              <w:spacing w:before="0" w:after="0" w:line="240" w:lineRule="auto"/>
              <w:rPr>
                <w:rFonts w:cs="Tahoma"/>
                <w:color w:val="auto"/>
                <w:sz w:val="20"/>
                <w:szCs w:val="20"/>
              </w:rPr>
            </w:pP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34E32E52" w14:textId="77777777" w:rsidR="00B55FB1" w:rsidRPr="0068236B" w:rsidRDefault="00B55FB1" w:rsidP="00C56FE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cs="Tahoma"/>
                <w:b w:val="0"/>
                <w:color w:val="auto"/>
                <w:sz w:val="20"/>
                <w:szCs w:val="20"/>
              </w:rPr>
              <w:t>Neutral to minor</w:t>
            </w:r>
          </w:p>
        </w:tc>
      </w:tr>
      <w:tr w:rsidR="00BB421B" w:rsidRPr="0068236B" w14:paraId="6A7BF335" w14:textId="77777777" w:rsidTr="00E3062F">
        <w:trPr>
          <w:cantSplit/>
          <w:jc w:val="center"/>
        </w:trPr>
        <w:tc>
          <w:tcPr>
            <w:tcW w:w="1188" w:type="dxa"/>
            <w:vMerge/>
            <w:tcBorders>
              <w:left w:val="double" w:sz="4" w:space="0" w:color="auto"/>
            </w:tcBorders>
            <w:shd w:val="clear" w:color="auto" w:fill="BFBFBF" w:themeFill="background1" w:themeFillShade="BF"/>
          </w:tcPr>
          <w:p w14:paraId="3C1C11B5" w14:textId="77777777" w:rsidR="00B55FB1" w:rsidRPr="0068236B" w:rsidRDefault="00B55FB1" w:rsidP="00C56FEA">
            <w:pPr>
              <w:spacing w:before="0" w:after="0" w:line="240" w:lineRule="auto"/>
              <w:jc w:val="left"/>
              <w:rPr>
                <w:rFonts w:cs="Tahoma"/>
                <w:color w:val="auto"/>
                <w:sz w:val="20"/>
                <w:szCs w:val="20"/>
              </w:rPr>
            </w:pPr>
          </w:p>
        </w:tc>
        <w:tc>
          <w:tcPr>
            <w:tcW w:w="1247" w:type="dxa"/>
            <w:vMerge/>
            <w:shd w:val="clear" w:color="auto" w:fill="auto"/>
          </w:tcPr>
          <w:p w14:paraId="1BE03342" w14:textId="77777777" w:rsidR="00B55FB1" w:rsidRPr="0068236B" w:rsidRDefault="00B55FB1" w:rsidP="00C56FEA">
            <w:pPr>
              <w:spacing w:before="0" w:after="0" w:line="240" w:lineRule="auto"/>
              <w:rPr>
                <w:rFonts w:cs="Tahoma"/>
                <w:color w:val="auto"/>
                <w:sz w:val="20"/>
                <w:szCs w:val="20"/>
              </w:rPr>
            </w:pPr>
          </w:p>
        </w:tc>
        <w:tc>
          <w:tcPr>
            <w:tcW w:w="4222" w:type="dxa"/>
            <w:shd w:val="clear" w:color="auto" w:fill="auto"/>
          </w:tcPr>
          <w:p w14:paraId="031B310A" w14:textId="77777777" w:rsidR="00B55FB1" w:rsidRPr="0068236B" w:rsidRDefault="00B55FB1" w:rsidP="00C56FEA">
            <w:pPr>
              <w:pStyle w:val="TableParagraph"/>
              <w:ind w:right="110"/>
              <w:rPr>
                <w:rFonts w:ascii="Tahoma" w:hAnsi="Tahoma" w:cs="Tahoma"/>
                <w:color w:val="auto"/>
                <w:sz w:val="20"/>
                <w:szCs w:val="20"/>
              </w:rPr>
            </w:pPr>
            <w:r w:rsidRPr="0068236B">
              <w:rPr>
                <w:rFonts w:ascii="Tahoma" w:hAnsi="Tahoma" w:cs="Tahoma"/>
                <w:color w:val="auto"/>
                <w:sz w:val="20"/>
                <w:szCs w:val="20"/>
              </w:rPr>
              <w:t xml:space="preserve">Workers’ accommodation </w:t>
            </w:r>
          </w:p>
        </w:tc>
        <w:tc>
          <w:tcPr>
            <w:tcW w:w="1949" w:type="dxa"/>
            <w:shd w:val="clear" w:color="auto" w:fill="auto"/>
          </w:tcPr>
          <w:p w14:paraId="4534F9BD" w14:textId="77777777" w:rsidR="00B55FB1" w:rsidRPr="0068236B" w:rsidRDefault="00B55FB1" w:rsidP="00C56FE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cs="Tahoma"/>
                <w:b w:val="0"/>
                <w:color w:val="auto"/>
                <w:sz w:val="20"/>
                <w:szCs w:val="20"/>
              </w:rPr>
              <w:t>Minor adverse</w:t>
            </w:r>
          </w:p>
        </w:tc>
        <w:tc>
          <w:tcPr>
            <w:tcW w:w="5884" w:type="dxa"/>
            <w:vMerge/>
            <w:shd w:val="clear" w:color="auto" w:fill="auto"/>
          </w:tcPr>
          <w:p w14:paraId="1C5DAED7" w14:textId="77777777" w:rsidR="00B55FB1" w:rsidRPr="0068236B" w:rsidRDefault="00B55FB1" w:rsidP="00C56FEA">
            <w:pPr>
              <w:spacing w:before="0" w:after="0" w:line="240" w:lineRule="auto"/>
              <w:rPr>
                <w:rFonts w:cs="Tahoma"/>
                <w:color w:val="auto"/>
                <w:sz w:val="20"/>
                <w:szCs w:val="20"/>
              </w:rPr>
            </w:pPr>
          </w:p>
        </w:tc>
        <w:tc>
          <w:tcPr>
            <w:tcW w:w="1392" w:type="dxa"/>
            <w:tcBorders>
              <w:right w:val="double" w:sz="4" w:space="0" w:color="auto"/>
            </w:tcBorders>
            <w:shd w:val="clear" w:color="auto" w:fill="auto"/>
          </w:tcPr>
          <w:p w14:paraId="51093D27" w14:textId="438022C6" w:rsidR="00B55FB1" w:rsidRPr="0068236B" w:rsidRDefault="00B55FB1" w:rsidP="001A7D65">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cs="Tahoma"/>
                <w:b w:val="0"/>
                <w:color w:val="auto"/>
                <w:sz w:val="20"/>
                <w:szCs w:val="20"/>
              </w:rPr>
              <w:t xml:space="preserve">Neutral </w:t>
            </w:r>
          </w:p>
        </w:tc>
      </w:tr>
      <w:tr w:rsidR="00BB421B" w:rsidRPr="0068236B" w14:paraId="0F8E48F5" w14:textId="77777777" w:rsidTr="007531FB">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302E23A1" w14:textId="77777777" w:rsidR="00B55FB1" w:rsidRPr="0068236B" w:rsidRDefault="00B55FB1" w:rsidP="00C56FEA">
            <w:pPr>
              <w:spacing w:before="0" w:after="0" w:line="240" w:lineRule="auto"/>
              <w:jc w:val="left"/>
              <w:rPr>
                <w:rFonts w:cs="Tahoma"/>
                <w:color w:val="auto"/>
                <w:sz w:val="20"/>
                <w:szCs w:val="20"/>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75199620"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Operation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71A14421" w14:textId="77777777" w:rsidR="00B55FB1" w:rsidRPr="0068236B" w:rsidRDefault="00B55FB1" w:rsidP="00D24CEF">
            <w:pPr>
              <w:pStyle w:val="ListParagraph"/>
              <w:numPr>
                <w:ilvl w:val="0"/>
                <w:numId w:val="107"/>
              </w:numPr>
              <w:spacing w:before="0" w:after="0" w:line="240" w:lineRule="auto"/>
              <w:ind w:left="142" w:hanging="142"/>
              <w:contextualSpacing w:val="0"/>
              <w:jc w:val="left"/>
              <w:rPr>
                <w:rFonts w:cs="Tahoma"/>
                <w:color w:val="auto"/>
                <w:sz w:val="20"/>
                <w:szCs w:val="20"/>
              </w:rPr>
            </w:pPr>
            <w:r w:rsidRPr="0068236B">
              <w:rPr>
                <w:rFonts w:cs="Tahoma"/>
                <w:color w:val="auto"/>
                <w:sz w:val="20"/>
                <w:szCs w:val="20"/>
              </w:rPr>
              <w:t>Labour and Working Conditions</w:t>
            </w:r>
          </w:p>
          <w:p w14:paraId="52BFA597" w14:textId="77777777" w:rsidR="00B55FB1" w:rsidRPr="0068236B" w:rsidRDefault="00B55FB1" w:rsidP="00D24CEF">
            <w:pPr>
              <w:pStyle w:val="ListParagraph"/>
              <w:numPr>
                <w:ilvl w:val="0"/>
                <w:numId w:val="107"/>
              </w:numPr>
              <w:spacing w:before="0" w:after="0" w:line="240" w:lineRule="auto"/>
              <w:ind w:left="142" w:hanging="142"/>
              <w:contextualSpacing w:val="0"/>
              <w:jc w:val="left"/>
              <w:rPr>
                <w:rFonts w:cs="Tahoma"/>
                <w:color w:val="auto"/>
                <w:sz w:val="20"/>
                <w:szCs w:val="20"/>
              </w:rPr>
            </w:pPr>
            <w:r w:rsidRPr="0068236B">
              <w:rPr>
                <w:rFonts w:cs="Tahoma"/>
                <w:color w:val="auto"/>
                <w:sz w:val="20"/>
                <w:szCs w:val="20"/>
              </w:rPr>
              <w:t>Occupational Health and Safety (e.g. electr</w:t>
            </w:r>
            <w:r w:rsidRPr="0068236B">
              <w:rPr>
                <w:rFonts w:cs="Tahoma"/>
                <w:color w:val="auto"/>
                <w:sz w:val="20"/>
                <w:szCs w:val="20"/>
              </w:rPr>
              <w:t>o</w:t>
            </w:r>
            <w:r w:rsidRPr="0068236B">
              <w:rPr>
                <w:rFonts w:cs="Tahoma"/>
                <w:color w:val="auto"/>
                <w:sz w:val="20"/>
                <w:szCs w:val="20"/>
              </w:rPr>
              <w:t>cution from the energised conductors)</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1D407896" w14:textId="77777777" w:rsidR="00B55FB1" w:rsidRPr="0068236B" w:rsidRDefault="00B55FB1" w:rsidP="00C56FE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eastAsia="SimSun" w:cs="Tahoma"/>
                <w:b w:val="0"/>
                <w:bCs w:val="0"/>
                <w:color w:val="auto"/>
                <w:sz w:val="20"/>
                <w:szCs w:val="20"/>
              </w:rPr>
              <w:t>Moderate adverse</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4D5EC717" w14:textId="77777777" w:rsidR="00B55FB1" w:rsidRPr="0068236B" w:rsidRDefault="00B55FB1" w:rsidP="00C56FEA">
            <w:pPr>
              <w:pStyle w:val="1209Heading3"/>
              <w:spacing w:before="0" w:line="240" w:lineRule="auto"/>
              <w:rPr>
                <w:rFonts w:ascii="Tahoma" w:hAnsi="Tahoma" w:cs="Tahoma"/>
                <w:b w:val="0"/>
                <w:sz w:val="20"/>
                <w:szCs w:val="20"/>
              </w:rPr>
            </w:pPr>
            <w:r w:rsidRPr="0068236B">
              <w:rPr>
                <w:rFonts w:ascii="Tahoma" w:hAnsi="Tahoma" w:cs="Tahoma"/>
                <w:b w:val="0"/>
                <w:sz w:val="20"/>
                <w:szCs w:val="20"/>
              </w:rPr>
              <w:t xml:space="preserve">Environmental and Social Management System </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4808AAD3" w14:textId="77777777" w:rsidR="00B55FB1" w:rsidRPr="0068236B" w:rsidRDefault="00B55FB1" w:rsidP="00C56FE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cs="Tahoma"/>
                <w:b w:val="0"/>
                <w:color w:val="auto"/>
                <w:sz w:val="20"/>
                <w:szCs w:val="20"/>
              </w:rPr>
              <w:t>Neutral to minor</w:t>
            </w:r>
          </w:p>
        </w:tc>
      </w:tr>
      <w:tr w:rsidR="00BB421B" w:rsidRPr="0068236B" w14:paraId="359CD4C7" w14:textId="77777777" w:rsidTr="00E3062F">
        <w:trPr>
          <w:cantSplit/>
          <w:jc w:val="center"/>
        </w:trPr>
        <w:tc>
          <w:tcPr>
            <w:tcW w:w="1188" w:type="dxa"/>
            <w:vMerge w:val="restart"/>
            <w:tcBorders>
              <w:left w:val="double" w:sz="4" w:space="0" w:color="auto"/>
            </w:tcBorders>
            <w:shd w:val="clear" w:color="auto" w:fill="BFBFBF" w:themeFill="background1" w:themeFillShade="BF"/>
          </w:tcPr>
          <w:p w14:paraId="60918C7C" w14:textId="77777777" w:rsidR="00B55FB1" w:rsidRPr="0068236B" w:rsidRDefault="00B55FB1" w:rsidP="00C56FEA">
            <w:pPr>
              <w:spacing w:before="0" w:after="0" w:line="240" w:lineRule="auto"/>
              <w:jc w:val="left"/>
              <w:rPr>
                <w:rFonts w:cs="Tahoma"/>
                <w:color w:val="auto"/>
                <w:sz w:val="20"/>
                <w:szCs w:val="20"/>
              </w:rPr>
            </w:pPr>
            <w:r w:rsidRPr="0068236B">
              <w:rPr>
                <w:rFonts w:cs="Tahoma"/>
                <w:bCs/>
                <w:color w:val="auto"/>
                <w:sz w:val="20"/>
                <w:szCs w:val="20"/>
              </w:rPr>
              <w:lastRenderedPageBreak/>
              <w:t>Community</w:t>
            </w:r>
          </w:p>
        </w:tc>
        <w:tc>
          <w:tcPr>
            <w:tcW w:w="1247" w:type="dxa"/>
            <w:shd w:val="clear" w:color="auto" w:fill="auto"/>
          </w:tcPr>
          <w:p w14:paraId="4AC754B3" w14:textId="77777777" w:rsidR="00B55FB1" w:rsidRPr="0068236B" w:rsidRDefault="00B55FB1" w:rsidP="00C56FEA">
            <w:pPr>
              <w:spacing w:before="0" w:after="0" w:line="240" w:lineRule="auto"/>
              <w:rPr>
                <w:rFonts w:cs="Tahoma"/>
                <w:color w:val="auto"/>
                <w:sz w:val="20"/>
                <w:szCs w:val="20"/>
              </w:rPr>
            </w:pPr>
            <w:r w:rsidRPr="0068236B">
              <w:rPr>
                <w:rFonts w:cs="Tahoma"/>
                <w:bCs/>
                <w:color w:val="auto"/>
                <w:sz w:val="20"/>
                <w:szCs w:val="20"/>
              </w:rPr>
              <w:t>Construction</w:t>
            </w:r>
          </w:p>
        </w:tc>
        <w:tc>
          <w:tcPr>
            <w:tcW w:w="4222" w:type="dxa"/>
            <w:shd w:val="clear" w:color="auto" w:fill="auto"/>
          </w:tcPr>
          <w:p w14:paraId="5C094732" w14:textId="77777777" w:rsidR="00B55FB1" w:rsidRPr="0068236B" w:rsidRDefault="00B55FB1" w:rsidP="00C56FEA">
            <w:pPr>
              <w:spacing w:before="0" w:after="0" w:line="240" w:lineRule="auto"/>
              <w:jc w:val="left"/>
              <w:rPr>
                <w:rFonts w:cs="Tahoma"/>
                <w:bCs/>
                <w:color w:val="auto"/>
                <w:sz w:val="20"/>
                <w:szCs w:val="20"/>
              </w:rPr>
            </w:pPr>
            <w:r w:rsidRPr="0068236B">
              <w:rPr>
                <w:rFonts w:cs="Tahoma"/>
                <w:bCs/>
                <w:color w:val="auto"/>
                <w:sz w:val="20"/>
                <w:szCs w:val="20"/>
              </w:rPr>
              <w:t>Community health and safety</w:t>
            </w:r>
          </w:p>
          <w:p w14:paraId="6AFD1FC7" w14:textId="77777777" w:rsidR="00B55FB1" w:rsidRPr="0068236B" w:rsidRDefault="00B55FB1" w:rsidP="00D24CEF">
            <w:pPr>
              <w:pStyle w:val="ListParagraph"/>
              <w:numPr>
                <w:ilvl w:val="0"/>
                <w:numId w:val="105"/>
              </w:numPr>
              <w:spacing w:before="0" w:after="0" w:line="240" w:lineRule="auto"/>
              <w:ind w:left="142" w:hanging="142"/>
              <w:contextualSpacing w:val="0"/>
              <w:jc w:val="left"/>
              <w:rPr>
                <w:rFonts w:cs="Tahoma"/>
                <w:bCs/>
                <w:color w:val="auto"/>
                <w:sz w:val="20"/>
                <w:szCs w:val="20"/>
              </w:rPr>
            </w:pPr>
            <w:r w:rsidRPr="0068236B">
              <w:rPr>
                <w:rFonts w:cs="Tahoma"/>
                <w:color w:val="auto"/>
                <w:sz w:val="20"/>
                <w:szCs w:val="20"/>
                <w:lang w:eastAsia="en-US"/>
              </w:rPr>
              <w:t>Construction traffic risks</w:t>
            </w:r>
          </w:p>
          <w:p w14:paraId="0BB9149A" w14:textId="77777777" w:rsidR="00B55FB1" w:rsidRPr="0068236B" w:rsidRDefault="00B55FB1" w:rsidP="00D24CEF">
            <w:pPr>
              <w:pStyle w:val="ListParagraph"/>
              <w:numPr>
                <w:ilvl w:val="0"/>
                <w:numId w:val="105"/>
              </w:numPr>
              <w:spacing w:before="0" w:after="0" w:line="240" w:lineRule="auto"/>
              <w:ind w:left="142" w:hanging="142"/>
              <w:contextualSpacing w:val="0"/>
              <w:jc w:val="left"/>
              <w:rPr>
                <w:rFonts w:cs="Tahoma"/>
                <w:bCs/>
                <w:color w:val="auto"/>
                <w:sz w:val="20"/>
                <w:szCs w:val="20"/>
              </w:rPr>
            </w:pPr>
            <w:r w:rsidRPr="0068236B">
              <w:rPr>
                <w:rFonts w:cs="Tahoma"/>
                <w:color w:val="auto"/>
                <w:sz w:val="20"/>
                <w:szCs w:val="20"/>
                <w:lang w:eastAsia="en-US"/>
              </w:rPr>
              <w:t>Safety risks</w:t>
            </w:r>
          </w:p>
          <w:p w14:paraId="5657FC6F" w14:textId="77777777" w:rsidR="00B55FB1" w:rsidRPr="0068236B" w:rsidRDefault="00B55FB1" w:rsidP="00D24CEF">
            <w:pPr>
              <w:pStyle w:val="ListParagraph"/>
              <w:numPr>
                <w:ilvl w:val="0"/>
                <w:numId w:val="105"/>
              </w:numPr>
              <w:spacing w:before="0" w:after="0" w:line="240" w:lineRule="auto"/>
              <w:ind w:left="142" w:hanging="142"/>
              <w:contextualSpacing w:val="0"/>
              <w:jc w:val="left"/>
              <w:rPr>
                <w:rFonts w:cs="Tahoma"/>
                <w:bCs/>
                <w:color w:val="auto"/>
                <w:sz w:val="20"/>
                <w:szCs w:val="20"/>
              </w:rPr>
            </w:pPr>
            <w:r w:rsidRPr="0068236B">
              <w:rPr>
                <w:rFonts w:cs="Tahoma"/>
                <w:color w:val="auto"/>
                <w:sz w:val="20"/>
                <w:szCs w:val="20"/>
                <w:lang w:eastAsia="en-US"/>
              </w:rPr>
              <w:t>Workers influx</w:t>
            </w:r>
          </w:p>
        </w:tc>
        <w:tc>
          <w:tcPr>
            <w:tcW w:w="1949" w:type="dxa"/>
            <w:shd w:val="clear" w:color="auto" w:fill="auto"/>
          </w:tcPr>
          <w:p w14:paraId="087C19C6" w14:textId="3DC1242F" w:rsidR="00B55FB1" w:rsidRPr="0068236B" w:rsidRDefault="00E84B0E" w:rsidP="00E84B0E">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cs="Tahoma"/>
                <w:b w:val="0"/>
                <w:color w:val="auto"/>
                <w:sz w:val="20"/>
                <w:szCs w:val="20"/>
              </w:rPr>
              <w:t>Minor to m</w:t>
            </w:r>
            <w:r w:rsidR="00B55FB1" w:rsidRPr="0068236B">
              <w:rPr>
                <w:rFonts w:cs="Tahoma"/>
                <w:b w:val="0"/>
                <w:color w:val="auto"/>
                <w:sz w:val="20"/>
                <w:szCs w:val="20"/>
              </w:rPr>
              <w:t>oderate adverse</w:t>
            </w:r>
          </w:p>
        </w:tc>
        <w:tc>
          <w:tcPr>
            <w:tcW w:w="5884" w:type="dxa"/>
            <w:shd w:val="clear" w:color="auto" w:fill="auto"/>
          </w:tcPr>
          <w:p w14:paraId="1BF5868A" w14:textId="77777777" w:rsidR="00B55FB1" w:rsidRPr="0068236B" w:rsidRDefault="00B55FB1" w:rsidP="00C56FEA">
            <w:pPr>
              <w:pStyle w:val="1209Bullets1"/>
              <w:widowControl/>
              <w:numPr>
                <w:ilvl w:val="0"/>
                <w:numId w:val="0"/>
              </w:numPr>
              <w:spacing w:before="0"/>
              <w:jc w:val="left"/>
              <w:rPr>
                <w:rFonts w:ascii="Tahoma" w:hAnsi="Tahoma" w:cs="Tahoma"/>
                <w:color w:val="auto"/>
                <w:sz w:val="20"/>
              </w:rPr>
            </w:pPr>
            <w:r w:rsidRPr="0068236B">
              <w:rPr>
                <w:rFonts w:ascii="Tahoma" w:hAnsi="Tahoma" w:cs="Tahoma"/>
                <w:color w:val="auto"/>
                <w:sz w:val="20"/>
              </w:rPr>
              <w:t>Package of management procedures and plans, e.g.:</w:t>
            </w:r>
          </w:p>
          <w:p w14:paraId="35372C28" w14:textId="77777777" w:rsidR="00B55FB1" w:rsidRPr="0068236B" w:rsidRDefault="00B55FB1" w:rsidP="00D24CEF">
            <w:pPr>
              <w:pStyle w:val="1209Bullets1"/>
              <w:widowControl/>
              <w:numPr>
                <w:ilvl w:val="0"/>
                <w:numId w:val="106"/>
              </w:numPr>
              <w:tabs>
                <w:tab w:val="clear" w:pos="2350"/>
                <w:tab w:val="num" w:pos="142"/>
              </w:tabs>
              <w:spacing w:before="0"/>
              <w:ind w:left="142" w:hanging="142"/>
              <w:jc w:val="left"/>
              <w:rPr>
                <w:rFonts w:ascii="Tahoma" w:hAnsi="Tahoma" w:cs="Tahoma"/>
                <w:color w:val="auto"/>
                <w:sz w:val="20"/>
              </w:rPr>
            </w:pPr>
            <w:r w:rsidRPr="0068236B">
              <w:rPr>
                <w:rFonts w:ascii="Tahoma" w:hAnsi="Tahoma" w:cs="Tahoma"/>
                <w:color w:val="auto"/>
                <w:sz w:val="20"/>
              </w:rPr>
              <w:t>Code of Conduct for Workers</w:t>
            </w:r>
          </w:p>
          <w:p w14:paraId="20A5D413" w14:textId="77777777" w:rsidR="00B55FB1" w:rsidRPr="0068236B" w:rsidRDefault="00B55FB1" w:rsidP="00D24CEF">
            <w:pPr>
              <w:pStyle w:val="1209Bullets1"/>
              <w:widowControl/>
              <w:numPr>
                <w:ilvl w:val="0"/>
                <w:numId w:val="106"/>
              </w:numPr>
              <w:tabs>
                <w:tab w:val="clear" w:pos="2350"/>
                <w:tab w:val="num" w:pos="142"/>
              </w:tabs>
              <w:spacing w:before="0"/>
              <w:ind w:left="142" w:hanging="142"/>
              <w:jc w:val="left"/>
              <w:rPr>
                <w:rFonts w:ascii="Tahoma" w:hAnsi="Tahoma" w:cs="Tahoma"/>
                <w:color w:val="auto"/>
                <w:sz w:val="20"/>
              </w:rPr>
            </w:pPr>
            <w:r w:rsidRPr="0068236B">
              <w:rPr>
                <w:rFonts w:ascii="Tahoma" w:hAnsi="Tahoma" w:cs="Tahoma"/>
                <w:color w:val="auto"/>
                <w:sz w:val="20"/>
              </w:rPr>
              <w:t>Community Health, Safety and Security Plan</w:t>
            </w:r>
          </w:p>
          <w:p w14:paraId="14C592B4" w14:textId="77777777" w:rsidR="00B55FB1" w:rsidRPr="0068236B" w:rsidRDefault="00B55FB1" w:rsidP="00D24CEF">
            <w:pPr>
              <w:pStyle w:val="1209Bullets1"/>
              <w:widowControl/>
              <w:numPr>
                <w:ilvl w:val="0"/>
                <w:numId w:val="106"/>
              </w:numPr>
              <w:tabs>
                <w:tab w:val="clear" w:pos="2350"/>
                <w:tab w:val="num" w:pos="142"/>
              </w:tabs>
              <w:spacing w:before="0"/>
              <w:ind w:left="142" w:hanging="142"/>
              <w:jc w:val="left"/>
              <w:rPr>
                <w:rFonts w:ascii="Tahoma" w:hAnsi="Tahoma" w:cs="Tahoma"/>
                <w:color w:val="auto"/>
                <w:sz w:val="20"/>
              </w:rPr>
            </w:pPr>
            <w:r w:rsidRPr="0068236B">
              <w:rPr>
                <w:rFonts w:ascii="Tahoma" w:hAnsi="Tahoma" w:cs="Tahoma"/>
                <w:color w:val="auto"/>
                <w:sz w:val="20"/>
              </w:rPr>
              <w:t>Traffic Management Plan</w:t>
            </w:r>
          </w:p>
          <w:p w14:paraId="42A933B7" w14:textId="77777777" w:rsidR="001A7D65" w:rsidRPr="0068236B" w:rsidRDefault="00B55FB1" w:rsidP="00D24CEF">
            <w:pPr>
              <w:pStyle w:val="1209Bullets1"/>
              <w:widowControl/>
              <w:numPr>
                <w:ilvl w:val="0"/>
                <w:numId w:val="106"/>
              </w:numPr>
              <w:tabs>
                <w:tab w:val="clear" w:pos="2350"/>
                <w:tab w:val="num" w:pos="142"/>
              </w:tabs>
              <w:spacing w:before="0"/>
              <w:ind w:left="142" w:hanging="142"/>
              <w:jc w:val="left"/>
              <w:rPr>
                <w:rFonts w:ascii="Tahoma" w:hAnsi="Tahoma" w:cs="Tahoma"/>
                <w:color w:val="auto"/>
                <w:sz w:val="20"/>
              </w:rPr>
            </w:pPr>
            <w:r w:rsidRPr="0068236B">
              <w:rPr>
                <w:rFonts w:ascii="Tahoma" w:hAnsi="Tahoma" w:cs="Tahoma"/>
                <w:color w:val="auto"/>
                <w:sz w:val="20"/>
              </w:rPr>
              <w:t>Emergency Preparedness and Response Plan</w:t>
            </w:r>
          </w:p>
          <w:p w14:paraId="09058BC9" w14:textId="16BFCC40" w:rsidR="00B55FB1" w:rsidRPr="0068236B" w:rsidRDefault="00B55FB1" w:rsidP="00D24CEF">
            <w:pPr>
              <w:pStyle w:val="1209Bullets1"/>
              <w:widowControl/>
              <w:numPr>
                <w:ilvl w:val="0"/>
                <w:numId w:val="106"/>
              </w:numPr>
              <w:tabs>
                <w:tab w:val="clear" w:pos="2350"/>
                <w:tab w:val="num" w:pos="142"/>
              </w:tabs>
              <w:spacing w:before="0"/>
              <w:ind w:left="142" w:hanging="142"/>
              <w:jc w:val="left"/>
              <w:rPr>
                <w:rFonts w:ascii="Tahoma" w:hAnsi="Tahoma" w:cs="Tahoma"/>
                <w:color w:val="auto"/>
                <w:sz w:val="20"/>
              </w:rPr>
            </w:pPr>
            <w:r w:rsidRPr="0068236B">
              <w:rPr>
                <w:rFonts w:ascii="Tahoma" w:hAnsi="Tahoma" w:cs="Tahoma"/>
                <w:color w:val="auto"/>
                <w:sz w:val="20"/>
              </w:rPr>
              <w:t>Stakeholder Engagement Plan</w:t>
            </w:r>
            <w:r w:rsidR="003F6E71" w:rsidRPr="0068236B">
              <w:rPr>
                <w:rFonts w:ascii="Tahoma" w:hAnsi="Tahoma" w:cs="Tahoma"/>
                <w:color w:val="auto"/>
                <w:sz w:val="20"/>
              </w:rPr>
              <w:t xml:space="preserve"> </w:t>
            </w:r>
            <w:r w:rsidR="003F6E71" w:rsidRPr="0068236B">
              <w:rPr>
                <w:rFonts w:ascii="Tahoma" w:hAnsi="Tahoma" w:cs="Tahoma"/>
                <w:color w:val="auto"/>
                <w:sz w:val="20"/>
                <w:lang w:eastAsia="en-US"/>
              </w:rPr>
              <w:t>(prepared in the scope of this assessment)</w:t>
            </w:r>
          </w:p>
        </w:tc>
        <w:tc>
          <w:tcPr>
            <w:tcW w:w="1392" w:type="dxa"/>
            <w:tcBorders>
              <w:right w:val="double" w:sz="4" w:space="0" w:color="auto"/>
            </w:tcBorders>
            <w:shd w:val="clear" w:color="auto" w:fill="auto"/>
          </w:tcPr>
          <w:p w14:paraId="34D04967" w14:textId="77777777" w:rsidR="00B55FB1" w:rsidRPr="0068236B" w:rsidRDefault="00B55FB1" w:rsidP="00C56FE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cs="Tahoma"/>
                <w:b w:val="0"/>
                <w:color w:val="auto"/>
                <w:sz w:val="20"/>
                <w:szCs w:val="20"/>
              </w:rPr>
              <w:t>Minor</w:t>
            </w:r>
          </w:p>
        </w:tc>
      </w:tr>
      <w:tr w:rsidR="00BB421B" w:rsidRPr="0068236B" w14:paraId="64A4F5A8" w14:textId="77777777" w:rsidTr="007531FB">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single" w:sz="4" w:space="0" w:color="auto"/>
              <w:right w:val="single" w:sz="4" w:space="0" w:color="auto"/>
            </w:tcBorders>
            <w:shd w:val="clear" w:color="auto" w:fill="BFBFBF" w:themeFill="background1" w:themeFillShade="BF"/>
          </w:tcPr>
          <w:p w14:paraId="5C9BA065" w14:textId="77777777" w:rsidR="00B55FB1" w:rsidRPr="0068236B" w:rsidRDefault="00B55FB1" w:rsidP="00C56FEA">
            <w:pPr>
              <w:spacing w:before="0" w:after="0" w:line="240" w:lineRule="auto"/>
              <w:jc w:val="left"/>
              <w:rPr>
                <w:rFonts w:cs="Tahoma"/>
                <w:color w:val="auto"/>
                <w:sz w:val="20"/>
                <w:szCs w:val="20"/>
              </w:rPr>
            </w:pP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5965352E"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Operation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AB61488" w14:textId="77777777" w:rsidR="00B55FB1" w:rsidRPr="0068236B" w:rsidRDefault="00B55FB1" w:rsidP="00C56FEA">
            <w:pPr>
              <w:spacing w:before="0" w:after="0" w:line="240" w:lineRule="auto"/>
              <w:jc w:val="left"/>
              <w:rPr>
                <w:rFonts w:cs="Tahoma"/>
                <w:bCs/>
                <w:color w:val="auto"/>
                <w:sz w:val="20"/>
                <w:szCs w:val="20"/>
              </w:rPr>
            </w:pPr>
            <w:r w:rsidRPr="0068236B">
              <w:rPr>
                <w:rFonts w:cs="Tahoma"/>
                <w:bCs/>
                <w:color w:val="auto"/>
                <w:sz w:val="20"/>
                <w:szCs w:val="20"/>
              </w:rPr>
              <w:t>Community health and safety</w:t>
            </w:r>
          </w:p>
          <w:p w14:paraId="563E71AF" w14:textId="77777777" w:rsidR="00B55FB1" w:rsidRPr="0068236B" w:rsidRDefault="00B55FB1" w:rsidP="00D24CEF">
            <w:pPr>
              <w:pStyle w:val="ListParagraph"/>
              <w:numPr>
                <w:ilvl w:val="0"/>
                <w:numId w:val="106"/>
              </w:numPr>
              <w:tabs>
                <w:tab w:val="clear" w:pos="2350"/>
                <w:tab w:val="num" w:pos="142"/>
              </w:tabs>
              <w:spacing w:before="0" w:after="0" w:line="240" w:lineRule="auto"/>
              <w:ind w:left="142" w:hanging="142"/>
              <w:contextualSpacing w:val="0"/>
              <w:jc w:val="left"/>
              <w:rPr>
                <w:rFonts w:cs="Tahoma"/>
                <w:color w:val="auto"/>
                <w:sz w:val="20"/>
                <w:szCs w:val="20"/>
              </w:rPr>
            </w:pPr>
            <w:r w:rsidRPr="0068236B">
              <w:rPr>
                <w:rFonts w:cs="Tahoma"/>
                <w:color w:val="auto"/>
                <w:sz w:val="20"/>
                <w:szCs w:val="20"/>
              </w:rPr>
              <w:t>Public Exposure to Electro-Magnetic Radi</w:t>
            </w:r>
            <w:r w:rsidRPr="0068236B">
              <w:rPr>
                <w:rFonts w:cs="Tahoma"/>
                <w:color w:val="auto"/>
                <w:sz w:val="20"/>
                <w:szCs w:val="20"/>
              </w:rPr>
              <w:t>a</w:t>
            </w:r>
            <w:r w:rsidRPr="0068236B">
              <w:rPr>
                <w:rFonts w:cs="Tahoma"/>
                <w:color w:val="auto"/>
                <w:sz w:val="20"/>
                <w:szCs w:val="20"/>
              </w:rPr>
              <w:t>tion</w:t>
            </w:r>
            <w:r w:rsidRPr="0068236B">
              <w:rPr>
                <w:rFonts w:cs="Tahoma"/>
                <w:color w:val="auto"/>
                <w:sz w:val="20"/>
                <w:szCs w:val="20"/>
                <w:lang w:eastAsia="en-US"/>
              </w:rPr>
              <w:t xml:space="preserve"> </w:t>
            </w:r>
          </w:p>
          <w:p w14:paraId="349C1CF8" w14:textId="77777777" w:rsidR="00B55FB1" w:rsidRPr="0068236B" w:rsidRDefault="00B55FB1" w:rsidP="00D24CEF">
            <w:pPr>
              <w:pStyle w:val="ListParagraph"/>
              <w:numPr>
                <w:ilvl w:val="0"/>
                <w:numId w:val="106"/>
              </w:numPr>
              <w:tabs>
                <w:tab w:val="clear" w:pos="2350"/>
                <w:tab w:val="num" w:pos="142"/>
              </w:tabs>
              <w:spacing w:before="0" w:after="0" w:line="240" w:lineRule="auto"/>
              <w:ind w:left="142" w:hanging="142"/>
              <w:contextualSpacing w:val="0"/>
              <w:jc w:val="left"/>
              <w:rPr>
                <w:rFonts w:cs="Tahoma"/>
                <w:color w:val="auto"/>
                <w:sz w:val="20"/>
                <w:szCs w:val="20"/>
              </w:rPr>
            </w:pPr>
            <w:r w:rsidRPr="0068236B">
              <w:rPr>
                <w:rFonts w:cs="Tahoma"/>
                <w:color w:val="auto"/>
                <w:sz w:val="20"/>
                <w:szCs w:val="20"/>
                <w:lang w:eastAsia="en-US"/>
              </w:rPr>
              <w:t>Operational risks</w:t>
            </w:r>
          </w:p>
          <w:p w14:paraId="64101A20" w14:textId="77777777" w:rsidR="00B55FB1" w:rsidRPr="0068236B" w:rsidRDefault="00B55FB1" w:rsidP="00C56FEA">
            <w:pPr>
              <w:pStyle w:val="ListParagraph"/>
              <w:spacing w:before="0" w:after="0" w:line="240" w:lineRule="auto"/>
              <w:ind w:left="142"/>
              <w:contextualSpacing w:val="0"/>
              <w:jc w:val="left"/>
              <w:rPr>
                <w:rFonts w:cs="Tahoma"/>
                <w:color w:val="auto"/>
                <w:sz w:val="20"/>
                <w:szCs w:val="20"/>
              </w:rPr>
            </w:pP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58C73B21" w14:textId="77777777" w:rsidR="00B55FB1" w:rsidRPr="0068236B" w:rsidRDefault="00B55FB1" w:rsidP="00C56FE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cs="Tahoma"/>
                <w:b w:val="0"/>
                <w:color w:val="auto"/>
                <w:sz w:val="20"/>
                <w:szCs w:val="20"/>
              </w:rPr>
              <w:t>Minor to moderate adverse</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6E344457"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Electric and magnetic fields - design-based measures through the further design of the Project:</w:t>
            </w:r>
          </w:p>
          <w:p w14:paraId="5AC2AB5D" w14:textId="60866986" w:rsidR="00B55FB1" w:rsidRPr="0068236B" w:rsidRDefault="00B55FB1" w:rsidP="00D24CEF">
            <w:pPr>
              <w:pStyle w:val="ListBullet2"/>
              <w:numPr>
                <w:ilvl w:val="1"/>
                <w:numId w:val="109"/>
              </w:numPr>
              <w:tabs>
                <w:tab w:val="clear" w:pos="1134"/>
                <w:tab w:val="num" w:pos="161"/>
              </w:tabs>
              <w:spacing w:before="0" w:after="0" w:line="240" w:lineRule="auto"/>
              <w:ind w:left="161" w:hanging="142"/>
              <w:contextualSpacing w:val="0"/>
              <w:rPr>
                <w:rFonts w:cs="Tahoma"/>
                <w:color w:val="auto"/>
                <w:sz w:val="20"/>
                <w:szCs w:val="20"/>
              </w:rPr>
            </w:pPr>
            <w:r w:rsidRPr="0068236B">
              <w:rPr>
                <w:rFonts w:cs="Tahoma"/>
                <w:color w:val="auto"/>
                <w:sz w:val="20"/>
                <w:szCs w:val="20"/>
              </w:rPr>
              <w:t xml:space="preserve">Incorporation of respective design parameters for the minimum conductor vertical clearance </w:t>
            </w:r>
            <w:r w:rsidR="00CB457A">
              <w:rPr>
                <w:rFonts w:cs="Tahoma"/>
                <w:color w:val="auto"/>
                <w:sz w:val="18"/>
                <w:szCs w:val="18"/>
              </w:rPr>
              <w:t>(6 metres)</w:t>
            </w:r>
            <w:r w:rsidR="00CB457A" w:rsidRPr="005321E6">
              <w:rPr>
                <w:rFonts w:cs="Tahoma"/>
                <w:color w:val="auto"/>
                <w:sz w:val="18"/>
                <w:szCs w:val="18"/>
              </w:rPr>
              <w:t xml:space="preserve"> </w:t>
            </w:r>
            <w:r w:rsidRPr="0068236B">
              <w:rPr>
                <w:rFonts w:cs="Tahoma"/>
                <w:color w:val="auto"/>
                <w:sz w:val="20"/>
                <w:szCs w:val="20"/>
              </w:rPr>
              <w:t>into the Project design.</w:t>
            </w:r>
          </w:p>
          <w:p w14:paraId="7934E387" w14:textId="377A8A65" w:rsidR="00B55FB1" w:rsidRPr="0068236B" w:rsidRDefault="00B55FB1" w:rsidP="00D24CEF">
            <w:pPr>
              <w:pStyle w:val="ListBullet2"/>
              <w:numPr>
                <w:ilvl w:val="1"/>
                <w:numId w:val="109"/>
              </w:numPr>
              <w:tabs>
                <w:tab w:val="clear" w:pos="1134"/>
                <w:tab w:val="num" w:pos="161"/>
              </w:tabs>
              <w:spacing w:before="0" w:after="0" w:line="240" w:lineRule="auto"/>
              <w:ind w:left="161" w:hanging="142"/>
              <w:contextualSpacing w:val="0"/>
              <w:rPr>
                <w:rFonts w:cs="Tahoma"/>
                <w:color w:val="auto"/>
                <w:sz w:val="20"/>
                <w:szCs w:val="20"/>
              </w:rPr>
            </w:pPr>
            <w:r w:rsidRPr="0068236B">
              <w:rPr>
                <w:rFonts w:cs="Tahoma"/>
                <w:color w:val="auto"/>
                <w:sz w:val="20"/>
                <w:szCs w:val="20"/>
              </w:rPr>
              <w:t>Establish safety / clearance corridor along the path of the transmission line</w:t>
            </w:r>
            <w:r w:rsidR="00D663B6" w:rsidRPr="0068236B">
              <w:rPr>
                <w:rFonts w:cs="Tahoma"/>
                <w:color w:val="auto"/>
                <w:sz w:val="20"/>
                <w:szCs w:val="20"/>
              </w:rPr>
              <w:t>s</w:t>
            </w:r>
            <w:r w:rsidRPr="0068236B">
              <w:rPr>
                <w:rFonts w:cs="Tahoma"/>
                <w:color w:val="auto"/>
                <w:sz w:val="20"/>
                <w:szCs w:val="20"/>
              </w:rPr>
              <w:t xml:space="preserve"> </w:t>
            </w:r>
            <w:r w:rsidR="00D663B6" w:rsidRPr="0068236B">
              <w:rPr>
                <w:rFonts w:cs="Tahoma"/>
                <w:color w:val="auto"/>
                <w:sz w:val="20"/>
                <w:szCs w:val="20"/>
              </w:rPr>
              <w:t xml:space="preserve">and safety distance from the substation </w:t>
            </w:r>
            <w:r w:rsidRPr="0068236B">
              <w:rPr>
                <w:rFonts w:cs="Tahoma"/>
                <w:color w:val="auto"/>
                <w:sz w:val="20"/>
                <w:szCs w:val="20"/>
              </w:rPr>
              <w:t>a</w:t>
            </w:r>
            <w:r w:rsidRPr="0068236B">
              <w:rPr>
                <w:rFonts w:cs="Tahoma"/>
                <w:color w:val="auto"/>
                <w:sz w:val="20"/>
                <w:szCs w:val="20"/>
              </w:rPr>
              <w:t>c</w:t>
            </w:r>
            <w:r w:rsidRPr="0068236B">
              <w:rPr>
                <w:rFonts w:cs="Tahoma"/>
                <w:color w:val="auto"/>
                <w:sz w:val="20"/>
                <w:szCs w:val="20"/>
              </w:rPr>
              <w:t xml:space="preserve">cording with the requirements of the relevant </w:t>
            </w:r>
            <w:r w:rsidR="00D663B6" w:rsidRPr="0068236B">
              <w:rPr>
                <w:rFonts w:cs="Tahoma"/>
                <w:color w:val="auto"/>
                <w:sz w:val="20"/>
                <w:szCs w:val="20"/>
              </w:rPr>
              <w:t>Macedonian</w:t>
            </w:r>
            <w:r w:rsidRPr="0068236B">
              <w:rPr>
                <w:rFonts w:cs="Tahoma"/>
                <w:color w:val="auto"/>
                <w:sz w:val="20"/>
                <w:szCs w:val="20"/>
              </w:rPr>
              <w:t xml:space="preserve"> legi</w:t>
            </w:r>
            <w:r w:rsidRPr="0068236B">
              <w:rPr>
                <w:rFonts w:cs="Tahoma"/>
                <w:color w:val="auto"/>
                <w:sz w:val="20"/>
                <w:szCs w:val="20"/>
              </w:rPr>
              <w:t>s</w:t>
            </w:r>
            <w:r w:rsidRPr="0068236B">
              <w:rPr>
                <w:rFonts w:cs="Tahoma"/>
                <w:color w:val="auto"/>
                <w:sz w:val="20"/>
                <w:szCs w:val="20"/>
              </w:rPr>
              <w:t>lation.</w:t>
            </w:r>
          </w:p>
          <w:p w14:paraId="7D099C96" w14:textId="77777777" w:rsidR="00B55FB1" w:rsidRPr="0068236B" w:rsidRDefault="00B55FB1" w:rsidP="00D24CEF">
            <w:pPr>
              <w:pStyle w:val="ListBullet2"/>
              <w:numPr>
                <w:ilvl w:val="1"/>
                <w:numId w:val="109"/>
              </w:numPr>
              <w:tabs>
                <w:tab w:val="clear" w:pos="1134"/>
                <w:tab w:val="num" w:pos="161"/>
              </w:tabs>
              <w:spacing w:before="0" w:after="0" w:line="240" w:lineRule="auto"/>
              <w:ind w:left="161" w:hanging="142"/>
              <w:contextualSpacing w:val="0"/>
              <w:rPr>
                <w:rFonts w:cs="Tahoma"/>
                <w:color w:val="auto"/>
                <w:sz w:val="20"/>
                <w:szCs w:val="20"/>
              </w:rPr>
            </w:pPr>
            <w:r w:rsidRPr="0068236B">
              <w:rPr>
                <w:rFonts w:cs="Tahoma"/>
                <w:color w:val="auto"/>
                <w:sz w:val="20"/>
                <w:szCs w:val="20"/>
              </w:rPr>
              <w:t>Appropriate selection of the towers micro locations within the selected corridor in relation to residential and other properties.</w:t>
            </w:r>
          </w:p>
          <w:p w14:paraId="74C93215" w14:textId="77777777" w:rsidR="00B55FB1" w:rsidRPr="0068236B" w:rsidRDefault="00B55FB1" w:rsidP="00C56FEA">
            <w:pPr>
              <w:pStyle w:val="ListBullet2"/>
              <w:numPr>
                <w:ilvl w:val="0"/>
                <w:numId w:val="0"/>
              </w:numPr>
              <w:spacing w:before="0" w:after="0" w:line="240" w:lineRule="auto"/>
              <w:ind w:left="-6"/>
              <w:contextualSpacing w:val="0"/>
              <w:rPr>
                <w:rFonts w:cs="Tahoma"/>
                <w:color w:val="auto"/>
                <w:sz w:val="20"/>
                <w:szCs w:val="20"/>
              </w:rPr>
            </w:pPr>
            <w:r w:rsidRPr="0068236B">
              <w:rPr>
                <w:rFonts w:cs="Tahoma"/>
                <w:color w:val="auto"/>
                <w:sz w:val="20"/>
                <w:szCs w:val="20"/>
              </w:rPr>
              <w:t>Risks to communities during Project operation:</w:t>
            </w:r>
          </w:p>
          <w:p w14:paraId="659338C0" w14:textId="10C7739D" w:rsidR="00B55FB1" w:rsidRPr="0068236B" w:rsidRDefault="00B55FB1" w:rsidP="00D24CEF">
            <w:pPr>
              <w:pStyle w:val="ListBullet2"/>
              <w:numPr>
                <w:ilvl w:val="1"/>
                <w:numId w:val="109"/>
              </w:numPr>
              <w:tabs>
                <w:tab w:val="clear" w:pos="1134"/>
                <w:tab w:val="num" w:pos="161"/>
              </w:tabs>
              <w:spacing w:before="0" w:after="0" w:line="240" w:lineRule="auto"/>
              <w:ind w:left="161" w:hanging="142"/>
              <w:contextualSpacing w:val="0"/>
              <w:rPr>
                <w:rFonts w:cs="Tahoma"/>
                <w:color w:val="auto"/>
                <w:sz w:val="20"/>
                <w:szCs w:val="20"/>
              </w:rPr>
            </w:pPr>
            <w:r w:rsidRPr="0068236B">
              <w:rPr>
                <w:rFonts w:cs="Tahoma"/>
                <w:color w:val="auto"/>
                <w:sz w:val="20"/>
                <w:szCs w:val="20"/>
              </w:rPr>
              <w:t xml:space="preserve">Provide hazard notices / signs / barriers to prevent access to energized components of the </w:t>
            </w:r>
            <w:r w:rsidR="00D663B6" w:rsidRPr="0068236B">
              <w:rPr>
                <w:rFonts w:cs="Tahoma"/>
                <w:color w:val="auto"/>
                <w:sz w:val="20"/>
                <w:szCs w:val="20"/>
              </w:rPr>
              <w:t>Project</w:t>
            </w:r>
            <w:r w:rsidRPr="0068236B">
              <w:rPr>
                <w:rFonts w:cs="Tahoma"/>
                <w:color w:val="auto"/>
                <w:sz w:val="20"/>
                <w:szCs w:val="20"/>
              </w:rPr>
              <w:t>.</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5BF517F5" w14:textId="77777777" w:rsidR="00B55FB1" w:rsidRPr="0068236B" w:rsidRDefault="00B55FB1" w:rsidP="00C56FE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cs="Tahoma"/>
                <w:b w:val="0"/>
                <w:color w:val="auto"/>
                <w:sz w:val="20"/>
                <w:szCs w:val="20"/>
              </w:rPr>
              <w:t>Minor</w:t>
            </w:r>
          </w:p>
        </w:tc>
      </w:tr>
      <w:tr w:rsidR="00BB421B" w:rsidRPr="0068236B" w14:paraId="346F5F93" w14:textId="77777777" w:rsidTr="00E3062F">
        <w:trPr>
          <w:cantSplit/>
          <w:trHeight w:val="774"/>
          <w:jc w:val="center"/>
        </w:trPr>
        <w:tc>
          <w:tcPr>
            <w:tcW w:w="1188" w:type="dxa"/>
            <w:tcBorders>
              <w:left w:val="double" w:sz="4" w:space="0" w:color="auto"/>
            </w:tcBorders>
            <w:shd w:val="clear" w:color="auto" w:fill="BFBFBF" w:themeFill="background1" w:themeFillShade="BF"/>
          </w:tcPr>
          <w:p w14:paraId="27711E33" w14:textId="77777777" w:rsidR="00B55FB1" w:rsidRPr="0068236B" w:rsidRDefault="00B55FB1" w:rsidP="00C56FEA">
            <w:pPr>
              <w:spacing w:before="0" w:after="0" w:line="240" w:lineRule="auto"/>
              <w:jc w:val="left"/>
              <w:rPr>
                <w:rFonts w:cs="Tahoma"/>
                <w:color w:val="auto"/>
                <w:sz w:val="20"/>
                <w:szCs w:val="20"/>
              </w:rPr>
            </w:pPr>
            <w:r w:rsidRPr="0068236B">
              <w:rPr>
                <w:rFonts w:cs="Tahoma"/>
                <w:color w:val="auto"/>
                <w:sz w:val="20"/>
                <w:szCs w:val="20"/>
              </w:rPr>
              <w:t>Property</w:t>
            </w:r>
          </w:p>
        </w:tc>
        <w:tc>
          <w:tcPr>
            <w:tcW w:w="1247" w:type="dxa"/>
            <w:shd w:val="clear" w:color="auto" w:fill="auto"/>
          </w:tcPr>
          <w:p w14:paraId="39A06125"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Construction</w:t>
            </w:r>
          </w:p>
        </w:tc>
        <w:tc>
          <w:tcPr>
            <w:tcW w:w="4222" w:type="dxa"/>
            <w:shd w:val="clear" w:color="auto" w:fill="auto"/>
          </w:tcPr>
          <w:p w14:paraId="58BBA161" w14:textId="77777777" w:rsidR="00B55FB1" w:rsidRPr="0068236B" w:rsidRDefault="00B55FB1" w:rsidP="00C56FEA">
            <w:pPr>
              <w:spacing w:before="0" w:after="0" w:line="240" w:lineRule="auto"/>
              <w:jc w:val="left"/>
              <w:rPr>
                <w:rFonts w:cs="Tahoma"/>
                <w:color w:val="auto"/>
                <w:sz w:val="20"/>
                <w:szCs w:val="20"/>
              </w:rPr>
            </w:pPr>
            <w:r w:rsidRPr="0068236B">
              <w:rPr>
                <w:rFonts w:cs="Tahoma"/>
                <w:bCs/>
                <w:color w:val="auto"/>
                <w:sz w:val="20"/>
                <w:szCs w:val="20"/>
              </w:rPr>
              <w:t xml:space="preserve">Land acquisition and land use </w:t>
            </w:r>
          </w:p>
        </w:tc>
        <w:tc>
          <w:tcPr>
            <w:tcW w:w="1949" w:type="dxa"/>
            <w:shd w:val="clear" w:color="auto" w:fill="auto"/>
          </w:tcPr>
          <w:p w14:paraId="312AF762" w14:textId="77777777" w:rsidR="00B55FB1" w:rsidRPr="0068236B" w:rsidRDefault="00B55FB1" w:rsidP="00C56FE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eastAsia="SimSun" w:cs="Tahoma"/>
                <w:b w:val="0"/>
                <w:color w:val="auto"/>
                <w:sz w:val="20"/>
                <w:szCs w:val="20"/>
              </w:rPr>
              <w:t>Minor adverse</w:t>
            </w:r>
          </w:p>
        </w:tc>
        <w:tc>
          <w:tcPr>
            <w:tcW w:w="5884" w:type="dxa"/>
            <w:shd w:val="clear" w:color="auto" w:fill="auto"/>
          </w:tcPr>
          <w:p w14:paraId="586128B7" w14:textId="37883F5C" w:rsidR="00B55FB1" w:rsidRPr="0068236B" w:rsidRDefault="00B55FB1" w:rsidP="00D24CEF">
            <w:pPr>
              <w:pStyle w:val="ListParagraph"/>
              <w:numPr>
                <w:ilvl w:val="0"/>
                <w:numId w:val="103"/>
              </w:numPr>
              <w:spacing w:before="0" w:after="0" w:line="240" w:lineRule="auto"/>
              <w:ind w:left="142" w:hanging="142"/>
              <w:contextualSpacing w:val="0"/>
              <w:jc w:val="left"/>
              <w:rPr>
                <w:rFonts w:cs="Tahoma"/>
                <w:color w:val="auto"/>
                <w:sz w:val="20"/>
                <w:szCs w:val="20"/>
                <w:lang w:eastAsia="en-US"/>
              </w:rPr>
            </w:pPr>
            <w:r w:rsidRPr="0068236B">
              <w:rPr>
                <w:rFonts w:cs="Tahoma"/>
                <w:color w:val="auto"/>
                <w:sz w:val="20"/>
                <w:szCs w:val="20"/>
                <w:lang w:eastAsia="en-US"/>
              </w:rPr>
              <w:t>Compliance with relevant</w:t>
            </w:r>
            <w:r w:rsidR="00672975" w:rsidRPr="0068236B">
              <w:rPr>
                <w:rFonts w:cs="Tahoma"/>
                <w:color w:val="auto"/>
                <w:sz w:val="20"/>
                <w:szCs w:val="20"/>
                <w:lang w:eastAsia="en-US"/>
              </w:rPr>
              <w:t xml:space="preserve"> EBRD Performance </w:t>
            </w:r>
            <w:r w:rsidR="00163D7E" w:rsidRPr="0068236B">
              <w:rPr>
                <w:rFonts w:cs="Tahoma"/>
                <w:color w:val="auto"/>
                <w:sz w:val="20"/>
                <w:szCs w:val="20"/>
                <w:lang w:eastAsia="en-US"/>
              </w:rPr>
              <w:t>R</w:t>
            </w:r>
            <w:r w:rsidR="00672975" w:rsidRPr="0068236B">
              <w:rPr>
                <w:rFonts w:cs="Tahoma"/>
                <w:color w:val="auto"/>
                <w:sz w:val="20"/>
                <w:szCs w:val="20"/>
                <w:lang w:eastAsia="en-US"/>
              </w:rPr>
              <w:t>equirement 5,</w:t>
            </w:r>
            <w:r w:rsidRPr="0068236B">
              <w:rPr>
                <w:rFonts w:cs="Tahoma"/>
                <w:color w:val="auto"/>
                <w:sz w:val="20"/>
                <w:szCs w:val="20"/>
                <w:lang w:eastAsia="en-US"/>
              </w:rPr>
              <w:t xml:space="preserve"> </w:t>
            </w:r>
            <w:r w:rsidR="00D663B6" w:rsidRPr="0068236B">
              <w:rPr>
                <w:rFonts w:cs="Tahoma"/>
                <w:color w:val="auto"/>
                <w:sz w:val="20"/>
                <w:szCs w:val="20"/>
                <w:lang w:eastAsia="en-US"/>
              </w:rPr>
              <w:t>Macedonian</w:t>
            </w:r>
            <w:r w:rsidRPr="0068236B">
              <w:rPr>
                <w:rFonts w:cs="Tahoma"/>
                <w:color w:val="auto"/>
                <w:sz w:val="20"/>
                <w:szCs w:val="20"/>
                <w:lang w:eastAsia="en-US"/>
              </w:rPr>
              <w:t xml:space="preserve"> legislation and international requirements</w:t>
            </w:r>
          </w:p>
          <w:p w14:paraId="2263E493" w14:textId="3354C42D" w:rsidR="00B55FB1" w:rsidRPr="0068236B" w:rsidRDefault="001A7D65" w:rsidP="00D24CEF">
            <w:pPr>
              <w:pStyle w:val="ListParagraph"/>
              <w:numPr>
                <w:ilvl w:val="0"/>
                <w:numId w:val="103"/>
              </w:numPr>
              <w:spacing w:before="0" w:after="0" w:line="240" w:lineRule="auto"/>
              <w:ind w:left="142" w:hanging="142"/>
              <w:contextualSpacing w:val="0"/>
              <w:jc w:val="left"/>
              <w:rPr>
                <w:rFonts w:cs="Tahoma"/>
                <w:color w:val="auto"/>
                <w:sz w:val="20"/>
                <w:szCs w:val="20"/>
                <w:lang w:eastAsia="en-US"/>
              </w:rPr>
            </w:pPr>
            <w:r w:rsidRPr="0068236B">
              <w:rPr>
                <w:rFonts w:cs="Tahoma"/>
                <w:color w:val="auto"/>
                <w:sz w:val="20"/>
                <w:szCs w:val="20"/>
                <w:lang w:eastAsia="en-US"/>
              </w:rPr>
              <w:t xml:space="preserve">Land Acquisition and Resettlement </w:t>
            </w:r>
            <w:r w:rsidR="00B55FB1" w:rsidRPr="0068236B">
              <w:rPr>
                <w:rFonts w:cs="Tahoma"/>
                <w:color w:val="auto"/>
                <w:sz w:val="20"/>
                <w:szCs w:val="20"/>
                <w:lang w:eastAsia="en-US"/>
              </w:rPr>
              <w:t>Framework</w:t>
            </w:r>
            <w:r w:rsidRPr="0068236B">
              <w:rPr>
                <w:rFonts w:cs="Tahoma"/>
                <w:color w:val="auto"/>
                <w:sz w:val="20"/>
                <w:szCs w:val="20"/>
                <w:lang w:eastAsia="en-US"/>
              </w:rPr>
              <w:t xml:space="preserve"> (prepared in the scope of this assessment)</w:t>
            </w:r>
          </w:p>
          <w:p w14:paraId="6D44AB0C" w14:textId="1E717991" w:rsidR="00B55FB1" w:rsidRPr="0068236B" w:rsidRDefault="001A7D65" w:rsidP="00850B67">
            <w:pPr>
              <w:pStyle w:val="ListParagraph"/>
              <w:numPr>
                <w:ilvl w:val="0"/>
                <w:numId w:val="103"/>
              </w:numPr>
              <w:spacing w:before="0" w:after="0" w:line="240" w:lineRule="auto"/>
              <w:ind w:left="142" w:hanging="142"/>
              <w:contextualSpacing w:val="0"/>
              <w:jc w:val="left"/>
              <w:rPr>
                <w:rFonts w:cs="Tahoma"/>
                <w:color w:val="auto"/>
                <w:sz w:val="20"/>
                <w:szCs w:val="20"/>
              </w:rPr>
            </w:pPr>
            <w:r w:rsidRPr="0068236B">
              <w:rPr>
                <w:rFonts w:cs="Tahoma"/>
                <w:color w:val="auto"/>
                <w:sz w:val="20"/>
                <w:szCs w:val="20"/>
                <w:lang w:eastAsia="en-US"/>
              </w:rPr>
              <w:t>Land Acquisition and Resettlement</w:t>
            </w:r>
            <w:r w:rsidR="00B55FB1" w:rsidRPr="0068236B">
              <w:rPr>
                <w:rFonts w:cs="Tahoma"/>
                <w:color w:val="auto"/>
                <w:sz w:val="20"/>
                <w:szCs w:val="20"/>
                <w:lang w:eastAsia="en-US"/>
              </w:rPr>
              <w:t xml:space="preserve"> Plan</w:t>
            </w:r>
          </w:p>
        </w:tc>
        <w:tc>
          <w:tcPr>
            <w:tcW w:w="1392" w:type="dxa"/>
            <w:tcBorders>
              <w:right w:val="double" w:sz="4" w:space="0" w:color="auto"/>
            </w:tcBorders>
            <w:shd w:val="clear" w:color="auto" w:fill="auto"/>
          </w:tcPr>
          <w:p w14:paraId="7E62EEC8" w14:textId="1D1A179D" w:rsidR="00B55FB1" w:rsidRPr="0068236B" w:rsidRDefault="00DB1631" w:rsidP="00D24CEF">
            <w:pPr>
              <w:pStyle w:val="Heading4"/>
              <w:numPr>
                <w:ilvl w:val="3"/>
                <w:numId w:val="108"/>
              </w:numPr>
              <w:tabs>
                <w:tab w:val="left" w:pos="720"/>
              </w:tabs>
              <w:spacing w:before="0" w:after="0" w:line="240" w:lineRule="auto"/>
              <w:ind w:left="0"/>
              <w:outlineLvl w:val="3"/>
              <w:rPr>
                <w:rFonts w:eastAsia="SimSun" w:cs="Tahoma"/>
                <w:b w:val="0"/>
                <w:color w:val="auto"/>
                <w:sz w:val="20"/>
                <w:szCs w:val="20"/>
              </w:rPr>
            </w:pPr>
            <w:r>
              <w:rPr>
                <w:rFonts w:eastAsia="SimSun" w:cs="Tahoma"/>
                <w:b w:val="0"/>
                <w:bCs w:val="0"/>
                <w:color w:val="auto"/>
                <w:sz w:val="20"/>
                <w:szCs w:val="20"/>
              </w:rPr>
              <w:t>Minor</w:t>
            </w:r>
          </w:p>
        </w:tc>
      </w:tr>
      <w:tr w:rsidR="00BB421B" w:rsidRPr="0068236B" w14:paraId="5EE11D4B" w14:textId="77777777" w:rsidTr="007531FB">
        <w:trPr>
          <w:cnfStyle w:val="000000100000" w:firstRow="0" w:lastRow="0" w:firstColumn="0" w:lastColumn="0" w:oddVBand="0" w:evenVBand="0" w:oddHBand="1" w:evenHBand="0" w:firstRowFirstColumn="0" w:firstRowLastColumn="0" w:lastRowFirstColumn="0" w:lastRowLastColumn="0"/>
          <w:cantSplit/>
          <w:jc w:val="center"/>
        </w:trPr>
        <w:tc>
          <w:tcPr>
            <w:tcW w:w="1188" w:type="dxa"/>
            <w:tcBorders>
              <w:top w:val="single" w:sz="4" w:space="0" w:color="auto"/>
              <w:left w:val="double" w:sz="4" w:space="0" w:color="auto"/>
              <w:right w:val="single" w:sz="4" w:space="0" w:color="auto"/>
            </w:tcBorders>
            <w:shd w:val="clear" w:color="auto" w:fill="BFBFBF" w:themeFill="background1" w:themeFillShade="BF"/>
          </w:tcPr>
          <w:p w14:paraId="2FB25A0D" w14:textId="77777777" w:rsidR="00B55FB1" w:rsidRPr="0068236B" w:rsidRDefault="00B55FB1" w:rsidP="00C56FEA">
            <w:pPr>
              <w:spacing w:before="0" w:after="0" w:line="240" w:lineRule="auto"/>
              <w:jc w:val="left"/>
              <w:rPr>
                <w:rFonts w:cs="Tahoma"/>
                <w:color w:val="auto"/>
                <w:sz w:val="20"/>
                <w:szCs w:val="20"/>
              </w:rPr>
            </w:pPr>
            <w:r w:rsidRPr="0068236B">
              <w:rPr>
                <w:rFonts w:cs="Tahoma"/>
                <w:color w:val="auto"/>
                <w:sz w:val="20"/>
                <w:szCs w:val="20"/>
              </w:rPr>
              <w:t>Cultural Heritage</w:t>
            </w:r>
          </w:p>
        </w:tc>
        <w:tc>
          <w:tcPr>
            <w:tcW w:w="1247" w:type="dxa"/>
            <w:tcBorders>
              <w:top w:val="single" w:sz="4" w:space="0" w:color="auto"/>
              <w:left w:val="single" w:sz="4" w:space="0" w:color="auto"/>
              <w:bottom w:val="single" w:sz="4" w:space="0" w:color="auto"/>
              <w:right w:val="single" w:sz="4" w:space="0" w:color="auto"/>
            </w:tcBorders>
            <w:shd w:val="clear" w:color="auto" w:fill="auto"/>
          </w:tcPr>
          <w:p w14:paraId="683581C8"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Construction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67C0C66C" w14:textId="77777777" w:rsidR="00B55FB1" w:rsidRPr="0068236B" w:rsidRDefault="00B55FB1" w:rsidP="00C56FEA">
            <w:pPr>
              <w:spacing w:before="0" w:after="0" w:line="240" w:lineRule="auto"/>
              <w:jc w:val="left"/>
              <w:rPr>
                <w:rFonts w:cs="Tahoma"/>
                <w:color w:val="auto"/>
                <w:sz w:val="20"/>
                <w:szCs w:val="20"/>
              </w:rPr>
            </w:pPr>
            <w:r w:rsidRPr="0068236B">
              <w:rPr>
                <w:rFonts w:cs="Tahoma"/>
                <w:color w:val="auto"/>
                <w:sz w:val="20"/>
                <w:szCs w:val="20"/>
              </w:rPr>
              <w:t>Potential loss or damage of unknown heritage assets (undiscovered archaeological sites)</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6989053C" w14:textId="77777777" w:rsidR="00B55FB1" w:rsidRPr="0068236B" w:rsidRDefault="00B55FB1" w:rsidP="00C56FEA">
            <w:pPr>
              <w:pStyle w:val="Heading4"/>
              <w:numPr>
                <w:ilvl w:val="0"/>
                <w:numId w:val="0"/>
              </w:numPr>
              <w:tabs>
                <w:tab w:val="left" w:pos="720"/>
              </w:tabs>
              <w:spacing w:before="0" w:after="0" w:line="240" w:lineRule="auto"/>
              <w:outlineLvl w:val="3"/>
              <w:rPr>
                <w:rFonts w:eastAsia="SimSun" w:cs="Tahoma"/>
                <w:b w:val="0"/>
                <w:bCs w:val="0"/>
                <w:color w:val="auto"/>
                <w:sz w:val="20"/>
                <w:szCs w:val="20"/>
              </w:rPr>
            </w:pPr>
            <w:r w:rsidRPr="0068236B">
              <w:rPr>
                <w:rFonts w:eastAsia="SimSun" w:cs="Tahoma"/>
                <w:b w:val="0"/>
                <w:color w:val="auto"/>
                <w:sz w:val="20"/>
                <w:szCs w:val="20"/>
              </w:rPr>
              <w:t xml:space="preserve">Minor to moderate adverse </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489AAD22" w14:textId="77777777" w:rsidR="00B55FB1" w:rsidRPr="0068236B" w:rsidRDefault="00B55FB1" w:rsidP="00C56FEA">
            <w:pPr>
              <w:spacing w:before="0" w:after="0" w:line="240" w:lineRule="auto"/>
              <w:rPr>
                <w:rFonts w:cs="Tahoma"/>
                <w:color w:val="auto"/>
                <w:sz w:val="20"/>
                <w:szCs w:val="20"/>
              </w:rPr>
            </w:pPr>
            <w:r w:rsidRPr="0068236B">
              <w:rPr>
                <w:rFonts w:cs="Tahoma"/>
                <w:color w:val="auto"/>
                <w:sz w:val="20"/>
                <w:szCs w:val="20"/>
              </w:rPr>
              <w:t>Chance-find procedure</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70F0BF20" w14:textId="766622C8" w:rsidR="00B55FB1" w:rsidRPr="0068236B" w:rsidRDefault="00F47F14" w:rsidP="00F47F14">
            <w:pPr>
              <w:pStyle w:val="Heading4"/>
              <w:numPr>
                <w:ilvl w:val="0"/>
                <w:numId w:val="0"/>
              </w:numPr>
              <w:tabs>
                <w:tab w:val="left" w:pos="720"/>
              </w:tabs>
              <w:spacing w:before="0" w:after="0" w:line="240" w:lineRule="auto"/>
              <w:outlineLvl w:val="3"/>
              <w:rPr>
                <w:rFonts w:eastAsia="SimSun" w:cs="Tahoma"/>
                <w:b w:val="0"/>
                <w:color w:val="auto"/>
                <w:sz w:val="20"/>
                <w:szCs w:val="20"/>
              </w:rPr>
            </w:pPr>
            <w:r w:rsidRPr="0068236B">
              <w:rPr>
                <w:rFonts w:eastAsia="SimSun" w:cs="Tahoma"/>
                <w:b w:val="0"/>
                <w:color w:val="auto"/>
                <w:sz w:val="20"/>
                <w:szCs w:val="20"/>
              </w:rPr>
              <w:t>Neutral</w:t>
            </w:r>
          </w:p>
        </w:tc>
      </w:tr>
      <w:tr w:rsidR="00BB421B" w:rsidRPr="0068236B" w14:paraId="3715A475" w14:textId="77777777" w:rsidTr="00623F2E">
        <w:trPr>
          <w:cantSplit/>
          <w:jc w:val="center"/>
        </w:trPr>
        <w:tc>
          <w:tcPr>
            <w:tcW w:w="1188" w:type="dxa"/>
            <w:vMerge w:val="restart"/>
            <w:tcBorders>
              <w:left w:val="double" w:sz="4" w:space="0" w:color="auto"/>
            </w:tcBorders>
            <w:shd w:val="clear" w:color="auto" w:fill="BFBFBF" w:themeFill="background1" w:themeFillShade="BF"/>
          </w:tcPr>
          <w:p w14:paraId="566B2D11" w14:textId="2C32CB33" w:rsidR="007531FB" w:rsidRPr="0068236B" w:rsidRDefault="007531FB" w:rsidP="007531FB">
            <w:pPr>
              <w:spacing w:before="0" w:after="0" w:line="240" w:lineRule="auto"/>
              <w:jc w:val="left"/>
              <w:rPr>
                <w:rFonts w:cs="Tahoma"/>
                <w:color w:val="auto"/>
                <w:sz w:val="20"/>
                <w:szCs w:val="20"/>
              </w:rPr>
            </w:pPr>
            <w:r w:rsidRPr="0068236B">
              <w:rPr>
                <w:rFonts w:cs="Tahoma"/>
                <w:color w:val="auto"/>
                <w:sz w:val="20"/>
                <w:szCs w:val="20"/>
              </w:rPr>
              <w:t>Cumulative effects</w:t>
            </w:r>
          </w:p>
        </w:tc>
        <w:tc>
          <w:tcPr>
            <w:tcW w:w="1247" w:type="dxa"/>
            <w:tcBorders>
              <w:top w:val="single" w:sz="4" w:space="0" w:color="auto"/>
              <w:bottom w:val="single" w:sz="4" w:space="0" w:color="auto"/>
              <w:right w:val="single" w:sz="4" w:space="0" w:color="auto"/>
            </w:tcBorders>
            <w:shd w:val="clear" w:color="auto" w:fill="auto"/>
          </w:tcPr>
          <w:p w14:paraId="68ACBE6A" w14:textId="23DDC0CC" w:rsidR="007531FB" w:rsidRPr="0068236B" w:rsidRDefault="007531FB" w:rsidP="007531FB">
            <w:pPr>
              <w:spacing w:before="0" w:after="0" w:line="240" w:lineRule="auto"/>
              <w:rPr>
                <w:rFonts w:cs="Tahoma"/>
                <w:color w:val="auto"/>
                <w:sz w:val="20"/>
                <w:szCs w:val="20"/>
              </w:rPr>
            </w:pPr>
            <w:r w:rsidRPr="0068236B">
              <w:rPr>
                <w:rFonts w:cs="Tahoma"/>
                <w:color w:val="auto"/>
                <w:sz w:val="20"/>
                <w:szCs w:val="20"/>
              </w:rPr>
              <w:t>Construction</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611CF29" w14:textId="3455B081" w:rsidR="007531FB" w:rsidRPr="0068236B" w:rsidRDefault="007531FB" w:rsidP="007531FB">
            <w:pPr>
              <w:spacing w:before="0" w:after="0" w:line="240" w:lineRule="auto"/>
              <w:jc w:val="left"/>
              <w:rPr>
                <w:rFonts w:cs="Tahoma"/>
                <w:color w:val="auto"/>
                <w:sz w:val="20"/>
                <w:szCs w:val="20"/>
              </w:rPr>
            </w:pPr>
            <w:r w:rsidRPr="0068236B">
              <w:rPr>
                <w:rFonts w:cs="Tahoma"/>
                <w:color w:val="auto"/>
                <w:sz w:val="20"/>
                <w:szCs w:val="20"/>
              </w:rPr>
              <w:t>Interaction with other similar projects (air pollution, nuisance due to construction noise, traffic disturbance, waste generation, etc.) – low probability</w:t>
            </w:r>
          </w:p>
        </w:tc>
        <w:tc>
          <w:tcPr>
            <w:tcW w:w="1949" w:type="dxa"/>
            <w:tcBorders>
              <w:top w:val="single" w:sz="4" w:space="0" w:color="auto"/>
              <w:left w:val="single" w:sz="4" w:space="0" w:color="auto"/>
              <w:bottom w:val="single" w:sz="4" w:space="0" w:color="auto"/>
              <w:right w:val="single" w:sz="4" w:space="0" w:color="auto"/>
            </w:tcBorders>
            <w:shd w:val="clear" w:color="auto" w:fill="auto"/>
          </w:tcPr>
          <w:p w14:paraId="34452BE4" w14:textId="660C1AC3" w:rsidR="007531FB" w:rsidRPr="0068236B" w:rsidRDefault="007531FB" w:rsidP="007531FB">
            <w:pPr>
              <w:pStyle w:val="Heading4"/>
              <w:numPr>
                <w:ilvl w:val="0"/>
                <w:numId w:val="0"/>
              </w:numPr>
              <w:tabs>
                <w:tab w:val="left" w:pos="720"/>
              </w:tabs>
              <w:spacing w:before="0" w:after="0" w:line="240" w:lineRule="auto"/>
              <w:outlineLvl w:val="3"/>
              <w:rPr>
                <w:rFonts w:eastAsia="SimSun" w:cs="Tahoma"/>
                <w:b w:val="0"/>
                <w:color w:val="auto"/>
                <w:sz w:val="20"/>
                <w:szCs w:val="20"/>
              </w:rPr>
            </w:pPr>
            <w:r w:rsidRPr="0068236B">
              <w:rPr>
                <w:rFonts w:eastAsia="SimSun" w:cs="Tahoma"/>
                <w:b w:val="0"/>
                <w:color w:val="auto"/>
                <w:sz w:val="20"/>
                <w:szCs w:val="20"/>
              </w:rPr>
              <w:t>Negligible</w:t>
            </w:r>
          </w:p>
        </w:tc>
        <w:tc>
          <w:tcPr>
            <w:tcW w:w="5884" w:type="dxa"/>
            <w:tcBorders>
              <w:top w:val="single" w:sz="4" w:space="0" w:color="auto"/>
              <w:left w:val="single" w:sz="4" w:space="0" w:color="auto"/>
              <w:bottom w:val="single" w:sz="4" w:space="0" w:color="auto"/>
              <w:right w:val="single" w:sz="4" w:space="0" w:color="auto"/>
            </w:tcBorders>
            <w:shd w:val="clear" w:color="auto" w:fill="auto"/>
          </w:tcPr>
          <w:p w14:paraId="5CB1950E" w14:textId="5E78A540" w:rsidR="007531FB" w:rsidRPr="0068236B" w:rsidRDefault="007531FB" w:rsidP="007531FB">
            <w:pPr>
              <w:spacing w:before="0" w:after="0" w:line="240" w:lineRule="auto"/>
              <w:jc w:val="left"/>
              <w:rPr>
                <w:rFonts w:cs="Tahoma"/>
                <w:color w:val="auto"/>
                <w:sz w:val="20"/>
                <w:szCs w:val="20"/>
              </w:rPr>
            </w:pPr>
            <w:r w:rsidRPr="0068236B">
              <w:rPr>
                <w:rFonts w:cs="Tahoma"/>
                <w:color w:val="auto"/>
                <w:sz w:val="20"/>
                <w:szCs w:val="20"/>
                <w:shd w:val="clear" w:color="auto" w:fill="FFFFFF"/>
              </w:rPr>
              <w:t>If necessary, coordinated E&amp;S management and cooperation between contractors of the developments throughout the co</w:t>
            </w:r>
            <w:r w:rsidRPr="0068236B">
              <w:rPr>
                <w:rFonts w:cs="Tahoma"/>
                <w:color w:val="auto"/>
                <w:sz w:val="20"/>
                <w:szCs w:val="20"/>
                <w:shd w:val="clear" w:color="auto" w:fill="FFFFFF"/>
              </w:rPr>
              <w:t>n</w:t>
            </w:r>
            <w:r w:rsidRPr="0068236B">
              <w:rPr>
                <w:rFonts w:cs="Tahoma"/>
                <w:color w:val="auto"/>
                <w:sz w:val="20"/>
                <w:szCs w:val="20"/>
                <w:shd w:val="clear" w:color="auto" w:fill="FFFFFF"/>
              </w:rPr>
              <w:t>struction period will be needed in order to optimize the mitigation strategy (e.g. Waste Management Plan, Traffic Management Plan, etc.).</w:t>
            </w:r>
          </w:p>
        </w:tc>
        <w:tc>
          <w:tcPr>
            <w:tcW w:w="1392" w:type="dxa"/>
            <w:tcBorders>
              <w:top w:val="single" w:sz="4" w:space="0" w:color="auto"/>
              <w:left w:val="single" w:sz="4" w:space="0" w:color="auto"/>
              <w:bottom w:val="single" w:sz="4" w:space="0" w:color="auto"/>
              <w:right w:val="double" w:sz="4" w:space="0" w:color="auto"/>
            </w:tcBorders>
            <w:shd w:val="clear" w:color="auto" w:fill="auto"/>
          </w:tcPr>
          <w:p w14:paraId="23B02203" w14:textId="1C15E525" w:rsidR="007531FB" w:rsidRPr="0068236B" w:rsidRDefault="007531FB" w:rsidP="007531FB">
            <w:pPr>
              <w:pStyle w:val="Heading4"/>
              <w:numPr>
                <w:ilvl w:val="0"/>
                <w:numId w:val="0"/>
              </w:numPr>
              <w:tabs>
                <w:tab w:val="left" w:pos="720"/>
              </w:tabs>
              <w:spacing w:before="0" w:after="0" w:line="240" w:lineRule="auto"/>
              <w:outlineLvl w:val="3"/>
              <w:rPr>
                <w:rFonts w:eastAsia="SimSun" w:cs="Tahoma"/>
                <w:b w:val="0"/>
                <w:color w:val="auto"/>
                <w:sz w:val="20"/>
                <w:szCs w:val="20"/>
              </w:rPr>
            </w:pPr>
            <w:r w:rsidRPr="0068236B">
              <w:rPr>
                <w:rFonts w:eastAsia="SimSun" w:cs="Tahoma"/>
                <w:b w:val="0"/>
                <w:color w:val="auto"/>
                <w:sz w:val="20"/>
                <w:szCs w:val="20"/>
              </w:rPr>
              <w:t>Neutral</w:t>
            </w:r>
          </w:p>
        </w:tc>
      </w:tr>
      <w:tr w:rsidR="00BB421B" w:rsidRPr="0068236B" w14:paraId="62D843C4" w14:textId="77777777" w:rsidTr="007531FB">
        <w:trPr>
          <w:cnfStyle w:val="000000100000" w:firstRow="0" w:lastRow="0" w:firstColumn="0" w:lastColumn="0" w:oddVBand="0" w:evenVBand="0" w:oddHBand="1" w:evenHBand="0" w:firstRowFirstColumn="0" w:firstRowLastColumn="0" w:lastRowFirstColumn="0" w:lastRowLastColumn="0"/>
          <w:cantSplit/>
          <w:jc w:val="center"/>
        </w:trPr>
        <w:tc>
          <w:tcPr>
            <w:tcW w:w="1188" w:type="dxa"/>
            <w:vMerge/>
            <w:tcBorders>
              <w:top w:val="single" w:sz="4" w:space="0" w:color="auto"/>
              <w:left w:val="double" w:sz="4" w:space="0" w:color="auto"/>
              <w:bottom w:val="double" w:sz="4" w:space="0" w:color="auto"/>
              <w:right w:val="single" w:sz="4" w:space="0" w:color="auto"/>
            </w:tcBorders>
            <w:shd w:val="clear" w:color="auto" w:fill="BFBFBF" w:themeFill="background1" w:themeFillShade="BF"/>
          </w:tcPr>
          <w:p w14:paraId="0A327730" w14:textId="77777777" w:rsidR="007531FB" w:rsidRPr="0068236B" w:rsidRDefault="007531FB" w:rsidP="00C56FEA">
            <w:pPr>
              <w:spacing w:before="0" w:after="0" w:line="240" w:lineRule="auto"/>
              <w:jc w:val="left"/>
              <w:rPr>
                <w:rFonts w:cs="Tahoma"/>
                <w:color w:val="auto"/>
                <w:sz w:val="20"/>
                <w:szCs w:val="20"/>
              </w:rPr>
            </w:pPr>
          </w:p>
        </w:tc>
        <w:tc>
          <w:tcPr>
            <w:tcW w:w="1247" w:type="dxa"/>
            <w:tcBorders>
              <w:top w:val="single" w:sz="4" w:space="0" w:color="auto"/>
              <w:left w:val="single" w:sz="4" w:space="0" w:color="auto"/>
              <w:bottom w:val="double" w:sz="4" w:space="0" w:color="auto"/>
              <w:right w:val="single" w:sz="4" w:space="0" w:color="auto"/>
            </w:tcBorders>
            <w:shd w:val="clear" w:color="auto" w:fill="auto"/>
          </w:tcPr>
          <w:p w14:paraId="4D132E39" w14:textId="030D05EB" w:rsidR="007531FB" w:rsidRPr="0068236B" w:rsidRDefault="007531FB" w:rsidP="00C56FEA">
            <w:pPr>
              <w:spacing w:before="0" w:after="0" w:line="240" w:lineRule="auto"/>
              <w:rPr>
                <w:rFonts w:cs="Tahoma"/>
                <w:color w:val="auto"/>
                <w:sz w:val="20"/>
                <w:szCs w:val="20"/>
              </w:rPr>
            </w:pPr>
            <w:r w:rsidRPr="0068236B">
              <w:rPr>
                <w:rFonts w:cs="Tahoma"/>
                <w:color w:val="auto"/>
                <w:sz w:val="20"/>
                <w:szCs w:val="20"/>
              </w:rPr>
              <w:t>Operation</w:t>
            </w:r>
          </w:p>
        </w:tc>
        <w:tc>
          <w:tcPr>
            <w:tcW w:w="4222" w:type="dxa"/>
            <w:tcBorders>
              <w:top w:val="single" w:sz="4" w:space="0" w:color="auto"/>
              <w:left w:val="single" w:sz="4" w:space="0" w:color="auto"/>
              <w:bottom w:val="double" w:sz="4" w:space="0" w:color="auto"/>
              <w:right w:val="single" w:sz="4" w:space="0" w:color="auto"/>
            </w:tcBorders>
            <w:shd w:val="clear" w:color="auto" w:fill="auto"/>
          </w:tcPr>
          <w:p w14:paraId="73E12CFA" w14:textId="47DEB2FE" w:rsidR="007531FB" w:rsidRPr="0068236B" w:rsidRDefault="007531FB" w:rsidP="00623F2E">
            <w:pPr>
              <w:spacing w:before="0" w:after="0" w:line="240" w:lineRule="auto"/>
              <w:jc w:val="left"/>
              <w:rPr>
                <w:rFonts w:cs="Tahoma"/>
                <w:color w:val="auto"/>
                <w:sz w:val="20"/>
                <w:szCs w:val="20"/>
              </w:rPr>
            </w:pPr>
            <w:r w:rsidRPr="0068236B">
              <w:rPr>
                <w:rFonts w:cs="Tahoma"/>
                <w:color w:val="auto"/>
                <w:sz w:val="20"/>
                <w:szCs w:val="20"/>
              </w:rPr>
              <w:t>Interaction with other similar projects – other transmission project(s) or wind farm develo</w:t>
            </w:r>
            <w:r w:rsidRPr="0068236B">
              <w:rPr>
                <w:rFonts w:cs="Tahoma"/>
                <w:color w:val="auto"/>
                <w:sz w:val="20"/>
                <w:szCs w:val="20"/>
              </w:rPr>
              <w:t>p</w:t>
            </w:r>
            <w:r w:rsidRPr="0068236B">
              <w:rPr>
                <w:rFonts w:cs="Tahoma"/>
                <w:color w:val="auto"/>
                <w:sz w:val="20"/>
                <w:szCs w:val="20"/>
              </w:rPr>
              <w:t>ments (visual impact) – not likely in the Pr</w:t>
            </w:r>
            <w:r w:rsidRPr="0068236B">
              <w:rPr>
                <w:rFonts w:cs="Tahoma"/>
                <w:color w:val="auto"/>
                <w:sz w:val="20"/>
                <w:szCs w:val="20"/>
              </w:rPr>
              <w:t>o</w:t>
            </w:r>
            <w:r w:rsidRPr="0068236B">
              <w:rPr>
                <w:rFonts w:cs="Tahoma"/>
                <w:color w:val="auto"/>
                <w:sz w:val="20"/>
                <w:szCs w:val="20"/>
              </w:rPr>
              <w:t>ject region</w:t>
            </w:r>
          </w:p>
        </w:tc>
        <w:tc>
          <w:tcPr>
            <w:tcW w:w="1949" w:type="dxa"/>
            <w:tcBorders>
              <w:top w:val="single" w:sz="4" w:space="0" w:color="auto"/>
              <w:left w:val="single" w:sz="4" w:space="0" w:color="auto"/>
              <w:bottom w:val="double" w:sz="4" w:space="0" w:color="auto"/>
              <w:right w:val="single" w:sz="4" w:space="0" w:color="auto"/>
            </w:tcBorders>
            <w:shd w:val="clear" w:color="auto" w:fill="auto"/>
          </w:tcPr>
          <w:p w14:paraId="20875EB8" w14:textId="11C61091" w:rsidR="007531FB" w:rsidRPr="0068236B" w:rsidRDefault="007531FB" w:rsidP="00C56FEA">
            <w:pPr>
              <w:pStyle w:val="Heading4"/>
              <w:numPr>
                <w:ilvl w:val="0"/>
                <w:numId w:val="0"/>
              </w:numPr>
              <w:tabs>
                <w:tab w:val="left" w:pos="720"/>
              </w:tabs>
              <w:spacing w:before="0" w:after="0" w:line="240" w:lineRule="auto"/>
              <w:outlineLvl w:val="3"/>
              <w:rPr>
                <w:rFonts w:eastAsia="SimSun" w:cs="Tahoma"/>
                <w:b w:val="0"/>
                <w:color w:val="auto"/>
                <w:sz w:val="20"/>
                <w:szCs w:val="20"/>
              </w:rPr>
            </w:pPr>
            <w:r w:rsidRPr="0068236B">
              <w:rPr>
                <w:rFonts w:eastAsia="SimSun" w:cs="Tahoma"/>
                <w:b w:val="0"/>
                <w:color w:val="auto"/>
                <w:sz w:val="20"/>
                <w:szCs w:val="20"/>
              </w:rPr>
              <w:t>Minor</w:t>
            </w:r>
          </w:p>
        </w:tc>
        <w:tc>
          <w:tcPr>
            <w:tcW w:w="5884" w:type="dxa"/>
            <w:tcBorders>
              <w:top w:val="single" w:sz="4" w:space="0" w:color="auto"/>
              <w:left w:val="single" w:sz="4" w:space="0" w:color="auto"/>
              <w:bottom w:val="double" w:sz="4" w:space="0" w:color="auto"/>
              <w:right w:val="single" w:sz="4" w:space="0" w:color="auto"/>
            </w:tcBorders>
            <w:shd w:val="clear" w:color="auto" w:fill="auto"/>
          </w:tcPr>
          <w:p w14:paraId="044981E7" w14:textId="4585837A" w:rsidR="007531FB" w:rsidRPr="0068236B" w:rsidRDefault="007531FB" w:rsidP="00C56FEA">
            <w:pPr>
              <w:spacing w:before="0" w:after="0" w:line="240" w:lineRule="auto"/>
              <w:rPr>
                <w:rFonts w:cs="Tahoma"/>
                <w:color w:val="auto"/>
                <w:sz w:val="20"/>
                <w:szCs w:val="20"/>
              </w:rPr>
            </w:pPr>
            <w:r w:rsidRPr="0068236B">
              <w:rPr>
                <w:rFonts w:cs="Tahoma"/>
                <w:color w:val="auto"/>
                <w:sz w:val="20"/>
                <w:szCs w:val="20"/>
              </w:rPr>
              <w:t>/</w:t>
            </w:r>
          </w:p>
        </w:tc>
        <w:tc>
          <w:tcPr>
            <w:tcW w:w="1392" w:type="dxa"/>
            <w:tcBorders>
              <w:top w:val="single" w:sz="4" w:space="0" w:color="auto"/>
              <w:left w:val="single" w:sz="4" w:space="0" w:color="auto"/>
              <w:bottom w:val="double" w:sz="4" w:space="0" w:color="auto"/>
              <w:right w:val="double" w:sz="4" w:space="0" w:color="auto"/>
            </w:tcBorders>
            <w:shd w:val="clear" w:color="auto" w:fill="auto"/>
          </w:tcPr>
          <w:p w14:paraId="13093238" w14:textId="68A28BBF" w:rsidR="007531FB" w:rsidRPr="0068236B" w:rsidRDefault="00FD1D4C" w:rsidP="00F47F14">
            <w:pPr>
              <w:pStyle w:val="Heading4"/>
              <w:numPr>
                <w:ilvl w:val="0"/>
                <w:numId w:val="0"/>
              </w:numPr>
              <w:tabs>
                <w:tab w:val="left" w:pos="720"/>
              </w:tabs>
              <w:spacing w:before="0" w:after="0" w:line="240" w:lineRule="auto"/>
              <w:outlineLvl w:val="3"/>
              <w:rPr>
                <w:rFonts w:eastAsia="SimSun" w:cs="Tahoma"/>
                <w:b w:val="0"/>
                <w:color w:val="auto"/>
                <w:sz w:val="20"/>
                <w:szCs w:val="20"/>
              </w:rPr>
            </w:pPr>
            <w:r w:rsidRPr="0068236B">
              <w:rPr>
                <w:rFonts w:eastAsia="SimSun" w:cs="Tahoma"/>
                <w:b w:val="0"/>
                <w:color w:val="auto"/>
                <w:sz w:val="20"/>
                <w:szCs w:val="20"/>
              </w:rPr>
              <w:t>/</w:t>
            </w:r>
          </w:p>
        </w:tc>
      </w:tr>
    </w:tbl>
    <w:p w14:paraId="0F8C033F" w14:textId="77777777" w:rsidR="00B55FB1" w:rsidRPr="0068236B" w:rsidRDefault="00B55FB1">
      <w:pPr>
        <w:spacing w:before="0" w:after="0" w:line="240" w:lineRule="auto"/>
        <w:jc w:val="left"/>
        <w:rPr>
          <w:lang w:val="mk-MK"/>
        </w:rPr>
        <w:sectPr w:rsidR="00B55FB1" w:rsidRPr="0068236B" w:rsidSect="00B55FB1">
          <w:pgSz w:w="16840" w:h="11907" w:orient="landscape" w:code="9"/>
          <w:pgMar w:top="1134" w:right="1134" w:bottom="1134" w:left="1077" w:header="397" w:footer="397" w:gutter="0"/>
          <w:cols w:space="708"/>
          <w:docGrid w:linePitch="360"/>
        </w:sectPr>
      </w:pPr>
    </w:p>
    <w:p w14:paraId="71E2C54E" w14:textId="5DD03B74" w:rsidR="0061653B" w:rsidRPr="0068236B" w:rsidRDefault="00BD5AF4" w:rsidP="00E44ED8">
      <w:pPr>
        <w:pStyle w:val="Heading1"/>
      </w:pPr>
      <w:bookmarkStart w:id="47" w:name="_Toc112852197"/>
      <w:r w:rsidRPr="0068236B">
        <w:lastRenderedPageBreak/>
        <w:t>Project Description</w:t>
      </w:r>
      <w:bookmarkEnd w:id="47"/>
      <w:r w:rsidR="006549A6" w:rsidRPr="0068236B">
        <w:tab/>
      </w:r>
      <w:r w:rsidR="006549A6" w:rsidRPr="0068236B">
        <w:tab/>
      </w:r>
      <w:r w:rsidR="006549A6" w:rsidRPr="0068236B">
        <w:tab/>
      </w:r>
    </w:p>
    <w:p w14:paraId="23B844C3" w14:textId="77777777" w:rsidR="0061653B" w:rsidRPr="0068236B" w:rsidRDefault="00AD3767" w:rsidP="009962A3">
      <w:pPr>
        <w:pStyle w:val="Heading2"/>
        <w:spacing w:before="480" w:after="240"/>
        <w:ind w:left="1077"/>
      </w:pPr>
      <w:bookmarkStart w:id="48" w:name="_Toc24928642"/>
      <w:bookmarkStart w:id="49" w:name="_Toc24973958"/>
      <w:bookmarkStart w:id="50" w:name="_Toc112852198"/>
      <w:bookmarkEnd w:id="48"/>
      <w:bookmarkEnd w:id="49"/>
      <w:r w:rsidRPr="0068236B">
        <w:t>Background and Project Objective</w:t>
      </w:r>
      <w:bookmarkEnd w:id="50"/>
    </w:p>
    <w:p w14:paraId="6F32B764" w14:textId="26F40F91" w:rsidR="00AD3767" w:rsidRPr="0068236B" w:rsidRDefault="00AD3767" w:rsidP="00AD3767">
      <w:pPr>
        <w:autoSpaceDE w:val="0"/>
        <w:autoSpaceDN w:val="0"/>
        <w:adjustRightInd w:val="0"/>
        <w:rPr>
          <w:rFonts w:cs="Tahoma"/>
          <w:sz w:val="20"/>
          <w:szCs w:val="20"/>
        </w:rPr>
      </w:pPr>
      <w:r w:rsidRPr="0068236B">
        <w:rPr>
          <w:rFonts w:cs="Tahoma"/>
          <w:sz w:val="20"/>
          <w:szCs w:val="20"/>
        </w:rPr>
        <w:t xml:space="preserve">In order to meet the goals of the European Union for the integration of energy from Renewable Energy Sources (RES), </w:t>
      </w:r>
      <w:r w:rsidR="00462949" w:rsidRPr="0068236B">
        <w:rPr>
          <w:rFonts w:cs="Tahoma"/>
          <w:sz w:val="20"/>
          <w:szCs w:val="20"/>
        </w:rPr>
        <w:t>Macedonia</w:t>
      </w:r>
      <w:r w:rsidRPr="0068236B">
        <w:rPr>
          <w:rFonts w:cs="Tahoma"/>
          <w:sz w:val="20"/>
          <w:szCs w:val="20"/>
        </w:rPr>
        <w:t xml:space="preserve"> makes efforts to maximize the integration of these energy sources into the n</w:t>
      </w:r>
      <w:r w:rsidRPr="0068236B">
        <w:rPr>
          <w:rFonts w:cs="Tahoma"/>
          <w:sz w:val="20"/>
          <w:szCs w:val="20"/>
        </w:rPr>
        <w:t>a</w:t>
      </w:r>
      <w:r w:rsidRPr="0068236B">
        <w:rPr>
          <w:rFonts w:cs="Tahoma"/>
          <w:sz w:val="20"/>
          <w:szCs w:val="20"/>
        </w:rPr>
        <w:t xml:space="preserve">tional power system. Due to the favourable climate conditions, the investments in the RES (wind power, solar power and hydropower) are most cost-effective in the south-eastern region of </w:t>
      </w:r>
      <w:r w:rsidR="00462949" w:rsidRPr="0068236B">
        <w:rPr>
          <w:rFonts w:cs="Tahoma"/>
          <w:sz w:val="20"/>
          <w:szCs w:val="20"/>
        </w:rPr>
        <w:t>Macedonia</w:t>
      </w:r>
      <w:r w:rsidRPr="0068236B">
        <w:rPr>
          <w:rFonts w:cs="Tahoma"/>
          <w:sz w:val="20"/>
          <w:szCs w:val="20"/>
        </w:rPr>
        <w:t>. Therefore, it is expected that the most significant investments in utilization of RES are/will be located mostly in this region (Figure below).</w:t>
      </w:r>
    </w:p>
    <w:p w14:paraId="07B26D45" w14:textId="77777777" w:rsidR="00AD3767" w:rsidRPr="0068236B" w:rsidRDefault="00AD3767" w:rsidP="00AD3767">
      <w:pPr>
        <w:rPr>
          <w:rFonts w:cs="Tahoma"/>
          <w:sz w:val="20"/>
          <w:szCs w:val="20"/>
        </w:rPr>
      </w:pPr>
      <w:r w:rsidRPr="0068236B">
        <w:rPr>
          <w:rFonts w:cs="Tahoma"/>
          <w:noProof/>
          <w:sz w:val="20"/>
          <w:szCs w:val="20"/>
          <w:lang w:val="mk-MK" w:eastAsia="mk-MK"/>
        </w:rPr>
        <w:drawing>
          <wp:inline distT="0" distB="0" distL="0" distR="0" wp14:anchorId="0CBB101F" wp14:editId="7F663F5D">
            <wp:extent cx="5327650" cy="4254500"/>
            <wp:effectExtent l="19050" t="0" r="635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email">
                      <a:extLst>
                        <a:ext uri="{28A0092B-C50C-407E-A947-70E740481C1C}">
                          <a14:useLocalDpi xmlns:a14="http://schemas.microsoft.com/office/drawing/2010/main" val="0"/>
                        </a:ext>
                      </a:extLst>
                    </a:blip>
                    <a:srcRect/>
                    <a:stretch>
                      <a:fillRect/>
                    </a:stretch>
                  </pic:blipFill>
                  <pic:spPr bwMode="auto">
                    <a:xfrm>
                      <a:off x="0" y="0"/>
                      <a:ext cx="5327650" cy="4254500"/>
                    </a:xfrm>
                    <a:prstGeom prst="rect">
                      <a:avLst/>
                    </a:prstGeom>
                    <a:noFill/>
                    <a:ln>
                      <a:noFill/>
                    </a:ln>
                  </pic:spPr>
                </pic:pic>
              </a:graphicData>
            </a:graphic>
          </wp:inline>
        </w:drawing>
      </w:r>
    </w:p>
    <w:p w14:paraId="63169FF2" w14:textId="77777777" w:rsidR="00BA0712" w:rsidRPr="0068236B" w:rsidRDefault="00BA0712" w:rsidP="00BA0712">
      <w:pPr>
        <w:spacing w:before="0" w:after="0"/>
        <w:jc w:val="left"/>
        <w:rPr>
          <w:sz w:val="18"/>
          <w:szCs w:val="18"/>
        </w:rPr>
      </w:pPr>
      <w:bookmarkStart w:id="51" w:name="_Toc36641744"/>
      <w:bookmarkStart w:id="52" w:name="_Toc57795337"/>
      <w:bookmarkStart w:id="53" w:name="_Toc60150121"/>
      <w:bookmarkStart w:id="54" w:name="_Toc71559829"/>
      <w:bookmarkStart w:id="55" w:name="_Toc112928850"/>
      <w:r w:rsidRPr="0068236B">
        <w:rPr>
          <w:rFonts w:cs="Arial"/>
          <w:iCs/>
          <w:sz w:val="18"/>
          <w:szCs w:val="18"/>
        </w:rPr>
        <w:t xml:space="preserve">Figure </w:t>
      </w:r>
      <w:r w:rsidR="00377E43" w:rsidRPr="0068236B">
        <w:rPr>
          <w:rFonts w:cs="Arial"/>
          <w:iCs/>
          <w:sz w:val="18"/>
          <w:szCs w:val="18"/>
        </w:rPr>
        <w:fldChar w:fldCharType="begin"/>
      </w:r>
      <w:r w:rsidRPr="0068236B">
        <w:rPr>
          <w:rFonts w:cs="Arial"/>
          <w:iCs/>
          <w:sz w:val="18"/>
          <w:szCs w:val="18"/>
        </w:rPr>
        <w:instrText xml:space="preserve"> STYLEREF 1 \s </w:instrText>
      </w:r>
      <w:r w:rsidR="00377E43" w:rsidRPr="0068236B">
        <w:rPr>
          <w:rFonts w:cs="Arial"/>
          <w:iCs/>
          <w:sz w:val="18"/>
          <w:szCs w:val="18"/>
        </w:rPr>
        <w:fldChar w:fldCharType="separate"/>
      </w:r>
      <w:r w:rsidR="00234EBE" w:rsidRPr="0068236B">
        <w:rPr>
          <w:rFonts w:cs="Arial"/>
          <w:iCs/>
          <w:noProof/>
          <w:sz w:val="18"/>
          <w:szCs w:val="18"/>
        </w:rPr>
        <w:t>2</w:t>
      </w:r>
      <w:r w:rsidR="00377E43" w:rsidRPr="0068236B">
        <w:rPr>
          <w:rFonts w:cs="Arial"/>
          <w:iCs/>
          <w:sz w:val="18"/>
          <w:szCs w:val="18"/>
        </w:rPr>
        <w:fldChar w:fldCharType="end"/>
      </w:r>
      <w:r w:rsidRPr="0068236B">
        <w:rPr>
          <w:rFonts w:cs="Arial"/>
          <w:iCs/>
          <w:sz w:val="18"/>
          <w:szCs w:val="18"/>
        </w:rPr>
        <w:t>.</w:t>
      </w:r>
      <w:r w:rsidR="00377E43" w:rsidRPr="0068236B">
        <w:rPr>
          <w:rFonts w:cs="Arial"/>
          <w:iCs/>
          <w:sz w:val="18"/>
          <w:szCs w:val="18"/>
        </w:rPr>
        <w:fldChar w:fldCharType="begin"/>
      </w:r>
      <w:r w:rsidRPr="0068236B">
        <w:rPr>
          <w:rFonts w:cs="Arial"/>
          <w:iCs/>
          <w:sz w:val="18"/>
          <w:szCs w:val="18"/>
        </w:rPr>
        <w:instrText xml:space="preserve"> SEQ Figure \* ARABIC \s 1 </w:instrText>
      </w:r>
      <w:r w:rsidR="00377E43" w:rsidRPr="0068236B">
        <w:rPr>
          <w:rFonts w:cs="Arial"/>
          <w:iCs/>
          <w:sz w:val="18"/>
          <w:szCs w:val="18"/>
        </w:rPr>
        <w:fldChar w:fldCharType="separate"/>
      </w:r>
      <w:r w:rsidR="00234EBE" w:rsidRPr="0068236B">
        <w:rPr>
          <w:rFonts w:cs="Arial"/>
          <w:iCs/>
          <w:noProof/>
          <w:sz w:val="18"/>
          <w:szCs w:val="18"/>
        </w:rPr>
        <w:t>1</w:t>
      </w:r>
      <w:r w:rsidR="00377E43" w:rsidRPr="0068236B">
        <w:rPr>
          <w:rFonts w:cs="Arial"/>
          <w:iCs/>
          <w:sz w:val="18"/>
          <w:szCs w:val="18"/>
        </w:rPr>
        <w:fldChar w:fldCharType="end"/>
      </w:r>
      <w:bookmarkEnd w:id="51"/>
      <w:bookmarkEnd w:id="52"/>
      <w:bookmarkEnd w:id="53"/>
      <w:bookmarkEnd w:id="54"/>
      <w:r w:rsidRPr="0068236B">
        <w:rPr>
          <w:sz w:val="18"/>
          <w:szCs w:val="18"/>
        </w:rPr>
        <w:t>: Macedonian grid and project area mid-term topology</w:t>
      </w:r>
      <w:bookmarkEnd w:id="55"/>
    </w:p>
    <w:p w14:paraId="7602E35F" w14:textId="77777777" w:rsidR="00AD3767" w:rsidRPr="0068236B" w:rsidRDefault="00AD3767" w:rsidP="000646DC">
      <w:pPr>
        <w:spacing w:before="60" w:after="60"/>
        <w:rPr>
          <w:rFonts w:cs="Arial"/>
          <w:sz w:val="16"/>
          <w:szCs w:val="16"/>
        </w:rPr>
      </w:pPr>
      <w:r w:rsidRPr="0068236B">
        <w:rPr>
          <w:sz w:val="16"/>
          <w:szCs w:val="16"/>
        </w:rPr>
        <w:t xml:space="preserve">Source: </w:t>
      </w:r>
      <w:r w:rsidR="00EA1302" w:rsidRPr="0068236B">
        <w:rPr>
          <w:rFonts w:cs="Tahoma"/>
          <w:sz w:val="16"/>
          <w:szCs w:val="16"/>
        </w:rPr>
        <w:t xml:space="preserve">Macedonian </w:t>
      </w:r>
      <w:r w:rsidR="00EA1302" w:rsidRPr="0068236B">
        <w:rPr>
          <w:rFonts w:cs="Arial"/>
          <w:sz w:val="16"/>
          <w:szCs w:val="16"/>
        </w:rPr>
        <w:t>Transmission System Operator</w:t>
      </w:r>
    </w:p>
    <w:p w14:paraId="67D9B942" w14:textId="77777777" w:rsidR="00BA0712" w:rsidRPr="0068236B" w:rsidRDefault="00BA0712" w:rsidP="000646DC">
      <w:pPr>
        <w:spacing w:before="60" w:after="240"/>
        <w:rPr>
          <w:rFonts w:cs="Tahoma"/>
          <w:sz w:val="16"/>
          <w:szCs w:val="16"/>
        </w:rPr>
      </w:pPr>
      <w:r w:rsidRPr="0068236B">
        <w:rPr>
          <w:rFonts w:cs="Arial"/>
          <w:sz w:val="16"/>
          <w:szCs w:val="16"/>
        </w:rPr>
        <w:t>Note: The Project region is depicted in green pattern</w:t>
      </w:r>
    </w:p>
    <w:p w14:paraId="26A4FBA9" w14:textId="77777777" w:rsidR="00AD3767" w:rsidRPr="0068236B" w:rsidRDefault="00AD3767" w:rsidP="00AD3767">
      <w:pPr>
        <w:rPr>
          <w:rFonts w:cs="Tahoma"/>
          <w:sz w:val="20"/>
          <w:szCs w:val="20"/>
        </w:rPr>
      </w:pPr>
      <w:r w:rsidRPr="0068236B">
        <w:rPr>
          <w:rFonts w:cs="Tahoma"/>
          <w:sz w:val="20"/>
          <w:szCs w:val="20"/>
        </w:rPr>
        <w:t xml:space="preserve">The Macedonian </w:t>
      </w:r>
      <w:r w:rsidR="00EA1302" w:rsidRPr="0068236B">
        <w:rPr>
          <w:rFonts w:cs="Arial"/>
          <w:sz w:val="20"/>
          <w:szCs w:val="20"/>
        </w:rPr>
        <w:t xml:space="preserve">Transmission System Operator (MEPSO) </w:t>
      </w:r>
      <w:r w:rsidRPr="0068236B">
        <w:rPr>
          <w:rFonts w:cs="Tahoma"/>
          <w:sz w:val="20"/>
          <w:szCs w:val="20"/>
        </w:rPr>
        <w:t xml:space="preserve">already faces several requests for new connections of RES in the local transmission grid in the wider Project region. Newly installed capacities of RES – wind power plants (WPP), big and small hydro power plants (HPP) as well as solar power plants (SPP) - up to 350 MW, are expected in a mid-term horizon in this region. In addition, </w:t>
      </w:r>
      <w:r w:rsidRPr="0068236B">
        <w:rPr>
          <w:sz w:val="20"/>
        </w:rPr>
        <w:t>new WPP - 536 MW, HPP - 185 MW SPP - 250 MW are foreseen until year 2040, in a long-term horizon.</w:t>
      </w:r>
      <w:r w:rsidRPr="0068236B" w:rsidDel="0020301E">
        <w:rPr>
          <w:rFonts w:cs="Tahoma"/>
          <w:sz w:val="20"/>
          <w:szCs w:val="20"/>
        </w:rPr>
        <w:t xml:space="preserve"> </w:t>
      </w:r>
    </w:p>
    <w:p w14:paraId="22573E57" w14:textId="3AD379C3" w:rsidR="00AD3767" w:rsidRPr="0068236B" w:rsidRDefault="00AD3767" w:rsidP="00AD3767">
      <w:pPr>
        <w:autoSpaceDE w:val="0"/>
        <w:autoSpaceDN w:val="0"/>
        <w:adjustRightInd w:val="0"/>
        <w:rPr>
          <w:rFonts w:cs="Tahoma"/>
          <w:sz w:val="20"/>
          <w:szCs w:val="20"/>
        </w:rPr>
      </w:pPr>
      <w:r w:rsidRPr="0068236B">
        <w:rPr>
          <w:rFonts w:cs="Tahoma"/>
          <w:sz w:val="20"/>
          <w:szCs w:val="20"/>
        </w:rPr>
        <w:t xml:space="preserve">Transmission grid in the southeast region of Macedonia (110 kV transmission line Dubrovo – Valandovo – Strumica 2 – Strumica 1, </w:t>
      </w:r>
      <w:r w:rsidR="005E6643" w:rsidRPr="0068236B">
        <w:rPr>
          <w:rFonts w:cs="Tahoma"/>
          <w:sz w:val="20"/>
          <w:szCs w:val="20"/>
        </w:rPr>
        <w:t>approx.</w:t>
      </w:r>
      <w:r w:rsidRPr="0068236B">
        <w:rPr>
          <w:rFonts w:cs="Tahoma"/>
          <w:sz w:val="20"/>
          <w:szCs w:val="20"/>
        </w:rPr>
        <w:t xml:space="preserve"> 57.5 km long line) is approaching the end of the lifecycle </w:t>
      </w:r>
      <w:r w:rsidR="009962A3" w:rsidRPr="0068236B">
        <w:rPr>
          <w:rFonts w:cs="Tahoma"/>
          <w:sz w:val="20"/>
          <w:szCs w:val="20"/>
        </w:rPr>
        <w:t>and lacks capac</w:t>
      </w:r>
      <w:r w:rsidR="009962A3" w:rsidRPr="0068236B">
        <w:rPr>
          <w:rFonts w:cs="Tahoma"/>
          <w:sz w:val="20"/>
          <w:szCs w:val="20"/>
        </w:rPr>
        <w:t>i</w:t>
      </w:r>
      <w:r w:rsidR="009962A3" w:rsidRPr="0068236B">
        <w:rPr>
          <w:rFonts w:cs="Tahoma"/>
          <w:sz w:val="20"/>
          <w:szCs w:val="20"/>
        </w:rPr>
        <w:t xml:space="preserve">ty for connection of </w:t>
      </w:r>
      <w:r w:rsidR="009962A3" w:rsidRPr="0068236B">
        <w:rPr>
          <w:rFonts w:cs="Arial"/>
          <w:sz w:val="20"/>
        </w:rPr>
        <w:t xml:space="preserve">new renewable electricity sources to the network. As such, it </w:t>
      </w:r>
      <w:r w:rsidRPr="0068236B">
        <w:rPr>
          <w:rFonts w:cs="Tahoma"/>
          <w:sz w:val="20"/>
          <w:szCs w:val="20"/>
        </w:rPr>
        <w:t>is a candidate for reco</w:t>
      </w:r>
      <w:r w:rsidRPr="0068236B">
        <w:rPr>
          <w:rFonts w:cs="Tahoma"/>
          <w:sz w:val="20"/>
          <w:szCs w:val="20"/>
        </w:rPr>
        <w:t>n</w:t>
      </w:r>
      <w:r w:rsidRPr="0068236B">
        <w:rPr>
          <w:rFonts w:cs="Tahoma"/>
          <w:sz w:val="20"/>
          <w:szCs w:val="20"/>
        </w:rPr>
        <w:t>struction due to ageing process.</w:t>
      </w:r>
      <w:r w:rsidR="009962A3" w:rsidRPr="0068236B">
        <w:rPr>
          <w:rFonts w:cs="Tahoma"/>
          <w:sz w:val="20"/>
          <w:szCs w:val="20"/>
        </w:rPr>
        <w:t xml:space="preserve"> </w:t>
      </w:r>
      <w:r w:rsidRPr="0068236B">
        <w:rPr>
          <w:rFonts w:cs="Tahoma"/>
          <w:sz w:val="20"/>
          <w:szCs w:val="20"/>
        </w:rPr>
        <w:t xml:space="preserve">In addition, in the midterm forecasted regimes, there are contingency cases with a higher risk to the security of supply. </w:t>
      </w:r>
    </w:p>
    <w:p w14:paraId="6889399B" w14:textId="20698CA8" w:rsidR="00FD18C0" w:rsidRPr="0068236B" w:rsidRDefault="00EA1302" w:rsidP="007B0FB2">
      <w:pPr>
        <w:autoSpaceDE w:val="0"/>
        <w:autoSpaceDN w:val="0"/>
        <w:adjustRightInd w:val="0"/>
        <w:rPr>
          <w:sz w:val="20"/>
        </w:rPr>
      </w:pPr>
      <w:r w:rsidRPr="0068236B">
        <w:rPr>
          <w:sz w:val="20"/>
        </w:rPr>
        <w:lastRenderedPageBreak/>
        <w:t xml:space="preserve">The main objective of the Project </w:t>
      </w:r>
      <w:r w:rsidR="007B0FB2" w:rsidRPr="0068236B">
        <w:rPr>
          <w:sz w:val="20"/>
        </w:rPr>
        <w:t>is to d</w:t>
      </w:r>
      <w:r w:rsidR="00FD18C0" w:rsidRPr="0068236B">
        <w:rPr>
          <w:sz w:val="20"/>
        </w:rPr>
        <w:t>esign, construct and operat</w:t>
      </w:r>
      <w:r w:rsidR="007B0FB2" w:rsidRPr="0068236B">
        <w:rPr>
          <w:sz w:val="20"/>
        </w:rPr>
        <w:t>e</w:t>
      </w:r>
      <w:r w:rsidR="00FD18C0" w:rsidRPr="0068236B">
        <w:rPr>
          <w:sz w:val="20"/>
        </w:rPr>
        <w:t xml:space="preserve"> a new 400/110 kV substation </w:t>
      </w:r>
      <w:r w:rsidR="007B0FB2" w:rsidRPr="0068236B">
        <w:rPr>
          <w:sz w:val="20"/>
        </w:rPr>
        <w:t>(SS) M</w:t>
      </w:r>
      <w:r w:rsidR="007B0FB2" w:rsidRPr="0068236B">
        <w:rPr>
          <w:sz w:val="20"/>
        </w:rPr>
        <w:t>i</w:t>
      </w:r>
      <w:r w:rsidR="007B0FB2" w:rsidRPr="0068236B">
        <w:rPr>
          <w:sz w:val="20"/>
        </w:rPr>
        <w:t>letkovo</w:t>
      </w:r>
      <w:r w:rsidR="00FD18C0" w:rsidRPr="0068236B">
        <w:rPr>
          <w:sz w:val="20"/>
        </w:rPr>
        <w:t xml:space="preserve"> in the area of the village Miletkovo</w:t>
      </w:r>
      <w:r w:rsidR="007B0FB2" w:rsidRPr="0068236B">
        <w:rPr>
          <w:sz w:val="20"/>
        </w:rPr>
        <w:t>, in Strumica municipality</w:t>
      </w:r>
      <w:r w:rsidR="00FD18C0" w:rsidRPr="0068236B">
        <w:rPr>
          <w:sz w:val="20"/>
        </w:rPr>
        <w:t>. This new substation will be connected with the existing 110 kV transmission network in the Project region and with the existing 400 kV transmi</w:t>
      </w:r>
      <w:r w:rsidR="00FD18C0" w:rsidRPr="0068236B">
        <w:rPr>
          <w:sz w:val="20"/>
        </w:rPr>
        <w:t>s</w:t>
      </w:r>
      <w:r w:rsidR="00FD18C0" w:rsidRPr="0068236B">
        <w:rPr>
          <w:sz w:val="20"/>
        </w:rPr>
        <w:t xml:space="preserve">sion line </w:t>
      </w:r>
      <w:r w:rsidR="00FD18C0" w:rsidRPr="0068236B">
        <w:rPr>
          <w:rFonts w:cs="Tahoma"/>
          <w:sz w:val="20"/>
        </w:rPr>
        <w:t xml:space="preserve">Dubrovo – Thessalonica (GR), </w:t>
      </w:r>
      <w:r w:rsidR="00FD18C0" w:rsidRPr="0068236B">
        <w:rPr>
          <w:sz w:val="20"/>
        </w:rPr>
        <w:t>by in-out connection</w:t>
      </w:r>
      <w:r w:rsidR="007B0FB2" w:rsidRPr="0068236B">
        <w:rPr>
          <w:sz w:val="20"/>
        </w:rPr>
        <w:t>.</w:t>
      </w:r>
    </w:p>
    <w:p w14:paraId="7373E7DE" w14:textId="0DEDE98B" w:rsidR="00FD18C0" w:rsidRPr="0068236B" w:rsidRDefault="007B0FB2" w:rsidP="007B0FB2">
      <w:pPr>
        <w:autoSpaceDE w:val="0"/>
        <w:autoSpaceDN w:val="0"/>
        <w:adjustRightInd w:val="0"/>
        <w:rPr>
          <w:sz w:val="20"/>
        </w:rPr>
      </w:pPr>
      <w:r w:rsidRPr="0068236B">
        <w:rPr>
          <w:sz w:val="20"/>
        </w:rPr>
        <w:t xml:space="preserve">The Project is a component of a wider development scheme for strengthening the transmission network in the Southeast Region of </w:t>
      </w:r>
      <w:r w:rsidR="00462949" w:rsidRPr="0068236B">
        <w:rPr>
          <w:sz w:val="20"/>
        </w:rPr>
        <w:t>Macedonia</w:t>
      </w:r>
      <w:r w:rsidRPr="0068236B">
        <w:rPr>
          <w:sz w:val="20"/>
        </w:rPr>
        <w:t>, which also includes a project for r</w:t>
      </w:r>
      <w:r w:rsidR="00FD18C0" w:rsidRPr="0068236B">
        <w:rPr>
          <w:sz w:val="20"/>
        </w:rPr>
        <w:t xml:space="preserve">econstruction of the existing 110 kV transmission line SS Valandovo – SS Strumica 2 – SS Strumica 1 by upgrading its transmission capacity and partial cabling in the urban zones of Strumica </w:t>
      </w:r>
    </w:p>
    <w:p w14:paraId="40931374" w14:textId="3334A2DA" w:rsidR="00AD3767" w:rsidRPr="0068236B" w:rsidRDefault="007B0FB2" w:rsidP="00AD3767">
      <w:pPr>
        <w:rPr>
          <w:rFonts w:cs="Tahoma"/>
          <w:sz w:val="20"/>
        </w:rPr>
      </w:pPr>
      <w:r w:rsidRPr="0068236B">
        <w:rPr>
          <w:rFonts w:cs="Tahoma"/>
          <w:sz w:val="20"/>
        </w:rPr>
        <w:t>This wider development scheme is also e</w:t>
      </w:r>
      <w:r w:rsidR="009962A3" w:rsidRPr="0068236B">
        <w:rPr>
          <w:rFonts w:cs="Tahoma"/>
          <w:sz w:val="20"/>
        </w:rPr>
        <w:t xml:space="preserve">xpected </w:t>
      </w:r>
      <w:r w:rsidR="00AD3767" w:rsidRPr="0068236B">
        <w:rPr>
          <w:rFonts w:cs="Tahoma"/>
          <w:sz w:val="20"/>
        </w:rPr>
        <w:t>to provide:</w:t>
      </w:r>
    </w:p>
    <w:p w14:paraId="655E20E1" w14:textId="77777777" w:rsidR="00AD3767" w:rsidRPr="0068236B" w:rsidRDefault="00AD3767" w:rsidP="00AD3767">
      <w:pPr>
        <w:pStyle w:val="ListBullet"/>
        <w:jc w:val="left"/>
        <w:rPr>
          <w:rFonts w:cs="Tahoma"/>
          <w:sz w:val="20"/>
        </w:rPr>
      </w:pPr>
      <w:r w:rsidRPr="0068236B">
        <w:rPr>
          <w:rFonts w:cs="Tahoma"/>
          <w:sz w:val="20"/>
        </w:rPr>
        <w:t xml:space="preserve">Increased security of supply, and </w:t>
      </w:r>
    </w:p>
    <w:p w14:paraId="7AC4F337" w14:textId="77777777" w:rsidR="007B0FB2" w:rsidRPr="0068236B" w:rsidRDefault="009962A3" w:rsidP="007B0FB2">
      <w:pPr>
        <w:pStyle w:val="ListBullet"/>
        <w:jc w:val="left"/>
        <w:rPr>
          <w:rFonts w:cs="Tahoma"/>
          <w:sz w:val="20"/>
        </w:rPr>
      </w:pPr>
      <w:r w:rsidRPr="0068236B">
        <w:rPr>
          <w:rFonts w:cs="Tahoma"/>
          <w:sz w:val="20"/>
        </w:rPr>
        <w:t xml:space="preserve">Secure </w:t>
      </w:r>
      <w:r w:rsidR="00AD3767" w:rsidRPr="0068236B">
        <w:rPr>
          <w:rFonts w:cs="Tahoma"/>
          <w:sz w:val="20"/>
        </w:rPr>
        <w:t>and reliable integration of planned RES in the southeast region of the countr</w:t>
      </w:r>
      <w:r w:rsidR="009C2ADD" w:rsidRPr="0068236B">
        <w:rPr>
          <w:rFonts w:cs="Tahoma"/>
          <w:sz w:val="20"/>
        </w:rPr>
        <w:t xml:space="preserve">y, which </w:t>
      </w:r>
      <w:r w:rsidR="009C2ADD" w:rsidRPr="0068236B">
        <w:rPr>
          <w:sz w:val="20"/>
        </w:rPr>
        <w:t>consequently contribute towards reduction in CO</w:t>
      </w:r>
      <w:r w:rsidR="009C2ADD" w:rsidRPr="0068236B">
        <w:rPr>
          <w:sz w:val="20"/>
          <w:vertAlign w:val="subscript"/>
        </w:rPr>
        <w:t>2</w:t>
      </w:r>
      <w:r w:rsidR="009C2ADD" w:rsidRPr="0068236B">
        <w:rPr>
          <w:sz w:val="20"/>
        </w:rPr>
        <w:t xml:space="preserve"> emissions.</w:t>
      </w:r>
    </w:p>
    <w:p w14:paraId="5D22BE02" w14:textId="6B611C64" w:rsidR="00AD3767" w:rsidRPr="0068236B" w:rsidRDefault="007B0FB2" w:rsidP="007B0FB2">
      <w:pPr>
        <w:pStyle w:val="ListBullet"/>
        <w:jc w:val="left"/>
        <w:rPr>
          <w:rFonts w:cs="Tahoma"/>
          <w:sz w:val="20"/>
        </w:rPr>
      </w:pPr>
      <w:r w:rsidRPr="0068236B">
        <w:rPr>
          <w:rFonts w:cs="Tahoma"/>
          <w:sz w:val="20"/>
        </w:rPr>
        <w:t>I</w:t>
      </w:r>
      <w:r w:rsidR="00AD3767" w:rsidRPr="0068236B">
        <w:rPr>
          <w:rFonts w:cs="Tahoma"/>
          <w:sz w:val="20"/>
        </w:rPr>
        <w:t>ncrease</w:t>
      </w:r>
      <w:r w:rsidRPr="0068236B">
        <w:rPr>
          <w:rFonts w:cs="Tahoma"/>
          <w:sz w:val="20"/>
        </w:rPr>
        <w:t>d</w:t>
      </w:r>
      <w:r w:rsidR="00AD3767" w:rsidRPr="0068236B">
        <w:rPr>
          <w:rFonts w:cs="Tahoma"/>
          <w:sz w:val="20"/>
        </w:rPr>
        <w:t xml:space="preserve"> efficiency and capacity of the transmission grid with smart grid solutions (Dynamic Line Rate (DLR) &amp; asset management).</w:t>
      </w:r>
    </w:p>
    <w:p w14:paraId="18E03CD4" w14:textId="77777777" w:rsidR="009962A3" w:rsidRPr="0068236B" w:rsidRDefault="009962A3" w:rsidP="009962A3">
      <w:pPr>
        <w:pStyle w:val="Heading2"/>
        <w:spacing w:before="480" w:after="240"/>
        <w:ind w:left="1077"/>
      </w:pPr>
      <w:bookmarkStart w:id="56" w:name="_Toc112852199"/>
      <w:r w:rsidRPr="0068236B">
        <w:t>The Project Developer</w:t>
      </w:r>
      <w:bookmarkEnd w:id="56"/>
    </w:p>
    <w:p w14:paraId="6D8A4C48" w14:textId="77777777" w:rsidR="009962A3" w:rsidRPr="0068236B" w:rsidRDefault="009962A3" w:rsidP="009962A3">
      <w:pPr>
        <w:rPr>
          <w:rFonts w:cs="Tahoma"/>
          <w:sz w:val="20"/>
        </w:rPr>
      </w:pPr>
      <w:r w:rsidRPr="0068236B">
        <w:rPr>
          <w:rFonts w:cs="Arial"/>
          <w:sz w:val="20"/>
          <w:szCs w:val="20"/>
        </w:rPr>
        <w:t xml:space="preserve">The project developer is the Macedonian Transmission System Operator. </w:t>
      </w:r>
      <w:r w:rsidRPr="0068236B">
        <w:rPr>
          <w:rFonts w:cs="Tahoma"/>
          <w:sz w:val="20"/>
        </w:rPr>
        <w:t>MEPSO is a Joint Stock company fully state-owned, established in 2005 after the transformation of the Electric Power Company of Macedonia (‘Elektro-stopanstvo na Makedonija’). The core activity of MEPSO is a reliable electricity transmission via the national high voltage network, electric power system control and regular and duly electricity flow to its cl</w:t>
      </w:r>
      <w:r w:rsidRPr="0068236B">
        <w:rPr>
          <w:rFonts w:cs="Tahoma"/>
          <w:sz w:val="20"/>
        </w:rPr>
        <w:t>i</w:t>
      </w:r>
      <w:r w:rsidRPr="0068236B">
        <w:rPr>
          <w:rFonts w:cs="Tahoma"/>
          <w:sz w:val="20"/>
        </w:rPr>
        <w:t>ents such as the large industrial consumers, and to the low voltage grid of the Macedonian electricity distr</w:t>
      </w:r>
      <w:r w:rsidRPr="0068236B">
        <w:rPr>
          <w:rFonts w:cs="Tahoma"/>
          <w:sz w:val="20"/>
        </w:rPr>
        <w:t>i</w:t>
      </w:r>
      <w:r w:rsidRPr="0068236B">
        <w:rPr>
          <w:rFonts w:cs="Tahoma"/>
          <w:sz w:val="20"/>
        </w:rPr>
        <w:t>bution system operator (EVN Macedonia). To perform its activity MEPSO has been granted the following relevant licenses from the national Energy Regulatory Commission:</w:t>
      </w:r>
    </w:p>
    <w:p w14:paraId="6D9D59FE" w14:textId="77777777" w:rsidR="009962A3" w:rsidRPr="0068236B" w:rsidRDefault="009962A3" w:rsidP="009962A3">
      <w:pPr>
        <w:pStyle w:val="ListBullet"/>
        <w:jc w:val="left"/>
        <w:rPr>
          <w:sz w:val="20"/>
        </w:rPr>
      </w:pPr>
      <w:r w:rsidRPr="0068236B">
        <w:rPr>
          <w:rFonts w:cs="Tahoma"/>
          <w:sz w:val="20"/>
        </w:rPr>
        <w:t>A license of doing the energy business and activity in terms of electricity transmission and acti</w:t>
      </w:r>
      <w:r w:rsidRPr="0068236B">
        <w:rPr>
          <w:rFonts w:cs="Tahoma"/>
          <w:sz w:val="20"/>
        </w:rPr>
        <w:t>v</w:t>
      </w:r>
      <w:r w:rsidRPr="0068236B">
        <w:rPr>
          <w:rFonts w:cs="Tahoma"/>
          <w:sz w:val="20"/>
        </w:rPr>
        <w:t>ity transmission system control.</w:t>
      </w:r>
    </w:p>
    <w:p w14:paraId="48925E95" w14:textId="77777777" w:rsidR="009962A3" w:rsidRPr="0068236B" w:rsidRDefault="009962A3" w:rsidP="009962A3">
      <w:pPr>
        <w:pStyle w:val="ListBullet"/>
        <w:jc w:val="left"/>
        <w:rPr>
          <w:sz w:val="20"/>
        </w:rPr>
      </w:pPr>
      <w:r w:rsidRPr="0068236B">
        <w:rPr>
          <w:rFonts w:cs="Tahoma"/>
          <w:sz w:val="20"/>
        </w:rPr>
        <w:t>A license of doing power business and activity, organization and electricity market control.</w:t>
      </w:r>
    </w:p>
    <w:p w14:paraId="324356F7" w14:textId="3BE1FD72" w:rsidR="009962A3" w:rsidRPr="0068236B" w:rsidRDefault="009962A3" w:rsidP="009962A3">
      <w:pPr>
        <w:pStyle w:val="Heading2"/>
        <w:spacing w:before="480" w:after="240"/>
        <w:ind w:left="1077"/>
        <w:rPr>
          <w:lang w:eastAsia="en-US"/>
        </w:rPr>
      </w:pPr>
      <w:bookmarkStart w:id="57" w:name="_Toc71559725"/>
      <w:bookmarkStart w:id="58" w:name="_Toc112852200"/>
      <w:r w:rsidRPr="0068236B">
        <w:rPr>
          <w:lang w:eastAsia="en-US"/>
        </w:rPr>
        <w:t>Purpose of the Report</w:t>
      </w:r>
      <w:bookmarkEnd w:id="57"/>
      <w:bookmarkEnd w:id="58"/>
    </w:p>
    <w:p w14:paraId="446C278E" w14:textId="1D9265D7" w:rsidR="00BA0712" w:rsidRPr="0068236B" w:rsidRDefault="00BA0712" w:rsidP="002A26CA">
      <w:pPr>
        <w:pStyle w:val="BodyText0"/>
        <w:spacing w:before="120" w:line="276" w:lineRule="auto"/>
        <w:jc w:val="both"/>
        <w:rPr>
          <w:rFonts w:ascii="Tahoma" w:hAnsi="Tahoma" w:cs="Tahoma"/>
          <w:sz w:val="20"/>
        </w:rPr>
      </w:pPr>
      <w:r w:rsidRPr="0068236B">
        <w:rPr>
          <w:rFonts w:ascii="Tahoma" w:hAnsi="Tahoma" w:cs="Tahoma"/>
          <w:sz w:val="20"/>
        </w:rPr>
        <w:t>This document represe</w:t>
      </w:r>
      <w:r w:rsidR="003A4403" w:rsidRPr="0068236B">
        <w:rPr>
          <w:rFonts w:ascii="Tahoma" w:hAnsi="Tahoma" w:cs="Tahoma"/>
          <w:sz w:val="20"/>
        </w:rPr>
        <w:t xml:space="preserve">nts an Environmental and Social </w:t>
      </w:r>
      <w:r w:rsidR="002A26CA" w:rsidRPr="0068236B">
        <w:rPr>
          <w:rFonts w:ascii="Tahoma" w:hAnsi="Tahoma" w:cs="Tahoma"/>
          <w:sz w:val="20"/>
        </w:rPr>
        <w:t xml:space="preserve">Assessment </w:t>
      </w:r>
      <w:r w:rsidRPr="0068236B">
        <w:rPr>
          <w:rFonts w:ascii="Tahoma" w:hAnsi="Tahoma" w:cs="Tahoma"/>
          <w:sz w:val="20"/>
        </w:rPr>
        <w:t xml:space="preserve">Report for the </w:t>
      </w:r>
      <w:r w:rsidR="002A26CA" w:rsidRPr="0068236B">
        <w:rPr>
          <w:rFonts w:ascii="Tahoma" w:hAnsi="Tahoma" w:cs="Tahoma"/>
          <w:sz w:val="20"/>
        </w:rPr>
        <w:t>Project.</w:t>
      </w:r>
    </w:p>
    <w:p w14:paraId="04364AEE" w14:textId="7137F468" w:rsidR="00BA0712" w:rsidRPr="0068236B" w:rsidRDefault="00BA0712" w:rsidP="00BA0712">
      <w:pPr>
        <w:pStyle w:val="BodyText0"/>
        <w:spacing w:before="120" w:line="276" w:lineRule="auto"/>
        <w:jc w:val="both"/>
        <w:rPr>
          <w:rFonts w:ascii="Tahoma" w:hAnsi="Tahoma" w:cs="Tahoma"/>
          <w:sz w:val="20"/>
        </w:rPr>
      </w:pPr>
      <w:r w:rsidRPr="0068236B">
        <w:rPr>
          <w:rFonts w:ascii="Tahoma" w:hAnsi="Tahoma" w:cs="Tahoma"/>
          <w:sz w:val="20"/>
        </w:rPr>
        <w:t xml:space="preserve">The Report has been prepared as part of the </w:t>
      </w:r>
      <w:r w:rsidR="002A26CA" w:rsidRPr="0068236B">
        <w:rPr>
          <w:rFonts w:ascii="Tahoma" w:hAnsi="Tahoma" w:cs="Tahoma"/>
          <w:sz w:val="20"/>
        </w:rPr>
        <w:t>environmental and social (E&amp;S) assessment</w:t>
      </w:r>
      <w:r w:rsidRPr="0068236B">
        <w:rPr>
          <w:rFonts w:ascii="Tahoma" w:hAnsi="Tahoma" w:cs="Tahoma"/>
          <w:sz w:val="20"/>
        </w:rPr>
        <w:t xml:space="preserve"> process in accor</w:t>
      </w:r>
      <w:r w:rsidRPr="0068236B">
        <w:rPr>
          <w:rFonts w:ascii="Tahoma" w:hAnsi="Tahoma" w:cs="Tahoma"/>
          <w:sz w:val="20"/>
        </w:rPr>
        <w:t>d</w:t>
      </w:r>
      <w:r w:rsidRPr="0068236B">
        <w:rPr>
          <w:rFonts w:ascii="Tahoma" w:hAnsi="Tahoma" w:cs="Tahoma"/>
          <w:sz w:val="20"/>
        </w:rPr>
        <w:t xml:space="preserve">ance with </w:t>
      </w:r>
      <w:r w:rsidR="002A26CA" w:rsidRPr="0068236B">
        <w:rPr>
          <w:rFonts w:ascii="Tahoma" w:hAnsi="Tahoma" w:cs="Tahoma"/>
          <w:sz w:val="20"/>
        </w:rPr>
        <w:t>the</w:t>
      </w:r>
      <w:r w:rsidR="004754E9" w:rsidRPr="0068236B">
        <w:rPr>
          <w:rFonts w:ascii="Tahoma" w:hAnsi="Tahoma" w:cs="Tahoma"/>
          <w:sz w:val="20"/>
        </w:rPr>
        <w:t xml:space="preserve"> EBRD’s Environmental and Social Policy</w:t>
      </w:r>
      <w:r w:rsidR="002A26CA" w:rsidRPr="0068236B">
        <w:rPr>
          <w:rFonts w:ascii="Tahoma" w:hAnsi="Tahoma" w:cs="Tahoma"/>
          <w:sz w:val="20"/>
        </w:rPr>
        <w:t xml:space="preserve"> </w:t>
      </w:r>
      <w:r w:rsidR="004754E9" w:rsidRPr="0068236B">
        <w:rPr>
          <w:rFonts w:ascii="Tahoma" w:hAnsi="Tahoma" w:cs="Tahoma"/>
          <w:sz w:val="20"/>
        </w:rPr>
        <w:t xml:space="preserve">and Performance requirements, </w:t>
      </w:r>
      <w:r w:rsidR="002A26CA" w:rsidRPr="0068236B">
        <w:rPr>
          <w:rFonts w:ascii="Tahoma" w:hAnsi="Tahoma" w:cs="Tahoma"/>
          <w:sz w:val="20"/>
        </w:rPr>
        <w:t>as</w:t>
      </w:r>
      <w:r w:rsidRPr="0068236B">
        <w:rPr>
          <w:rFonts w:ascii="Tahoma" w:hAnsi="Tahoma" w:cs="Tahoma"/>
          <w:sz w:val="20"/>
        </w:rPr>
        <w:t xml:space="preserve"> req</w:t>
      </w:r>
      <w:r w:rsidR="00352F26" w:rsidRPr="0068236B">
        <w:rPr>
          <w:rFonts w:ascii="Tahoma" w:hAnsi="Tahoma" w:cs="Tahoma"/>
          <w:sz w:val="20"/>
        </w:rPr>
        <w:t>uired by the potential Project L</w:t>
      </w:r>
      <w:r w:rsidRPr="0068236B">
        <w:rPr>
          <w:rFonts w:ascii="Tahoma" w:hAnsi="Tahoma" w:cs="Tahoma"/>
          <w:sz w:val="20"/>
        </w:rPr>
        <w:t>ender – the European Bank for Reconst</w:t>
      </w:r>
      <w:r w:rsidR="002A26CA" w:rsidRPr="0068236B">
        <w:rPr>
          <w:rFonts w:ascii="Tahoma" w:hAnsi="Tahoma" w:cs="Tahoma"/>
          <w:sz w:val="20"/>
        </w:rPr>
        <w:t xml:space="preserve">ruction and Development (EBRD) and based on the respective </w:t>
      </w:r>
      <w:r w:rsidR="00D24BAA" w:rsidRPr="0068236B">
        <w:rPr>
          <w:rFonts w:ascii="Tahoma" w:hAnsi="Tahoma" w:cs="Tahoma"/>
          <w:sz w:val="20"/>
        </w:rPr>
        <w:t>outcomes of the assessment’s</w:t>
      </w:r>
      <w:r w:rsidR="002A26CA" w:rsidRPr="0068236B">
        <w:rPr>
          <w:rFonts w:ascii="Tahoma" w:hAnsi="Tahoma" w:cs="Tahoma"/>
          <w:sz w:val="20"/>
        </w:rPr>
        <w:t xml:space="preserve"> scoping process</w:t>
      </w:r>
      <w:r w:rsidR="002A26CA" w:rsidRPr="0068236B">
        <w:rPr>
          <w:rStyle w:val="FootnoteReference"/>
          <w:rFonts w:ascii="Tahoma" w:hAnsi="Tahoma" w:cs="Tahoma"/>
          <w:sz w:val="20"/>
        </w:rPr>
        <w:footnoteReference w:id="30"/>
      </w:r>
      <w:r w:rsidR="002A26CA" w:rsidRPr="0068236B">
        <w:rPr>
          <w:rFonts w:ascii="Tahoma" w:hAnsi="Tahoma" w:cs="Tahoma"/>
          <w:sz w:val="20"/>
        </w:rPr>
        <w:t>.</w:t>
      </w:r>
    </w:p>
    <w:p w14:paraId="31E545DB" w14:textId="67FC116C" w:rsidR="00BA0712" w:rsidRPr="0068236B" w:rsidRDefault="00BA0712" w:rsidP="00BA0712">
      <w:pPr>
        <w:pStyle w:val="BodyText0"/>
        <w:spacing w:before="120" w:line="276" w:lineRule="auto"/>
        <w:jc w:val="both"/>
        <w:rPr>
          <w:rFonts w:ascii="Tahoma" w:hAnsi="Tahoma" w:cs="Tahoma"/>
          <w:color w:val="595959"/>
          <w:sz w:val="20"/>
          <w:szCs w:val="22"/>
        </w:rPr>
      </w:pPr>
      <w:r w:rsidRPr="0068236B">
        <w:rPr>
          <w:rFonts w:ascii="Tahoma" w:hAnsi="Tahoma" w:cs="Tahoma"/>
          <w:sz w:val="20"/>
          <w:szCs w:val="22"/>
        </w:rPr>
        <w:t>This Report is based on the Technical Assessment (</w:t>
      </w:r>
      <w:r w:rsidR="00386259" w:rsidRPr="0068236B">
        <w:rPr>
          <w:rFonts w:ascii="Tahoma" w:hAnsi="Tahoma" w:cs="Tahoma"/>
          <w:sz w:val="20"/>
          <w:szCs w:val="22"/>
        </w:rPr>
        <w:t>Conceptual Solution</w:t>
      </w:r>
      <w:r w:rsidRPr="0068236B">
        <w:rPr>
          <w:rFonts w:ascii="Tahoma" w:hAnsi="Tahoma" w:cs="Tahoma"/>
          <w:sz w:val="20"/>
          <w:szCs w:val="22"/>
        </w:rPr>
        <w:t>) for the proposed transmission d</w:t>
      </w:r>
      <w:r w:rsidRPr="0068236B">
        <w:rPr>
          <w:rFonts w:ascii="Tahoma" w:hAnsi="Tahoma" w:cs="Tahoma"/>
          <w:sz w:val="20"/>
          <w:szCs w:val="22"/>
        </w:rPr>
        <w:t>e</w:t>
      </w:r>
      <w:r w:rsidRPr="0068236B">
        <w:rPr>
          <w:rFonts w:ascii="Tahoma" w:hAnsi="Tahoma" w:cs="Tahoma"/>
          <w:sz w:val="20"/>
          <w:szCs w:val="22"/>
        </w:rPr>
        <w:t>velopment. The Project is to be developed further through refe</w:t>
      </w:r>
      <w:r w:rsidR="003553E2" w:rsidRPr="0068236B">
        <w:rPr>
          <w:rFonts w:ascii="Tahoma" w:hAnsi="Tahoma" w:cs="Tahoma"/>
          <w:sz w:val="20"/>
          <w:szCs w:val="22"/>
        </w:rPr>
        <w:t>rence design stages (i.e. P</w:t>
      </w:r>
      <w:r w:rsidRPr="0068236B">
        <w:rPr>
          <w:rFonts w:ascii="Tahoma" w:hAnsi="Tahoma" w:cs="Tahoma"/>
          <w:sz w:val="20"/>
          <w:szCs w:val="22"/>
        </w:rPr>
        <w:t xml:space="preserve">reliminary </w:t>
      </w:r>
      <w:r w:rsidR="003553E2" w:rsidRPr="0068236B">
        <w:rPr>
          <w:rFonts w:ascii="Tahoma" w:hAnsi="Tahoma" w:cs="Tahoma"/>
          <w:sz w:val="20"/>
          <w:szCs w:val="22"/>
        </w:rPr>
        <w:t>Design and D</w:t>
      </w:r>
      <w:r w:rsidRPr="0068236B">
        <w:rPr>
          <w:rFonts w:ascii="Tahoma" w:hAnsi="Tahoma" w:cs="Tahoma"/>
          <w:sz w:val="20"/>
          <w:szCs w:val="22"/>
        </w:rPr>
        <w:t xml:space="preserve">etailed </w:t>
      </w:r>
      <w:r w:rsidR="003553E2" w:rsidRPr="0068236B">
        <w:rPr>
          <w:rFonts w:ascii="Tahoma" w:hAnsi="Tahoma" w:cs="Tahoma"/>
          <w:sz w:val="20"/>
          <w:szCs w:val="22"/>
        </w:rPr>
        <w:t>D</w:t>
      </w:r>
      <w:r w:rsidRPr="0068236B">
        <w:rPr>
          <w:rFonts w:ascii="Tahoma" w:hAnsi="Tahoma" w:cs="Tahoma"/>
          <w:sz w:val="20"/>
          <w:szCs w:val="22"/>
        </w:rPr>
        <w:t>esign) which will form the basis for the detailed environmental and social appraisal and appl</w:t>
      </w:r>
      <w:r w:rsidRPr="0068236B">
        <w:rPr>
          <w:rFonts w:ascii="Tahoma" w:hAnsi="Tahoma" w:cs="Tahoma"/>
          <w:sz w:val="20"/>
          <w:szCs w:val="22"/>
        </w:rPr>
        <w:t>i</w:t>
      </w:r>
      <w:r w:rsidRPr="0068236B">
        <w:rPr>
          <w:rFonts w:ascii="Tahoma" w:hAnsi="Tahoma" w:cs="Tahoma"/>
          <w:sz w:val="20"/>
          <w:szCs w:val="22"/>
        </w:rPr>
        <w:t>cation to the Macedonian competent authority for consenting purposes.</w:t>
      </w:r>
      <w:r w:rsidRPr="0068236B">
        <w:rPr>
          <w:rFonts w:ascii="Tahoma" w:hAnsi="Tahoma" w:cs="Tahoma"/>
          <w:color w:val="595959"/>
          <w:sz w:val="20"/>
          <w:szCs w:val="22"/>
        </w:rPr>
        <w:t xml:space="preserve"> </w:t>
      </w:r>
    </w:p>
    <w:p w14:paraId="229CB91B" w14:textId="53DD09D5" w:rsidR="00A15F33" w:rsidRPr="0068236B" w:rsidRDefault="00BA0712" w:rsidP="00AB498C">
      <w:pPr>
        <w:pStyle w:val="Heading2"/>
        <w:spacing w:before="480" w:after="240"/>
        <w:ind w:left="1077"/>
      </w:pPr>
      <w:bookmarkStart w:id="59" w:name="_Toc29572109"/>
      <w:bookmarkStart w:id="60" w:name="_Toc112852201"/>
      <w:bookmarkEnd w:id="59"/>
      <w:r w:rsidRPr="0068236B">
        <w:lastRenderedPageBreak/>
        <w:t>The Proposed Project</w:t>
      </w:r>
      <w:bookmarkEnd w:id="60"/>
    </w:p>
    <w:p w14:paraId="7175FC4D" w14:textId="77777777" w:rsidR="00BA0712" w:rsidRPr="0068236B" w:rsidRDefault="00BA0712" w:rsidP="00AB498C">
      <w:pPr>
        <w:pStyle w:val="Heading3"/>
      </w:pPr>
      <w:bookmarkStart w:id="61" w:name="_Toc112852202"/>
      <w:r w:rsidRPr="0068236B">
        <w:t>Project Location</w:t>
      </w:r>
      <w:bookmarkEnd w:id="61"/>
    </w:p>
    <w:p w14:paraId="47B08191" w14:textId="5CA29979" w:rsidR="002A3A05" w:rsidRPr="0068236B" w:rsidRDefault="009C2ADD" w:rsidP="00AB498C">
      <w:pPr>
        <w:rPr>
          <w:rFonts w:cs="Tahoma"/>
          <w:sz w:val="20"/>
        </w:rPr>
      </w:pPr>
      <w:r w:rsidRPr="0068236B">
        <w:rPr>
          <w:rFonts w:cs="Tahoma"/>
          <w:bCs/>
          <w:kern w:val="32"/>
          <w:sz w:val="20"/>
          <w:szCs w:val="20"/>
        </w:rPr>
        <w:t xml:space="preserve">The Project area is situated in Southeast Region of </w:t>
      </w:r>
      <w:r w:rsidR="00462949" w:rsidRPr="0068236B">
        <w:rPr>
          <w:rFonts w:cs="Tahoma"/>
          <w:bCs/>
          <w:kern w:val="32"/>
          <w:sz w:val="20"/>
          <w:szCs w:val="20"/>
        </w:rPr>
        <w:t>Macedonia</w:t>
      </w:r>
      <w:r w:rsidR="00AB498C" w:rsidRPr="0068236B">
        <w:rPr>
          <w:rFonts w:cs="Tahoma"/>
          <w:bCs/>
          <w:kern w:val="32"/>
          <w:sz w:val="20"/>
          <w:szCs w:val="20"/>
        </w:rPr>
        <w:t xml:space="preserve">, in two </w:t>
      </w:r>
      <w:r w:rsidR="0011398A" w:rsidRPr="0068236B">
        <w:rPr>
          <w:rFonts w:cs="Tahoma"/>
          <w:sz w:val="20"/>
        </w:rPr>
        <w:t>Macedonian l</w:t>
      </w:r>
      <w:r w:rsidR="00AB498C" w:rsidRPr="0068236B">
        <w:rPr>
          <w:rFonts w:cs="Tahoma"/>
          <w:sz w:val="20"/>
        </w:rPr>
        <w:t>ocal self-government (LSG) units</w:t>
      </w:r>
      <w:r w:rsidR="0011398A" w:rsidRPr="0068236B">
        <w:rPr>
          <w:rFonts w:cs="Tahoma"/>
          <w:sz w:val="20"/>
        </w:rPr>
        <w:t xml:space="preserve"> - the municipalit</w:t>
      </w:r>
      <w:r w:rsidR="00AB498C" w:rsidRPr="0068236B">
        <w:rPr>
          <w:rFonts w:cs="Tahoma"/>
          <w:sz w:val="20"/>
        </w:rPr>
        <w:t>ies of</w:t>
      </w:r>
      <w:r w:rsidR="00F258DF" w:rsidRPr="0068236B">
        <w:rPr>
          <w:rFonts w:cs="Tahoma"/>
          <w:sz w:val="20"/>
        </w:rPr>
        <w:t xml:space="preserve"> Gevgelija</w:t>
      </w:r>
      <w:r w:rsidR="00AB498C" w:rsidRPr="0068236B">
        <w:rPr>
          <w:rFonts w:cs="Tahoma"/>
          <w:sz w:val="20"/>
        </w:rPr>
        <w:t xml:space="preserve"> </w:t>
      </w:r>
      <w:r w:rsidR="0011398A" w:rsidRPr="0068236B">
        <w:rPr>
          <w:rFonts w:cs="Tahoma"/>
          <w:sz w:val="20"/>
        </w:rPr>
        <w:t>and V</w:t>
      </w:r>
      <w:r w:rsidR="0015718A" w:rsidRPr="0068236B">
        <w:rPr>
          <w:rFonts w:cs="Tahoma"/>
          <w:sz w:val="20"/>
        </w:rPr>
        <w:t>a</w:t>
      </w:r>
      <w:r w:rsidR="0011398A" w:rsidRPr="0068236B">
        <w:rPr>
          <w:rFonts w:cs="Tahoma"/>
          <w:sz w:val="20"/>
        </w:rPr>
        <w:t>landovo.</w:t>
      </w:r>
    </w:p>
    <w:p w14:paraId="700A8BAB" w14:textId="6AC82A93" w:rsidR="0015718A" w:rsidRPr="0068236B" w:rsidRDefault="00F258DF" w:rsidP="0015718A">
      <w:pPr>
        <w:pStyle w:val="NumberedParagraph"/>
        <w:rPr>
          <w:sz w:val="20"/>
        </w:rPr>
      </w:pPr>
      <w:r w:rsidRPr="0068236B">
        <w:rPr>
          <w:sz w:val="20"/>
        </w:rPr>
        <w:t xml:space="preserve">The location of the proposed 400/110 kV SS </w:t>
      </w:r>
      <w:r w:rsidR="00AB498C" w:rsidRPr="0068236B">
        <w:rPr>
          <w:sz w:val="20"/>
        </w:rPr>
        <w:t>Miletkovo</w:t>
      </w:r>
      <w:r w:rsidR="009C11A1" w:rsidRPr="0068236B">
        <w:rPr>
          <w:sz w:val="20"/>
        </w:rPr>
        <w:t xml:space="preserve"> (Figure below)</w:t>
      </w:r>
      <w:r w:rsidRPr="0068236B">
        <w:rPr>
          <w:sz w:val="20"/>
        </w:rPr>
        <w:t xml:space="preserve"> is </w:t>
      </w:r>
      <w:r w:rsidR="009C11A1" w:rsidRPr="0068236B">
        <w:rPr>
          <w:sz w:val="20"/>
        </w:rPr>
        <w:t xml:space="preserve">situated in </w:t>
      </w:r>
      <w:r w:rsidR="00E00CCC" w:rsidRPr="0068236B">
        <w:rPr>
          <w:sz w:val="20"/>
        </w:rPr>
        <w:t>the wider area of the settlement Miletkovo</w:t>
      </w:r>
      <w:r w:rsidR="0015718A" w:rsidRPr="0068236B">
        <w:rPr>
          <w:sz w:val="20"/>
        </w:rPr>
        <w:t xml:space="preserve"> (at relative distance of approximately 1 km)</w:t>
      </w:r>
      <w:r w:rsidR="00E00CCC" w:rsidRPr="0068236B">
        <w:rPr>
          <w:sz w:val="20"/>
        </w:rPr>
        <w:t xml:space="preserve">, in </w:t>
      </w:r>
      <w:r w:rsidR="009C11A1" w:rsidRPr="0068236B">
        <w:rPr>
          <w:sz w:val="20"/>
        </w:rPr>
        <w:t>the municipality of Gevgelija</w:t>
      </w:r>
      <w:r w:rsidR="00E00CCC" w:rsidRPr="0068236B">
        <w:rPr>
          <w:sz w:val="20"/>
        </w:rPr>
        <w:t>, in imm</w:t>
      </w:r>
      <w:r w:rsidR="00E00CCC" w:rsidRPr="0068236B">
        <w:rPr>
          <w:sz w:val="20"/>
        </w:rPr>
        <w:t>e</w:t>
      </w:r>
      <w:r w:rsidR="00E00CCC" w:rsidRPr="0068236B">
        <w:rPr>
          <w:sz w:val="20"/>
        </w:rPr>
        <w:t xml:space="preserve">diate proximity to the </w:t>
      </w:r>
      <w:r w:rsidR="00E00CCC" w:rsidRPr="0068236B">
        <w:rPr>
          <w:rFonts w:cs="Arial"/>
          <w:sz w:val="20"/>
          <w:szCs w:val="20"/>
        </w:rPr>
        <w:t>A1 highway Skopje – Gevgelija (further to Thessalonica, Greece), at approx. 7.5 km from the existing 110/35/10 kV substation in Valandovo.</w:t>
      </w:r>
      <w:r w:rsidR="0015718A" w:rsidRPr="0068236B">
        <w:rPr>
          <w:rFonts w:cs="Arial"/>
          <w:sz w:val="20"/>
          <w:szCs w:val="20"/>
        </w:rPr>
        <w:t xml:space="preserve"> </w:t>
      </w:r>
      <w:r w:rsidR="0015718A" w:rsidRPr="0068236B">
        <w:rPr>
          <w:sz w:val="20"/>
        </w:rPr>
        <w:t>There are no other existing structures or transmi</w:t>
      </w:r>
      <w:r w:rsidR="0015718A" w:rsidRPr="0068236B">
        <w:rPr>
          <w:sz w:val="20"/>
        </w:rPr>
        <w:t>s</w:t>
      </w:r>
      <w:r w:rsidR="0015718A" w:rsidRPr="0068236B">
        <w:rPr>
          <w:sz w:val="20"/>
        </w:rPr>
        <w:t>sion or other infrastructure in proximity to the location of the new substation.</w:t>
      </w:r>
      <w:r w:rsidR="004309A4" w:rsidRPr="0068236B">
        <w:rPr>
          <w:sz w:val="20"/>
        </w:rPr>
        <w:t xml:space="preserve"> </w:t>
      </w:r>
    </w:p>
    <w:p w14:paraId="08C60A6B" w14:textId="1664F2D5" w:rsidR="00E06A87" w:rsidRPr="0068236B" w:rsidRDefault="00E83BF2" w:rsidP="00E83BF2">
      <w:pPr>
        <w:pStyle w:val="NumberedParagraph"/>
        <w:jc w:val="left"/>
        <w:rPr>
          <w:sz w:val="20"/>
        </w:rPr>
      </w:pPr>
      <w:r w:rsidRPr="0068236B">
        <w:rPr>
          <w:noProof/>
          <w:lang w:val="mk-MK" w:eastAsia="mk-MK"/>
        </w:rPr>
        <mc:AlternateContent>
          <mc:Choice Requires="wpg">
            <w:drawing>
              <wp:anchor distT="0" distB="0" distL="114300" distR="114300" simplePos="0" relativeHeight="251672585" behindDoc="0" locked="0" layoutInCell="1" allowOverlap="1" wp14:anchorId="0DE5A9EB" wp14:editId="43DDECC9">
                <wp:simplePos x="0" y="0"/>
                <wp:positionH relativeFrom="column">
                  <wp:posOffset>34290</wp:posOffset>
                </wp:positionH>
                <wp:positionV relativeFrom="paragraph">
                  <wp:posOffset>84455</wp:posOffset>
                </wp:positionV>
                <wp:extent cx="3467100" cy="3200400"/>
                <wp:effectExtent l="57150" t="0" r="19050" b="38100"/>
                <wp:wrapNone/>
                <wp:docPr id="242" name="Group 242"/>
                <wp:cNvGraphicFramePr/>
                <a:graphic xmlns:a="http://schemas.openxmlformats.org/drawingml/2006/main">
                  <a:graphicData uri="http://schemas.microsoft.com/office/word/2010/wordprocessingGroup">
                    <wpg:wgp>
                      <wpg:cNvGrpSpPr/>
                      <wpg:grpSpPr>
                        <a:xfrm>
                          <a:off x="0" y="0"/>
                          <a:ext cx="3467100" cy="3200400"/>
                          <a:chOff x="0" y="0"/>
                          <a:chExt cx="3467100" cy="3200400"/>
                        </a:xfrm>
                      </wpg:grpSpPr>
                      <wpg:grpSp>
                        <wpg:cNvPr id="243" name="Group 243"/>
                        <wpg:cNvGrpSpPr/>
                        <wpg:grpSpPr>
                          <a:xfrm>
                            <a:off x="114300" y="0"/>
                            <a:ext cx="3352800" cy="3200400"/>
                            <a:chOff x="166967" y="40710"/>
                            <a:chExt cx="3027901" cy="3013479"/>
                          </a:xfrm>
                        </wpg:grpSpPr>
                        <wps:wsp>
                          <wps:cNvPr id="244" name="Freeform 244"/>
                          <wps:cNvSpPr>
                            <a:spLocks/>
                          </wps:cNvSpPr>
                          <wps:spPr bwMode="auto">
                            <a:xfrm>
                              <a:off x="166967" y="702053"/>
                              <a:ext cx="2256193" cy="2323088"/>
                            </a:xfrm>
                            <a:custGeom>
                              <a:avLst/>
                              <a:gdLst>
                                <a:gd name="T0" fmla="*/ 0 w 2895"/>
                                <a:gd name="T1" fmla="*/ 0 h 3645"/>
                                <a:gd name="T2" fmla="*/ 885 w 2895"/>
                                <a:gd name="T3" fmla="*/ 615 h 3645"/>
                                <a:gd name="T4" fmla="*/ 1665 w 2895"/>
                                <a:gd name="T5" fmla="*/ 1290 h 3645"/>
                                <a:gd name="T6" fmla="*/ 2145 w 2895"/>
                                <a:gd name="T7" fmla="*/ 1950 h 3645"/>
                                <a:gd name="T8" fmla="*/ 2535 w 2895"/>
                                <a:gd name="T9" fmla="*/ 2670 h 3645"/>
                                <a:gd name="T10" fmla="*/ 2895 w 2895"/>
                                <a:gd name="T11" fmla="*/ 3645 h 3645"/>
                                <a:gd name="connsiteX0" fmla="*/ 0 w 13979"/>
                                <a:gd name="connsiteY0" fmla="*/ 0 h 12206"/>
                                <a:gd name="connsiteX1" fmla="*/ 7036 w 13979"/>
                                <a:gd name="connsiteY1" fmla="*/ 3893 h 12206"/>
                                <a:gd name="connsiteX2" fmla="*/ 9730 w 13979"/>
                                <a:gd name="connsiteY2" fmla="*/ 5745 h 12206"/>
                                <a:gd name="connsiteX3" fmla="*/ 11388 w 13979"/>
                                <a:gd name="connsiteY3" fmla="*/ 7556 h 12206"/>
                                <a:gd name="connsiteX4" fmla="*/ 12735 w 13979"/>
                                <a:gd name="connsiteY4" fmla="*/ 9531 h 12206"/>
                                <a:gd name="connsiteX5" fmla="*/ 13979 w 13979"/>
                                <a:gd name="connsiteY5" fmla="*/ 12206 h 12206"/>
                                <a:gd name="connsiteX0" fmla="*/ 0 w 14352"/>
                                <a:gd name="connsiteY0" fmla="*/ 0 h 12206"/>
                                <a:gd name="connsiteX1" fmla="*/ 7409 w 14352"/>
                                <a:gd name="connsiteY1" fmla="*/ 3893 h 12206"/>
                                <a:gd name="connsiteX2" fmla="*/ 10103 w 14352"/>
                                <a:gd name="connsiteY2" fmla="*/ 5745 h 12206"/>
                                <a:gd name="connsiteX3" fmla="*/ 11761 w 14352"/>
                                <a:gd name="connsiteY3" fmla="*/ 7556 h 12206"/>
                                <a:gd name="connsiteX4" fmla="*/ 13108 w 14352"/>
                                <a:gd name="connsiteY4" fmla="*/ 9531 h 12206"/>
                                <a:gd name="connsiteX5" fmla="*/ 14352 w 14352"/>
                                <a:gd name="connsiteY5" fmla="*/ 12206 h 12206"/>
                                <a:gd name="connsiteX0" fmla="*/ 0 w 14352"/>
                                <a:gd name="connsiteY0" fmla="*/ 0 h 12206"/>
                                <a:gd name="connsiteX1" fmla="*/ 7409 w 14352"/>
                                <a:gd name="connsiteY1" fmla="*/ 3893 h 12206"/>
                                <a:gd name="connsiteX2" fmla="*/ 10103 w 14352"/>
                                <a:gd name="connsiteY2" fmla="*/ 5745 h 12206"/>
                                <a:gd name="connsiteX3" fmla="*/ 11761 w 14352"/>
                                <a:gd name="connsiteY3" fmla="*/ 7556 h 12206"/>
                                <a:gd name="connsiteX4" fmla="*/ 13108 w 14352"/>
                                <a:gd name="connsiteY4" fmla="*/ 9531 h 12206"/>
                                <a:gd name="connsiteX5" fmla="*/ 14352 w 14352"/>
                                <a:gd name="connsiteY5" fmla="*/ 12206 h 12206"/>
                                <a:gd name="connsiteX0" fmla="*/ 0 w 14352"/>
                                <a:gd name="connsiteY0" fmla="*/ 0 h 12206"/>
                                <a:gd name="connsiteX1" fmla="*/ 3083 w 14352"/>
                                <a:gd name="connsiteY1" fmla="*/ 1527 h 12206"/>
                                <a:gd name="connsiteX2" fmla="*/ 7409 w 14352"/>
                                <a:gd name="connsiteY2" fmla="*/ 3893 h 12206"/>
                                <a:gd name="connsiteX3" fmla="*/ 10103 w 14352"/>
                                <a:gd name="connsiteY3" fmla="*/ 5745 h 12206"/>
                                <a:gd name="connsiteX4" fmla="*/ 11761 w 14352"/>
                                <a:gd name="connsiteY4" fmla="*/ 7556 h 12206"/>
                                <a:gd name="connsiteX5" fmla="*/ 13108 w 14352"/>
                                <a:gd name="connsiteY5" fmla="*/ 9531 h 12206"/>
                                <a:gd name="connsiteX6" fmla="*/ 14352 w 14352"/>
                                <a:gd name="connsiteY6" fmla="*/ 12206 h 12206"/>
                                <a:gd name="connsiteX0" fmla="*/ 0 w 13647"/>
                                <a:gd name="connsiteY0" fmla="*/ 0 h 10922"/>
                                <a:gd name="connsiteX1" fmla="*/ 3083 w 13647"/>
                                <a:gd name="connsiteY1" fmla="*/ 1527 h 10922"/>
                                <a:gd name="connsiteX2" fmla="*/ 7409 w 13647"/>
                                <a:gd name="connsiteY2" fmla="*/ 3893 h 10922"/>
                                <a:gd name="connsiteX3" fmla="*/ 10103 w 13647"/>
                                <a:gd name="connsiteY3" fmla="*/ 5745 h 10922"/>
                                <a:gd name="connsiteX4" fmla="*/ 11761 w 13647"/>
                                <a:gd name="connsiteY4" fmla="*/ 7556 h 10922"/>
                                <a:gd name="connsiteX5" fmla="*/ 13108 w 13647"/>
                                <a:gd name="connsiteY5" fmla="*/ 9531 h 10922"/>
                                <a:gd name="connsiteX6" fmla="*/ 13647 w 13647"/>
                                <a:gd name="connsiteY6" fmla="*/ 10922 h 10922"/>
                                <a:gd name="connsiteX0" fmla="*/ 0 w 13647"/>
                                <a:gd name="connsiteY0" fmla="*/ 0 h 10922"/>
                                <a:gd name="connsiteX1" fmla="*/ 3083 w 13647"/>
                                <a:gd name="connsiteY1" fmla="*/ 1527 h 10922"/>
                                <a:gd name="connsiteX2" fmla="*/ 7409 w 13647"/>
                                <a:gd name="connsiteY2" fmla="*/ 3893 h 10922"/>
                                <a:gd name="connsiteX3" fmla="*/ 10103 w 13647"/>
                                <a:gd name="connsiteY3" fmla="*/ 5745 h 10922"/>
                                <a:gd name="connsiteX4" fmla="*/ 11761 w 13647"/>
                                <a:gd name="connsiteY4" fmla="*/ 7556 h 10922"/>
                                <a:gd name="connsiteX5" fmla="*/ 13108 w 13647"/>
                                <a:gd name="connsiteY5" fmla="*/ 9531 h 10922"/>
                                <a:gd name="connsiteX6" fmla="*/ 13647 w 13647"/>
                                <a:gd name="connsiteY6" fmla="*/ 10922 h 10922"/>
                                <a:gd name="connsiteX0" fmla="*/ 0 w 13647"/>
                                <a:gd name="connsiteY0" fmla="*/ 0 h 10922"/>
                                <a:gd name="connsiteX1" fmla="*/ 3083 w 13647"/>
                                <a:gd name="connsiteY1" fmla="*/ 1527 h 10922"/>
                                <a:gd name="connsiteX2" fmla="*/ 7409 w 13647"/>
                                <a:gd name="connsiteY2" fmla="*/ 3893 h 10922"/>
                                <a:gd name="connsiteX3" fmla="*/ 10103 w 13647"/>
                                <a:gd name="connsiteY3" fmla="*/ 5745 h 10922"/>
                                <a:gd name="connsiteX4" fmla="*/ 11761 w 13647"/>
                                <a:gd name="connsiteY4" fmla="*/ 7556 h 10922"/>
                                <a:gd name="connsiteX5" fmla="*/ 13108 w 13647"/>
                                <a:gd name="connsiteY5" fmla="*/ 9531 h 10922"/>
                                <a:gd name="connsiteX6" fmla="*/ 13647 w 13647"/>
                                <a:gd name="connsiteY6" fmla="*/ 10922 h 10922"/>
                                <a:gd name="connsiteX0" fmla="*/ 0 w 13647"/>
                                <a:gd name="connsiteY0" fmla="*/ 0 h 10922"/>
                                <a:gd name="connsiteX1" fmla="*/ 3083 w 13647"/>
                                <a:gd name="connsiteY1" fmla="*/ 1527 h 10922"/>
                                <a:gd name="connsiteX2" fmla="*/ 7409 w 13647"/>
                                <a:gd name="connsiteY2" fmla="*/ 3893 h 10922"/>
                                <a:gd name="connsiteX3" fmla="*/ 9937 w 13647"/>
                                <a:gd name="connsiteY3" fmla="*/ 5943 h 10922"/>
                                <a:gd name="connsiteX4" fmla="*/ 11761 w 13647"/>
                                <a:gd name="connsiteY4" fmla="*/ 7556 h 10922"/>
                                <a:gd name="connsiteX5" fmla="*/ 13108 w 13647"/>
                                <a:gd name="connsiteY5" fmla="*/ 9531 h 10922"/>
                                <a:gd name="connsiteX6" fmla="*/ 13647 w 13647"/>
                                <a:gd name="connsiteY6" fmla="*/ 10922 h 10922"/>
                                <a:gd name="connsiteX0" fmla="*/ 0 w 13647"/>
                                <a:gd name="connsiteY0" fmla="*/ 0 h 10922"/>
                                <a:gd name="connsiteX1" fmla="*/ 3083 w 13647"/>
                                <a:gd name="connsiteY1" fmla="*/ 1527 h 10922"/>
                                <a:gd name="connsiteX2" fmla="*/ 7409 w 13647"/>
                                <a:gd name="connsiteY2" fmla="*/ 3893 h 10922"/>
                                <a:gd name="connsiteX3" fmla="*/ 9937 w 13647"/>
                                <a:gd name="connsiteY3" fmla="*/ 5943 h 10922"/>
                                <a:gd name="connsiteX4" fmla="*/ 11802 w 13647"/>
                                <a:gd name="connsiteY4" fmla="*/ 7819 h 10922"/>
                                <a:gd name="connsiteX5" fmla="*/ 13108 w 13647"/>
                                <a:gd name="connsiteY5" fmla="*/ 9531 h 10922"/>
                                <a:gd name="connsiteX6" fmla="*/ 13647 w 13647"/>
                                <a:gd name="connsiteY6" fmla="*/ 10922 h 10922"/>
                                <a:gd name="connsiteX0" fmla="*/ 0 w 13647"/>
                                <a:gd name="connsiteY0" fmla="*/ 0 h 10922"/>
                                <a:gd name="connsiteX1" fmla="*/ 3083 w 13647"/>
                                <a:gd name="connsiteY1" fmla="*/ 1527 h 10922"/>
                                <a:gd name="connsiteX2" fmla="*/ 7409 w 13647"/>
                                <a:gd name="connsiteY2" fmla="*/ 3893 h 10922"/>
                                <a:gd name="connsiteX3" fmla="*/ 9937 w 13647"/>
                                <a:gd name="connsiteY3" fmla="*/ 5943 h 10922"/>
                                <a:gd name="connsiteX4" fmla="*/ 11802 w 13647"/>
                                <a:gd name="connsiteY4" fmla="*/ 7819 h 10922"/>
                                <a:gd name="connsiteX5" fmla="*/ 13108 w 13647"/>
                                <a:gd name="connsiteY5" fmla="*/ 9630 h 10922"/>
                                <a:gd name="connsiteX6" fmla="*/ 13647 w 13647"/>
                                <a:gd name="connsiteY6" fmla="*/ 10922 h 10922"/>
                                <a:gd name="connsiteX0" fmla="*/ 0 w 13792"/>
                                <a:gd name="connsiteY0" fmla="*/ 0 h 10922"/>
                                <a:gd name="connsiteX1" fmla="*/ 3083 w 13792"/>
                                <a:gd name="connsiteY1" fmla="*/ 1527 h 10922"/>
                                <a:gd name="connsiteX2" fmla="*/ 7409 w 13792"/>
                                <a:gd name="connsiteY2" fmla="*/ 3893 h 10922"/>
                                <a:gd name="connsiteX3" fmla="*/ 9937 w 13792"/>
                                <a:gd name="connsiteY3" fmla="*/ 5943 h 10922"/>
                                <a:gd name="connsiteX4" fmla="*/ 11802 w 13792"/>
                                <a:gd name="connsiteY4" fmla="*/ 7819 h 10922"/>
                                <a:gd name="connsiteX5" fmla="*/ 13108 w 13792"/>
                                <a:gd name="connsiteY5" fmla="*/ 9630 h 10922"/>
                                <a:gd name="connsiteX6" fmla="*/ 13792 w 13792"/>
                                <a:gd name="connsiteY6" fmla="*/ 10922 h 10922"/>
                                <a:gd name="connsiteX0" fmla="*/ 0 w 13896"/>
                                <a:gd name="connsiteY0" fmla="*/ 0 h 11284"/>
                                <a:gd name="connsiteX1" fmla="*/ 3083 w 13896"/>
                                <a:gd name="connsiteY1" fmla="*/ 1527 h 11284"/>
                                <a:gd name="connsiteX2" fmla="*/ 7409 w 13896"/>
                                <a:gd name="connsiteY2" fmla="*/ 3893 h 11284"/>
                                <a:gd name="connsiteX3" fmla="*/ 9937 w 13896"/>
                                <a:gd name="connsiteY3" fmla="*/ 5943 h 11284"/>
                                <a:gd name="connsiteX4" fmla="*/ 11802 w 13896"/>
                                <a:gd name="connsiteY4" fmla="*/ 7819 h 11284"/>
                                <a:gd name="connsiteX5" fmla="*/ 13108 w 13896"/>
                                <a:gd name="connsiteY5" fmla="*/ 9630 h 11284"/>
                                <a:gd name="connsiteX6" fmla="*/ 13896 w 13896"/>
                                <a:gd name="connsiteY6" fmla="*/ 11284 h 112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3896" h="11284">
                                  <a:moveTo>
                                    <a:pt x="0" y="0"/>
                                  </a:moveTo>
                                  <a:cubicBezTo>
                                    <a:pt x="479" y="243"/>
                                    <a:pt x="1848" y="878"/>
                                    <a:pt x="3083" y="1527"/>
                                  </a:cubicBezTo>
                                  <a:cubicBezTo>
                                    <a:pt x="4318" y="2176"/>
                                    <a:pt x="6267" y="3157"/>
                                    <a:pt x="7409" y="3893"/>
                                  </a:cubicBezTo>
                                  <a:cubicBezTo>
                                    <a:pt x="8551" y="4629"/>
                                    <a:pt x="9205" y="5289"/>
                                    <a:pt x="9937" y="5943"/>
                                  </a:cubicBezTo>
                                  <a:cubicBezTo>
                                    <a:pt x="10669" y="6597"/>
                                    <a:pt x="11274" y="7205"/>
                                    <a:pt x="11802" y="7819"/>
                                  </a:cubicBezTo>
                                  <a:cubicBezTo>
                                    <a:pt x="12331" y="8434"/>
                                    <a:pt x="12677" y="8856"/>
                                    <a:pt x="13108" y="9630"/>
                                  </a:cubicBezTo>
                                  <a:cubicBezTo>
                                    <a:pt x="13540" y="10404"/>
                                    <a:pt x="13488" y="10332"/>
                                    <a:pt x="13896" y="11284"/>
                                  </a:cubicBezTo>
                                </a:path>
                              </a:pathLst>
                            </a:custGeom>
                            <a:noFill/>
                            <a:ln w="28575">
                              <a:solidFill>
                                <a:schemeClr val="bg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5" name="Freeform 245"/>
                          <wps:cNvSpPr>
                            <a:spLocks/>
                          </wps:cNvSpPr>
                          <wps:spPr bwMode="auto">
                            <a:xfrm rot="21299677">
                              <a:off x="2387639" y="2721094"/>
                              <a:ext cx="90510" cy="333095"/>
                            </a:xfrm>
                            <a:custGeom>
                              <a:avLst/>
                              <a:gdLst>
                                <a:gd name="T0" fmla="*/ 0 w 150"/>
                                <a:gd name="T1" fmla="*/ 0 h 495"/>
                                <a:gd name="T2" fmla="*/ 150 w 150"/>
                                <a:gd name="T3" fmla="*/ 495 h 495"/>
                              </a:gdLst>
                              <a:ahLst/>
                              <a:cxnLst>
                                <a:cxn ang="0">
                                  <a:pos x="T0" y="T1"/>
                                </a:cxn>
                                <a:cxn ang="0">
                                  <a:pos x="T2" y="T3"/>
                                </a:cxn>
                              </a:cxnLst>
                              <a:rect l="0" t="0" r="r" b="b"/>
                              <a:pathLst>
                                <a:path w="150" h="495">
                                  <a:moveTo>
                                    <a:pt x="0" y="0"/>
                                  </a:moveTo>
                                  <a:cubicBezTo>
                                    <a:pt x="0" y="0"/>
                                    <a:pt x="75" y="247"/>
                                    <a:pt x="150" y="495"/>
                                  </a:cubicBezTo>
                                </a:path>
                              </a:pathLst>
                            </a:custGeom>
                            <a:noFill/>
                            <a:ln w="12700">
                              <a:solidFill>
                                <a:schemeClr val="bg1"/>
                              </a:solidFill>
                              <a:round/>
                              <a:headEnd/>
                              <a:tailEnd type="stealth" w="med"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7" name="Text Box 49"/>
                          <wps:cNvSpPr txBox="1">
                            <a:spLocks noChangeArrowheads="1"/>
                          </wps:cNvSpPr>
                          <wps:spPr bwMode="auto">
                            <a:xfrm>
                              <a:off x="2552245" y="2736460"/>
                              <a:ext cx="642623" cy="280596"/>
                            </a:xfrm>
                            <a:prstGeom prst="rect">
                              <a:avLst/>
                            </a:prstGeom>
                            <a:solidFill>
                              <a:schemeClr val="bg1"/>
                            </a:solidFill>
                            <a:ln w="19050">
                              <a:noFill/>
                              <a:miter lim="800000"/>
                              <a:headEnd/>
                              <a:tailEnd/>
                            </a:ln>
                            <a:effectLst>
                              <a:outerShdw dist="28398" dir="3806097" algn="ctr" rotWithShape="0">
                                <a:schemeClr val="accent5">
                                  <a:lumMod val="50000"/>
                                  <a:lumOff val="0"/>
                                  <a:alpha val="50000"/>
                                </a:schemeClr>
                              </a:outerShdw>
                            </a:effectLst>
                          </wps:spPr>
                          <wps:txbx>
                            <w:txbxContent>
                              <w:p w14:paraId="7511DCAE" w14:textId="77777777" w:rsidR="00AB2D8F" w:rsidRDefault="00AB2D8F" w:rsidP="00E83BF2">
                                <w:pPr>
                                  <w:pStyle w:val="NormalWeb"/>
                                  <w:spacing w:after="0"/>
                                  <w:jc w:val="center"/>
                                </w:pPr>
                                <w:r>
                                  <w:rPr>
                                    <w:rFonts w:ascii="Tahoma" w:eastAsia="Times New Roman" w:hAnsi="Tahoma" w:cs="Tahoma"/>
                                    <w:sz w:val="14"/>
                                    <w:szCs w:val="14"/>
                                  </w:rPr>
                                  <w:t>to Gevgelija / Thessaloniki</w:t>
                                </w:r>
                              </w:p>
                            </w:txbxContent>
                          </wps:txbx>
                          <wps:bodyPr rot="0" vert="horz" wrap="square" lIns="18000" tIns="0" rIns="18000" bIns="0" anchor="ctr" anchorCtr="0" upright="1">
                            <a:noAutofit/>
                          </wps:bodyPr>
                        </wps:wsp>
                        <wps:wsp>
                          <wps:cNvPr id="248" name="Text Box 53"/>
                          <wps:cNvSpPr txBox="1">
                            <a:spLocks noChangeArrowheads="1"/>
                          </wps:cNvSpPr>
                          <wps:spPr bwMode="auto">
                            <a:xfrm>
                              <a:off x="234829" y="445720"/>
                              <a:ext cx="461603" cy="199736"/>
                            </a:xfrm>
                            <a:prstGeom prst="rect">
                              <a:avLst/>
                            </a:prstGeom>
                            <a:solidFill>
                              <a:schemeClr val="bg1"/>
                            </a:solidFill>
                            <a:ln w="19050">
                              <a:noFill/>
                              <a:miter lim="800000"/>
                              <a:headEnd/>
                              <a:tailEnd/>
                            </a:ln>
                            <a:effectLst>
                              <a:outerShdw dist="28398" dir="3806097" algn="ctr" rotWithShape="0">
                                <a:schemeClr val="accent5">
                                  <a:lumMod val="50000"/>
                                  <a:lumOff val="0"/>
                                  <a:alpha val="50000"/>
                                </a:schemeClr>
                              </a:outerShdw>
                            </a:effectLst>
                          </wps:spPr>
                          <wps:txbx>
                            <w:txbxContent>
                              <w:p w14:paraId="494BE976" w14:textId="77777777" w:rsidR="00AB2D8F" w:rsidRDefault="00AB2D8F" w:rsidP="00E83BF2">
                                <w:pPr>
                                  <w:pStyle w:val="NormalWeb"/>
                                  <w:shd w:val="clear" w:color="auto" w:fill="FFFFFF" w:themeFill="background1"/>
                                  <w:spacing w:after="0"/>
                                  <w:jc w:val="center"/>
                                </w:pPr>
                                <w:r>
                                  <w:rPr>
                                    <w:rFonts w:ascii="Tahoma" w:eastAsia="Times New Roman" w:hAnsi="Tahoma" w:cs="Tahoma"/>
                                    <w:sz w:val="14"/>
                                    <w:szCs w:val="14"/>
                                  </w:rPr>
                                  <w:t>to Skopje</w:t>
                                </w:r>
                              </w:p>
                            </w:txbxContent>
                          </wps:txbx>
                          <wps:bodyPr rot="0" vert="horz" wrap="square" lIns="18000" tIns="0" rIns="18000" bIns="0" anchor="ctr" anchorCtr="0" upright="1">
                            <a:noAutofit/>
                          </wps:bodyPr>
                        </wps:wsp>
                        <wps:wsp>
                          <wps:cNvPr id="249" name="Text Box 44"/>
                          <wps:cNvSpPr txBox="1">
                            <a:spLocks noChangeArrowheads="1"/>
                          </wps:cNvSpPr>
                          <wps:spPr bwMode="auto">
                            <a:xfrm>
                              <a:off x="1528699" y="40710"/>
                              <a:ext cx="642624" cy="199736"/>
                            </a:xfrm>
                            <a:prstGeom prst="rect">
                              <a:avLst/>
                            </a:prstGeom>
                            <a:noFill/>
                            <a:ln w="19050">
                              <a:solidFill>
                                <a:schemeClr val="lt1">
                                  <a:lumMod val="95000"/>
                                  <a:lumOff val="0"/>
                                </a:schemeClr>
                              </a:solidFill>
                              <a:miter lim="800000"/>
                              <a:headEnd/>
                              <a:tailEnd/>
                            </a:ln>
                            <a:effectLst>
                              <a:outerShdw dist="28398" dir="3806097" algn="ctr" rotWithShape="0">
                                <a:schemeClr val="accent5">
                                  <a:lumMod val="50000"/>
                                  <a:lumOff val="0"/>
                                  <a:alpha val="50000"/>
                                </a:schemeClr>
                              </a:outerShdw>
                            </a:effectLst>
                          </wps:spPr>
                          <wps:txbx>
                            <w:txbxContent>
                              <w:p w14:paraId="00481D3A" w14:textId="77777777" w:rsidR="00AB2D8F" w:rsidRPr="00CD23DA" w:rsidRDefault="00AB2D8F" w:rsidP="00E83BF2">
                                <w:pPr>
                                  <w:pStyle w:val="NormalWeb"/>
                                  <w:spacing w:after="0" w:line="240" w:lineRule="auto"/>
                                  <w:jc w:val="center"/>
                                  <w:rPr>
                                    <w:b/>
                                  </w:rPr>
                                </w:pPr>
                                <w:r w:rsidRPr="00CD23DA">
                                  <w:rPr>
                                    <w:rFonts w:ascii="Tahoma" w:eastAsia="Times New Roman" w:hAnsi="Tahoma" w:cs="Tahoma"/>
                                    <w:b/>
                                    <w:color w:val="FFFFFF"/>
                                    <w:sz w:val="16"/>
                                    <w:szCs w:val="16"/>
                                  </w:rPr>
                                  <w:t>Miletkovo</w:t>
                                </w:r>
                              </w:p>
                            </w:txbxContent>
                          </wps:txbx>
                          <wps:bodyPr rot="0" vert="horz" wrap="square" lIns="18000" tIns="0" rIns="18000" bIns="0" anchor="ctr" anchorCtr="0" upright="1">
                            <a:noAutofit/>
                          </wps:bodyPr>
                        </wps:wsp>
                        <wps:wsp>
                          <wps:cNvPr id="250" name="Text Box 52"/>
                          <wps:cNvSpPr txBox="1">
                            <a:spLocks noChangeArrowheads="1"/>
                          </wps:cNvSpPr>
                          <wps:spPr bwMode="auto">
                            <a:xfrm>
                              <a:off x="1136765" y="1673938"/>
                              <a:ext cx="642623" cy="199132"/>
                            </a:xfrm>
                            <a:prstGeom prst="rect">
                              <a:avLst/>
                            </a:prstGeom>
                            <a:noFill/>
                            <a:ln w="3175">
                              <a:solidFill>
                                <a:schemeClr val="bg1"/>
                              </a:solidFill>
                              <a:miter lim="800000"/>
                              <a:headEnd/>
                              <a:tailEnd/>
                            </a:ln>
                            <a:effectLst>
                              <a:outerShdw dist="28398" dir="3806097" algn="ctr" rotWithShape="0">
                                <a:schemeClr val="accent5">
                                  <a:lumMod val="50000"/>
                                  <a:lumOff val="0"/>
                                  <a:alpha val="50000"/>
                                </a:schemeClr>
                              </a:outerShdw>
                            </a:effectLst>
                            <a:extLst>
                              <a:ext uri="{909E8E84-426E-40DD-AFC4-6F175D3DCCD1}">
                                <a14:hiddenFill xmlns:a14="http://schemas.microsoft.com/office/drawing/2010/main">
                                  <a:solidFill>
                                    <a:srgbClr val="FFFF99"/>
                                  </a:solidFill>
                                </a14:hiddenFill>
                              </a:ext>
                            </a:extLst>
                          </wps:spPr>
                          <wps:txbx>
                            <w:txbxContent>
                              <w:p w14:paraId="6995E6E0" w14:textId="77777777" w:rsidR="00AB2D8F" w:rsidRPr="00D74E9D" w:rsidRDefault="00AB2D8F" w:rsidP="00E83BF2">
                                <w:pPr>
                                  <w:pStyle w:val="NormalWeb"/>
                                  <w:spacing w:after="0"/>
                                  <w:jc w:val="center"/>
                                  <w:rPr>
                                    <w:color w:val="FFFFFF" w:themeColor="background1"/>
                                  </w:rPr>
                                </w:pPr>
                                <w:r w:rsidRPr="00D74E9D">
                                  <w:rPr>
                                    <w:rFonts w:ascii="Tahoma" w:eastAsia="Times New Roman" w:hAnsi="Tahoma" w:cs="Tahoma"/>
                                    <w:color w:val="FFFFFF" w:themeColor="background1"/>
                                    <w:sz w:val="16"/>
                                    <w:szCs w:val="16"/>
                                  </w:rPr>
                                  <w:t>A1 Highway</w:t>
                                </w:r>
                              </w:p>
                            </w:txbxContent>
                          </wps:txbx>
                          <wps:bodyPr rot="0" vert="horz" wrap="square" lIns="18000" tIns="0" rIns="18000" bIns="0" anchor="ctr" anchorCtr="0" upright="1">
                            <a:noAutofit/>
                          </wps:bodyPr>
                        </wps:wsp>
                      </wpg:grpSp>
                      <wps:wsp>
                        <wps:cNvPr id="251" name="Freeform 251"/>
                        <wps:cNvSpPr>
                          <a:spLocks/>
                        </wps:cNvSpPr>
                        <wps:spPr bwMode="auto">
                          <a:xfrm rot="21058992" flipH="1" flipV="1">
                            <a:off x="0" y="678180"/>
                            <a:ext cx="304371" cy="271768"/>
                          </a:xfrm>
                          <a:custGeom>
                            <a:avLst/>
                            <a:gdLst>
                              <a:gd name="T0" fmla="*/ 0 w 150"/>
                              <a:gd name="T1" fmla="*/ 0 h 495"/>
                              <a:gd name="T2" fmla="*/ 150 w 150"/>
                              <a:gd name="T3" fmla="*/ 495 h 495"/>
                            </a:gdLst>
                            <a:ahLst/>
                            <a:cxnLst>
                              <a:cxn ang="0">
                                <a:pos x="T0" y="T1"/>
                              </a:cxn>
                              <a:cxn ang="0">
                                <a:pos x="T2" y="T3"/>
                              </a:cxn>
                            </a:cxnLst>
                            <a:rect l="0" t="0" r="r" b="b"/>
                            <a:pathLst>
                              <a:path w="150" h="495">
                                <a:moveTo>
                                  <a:pt x="0" y="0"/>
                                </a:moveTo>
                                <a:cubicBezTo>
                                  <a:pt x="0" y="0"/>
                                  <a:pt x="75" y="247"/>
                                  <a:pt x="150" y="495"/>
                                </a:cubicBezTo>
                              </a:path>
                            </a:pathLst>
                          </a:custGeom>
                          <a:noFill/>
                          <a:ln w="12700">
                            <a:solidFill>
                              <a:schemeClr val="bg1"/>
                            </a:solidFill>
                            <a:round/>
                            <a:headEnd/>
                            <a:tailEnd type="stealth" w="med"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id="Group 242" o:spid="_x0000_s1036" style="position:absolute;margin-left:2.7pt;margin-top:6.65pt;width:273pt;height:252pt;z-index:251672585" coordsize="34671,320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">
                <v:group id="Group 243" o:spid="_x0000_s1037" style="position:absolute;left:1143;width:33528;height:32004" coordorigin="1669,407" coordsize="30279,301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ncl8YAAADcAAAADwAAAGRycy9kb3ducmV2LnhtbESPT2vCQBTE7wW/w/IK&#10;vdXNH1skdQ0itngQoSqU3h7ZZxKSfRuy2yR++25B6HGYmd8wq3wyrRiod7VlBfE8AkFcWF1zqeBy&#10;fn9egnAeWWNrmRTcyEG+nj2sMNN25E8aTr4UAcIuQwWV910mpSsqMujmtiMO3tX2Bn2QfSl1j2OA&#10;m1YmUfQqDdYcFirsaFtR0Zx+jIKPEcdNGu+GQ3Pd3r7PL8evQ0xKPT1OmzcQnib/H76391pBskj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WdyXxgAAANwA&#10;AAAPAAAAAAAAAAAAAAAAAKoCAABkcnMvZG93bnJldi54bWxQSwUGAAAAAAQABAD6AAAAnQMAAAAA&#10;">
                  <v:shape id="Freeform 244" o:spid="_x0000_s1038" style="position:absolute;left:1669;top:7020;width:22562;height:23231;visibility:visible;mso-wrap-style:square;v-text-anchor:top" coordsize="13896,112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OPIcQA&#10;AADcAAAADwAAAGRycy9kb3ducmV2LnhtbESPzWrDMBCE74W+g9hCb7VcN4TUtWxCwVDoocRJ7ou1&#10;/qHWyrHkxHn7qhDIcZiZb5isWMwgzjS53rKC1ygGQVxb3XOr4LAvXzYgnEfWOFgmBVdyUOSPDxmm&#10;2l54R+fKtyJA2KWooPN+TKV0dUcGXWRH4uA1djLog5xaqSe8BLgZZBLHa2mw57DQ4UifHdW/1WwU&#10;fA/VdZPMx/ef5u1UlbzEhsuDUs9Py/YDhKfF38O39pdWkKxW8H8mHAGZ/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gzjyHEAAAA3AAAAA8AAAAAAAAAAAAAAAAAmAIAAGRycy9k&#10;b3ducmV2LnhtbFBLBQYAAAAABAAEAPUAAACJAwAAAAA=&#10;" path="m,c479,243,1848,878,3083,1527v1235,649,3184,1630,4326,2366c8551,4629,9205,5289,9937,5943v732,654,1337,1262,1865,1876c12331,8434,12677,8856,13108,9630v432,774,380,702,788,1654e" filled="f" strokecolor="white [3212]" strokeweight="2.25pt">
                    <v:path arrowok="t" o:connecttype="custom" o:connectlocs="0,0;500564,314370;1202946,801469;1613399,1223512;1916205,1609733;2128251,1982572;2256193,2323088" o:connectangles="0,0,0,0,0,0,0"/>
                  </v:shape>
                  <v:shape id="Freeform 245" o:spid="_x0000_s1039" style="position:absolute;left:23876;top:27210;width:905;height:3331;rotation:-328033fd;visibility:visible;mso-wrap-style:square;v-text-anchor:top" coordsize="150,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XB8QA&#10;AADcAAAADwAAAGRycy9kb3ducmV2LnhtbESPQWvCQBSE74L/YXlCb7pRopXUVUQISBFCtZfeHtln&#10;Nph9G7Orpv++Kwg9DjPzDbPa9LYRd+p87VjBdJKAIC6drrlS8H3Kx0sQPiBrbByTgl/ysFkPByvM&#10;tHvwF92PoRIRwj5DBSaENpPSl4Ys+olriaN3dp3FEGVXSd3hI8JtI2dJspAWa44LBlvaGSovx5tV&#10;8F4cClO0eXVNfxafyzQ/N7dEKvU26rcfIAL14T/8au+1glk6h+eZeAT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flwfEAAAA3AAAAA8AAAAAAAAAAAAAAAAAmAIAAGRycy9k&#10;b3ducmV2LnhtbFBLBQYAAAAABAAEAPUAAACJAwAAAAA=&#10;" path="m,c,,75,247,150,495e" filled="f" strokecolor="white [3212]" strokeweight="1pt">
                    <v:stroke endarrow="classic" endarrowlength="long"/>
                    <v:path arrowok="t" o:connecttype="custom" o:connectlocs="0,0;90510,333095" o:connectangles="0,0"/>
                  </v:shape>
                  <v:shape id="Text Box 49" o:spid="_x0000_s1040" type="#_x0000_t202" style="position:absolute;left:25522;top:27364;width:6426;height:28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V0uMUA&#10;AADcAAAADwAAAGRycy9kb3ducmV2LnhtbESPzYrCQBCE7wu+w9CCl0Un6qISHUVFQfaw4A/osc20&#10;SUimJ2RGjW/vLCzssaiur7pmi8aU4kG1yy0r6PciEMSJ1TmnCk7HbXcCwnlkjaVlUvAiB4t562OG&#10;sbZP3tPj4FMRIOxiVJB5X8VSuiQjg65nK+Lg3Wxt0AdZp1LX+AxwU8pBFI2kwZxDQ4YVrTNKisPd&#10;hDfOn4Wxw425JPsild8rOl2jH6U67WY5BeGp8f/Hf+mdVjD4GsPvmEAAOX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ZXS4xQAAANwAAAAPAAAAAAAAAAAAAAAAAJgCAABkcnMv&#10;ZG93bnJldi54bWxQSwUGAAAAAAQABAD1AAAAigMAAAAA&#10;" fillcolor="white [3212]" stroked="f" strokeweight="1.5pt">
                    <v:shadow on="t" color="#1f4d78 [1608]" opacity=".5" offset="1pt"/>
                    <v:textbox inset=".5mm,0,.5mm,0">
                      <w:txbxContent>
                        <w:p w14:paraId="7511DCAE" w14:textId="77777777" w:rsidR="00AB2D8F" w:rsidRDefault="00AB2D8F" w:rsidP="00E83BF2">
                          <w:pPr>
                            <w:pStyle w:val="NormalWeb"/>
                            <w:spacing w:after="0"/>
                            <w:jc w:val="center"/>
                          </w:pPr>
                          <w:r>
                            <w:rPr>
                              <w:rFonts w:ascii="Tahoma" w:eastAsia="Times New Roman" w:hAnsi="Tahoma" w:cs="Tahoma"/>
                              <w:sz w:val="14"/>
                              <w:szCs w:val="14"/>
                            </w:rPr>
                            <w:t>to Gevgelija / Thessaloniki</w:t>
                          </w:r>
                        </w:p>
                      </w:txbxContent>
                    </v:textbox>
                  </v:shape>
                  <v:shape id="Text Box 53" o:spid="_x0000_s1041" type="#_x0000_t202" style="position:absolute;left:2348;top:4457;width:4616;height:1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rgysUA&#10;AADcAAAADwAAAGRycy9kb3ducmV2LnhtbESPTWvCQBCG70L/wzIFL6IbP5CSuoqKBfEgaAV7nGan&#10;SUh2NmS3mv77zkHwOLzzPvPMYtW5Wt2oDaVnA+NRAoo487bk3MDl82P4BipEZIu1ZzLwRwFWy5fe&#10;AlPr73yi2znmSiAcUjRQxNikWoesIIdh5BtiyX586zDK2ObatngXuKv1JEnm2mHJcqHAhrYFZdX5&#10;14nGdVA5P925r+xU5fqwoct3cjSm/9qt30FF6uJz+dHeWwOTmdjKM0IAv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uDKxQAAANwAAAAPAAAAAAAAAAAAAAAAAJgCAABkcnMv&#10;ZG93bnJldi54bWxQSwUGAAAAAAQABAD1AAAAigMAAAAA&#10;" fillcolor="white [3212]" stroked="f" strokeweight="1.5pt">
                    <v:shadow on="t" color="#1f4d78 [1608]" opacity=".5" offset="1pt"/>
                    <v:textbox inset=".5mm,0,.5mm,0">
                      <w:txbxContent>
                        <w:p w14:paraId="494BE976" w14:textId="77777777" w:rsidR="00AB2D8F" w:rsidRDefault="00AB2D8F" w:rsidP="00E83BF2">
                          <w:pPr>
                            <w:pStyle w:val="NormalWeb"/>
                            <w:shd w:val="clear" w:color="auto" w:fill="FFFFFF" w:themeFill="background1"/>
                            <w:spacing w:after="0"/>
                            <w:jc w:val="center"/>
                          </w:pPr>
                          <w:r>
                            <w:rPr>
                              <w:rFonts w:ascii="Tahoma" w:eastAsia="Times New Roman" w:hAnsi="Tahoma" w:cs="Tahoma"/>
                              <w:sz w:val="14"/>
                              <w:szCs w:val="14"/>
                            </w:rPr>
                            <w:t>to Skopje</w:t>
                          </w:r>
                        </w:p>
                      </w:txbxContent>
                    </v:textbox>
                  </v:shape>
                  <v:shape id="Text Box 44" o:spid="_x0000_s1042" type="#_x0000_t202" style="position:absolute;left:15286;top:407;width:6427;height:19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DqnMIA&#10;AADcAAAADwAAAGRycy9kb3ducmV2LnhtbESPzWoCMRSF90LfIdxCN1IzSpF2NIqIBemu6qa7y+Q6&#10;E2ZyE5M4Tt++EYQuD+fn4yzXg+1ETyEaxwqmkwIEceW04VrB6fj5+g4iJmSNnWNS8EsR1qun0RJL&#10;7W78Tf0h1SKPcCxRQZOSL6WMVUMW48R54uydXbCYsgy11AFvedx2clYUc2nRcCY06GnbUNUerjZz&#10;2x7bvd/53hVhfJmT+fkyRqmX52GzAJFoSP/hR3uvFczePuB+Jh8Buf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sOqcwgAAANwAAAAPAAAAAAAAAAAAAAAAAJgCAABkcnMvZG93&#10;bnJldi54bWxQSwUGAAAAAAQABAD1AAAAhwMAAAAA&#10;" filled="f" strokecolor="#f2f2f2 [3041]" strokeweight="1.5pt">
                    <v:shadow on="t" color="#1f4d78 [1608]" opacity=".5" offset="1pt"/>
                    <v:textbox inset=".5mm,0,.5mm,0">
                      <w:txbxContent>
                        <w:p w14:paraId="00481D3A" w14:textId="77777777" w:rsidR="00AB2D8F" w:rsidRPr="00CD23DA" w:rsidRDefault="00AB2D8F" w:rsidP="00E83BF2">
                          <w:pPr>
                            <w:pStyle w:val="NormalWeb"/>
                            <w:spacing w:after="0" w:line="240" w:lineRule="auto"/>
                            <w:jc w:val="center"/>
                            <w:rPr>
                              <w:b/>
                            </w:rPr>
                          </w:pPr>
                          <w:r w:rsidRPr="00CD23DA">
                            <w:rPr>
                              <w:rFonts w:ascii="Tahoma" w:eastAsia="Times New Roman" w:hAnsi="Tahoma" w:cs="Tahoma"/>
                              <w:b/>
                              <w:color w:val="FFFFFF"/>
                              <w:sz w:val="16"/>
                              <w:szCs w:val="16"/>
                            </w:rPr>
                            <w:t>Miletkovo</w:t>
                          </w:r>
                        </w:p>
                      </w:txbxContent>
                    </v:textbox>
                  </v:shape>
                  <v:shape id="Text Box 52" o:spid="_x0000_s1043" type="#_x0000_t202" style="position:absolute;left:11367;top:16739;width:6426;height:19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fkF8IA&#10;AADcAAAADwAAAGRycy9kb3ducmV2LnhtbERPz2vCMBS+C/sfwht4EU2VbbjOKDKQ6XHdDuvt0bwl&#10;7ZqX0mS2/vfmIHj8+H5vdqNrxZn6UHtWsFxkIIgrr2s2Cr6/DvM1iBCRNbaeScGFAuy2D5MN5toP&#10;/EnnIhqRQjjkqMDG2OVShsqSw7DwHXHifn3vMCbYG6l7HFK4a+Uqy16kw5pTg8WO3i1Vf8W/U/AU&#10;Lq+NbMxPaT8GMyuLYzOevFLTx3H/BiLSGO/im/uoFaye0/x0Jh0Bub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l+QXwgAAANwAAAAPAAAAAAAAAAAAAAAAAJgCAABkcnMvZG93&#10;bnJldi54bWxQSwUGAAAAAAQABAD1AAAAhwMAAAAA&#10;" filled="f" fillcolor="#ff9" strokecolor="white [3212]" strokeweight=".25pt">
                    <v:shadow on="t" color="#1f4d78 [1608]" opacity=".5" offset="1pt"/>
                    <v:textbox inset=".5mm,0,.5mm,0">
                      <w:txbxContent>
                        <w:p w14:paraId="6995E6E0" w14:textId="77777777" w:rsidR="00AB2D8F" w:rsidRPr="00D74E9D" w:rsidRDefault="00AB2D8F" w:rsidP="00E83BF2">
                          <w:pPr>
                            <w:pStyle w:val="NormalWeb"/>
                            <w:spacing w:after="0"/>
                            <w:jc w:val="center"/>
                            <w:rPr>
                              <w:color w:val="FFFFFF" w:themeColor="background1"/>
                            </w:rPr>
                          </w:pPr>
                          <w:r w:rsidRPr="00D74E9D">
                            <w:rPr>
                              <w:rFonts w:ascii="Tahoma" w:eastAsia="Times New Roman" w:hAnsi="Tahoma" w:cs="Tahoma"/>
                              <w:color w:val="FFFFFF" w:themeColor="background1"/>
                              <w:sz w:val="16"/>
                              <w:szCs w:val="16"/>
                            </w:rPr>
                            <w:t>A1 Highway</w:t>
                          </w:r>
                        </w:p>
                      </w:txbxContent>
                    </v:textbox>
                  </v:shape>
                </v:group>
                <v:shape id="Freeform 251" o:spid="_x0000_s1044" style="position:absolute;top:6781;width:3043;height:2718;rotation:-590925fd;flip:x y;visibility:visible;mso-wrap-style:square;v-text-anchor:top" coordsize="150,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sQvMYA&#10;AADcAAAADwAAAGRycy9kb3ducmV2LnhtbESP3WrCQBSE7wu+w3KE3tWNkRaJrtKWWtoqgr/Xx+xp&#10;Epo9G3Y3mr59tyB4Ocx8M8x03planMn5yrKC4SABQZxbXXGhYL9bPIxB+ICssbZMCn7Jw3zWu5ti&#10;pu2FN3TehkLEEvYZKihDaDIpfV6SQT+wDXH0vq0zGKJ0hdQOL7Hc1DJNkidpsOK4UGJDryXlP9vW&#10;KEjfj02y/hqNT6v05c0ddu3y07RK3fe75wmIQF24ha/0h47c4xD+z8Qj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sQvMYAAADcAAAADwAAAAAAAAAAAAAAAACYAgAAZHJz&#10;L2Rvd25yZXYueG1sUEsFBgAAAAAEAAQA9QAAAIsDAAAAAA==&#10;" path="m,c,,75,247,150,495e" filled="f" strokecolor="white [3212]" strokeweight="1pt">
                  <v:stroke endarrow="classic" endarrowlength="long"/>
                  <v:path arrowok="t" o:connecttype="custom" o:connectlocs="0,0;304371,271768" o:connectangles="0,0"/>
                </v:shape>
              </v:group>
            </w:pict>
          </mc:Fallback>
        </mc:AlternateContent>
      </w:r>
      <w:r w:rsidR="00E06A87" w:rsidRPr="0068236B">
        <w:rPr>
          <w:noProof/>
          <w:sz w:val="20"/>
          <w:lang w:val="mk-MK" w:eastAsia="mk-MK"/>
        </w:rPr>
        <w:drawing>
          <wp:inline distT="0" distB="0" distL="0" distR="0" wp14:anchorId="47C268F6" wp14:editId="5D2463F3">
            <wp:extent cx="6120000" cy="3456000"/>
            <wp:effectExtent l="0" t="0" r="0" b="0"/>
            <wp:docPr id="241" name="Picture 2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screen">
                      <a:extLst>
                        <a:ext uri="{28A0092B-C50C-407E-A947-70E740481C1C}">
                          <a14:useLocalDpi xmlns:a14="http://schemas.microsoft.com/office/drawing/2010/main" val="0"/>
                        </a:ext>
                      </a:extLst>
                    </a:blip>
                    <a:srcRect/>
                    <a:stretch>
                      <a:fillRect/>
                    </a:stretch>
                  </pic:blipFill>
                  <pic:spPr bwMode="auto">
                    <a:xfrm>
                      <a:off x="0" y="0"/>
                      <a:ext cx="6120000" cy="3456000"/>
                    </a:xfrm>
                    <a:prstGeom prst="rect">
                      <a:avLst/>
                    </a:prstGeom>
                    <a:noFill/>
                    <a:ln>
                      <a:noFill/>
                    </a:ln>
                  </pic:spPr>
                </pic:pic>
              </a:graphicData>
            </a:graphic>
          </wp:inline>
        </w:drawing>
      </w:r>
    </w:p>
    <w:p w14:paraId="5F9CFFC7" w14:textId="2DD66EC9" w:rsidR="002D6521" w:rsidRPr="0068236B" w:rsidRDefault="002D6521" w:rsidP="004823AA">
      <w:pPr>
        <w:spacing w:after="60"/>
        <w:jc w:val="left"/>
        <w:rPr>
          <w:sz w:val="18"/>
          <w:szCs w:val="18"/>
        </w:rPr>
      </w:pPr>
      <w:bookmarkStart w:id="62" w:name="_Toc112928851"/>
      <w:r w:rsidRPr="0068236B">
        <w:rPr>
          <w:rFonts w:cs="Arial"/>
          <w:iCs/>
          <w:sz w:val="18"/>
          <w:szCs w:val="18"/>
        </w:rPr>
        <w:t xml:space="preserve">Figure </w:t>
      </w:r>
      <w:r w:rsidR="00377E43" w:rsidRPr="0068236B">
        <w:rPr>
          <w:rFonts w:cs="Arial"/>
          <w:iCs/>
          <w:sz w:val="18"/>
          <w:szCs w:val="18"/>
        </w:rPr>
        <w:fldChar w:fldCharType="begin"/>
      </w:r>
      <w:r w:rsidRPr="0068236B">
        <w:rPr>
          <w:rFonts w:cs="Arial"/>
          <w:iCs/>
          <w:sz w:val="18"/>
          <w:szCs w:val="18"/>
        </w:rPr>
        <w:instrText xml:space="preserve"> STYLEREF 1 \s </w:instrText>
      </w:r>
      <w:r w:rsidR="00377E43" w:rsidRPr="0068236B">
        <w:rPr>
          <w:rFonts w:cs="Arial"/>
          <w:iCs/>
          <w:sz w:val="18"/>
          <w:szCs w:val="18"/>
        </w:rPr>
        <w:fldChar w:fldCharType="separate"/>
      </w:r>
      <w:r w:rsidR="00234EBE" w:rsidRPr="0068236B">
        <w:rPr>
          <w:rFonts w:cs="Arial"/>
          <w:iCs/>
          <w:noProof/>
          <w:sz w:val="18"/>
          <w:szCs w:val="18"/>
        </w:rPr>
        <w:t>2</w:t>
      </w:r>
      <w:r w:rsidR="00377E43" w:rsidRPr="0068236B">
        <w:rPr>
          <w:rFonts w:cs="Arial"/>
          <w:iCs/>
          <w:sz w:val="18"/>
          <w:szCs w:val="18"/>
        </w:rPr>
        <w:fldChar w:fldCharType="end"/>
      </w:r>
      <w:r w:rsidRPr="0068236B">
        <w:rPr>
          <w:rFonts w:cs="Arial"/>
          <w:iCs/>
          <w:sz w:val="18"/>
          <w:szCs w:val="18"/>
        </w:rPr>
        <w:t>.</w:t>
      </w:r>
      <w:r w:rsidR="00377E43" w:rsidRPr="0068236B">
        <w:rPr>
          <w:rFonts w:cs="Arial"/>
          <w:iCs/>
          <w:sz w:val="18"/>
          <w:szCs w:val="18"/>
        </w:rPr>
        <w:fldChar w:fldCharType="begin"/>
      </w:r>
      <w:r w:rsidRPr="0068236B">
        <w:rPr>
          <w:rFonts w:cs="Arial"/>
          <w:iCs/>
          <w:sz w:val="18"/>
          <w:szCs w:val="18"/>
        </w:rPr>
        <w:instrText xml:space="preserve"> SEQ Figure \* ARABIC \s 1 </w:instrText>
      </w:r>
      <w:r w:rsidR="00377E43" w:rsidRPr="0068236B">
        <w:rPr>
          <w:rFonts w:cs="Arial"/>
          <w:iCs/>
          <w:sz w:val="18"/>
          <w:szCs w:val="18"/>
        </w:rPr>
        <w:fldChar w:fldCharType="separate"/>
      </w:r>
      <w:r w:rsidR="00234EBE" w:rsidRPr="0068236B">
        <w:rPr>
          <w:rFonts w:cs="Arial"/>
          <w:iCs/>
          <w:noProof/>
          <w:sz w:val="18"/>
          <w:szCs w:val="18"/>
        </w:rPr>
        <w:t>2</w:t>
      </w:r>
      <w:r w:rsidR="00377E43" w:rsidRPr="0068236B">
        <w:rPr>
          <w:rFonts w:cs="Arial"/>
          <w:iCs/>
          <w:sz w:val="18"/>
          <w:szCs w:val="18"/>
        </w:rPr>
        <w:fldChar w:fldCharType="end"/>
      </w:r>
      <w:r w:rsidRPr="0068236B">
        <w:rPr>
          <w:sz w:val="18"/>
          <w:szCs w:val="18"/>
        </w:rPr>
        <w:t xml:space="preserve">: Location of the new 400/110 kV substation </w:t>
      </w:r>
      <w:r w:rsidR="00AB498C" w:rsidRPr="0068236B">
        <w:rPr>
          <w:sz w:val="18"/>
          <w:szCs w:val="18"/>
        </w:rPr>
        <w:t>Miletkovo</w:t>
      </w:r>
      <w:bookmarkEnd w:id="62"/>
    </w:p>
    <w:p w14:paraId="602EB588" w14:textId="19A54D19" w:rsidR="004823AA" w:rsidRPr="0068236B" w:rsidRDefault="004823AA" w:rsidP="004823AA">
      <w:pPr>
        <w:spacing w:before="0" w:after="240" w:line="240" w:lineRule="auto"/>
        <w:jc w:val="left"/>
        <w:rPr>
          <w:rFonts w:cs="Tahoma"/>
          <w:bCs/>
          <w:sz w:val="16"/>
          <w:szCs w:val="16"/>
        </w:rPr>
      </w:pPr>
      <w:r w:rsidRPr="0068236B">
        <w:rPr>
          <w:rFonts w:cs="Tahoma"/>
          <w:iCs/>
          <w:sz w:val="16"/>
          <w:szCs w:val="16"/>
        </w:rPr>
        <w:t xml:space="preserve">Source: </w:t>
      </w:r>
      <w:r w:rsidRPr="0068236B">
        <w:rPr>
          <w:rFonts w:cs="Tahoma"/>
          <w:sz w:val="16"/>
          <w:szCs w:val="16"/>
          <w:lang w:eastAsia="en-US"/>
        </w:rPr>
        <w:t xml:space="preserve">WB21-MKD-ENE-03 North Macedonia, Strengthening the Transmission Network in the Southeast Region of North Macedonia - Component 1; </w:t>
      </w:r>
      <w:r w:rsidR="00E6543C" w:rsidRPr="0068236B">
        <w:rPr>
          <w:rFonts w:cs="Tahoma"/>
          <w:sz w:val="16"/>
          <w:szCs w:val="16"/>
        </w:rPr>
        <w:t>Detailed Technical Assessment of Preferred Option, January 2022</w:t>
      </w:r>
      <w:r w:rsidRPr="0068236B">
        <w:rPr>
          <w:rFonts w:cs="Tahoma"/>
          <w:bCs/>
          <w:sz w:val="16"/>
          <w:szCs w:val="16"/>
        </w:rPr>
        <w:t xml:space="preserve"> [Ref.7]</w:t>
      </w:r>
    </w:p>
    <w:p w14:paraId="250D5B6C" w14:textId="6D4E077D" w:rsidR="00EB79BD" w:rsidRPr="0068236B" w:rsidRDefault="00EB79BD" w:rsidP="00F258DF">
      <w:pPr>
        <w:pStyle w:val="NumberedParagraph"/>
        <w:rPr>
          <w:sz w:val="20"/>
        </w:rPr>
      </w:pPr>
      <w:r w:rsidRPr="0068236B">
        <w:rPr>
          <w:sz w:val="20"/>
        </w:rPr>
        <w:t xml:space="preserve">This new substation </w:t>
      </w:r>
      <w:r w:rsidR="006D7A8B" w:rsidRPr="0068236B">
        <w:rPr>
          <w:sz w:val="20"/>
        </w:rPr>
        <w:t>will</w:t>
      </w:r>
      <w:r w:rsidRPr="0068236B">
        <w:rPr>
          <w:sz w:val="20"/>
        </w:rPr>
        <w:t xml:space="preserve"> be connected with the existing 400 kV transmission network via </w:t>
      </w:r>
      <w:r w:rsidR="002065F8" w:rsidRPr="0068236B">
        <w:rPr>
          <w:sz w:val="20"/>
        </w:rPr>
        <w:t>‘</w:t>
      </w:r>
      <w:r w:rsidRPr="0068236B">
        <w:rPr>
          <w:sz w:val="20"/>
        </w:rPr>
        <w:t>in-out</w:t>
      </w:r>
      <w:r w:rsidR="002065F8" w:rsidRPr="0068236B">
        <w:rPr>
          <w:sz w:val="20"/>
        </w:rPr>
        <w:t>’</w:t>
      </w:r>
      <w:r w:rsidRPr="0068236B">
        <w:rPr>
          <w:sz w:val="20"/>
        </w:rPr>
        <w:t xml:space="preserve"> connection with the existing 400 kV OHL from Dubrovo to </w:t>
      </w:r>
      <w:r w:rsidR="00937B2F" w:rsidRPr="0068236B">
        <w:rPr>
          <w:sz w:val="20"/>
        </w:rPr>
        <w:t>Thessalonica</w:t>
      </w:r>
      <w:r w:rsidRPr="0068236B">
        <w:rPr>
          <w:sz w:val="20"/>
        </w:rPr>
        <w:t xml:space="preserve"> (GR) which passes in the immediate proximity to the proposed substation location (Figure above).</w:t>
      </w:r>
      <w:r w:rsidR="00E17903" w:rsidRPr="0068236B">
        <w:rPr>
          <w:sz w:val="20"/>
        </w:rPr>
        <w:t xml:space="preserve"> </w:t>
      </w:r>
    </w:p>
    <w:p w14:paraId="0C7907D1" w14:textId="378C1724" w:rsidR="005D6C1F" w:rsidRPr="0068236B" w:rsidRDefault="00B77EA5" w:rsidP="00F258DF">
      <w:pPr>
        <w:pStyle w:val="NumberedParagraph"/>
        <w:rPr>
          <w:sz w:val="20"/>
        </w:rPr>
      </w:pPr>
      <w:r w:rsidRPr="0068236B">
        <w:rPr>
          <w:sz w:val="20"/>
        </w:rPr>
        <w:t>T</w:t>
      </w:r>
      <w:r w:rsidR="000646DC" w:rsidRPr="0068236B">
        <w:rPr>
          <w:sz w:val="20"/>
        </w:rPr>
        <w:t xml:space="preserve">he new </w:t>
      </w:r>
      <w:r w:rsidRPr="0068236B">
        <w:rPr>
          <w:sz w:val="20"/>
        </w:rPr>
        <w:t xml:space="preserve">substation </w:t>
      </w:r>
      <w:r w:rsidR="000646DC" w:rsidRPr="0068236B">
        <w:rPr>
          <w:sz w:val="20"/>
        </w:rPr>
        <w:t>would be connected to the existing 110 kV transmission network</w:t>
      </w:r>
      <w:r w:rsidRPr="0068236B">
        <w:rPr>
          <w:sz w:val="20"/>
        </w:rPr>
        <w:t xml:space="preserve"> by </w:t>
      </w:r>
      <w:r w:rsidR="005D6C1F" w:rsidRPr="0068236B">
        <w:rPr>
          <w:sz w:val="20"/>
        </w:rPr>
        <w:t>the following inte</w:t>
      </w:r>
      <w:r w:rsidR="005D6C1F" w:rsidRPr="0068236B">
        <w:rPr>
          <w:sz w:val="20"/>
        </w:rPr>
        <w:t>r</w:t>
      </w:r>
      <w:r w:rsidR="005D6C1F" w:rsidRPr="0068236B">
        <w:rPr>
          <w:sz w:val="20"/>
        </w:rPr>
        <w:t>ventions (</w:t>
      </w:r>
      <w:r w:rsidR="00F8548D" w:rsidRPr="0068236B">
        <w:rPr>
          <w:sz w:val="20"/>
        </w:rPr>
        <w:t>Annex 1</w:t>
      </w:r>
      <w:r w:rsidR="005D6C1F" w:rsidRPr="0068236B">
        <w:rPr>
          <w:sz w:val="20"/>
        </w:rPr>
        <w:t>):</w:t>
      </w:r>
    </w:p>
    <w:p w14:paraId="1A2D9EA4" w14:textId="25325471" w:rsidR="00EB79BD" w:rsidRPr="0068236B" w:rsidRDefault="00B0702A" w:rsidP="002065F8">
      <w:pPr>
        <w:pStyle w:val="ListBullet"/>
        <w:jc w:val="left"/>
        <w:rPr>
          <w:sz w:val="20"/>
        </w:rPr>
      </w:pPr>
      <w:r w:rsidRPr="0068236B">
        <w:rPr>
          <w:sz w:val="20"/>
          <w:szCs w:val="24"/>
        </w:rPr>
        <w:t xml:space="preserve">Reconstruction </w:t>
      </w:r>
      <w:r w:rsidR="00EB79BD" w:rsidRPr="0068236B">
        <w:rPr>
          <w:sz w:val="20"/>
          <w:szCs w:val="24"/>
        </w:rPr>
        <w:t xml:space="preserve">of the existing 110 kV OHL from Valandovo to </w:t>
      </w:r>
      <w:r w:rsidR="00EB79BD" w:rsidRPr="0068236B">
        <w:rPr>
          <w:sz w:val="20"/>
        </w:rPr>
        <w:t>the existing 110/20 kV SS ‘EVP’</w:t>
      </w:r>
      <w:r w:rsidR="00EB79BD" w:rsidRPr="0068236B">
        <w:rPr>
          <w:rStyle w:val="FootnoteReference"/>
          <w:sz w:val="20"/>
        </w:rPr>
        <w:footnoteReference w:id="31"/>
      </w:r>
      <w:r w:rsidR="00EB79BD" w:rsidRPr="0068236B">
        <w:rPr>
          <w:sz w:val="20"/>
        </w:rPr>
        <w:t xml:space="preserve"> Miletkovo and its </w:t>
      </w:r>
      <w:r w:rsidR="00FD18C0" w:rsidRPr="0068236B">
        <w:rPr>
          <w:sz w:val="20"/>
        </w:rPr>
        <w:t xml:space="preserve">extension </w:t>
      </w:r>
      <w:r w:rsidR="00EB79BD" w:rsidRPr="0068236B">
        <w:rPr>
          <w:sz w:val="20"/>
          <w:szCs w:val="24"/>
        </w:rPr>
        <w:t xml:space="preserve">to the new 400/110 kV SS </w:t>
      </w:r>
      <w:r w:rsidR="00AB498C" w:rsidRPr="0068236B">
        <w:rPr>
          <w:sz w:val="20"/>
          <w:szCs w:val="24"/>
        </w:rPr>
        <w:t>Miletkovo</w:t>
      </w:r>
    </w:p>
    <w:p w14:paraId="632BB884" w14:textId="77777777" w:rsidR="00B77EA5" w:rsidRPr="0068236B" w:rsidRDefault="00B77EA5" w:rsidP="00B77EA5">
      <w:pPr>
        <w:pStyle w:val="ListBullet"/>
        <w:numPr>
          <w:ilvl w:val="0"/>
          <w:numId w:val="0"/>
        </w:numPr>
        <w:ind w:left="1134"/>
        <w:jc w:val="left"/>
        <w:rPr>
          <w:b/>
          <w:sz w:val="20"/>
        </w:rPr>
      </w:pPr>
      <w:r w:rsidRPr="0068236B">
        <w:rPr>
          <w:sz w:val="20"/>
        </w:rPr>
        <w:t>The alignment of this transmission line passes</w:t>
      </w:r>
      <w:r w:rsidRPr="0068236B">
        <w:rPr>
          <w:rFonts w:cs="Tahoma"/>
          <w:sz w:val="20"/>
        </w:rPr>
        <w:t xml:space="preserve"> through the territory of two Macedonian LSGs: the municipalities of Valandovo and Gevgelija.</w:t>
      </w:r>
    </w:p>
    <w:p w14:paraId="1F528FF9" w14:textId="5EC100B7" w:rsidR="00B77EA5" w:rsidRPr="0068236B" w:rsidRDefault="003E54F1" w:rsidP="00B77EA5">
      <w:pPr>
        <w:pStyle w:val="ListBullet"/>
        <w:numPr>
          <w:ilvl w:val="0"/>
          <w:numId w:val="0"/>
        </w:numPr>
        <w:ind w:left="1134"/>
        <w:jc w:val="left"/>
        <w:rPr>
          <w:sz w:val="20"/>
        </w:rPr>
      </w:pPr>
      <w:r w:rsidRPr="0068236B">
        <w:rPr>
          <w:sz w:val="20"/>
        </w:rPr>
        <w:lastRenderedPageBreak/>
        <w:t>From its starting point</w:t>
      </w:r>
      <w:r w:rsidR="00D11910" w:rsidRPr="0068236B">
        <w:rPr>
          <w:sz w:val="20"/>
        </w:rPr>
        <w:t xml:space="preserve"> - the existing SS Valandovo - </w:t>
      </w:r>
      <w:r w:rsidRPr="0068236B">
        <w:rPr>
          <w:sz w:val="20"/>
        </w:rPr>
        <w:t xml:space="preserve">the line </w:t>
      </w:r>
      <w:r w:rsidRPr="0068236B">
        <w:rPr>
          <w:rFonts w:cs="Tahoma"/>
          <w:sz w:val="20"/>
        </w:rPr>
        <w:t xml:space="preserve">goes </w:t>
      </w:r>
      <w:r w:rsidR="00D11910" w:rsidRPr="0068236B">
        <w:rPr>
          <w:rFonts w:cs="Tahoma"/>
          <w:sz w:val="20"/>
        </w:rPr>
        <w:t xml:space="preserve">to </w:t>
      </w:r>
      <w:r w:rsidRPr="0068236B">
        <w:rPr>
          <w:rFonts w:cs="Tahoma"/>
          <w:sz w:val="20"/>
        </w:rPr>
        <w:t>west</w:t>
      </w:r>
      <w:r w:rsidRPr="0068236B">
        <w:rPr>
          <w:sz w:val="20"/>
        </w:rPr>
        <w:t xml:space="preserve"> thro</w:t>
      </w:r>
      <w:r w:rsidR="00D11910" w:rsidRPr="0068236B">
        <w:rPr>
          <w:sz w:val="20"/>
        </w:rPr>
        <w:t>ugh hilly forest and shrubland landscape. I</w:t>
      </w:r>
      <w:r w:rsidRPr="0068236B">
        <w:rPr>
          <w:sz w:val="20"/>
        </w:rPr>
        <w:t>t crosses the regional road R1105</w:t>
      </w:r>
      <w:r w:rsidR="00D11910" w:rsidRPr="0068236B">
        <w:rPr>
          <w:sz w:val="20"/>
        </w:rPr>
        <w:t xml:space="preserve"> in vicinity to </w:t>
      </w:r>
      <w:r w:rsidRPr="0068236B">
        <w:rPr>
          <w:sz w:val="20"/>
        </w:rPr>
        <w:t>Valandovo and</w:t>
      </w:r>
      <w:r w:rsidR="00D11910" w:rsidRPr="0068236B">
        <w:rPr>
          <w:sz w:val="20"/>
        </w:rPr>
        <w:t xml:space="preserve"> then it crosses</w:t>
      </w:r>
      <w:r w:rsidRPr="0068236B">
        <w:rPr>
          <w:sz w:val="20"/>
        </w:rPr>
        <w:t xml:space="preserve"> the channelled river Anska Reka, approx. 600 metres from the </w:t>
      </w:r>
      <w:r w:rsidR="00D11910" w:rsidRPr="0068236B">
        <w:rPr>
          <w:sz w:val="20"/>
        </w:rPr>
        <w:t>substation</w:t>
      </w:r>
      <w:r w:rsidRPr="0068236B">
        <w:rPr>
          <w:sz w:val="20"/>
        </w:rPr>
        <w:t>. From this crossing point with the river Anska Reka, the route continues in general direction west – sout</w:t>
      </w:r>
      <w:r w:rsidRPr="0068236B">
        <w:rPr>
          <w:sz w:val="20"/>
        </w:rPr>
        <w:t>h</w:t>
      </w:r>
      <w:r w:rsidRPr="0068236B">
        <w:rPr>
          <w:sz w:val="20"/>
        </w:rPr>
        <w:t>west, in parallel with Anska Reka (at relative distance from 50 to 200 metres), mainly through agricultural</w:t>
      </w:r>
      <w:r w:rsidR="00D11910" w:rsidRPr="0068236B">
        <w:rPr>
          <w:sz w:val="20"/>
        </w:rPr>
        <w:t xml:space="preserve"> land</w:t>
      </w:r>
      <w:r w:rsidRPr="0068236B">
        <w:rPr>
          <w:sz w:val="20"/>
        </w:rPr>
        <w:t xml:space="preserve">. The nearest settlements </w:t>
      </w:r>
      <w:r w:rsidR="00235B29" w:rsidRPr="0068236B">
        <w:rPr>
          <w:sz w:val="20"/>
        </w:rPr>
        <w:t xml:space="preserve">along the OHL corridor </w:t>
      </w:r>
      <w:r w:rsidRPr="0068236B">
        <w:rPr>
          <w:sz w:val="20"/>
        </w:rPr>
        <w:t>are the villages Brajkovci, Balinci and Marvinci, at relative distance from 1 km to 1.5 km, situated to the south from the line. At approx. 1400 m north from the village Marvinci and 1800</w:t>
      </w:r>
      <w:r w:rsidR="00235B29" w:rsidRPr="0068236B">
        <w:rPr>
          <w:sz w:val="20"/>
        </w:rPr>
        <w:t xml:space="preserve"> </w:t>
      </w:r>
      <w:r w:rsidRPr="0068236B">
        <w:rPr>
          <w:sz w:val="20"/>
        </w:rPr>
        <w:t>m to the north-east from SS ‘EVP’ Miletkovo</w:t>
      </w:r>
      <w:r w:rsidR="00235B29" w:rsidRPr="0068236B">
        <w:rPr>
          <w:sz w:val="20"/>
        </w:rPr>
        <w:t>, the line crosses the regional road R1102</w:t>
      </w:r>
      <w:r w:rsidRPr="0068236B">
        <w:rPr>
          <w:sz w:val="20"/>
        </w:rPr>
        <w:t>.</w:t>
      </w:r>
      <w:r w:rsidR="00235B29" w:rsidRPr="0068236B">
        <w:rPr>
          <w:sz w:val="20"/>
        </w:rPr>
        <w:t xml:space="preserve"> Approximately 1 km from this cros</w:t>
      </w:r>
      <w:r w:rsidR="00235B29" w:rsidRPr="0068236B">
        <w:rPr>
          <w:sz w:val="20"/>
        </w:rPr>
        <w:t>s</w:t>
      </w:r>
      <w:r w:rsidR="00235B29" w:rsidRPr="0068236B">
        <w:rPr>
          <w:sz w:val="20"/>
        </w:rPr>
        <w:t xml:space="preserve">ing point, the line again </w:t>
      </w:r>
      <w:r w:rsidRPr="0068236B">
        <w:rPr>
          <w:sz w:val="20"/>
        </w:rPr>
        <w:t>crosses river Anska Reka</w:t>
      </w:r>
      <w:r w:rsidR="00235B29" w:rsidRPr="0068236B">
        <w:rPr>
          <w:sz w:val="20"/>
        </w:rPr>
        <w:t xml:space="preserve"> and further </w:t>
      </w:r>
      <w:r w:rsidR="00190071" w:rsidRPr="0068236B">
        <w:rPr>
          <w:sz w:val="20"/>
        </w:rPr>
        <w:t xml:space="preserve">to west </w:t>
      </w:r>
      <w:r w:rsidRPr="0068236B">
        <w:rPr>
          <w:sz w:val="20"/>
        </w:rPr>
        <w:t xml:space="preserve">it crosses </w:t>
      </w:r>
      <w:r w:rsidR="00235B29" w:rsidRPr="0068236B">
        <w:rPr>
          <w:sz w:val="20"/>
        </w:rPr>
        <w:t xml:space="preserve">the </w:t>
      </w:r>
      <w:r w:rsidRPr="0068236B">
        <w:rPr>
          <w:sz w:val="20"/>
        </w:rPr>
        <w:t xml:space="preserve">Vardar </w:t>
      </w:r>
      <w:r w:rsidR="00235B29" w:rsidRPr="0068236B">
        <w:rPr>
          <w:sz w:val="20"/>
        </w:rPr>
        <w:t>Ri</w:t>
      </w:r>
      <w:r w:rsidR="00235B29" w:rsidRPr="0068236B">
        <w:rPr>
          <w:sz w:val="20"/>
        </w:rPr>
        <w:t>v</w:t>
      </w:r>
      <w:r w:rsidR="00235B29" w:rsidRPr="0068236B">
        <w:rPr>
          <w:sz w:val="20"/>
        </w:rPr>
        <w:t xml:space="preserve">er, </w:t>
      </w:r>
      <w:r w:rsidRPr="0068236B">
        <w:rPr>
          <w:sz w:val="20"/>
        </w:rPr>
        <w:t>approx. 300</w:t>
      </w:r>
      <w:r w:rsidR="00235B29" w:rsidRPr="0068236B">
        <w:rPr>
          <w:sz w:val="20"/>
        </w:rPr>
        <w:t xml:space="preserve"> </w:t>
      </w:r>
      <w:r w:rsidRPr="0068236B">
        <w:rPr>
          <w:sz w:val="20"/>
        </w:rPr>
        <w:t xml:space="preserve">m east </w:t>
      </w:r>
      <w:r w:rsidR="00235B29" w:rsidRPr="0068236B">
        <w:rPr>
          <w:sz w:val="20"/>
        </w:rPr>
        <w:t>from the SS ‘</w:t>
      </w:r>
      <w:r w:rsidRPr="0068236B">
        <w:rPr>
          <w:sz w:val="20"/>
        </w:rPr>
        <w:t>EVP</w:t>
      </w:r>
      <w:r w:rsidR="00235B29" w:rsidRPr="0068236B">
        <w:rPr>
          <w:sz w:val="20"/>
        </w:rPr>
        <w:t>’</w:t>
      </w:r>
      <w:r w:rsidRPr="0068236B">
        <w:rPr>
          <w:sz w:val="20"/>
        </w:rPr>
        <w:t xml:space="preserve"> Mi</w:t>
      </w:r>
      <w:r w:rsidR="00235B29" w:rsidRPr="0068236B">
        <w:rPr>
          <w:sz w:val="20"/>
        </w:rPr>
        <w:t xml:space="preserve">letkovo. At </w:t>
      </w:r>
      <w:r w:rsidR="00190071" w:rsidRPr="0068236B">
        <w:rPr>
          <w:sz w:val="20"/>
        </w:rPr>
        <w:t xml:space="preserve">immediate proximity to this substation, the line </w:t>
      </w:r>
      <w:r w:rsidRPr="0068236B">
        <w:rPr>
          <w:sz w:val="20"/>
        </w:rPr>
        <w:t>crosses the rail</w:t>
      </w:r>
      <w:r w:rsidR="00190071" w:rsidRPr="0068236B">
        <w:rPr>
          <w:sz w:val="20"/>
        </w:rPr>
        <w:t>way Skopje – Thessalonica</w:t>
      </w:r>
      <w:r w:rsidR="00D11910" w:rsidRPr="0068236B">
        <w:rPr>
          <w:sz w:val="20"/>
        </w:rPr>
        <w:t xml:space="preserve"> (GR)</w:t>
      </w:r>
      <w:r w:rsidR="00190071" w:rsidRPr="0068236B">
        <w:rPr>
          <w:sz w:val="20"/>
        </w:rPr>
        <w:t>.</w:t>
      </w:r>
      <w:r w:rsidRPr="0068236B">
        <w:rPr>
          <w:sz w:val="20"/>
        </w:rPr>
        <w:t xml:space="preserve"> </w:t>
      </w:r>
      <w:r w:rsidR="00190071" w:rsidRPr="0068236B">
        <w:rPr>
          <w:sz w:val="20"/>
        </w:rPr>
        <w:t xml:space="preserve">The extension of the line towards the new </w:t>
      </w:r>
      <w:r w:rsidR="00B91B1E" w:rsidRPr="0068236B">
        <w:rPr>
          <w:sz w:val="20"/>
        </w:rPr>
        <w:t>400/110 kV SS Miletkovo</w:t>
      </w:r>
      <w:r w:rsidR="00190071" w:rsidRPr="0068236B">
        <w:rPr>
          <w:sz w:val="20"/>
        </w:rPr>
        <w:t xml:space="preserve"> has a general </w:t>
      </w:r>
      <w:r w:rsidRPr="0068236B">
        <w:rPr>
          <w:sz w:val="20"/>
        </w:rPr>
        <w:t>south-southwest direction</w:t>
      </w:r>
      <w:r w:rsidR="00190071" w:rsidRPr="0068236B">
        <w:rPr>
          <w:sz w:val="20"/>
        </w:rPr>
        <w:t xml:space="preserve">. It crosses </w:t>
      </w:r>
      <w:r w:rsidRPr="0068236B">
        <w:rPr>
          <w:sz w:val="20"/>
        </w:rPr>
        <w:t xml:space="preserve">the regional road R29177 </w:t>
      </w:r>
      <w:r w:rsidR="00190071" w:rsidRPr="0068236B">
        <w:rPr>
          <w:sz w:val="20"/>
        </w:rPr>
        <w:t xml:space="preserve">at approx. </w:t>
      </w:r>
      <w:r w:rsidRPr="0068236B">
        <w:rPr>
          <w:sz w:val="20"/>
        </w:rPr>
        <w:t>1</w:t>
      </w:r>
      <w:r w:rsidR="00190071" w:rsidRPr="0068236B">
        <w:rPr>
          <w:sz w:val="20"/>
        </w:rPr>
        <w:t xml:space="preserve"> </w:t>
      </w:r>
      <w:r w:rsidRPr="0068236B">
        <w:rPr>
          <w:sz w:val="20"/>
        </w:rPr>
        <w:t>km from SS ‘EVP’ Miletkovo, approx. 650</w:t>
      </w:r>
      <w:r w:rsidR="00190071" w:rsidRPr="0068236B">
        <w:rPr>
          <w:sz w:val="20"/>
        </w:rPr>
        <w:t xml:space="preserve"> </w:t>
      </w:r>
      <w:r w:rsidRPr="0068236B">
        <w:rPr>
          <w:sz w:val="20"/>
        </w:rPr>
        <w:t xml:space="preserve">m </w:t>
      </w:r>
      <w:r w:rsidR="00190071" w:rsidRPr="0068236B">
        <w:rPr>
          <w:sz w:val="20"/>
        </w:rPr>
        <w:t xml:space="preserve">on </w:t>
      </w:r>
      <w:r w:rsidRPr="0068236B">
        <w:rPr>
          <w:sz w:val="20"/>
        </w:rPr>
        <w:t xml:space="preserve">east </w:t>
      </w:r>
      <w:r w:rsidR="00190071" w:rsidRPr="0068236B">
        <w:rPr>
          <w:sz w:val="20"/>
        </w:rPr>
        <w:t>from the</w:t>
      </w:r>
      <w:r w:rsidRPr="0068236B">
        <w:rPr>
          <w:sz w:val="20"/>
        </w:rPr>
        <w:t xml:space="preserve"> v</w:t>
      </w:r>
      <w:r w:rsidR="00190071" w:rsidRPr="0068236B">
        <w:rPr>
          <w:sz w:val="20"/>
        </w:rPr>
        <w:t>illage</w:t>
      </w:r>
      <w:r w:rsidRPr="0068236B">
        <w:rPr>
          <w:sz w:val="20"/>
        </w:rPr>
        <w:t xml:space="preserve"> Miletkovo, which is the nearest settlement along this section of the alignment. The section of the </w:t>
      </w:r>
      <w:r w:rsidR="00190071" w:rsidRPr="0068236B">
        <w:rPr>
          <w:sz w:val="20"/>
        </w:rPr>
        <w:t xml:space="preserve">line </w:t>
      </w:r>
      <w:r w:rsidRPr="0068236B">
        <w:rPr>
          <w:sz w:val="20"/>
        </w:rPr>
        <w:t xml:space="preserve">between SS </w:t>
      </w:r>
      <w:r w:rsidR="00190071" w:rsidRPr="0068236B">
        <w:rPr>
          <w:sz w:val="20"/>
        </w:rPr>
        <w:t xml:space="preserve">‘EVP’ </w:t>
      </w:r>
      <w:r w:rsidRPr="0068236B">
        <w:rPr>
          <w:sz w:val="20"/>
        </w:rPr>
        <w:t xml:space="preserve">Miletkovo and </w:t>
      </w:r>
      <w:r w:rsidR="00190071" w:rsidRPr="0068236B">
        <w:rPr>
          <w:sz w:val="20"/>
        </w:rPr>
        <w:t xml:space="preserve">the </w:t>
      </w:r>
      <w:r w:rsidRPr="0068236B">
        <w:rPr>
          <w:sz w:val="20"/>
        </w:rPr>
        <w:t>new SS Valandovo mainly goes through a</w:t>
      </w:r>
      <w:r w:rsidR="00190071" w:rsidRPr="0068236B">
        <w:rPr>
          <w:sz w:val="20"/>
        </w:rPr>
        <w:t>gricultural</w:t>
      </w:r>
      <w:r w:rsidRPr="0068236B">
        <w:rPr>
          <w:sz w:val="20"/>
        </w:rPr>
        <w:t xml:space="preserve"> area, with an exception of the last 500</w:t>
      </w:r>
      <w:r w:rsidR="00190071" w:rsidRPr="0068236B">
        <w:rPr>
          <w:sz w:val="20"/>
        </w:rPr>
        <w:t xml:space="preserve"> </w:t>
      </w:r>
      <w:r w:rsidRPr="0068236B">
        <w:rPr>
          <w:sz w:val="20"/>
        </w:rPr>
        <w:t>m</w:t>
      </w:r>
      <w:r w:rsidR="00190071" w:rsidRPr="0068236B">
        <w:rPr>
          <w:sz w:val="20"/>
        </w:rPr>
        <w:t>etres</w:t>
      </w:r>
      <w:r w:rsidRPr="0068236B">
        <w:rPr>
          <w:sz w:val="20"/>
        </w:rPr>
        <w:t xml:space="preserve"> where it </w:t>
      </w:r>
      <w:r w:rsidR="00745ACD" w:rsidRPr="0068236B">
        <w:rPr>
          <w:sz w:val="20"/>
        </w:rPr>
        <w:t>passes</w:t>
      </w:r>
      <w:r w:rsidRPr="0068236B">
        <w:rPr>
          <w:sz w:val="20"/>
        </w:rPr>
        <w:t xml:space="preserve"> through shrubland and gras</w:t>
      </w:r>
      <w:r w:rsidRPr="0068236B">
        <w:rPr>
          <w:sz w:val="20"/>
        </w:rPr>
        <w:t>s</w:t>
      </w:r>
      <w:r w:rsidRPr="0068236B">
        <w:rPr>
          <w:sz w:val="20"/>
        </w:rPr>
        <w:t xml:space="preserve">land. It </w:t>
      </w:r>
      <w:r w:rsidR="00190071" w:rsidRPr="0068236B">
        <w:rPr>
          <w:sz w:val="20"/>
        </w:rPr>
        <w:t xml:space="preserve">will </w:t>
      </w:r>
      <w:r w:rsidRPr="0068236B">
        <w:rPr>
          <w:sz w:val="20"/>
        </w:rPr>
        <w:t xml:space="preserve">cross the stream Dukavec and </w:t>
      </w:r>
      <w:r w:rsidR="00190071" w:rsidRPr="0068236B">
        <w:rPr>
          <w:sz w:val="20"/>
        </w:rPr>
        <w:t>other three</w:t>
      </w:r>
      <w:r w:rsidRPr="0068236B">
        <w:rPr>
          <w:sz w:val="20"/>
        </w:rPr>
        <w:t xml:space="preserve"> intermittent streams before it</w:t>
      </w:r>
      <w:r w:rsidR="00190071" w:rsidRPr="0068236B">
        <w:rPr>
          <w:sz w:val="20"/>
        </w:rPr>
        <w:t>s</w:t>
      </w:r>
      <w:r w:rsidRPr="0068236B">
        <w:rPr>
          <w:sz w:val="20"/>
        </w:rPr>
        <w:t xml:space="preserve"> conne</w:t>
      </w:r>
      <w:r w:rsidRPr="0068236B">
        <w:rPr>
          <w:sz w:val="20"/>
        </w:rPr>
        <w:t>c</w:t>
      </w:r>
      <w:r w:rsidRPr="0068236B">
        <w:rPr>
          <w:sz w:val="20"/>
        </w:rPr>
        <w:t>t</w:t>
      </w:r>
      <w:r w:rsidR="00190071" w:rsidRPr="0068236B">
        <w:rPr>
          <w:sz w:val="20"/>
        </w:rPr>
        <w:t>ion</w:t>
      </w:r>
      <w:r w:rsidRPr="0068236B">
        <w:rPr>
          <w:sz w:val="20"/>
        </w:rPr>
        <w:t xml:space="preserve"> to the new </w:t>
      </w:r>
      <w:r w:rsidR="00B91B1E" w:rsidRPr="0068236B">
        <w:rPr>
          <w:sz w:val="20"/>
          <w:szCs w:val="24"/>
        </w:rPr>
        <w:t>400/110 kV SS Miletkovo</w:t>
      </w:r>
      <w:r w:rsidRPr="0068236B">
        <w:rPr>
          <w:sz w:val="20"/>
        </w:rPr>
        <w:t>.</w:t>
      </w:r>
    </w:p>
    <w:p w14:paraId="3D6A0C23" w14:textId="5659C171" w:rsidR="005D6C1F" w:rsidRPr="0068236B" w:rsidRDefault="00EB79BD" w:rsidP="002065F8">
      <w:pPr>
        <w:pStyle w:val="ListBullet"/>
        <w:jc w:val="left"/>
        <w:rPr>
          <w:sz w:val="20"/>
        </w:rPr>
      </w:pPr>
      <w:r w:rsidRPr="0068236B">
        <w:rPr>
          <w:sz w:val="20"/>
        </w:rPr>
        <w:t>C</w:t>
      </w:r>
      <w:r w:rsidR="000646DC" w:rsidRPr="0068236B">
        <w:rPr>
          <w:sz w:val="20"/>
        </w:rPr>
        <w:t>o</w:t>
      </w:r>
      <w:r w:rsidR="00FD18C0" w:rsidRPr="0068236B">
        <w:rPr>
          <w:sz w:val="20"/>
        </w:rPr>
        <w:t xml:space="preserve">nstruction of a new </w:t>
      </w:r>
      <w:r w:rsidR="00697138" w:rsidRPr="0068236B">
        <w:rPr>
          <w:sz w:val="20"/>
        </w:rPr>
        <w:t>2x</w:t>
      </w:r>
      <w:r w:rsidR="000646DC" w:rsidRPr="0068236B">
        <w:rPr>
          <w:sz w:val="20"/>
        </w:rPr>
        <w:t xml:space="preserve">110 kV OHL </w:t>
      </w:r>
      <w:r w:rsidRPr="0068236B">
        <w:rPr>
          <w:sz w:val="20"/>
        </w:rPr>
        <w:t xml:space="preserve">from the new </w:t>
      </w:r>
      <w:r w:rsidR="00B91B1E" w:rsidRPr="0068236B">
        <w:rPr>
          <w:sz w:val="20"/>
        </w:rPr>
        <w:t>400/110 kV SS Miletkovo</w:t>
      </w:r>
      <w:r w:rsidRPr="0068236B">
        <w:rPr>
          <w:sz w:val="20"/>
        </w:rPr>
        <w:t xml:space="preserve"> </w:t>
      </w:r>
      <w:r w:rsidR="005D6C1F" w:rsidRPr="0068236B">
        <w:rPr>
          <w:sz w:val="20"/>
        </w:rPr>
        <w:t xml:space="preserve">to the existing 110/20 kV SS ‘EVP’ Miletkovo </w:t>
      </w:r>
    </w:p>
    <w:p w14:paraId="28607BE6" w14:textId="77777777" w:rsidR="00B77EA5" w:rsidRPr="0068236B" w:rsidRDefault="00B77EA5" w:rsidP="00B77EA5">
      <w:pPr>
        <w:pStyle w:val="ListBullet"/>
        <w:numPr>
          <w:ilvl w:val="0"/>
          <w:numId w:val="0"/>
        </w:numPr>
        <w:ind w:left="1134"/>
        <w:rPr>
          <w:b/>
          <w:sz w:val="20"/>
        </w:rPr>
      </w:pPr>
      <w:r w:rsidRPr="0068236B">
        <w:rPr>
          <w:sz w:val="20"/>
        </w:rPr>
        <w:t xml:space="preserve">The alignment of this transmission line is located within the territory of one Macedonian LSG: the municipality of </w:t>
      </w:r>
      <w:r w:rsidR="006404AD" w:rsidRPr="0068236B">
        <w:rPr>
          <w:sz w:val="20"/>
        </w:rPr>
        <w:t>Gevgelija</w:t>
      </w:r>
      <w:r w:rsidRPr="0068236B">
        <w:rPr>
          <w:sz w:val="20"/>
        </w:rPr>
        <w:t>.</w:t>
      </w:r>
    </w:p>
    <w:p w14:paraId="187DF096" w14:textId="77777777" w:rsidR="00B77EA5" w:rsidRPr="0068236B" w:rsidRDefault="000F6437" w:rsidP="00B77EA5">
      <w:pPr>
        <w:pStyle w:val="ListBullet"/>
        <w:numPr>
          <w:ilvl w:val="0"/>
          <w:numId w:val="0"/>
        </w:numPr>
        <w:ind w:left="1134"/>
        <w:jc w:val="left"/>
        <w:rPr>
          <w:sz w:val="20"/>
        </w:rPr>
      </w:pPr>
      <w:r w:rsidRPr="0068236B">
        <w:rPr>
          <w:sz w:val="20"/>
        </w:rPr>
        <w:t>The alignment starts from SS ‘EVP’ Miletkovo and goes in general south-southwest towards the location of the new 400/110 kV substation Valandovo, in parallel with the extension of the 110 kV OHL SS Valandovo – SS ‘EVP’ Miletkovo, as described above.</w:t>
      </w:r>
    </w:p>
    <w:p w14:paraId="11E9C160" w14:textId="77777777" w:rsidR="00B77EA5" w:rsidRPr="0068236B" w:rsidRDefault="00B77EA5" w:rsidP="00AB498C">
      <w:pPr>
        <w:pStyle w:val="Heading3"/>
      </w:pPr>
      <w:bookmarkStart w:id="63" w:name="_Toc112852203"/>
      <w:r w:rsidRPr="0068236B">
        <w:t>Project Descriptio</w:t>
      </w:r>
      <w:r w:rsidR="00ED160B" w:rsidRPr="0068236B">
        <w:t>n</w:t>
      </w:r>
      <w:bookmarkEnd w:id="63"/>
    </w:p>
    <w:p w14:paraId="4FAC391F" w14:textId="77777777" w:rsidR="00DB303E" w:rsidRPr="0068236B" w:rsidRDefault="00DB303E" w:rsidP="00AB498C">
      <w:pPr>
        <w:pStyle w:val="Heading4"/>
        <w:rPr>
          <w:rFonts w:cs="Tahoma"/>
          <w:sz w:val="20"/>
          <w:szCs w:val="20"/>
        </w:rPr>
      </w:pPr>
      <w:bookmarkStart w:id="64" w:name="_Toc65936559"/>
      <w:bookmarkStart w:id="65" w:name="_Toc71559729"/>
      <w:r w:rsidRPr="0068236B">
        <w:rPr>
          <w:sz w:val="20"/>
        </w:rPr>
        <w:t>Outline of the Project’s Elements</w:t>
      </w:r>
      <w:bookmarkEnd w:id="64"/>
      <w:bookmarkEnd w:id="65"/>
    </w:p>
    <w:p w14:paraId="1D182B69" w14:textId="77777777" w:rsidR="00DB303E" w:rsidRPr="0068236B" w:rsidRDefault="00DB303E" w:rsidP="00DB303E">
      <w:pPr>
        <w:rPr>
          <w:sz w:val="20"/>
        </w:rPr>
      </w:pPr>
      <w:r w:rsidRPr="0068236B">
        <w:rPr>
          <w:sz w:val="20"/>
        </w:rPr>
        <w:t>In wider context, the main elements of the Project and their inclusion in the environmental and social a</w:t>
      </w:r>
      <w:r w:rsidRPr="0068236B">
        <w:rPr>
          <w:sz w:val="20"/>
        </w:rPr>
        <w:t>p</w:t>
      </w:r>
      <w:r w:rsidRPr="0068236B">
        <w:rPr>
          <w:sz w:val="20"/>
        </w:rPr>
        <w:t>praisal comprise the following:</w:t>
      </w:r>
    </w:p>
    <w:p w14:paraId="43462A1E" w14:textId="79B66A15" w:rsidR="00DB303E" w:rsidRPr="0068236B" w:rsidRDefault="00DB303E" w:rsidP="00DB303E">
      <w:pPr>
        <w:pStyle w:val="ListBullet"/>
        <w:spacing w:line="240" w:lineRule="auto"/>
        <w:ind w:left="714" w:hanging="357"/>
        <w:jc w:val="left"/>
        <w:rPr>
          <w:sz w:val="20"/>
        </w:rPr>
      </w:pPr>
      <w:r w:rsidRPr="0068236B">
        <w:rPr>
          <w:sz w:val="20"/>
        </w:rPr>
        <w:t xml:space="preserve">To construct and operate a new 400/110 kV substation </w:t>
      </w:r>
      <w:r w:rsidR="00AB498C" w:rsidRPr="0068236B">
        <w:rPr>
          <w:sz w:val="20"/>
        </w:rPr>
        <w:t>Miletkovo</w:t>
      </w:r>
      <w:r w:rsidRPr="0068236B">
        <w:rPr>
          <w:sz w:val="20"/>
        </w:rPr>
        <w:t xml:space="preserve">, located in </w:t>
      </w:r>
      <w:r w:rsidR="00AB498C" w:rsidRPr="0068236B">
        <w:rPr>
          <w:sz w:val="20"/>
        </w:rPr>
        <w:t xml:space="preserve">the area of village </w:t>
      </w:r>
      <w:r w:rsidRPr="0068236B">
        <w:rPr>
          <w:sz w:val="20"/>
        </w:rPr>
        <w:t>M</w:t>
      </w:r>
      <w:r w:rsidRPr="0068236B">
        <w:rPr>
          <w:sz w:val="20"/>
        </w:rPr>
        <w:t>i</w:t>
      </w:r>
      <w:r w:rsidRPr="0068236B">
        <w:rPr>
          <w:sz w:val="20"/>
        </w:rPr>
        <w:t xml:space="preserve">letkovo (Gevgelija municipality), </w:t>
      </w:r>
      <w:r w:rsidRPr="0068236B">
        <w:rPr>
          <w:rFonts w:cs="Tahoma"/>
          <w:sz w:val="20"/>
        </w:rPr>
        <w:t xml:space="preserve">with its connection to the existing 400 kV and 110 kV transmission network </w:t>
      </w:r>
      <w:r w:rsidR="00595EB6" w:rsidRPr="0068236B">
        <w:rPr>
          <w:rFonts w:cs="Tahoma"/>
          <w:sz w:val="20"/>
        </w:rPr>
        <w:t>via the following interventions</w:t>
      </w:r>
      <w:r w:rsidRPr="0068236B">
        <w:rPr>
          <w:rFonts w:cs="Tahoma"/>
          <w:sz w:val="20"/>
        </w:rPr>
        <w:t>:</w:t>
      </w:r>
    </w:p>
    <w:p w14:paraId="75CAABF8" w14:textId="77777777" w:rsidR="00DB303E" w:rsidRPr="0068236B" w:rsidRDefault="00DB303E" w:rsidP="00595EB6">
      <w:pPr>
        <w:pStyle w:val="ListBullet2"/>
        <w:rPr>
          <w:sz w:val="20"/>
        </w:rPr>
      </w:pPr>
      <w:r w:rsidRPr="0068236B">
        <w:rPr>
          <w:rFonts w:eastAsia="Calibri" w:cs="Tahoma"/>
          <w:color w:val="000000"/>
          <w:sz w:val="20"/>
          <w:szCs w:val="20"/>
        </w:rPr>
        <w:t>In-out</w:t>
      </w:r>
      <w:r w:rsidR="00F06335" w:rsidRPr="0068236B">
        <w:rPr>
          <w:rFonts w:eastAsia="Calibri" w:cs="Tahoma"/>
          <w:color w:val="000000"/>
          <w:sz w:val="20"/>
          <w:szCs w:val="20"/>
        </w:rPr>
        <w:t xml:space="preserve">, </w:t>
      </w:r>
      <w:r w:rsidR="00F06335" w:rsidRPr="0068236B">
        <w:rPr>
          <w:sz w:val="20"/>
        </w:rPr>
        <w:t>approx. 0.5 km long</w:t>
      </w:r>
      <w:r w:rsidR="00F06335" w:rsidRPr="0068236B">
        <w:rPr>
          <w:rFonts w:eastAsia="Calibri" w:cs="Tahoma"/>
          <w:color w:val="000000"/>
          <w:sz w:val="20"/>
          <w:szCs w:val="20"/>
        </w:rPr>
        <w:t xml:space="preserve">, </w:t>
      </w:r>
      <w:r w:rsidRPr="0068236B">
        <w:rPr>
          <w:rFonts w:eastAsia="Calibri" w:cs="Tahoma"/>
          <w:color w:val="000000"/>
          <w:sz w:val="20"/>
          <w:szCs w:val="20"/>
        </w:rPr>
        <w:t xml:space="preserve">connection with </w:t>
      </w:r>
      <w:r w:rsidRPr="0068236B">
        <w:rPr>
          <w:sz w:val="20"/>
        </w:rPr>
        <w:t>the existing 400 kV line from SS Dubrovo to Thessalonica (GR)</w:t>
      </w:r>
    </w:p>
    <w:p w14:paraId="7B343895" w14:textId="16526649" w:rsidR="00DB303E" w:rsidRPr="0068236B" w:rsidRDefault="00201E39" w:rsidP="00595EB6">
      <w:pPr>
        <w:pStyle w:val="ListBullet2"/>
        <w:rPr>
          <w:sz w:val="20"/>
        </w:rPr>
      </w:pPr>
      <w:r w:rsidRPr="0068236B">
        <w:rPr>
          <w:sz w:val="20"/>
        </w:rPr>
        <w:t xml:space="preserve">Reconstruction </w:t>
      </w:r>
      <w:r w:rsidR="00306AD5" w:rsidRPr="0068236B">
        <w:rPr>
          <w:sz w:val="20"/>
        </w:rPr>
        <w:t xml:space="preserve">of the </w:t>
      </w:r>
      <w:r w:rsidR="00DB303E" w:rsidRPr="0068236B">
        <w:rPr>
          <w:sz w:val="20"/>
        </w:rPr>
        <w:t xml:space="preserve">existing </w:t>
      </w:r>
      <w:r w:rsidR="003355C1" w:rsidRPr="0068236B">
        <w:rPr>
          <w:sz w:val="20"/>
        </w:rPr>
        <w:t>approx. 6</w:t>
      </w:r>
      <w:r w:rsidR="00F06335" w:rsidRPr="0068236B">
        <w:rPr>
          <w:sz w:val="20"/>
        </w:rPr>
        <w:t xml:space="preserve"> km long </w:t>
      </w:r>
      <w:r w:rsidR="00144501" w:rsidRPr="0068236B">
        <w:rPr>
          <w:sz w:val="20"/>
        </w:rPr>
        <w:t>2x</w:t>
      </w:r>
      <w:r w:rsidR="00DB303E" w:rsidRPr="0068236B">
        <w:rPr>
          <w:sz w:val="20"/>
        </w:rPr>
        <w:t>110 kV transmission line</w:t>
      </w:r>
      <w:r w:rsidR="00595EB6" w:rsidRPr="0068236B">
        <w:rPr>
          <w:sz w:val="20"/>
        </w:rPr>
        <w:t xml:space="preserve"> from SS Va</w:t>
      </w:r>
      <w:r w:rsidR="00595EB6" w:rsidRPr="0068236B">
        <w:rPr>
          <w:sz w:val="20"/>
        </w:rPr>
        <w:t>l</w:t>
      </w:r>
      <w:r w:rsidR="00595EB6" w:rsidRPr="0068236B">
        <w:rPr>
          <w:sz w:val="20"/>
        </w:rPr>
        <w:t>andovo to SS ‘EVP’ Miletkovo</w:t>
      </w:r>
      <w:r w:rsidR="00AE48BF" w:rsidRPr="0068236B">
        <w:rPr>
          <w:sz w:val="20"/>
        </w:rPr>
        <w:t xml:space="preserve"> </w:t>
      </w:r>
      <w:r w:rsidR="003355C1" w:rsidRPr="0068236B">
        <w:rPr>
          <w:color w:val="000000" w:themeColor="text1"/>
          <w:sz w:val="20"/>
        </w:rPr>
        <w:t>and its extension, approx. 1.9</w:t>
      </w:r>
      <w:r w:rsidR="00AE48BF" w:rsidRPr="0068236B">
        <w:rPr>
          <w:color w:val="000000" w:themeColor="text1"/>
          <w:sz w:val="20"/>
        </w:rPr>
        <w:t xml:space="preserve"> km long line to the new 400/110 kV SS </w:t>
      </w:r>
      <w:r w:rsidR="00AB498C" w:rsidRPr="0068236B">
        <w:rPr>
          <w:color w:val="000000" w:themeColor="text1"/>
          <w:sz w:val="20"/>
        </w:rPr>
        <w:t>Miletkovo</w:t>
      </w:r>
    </w:p>
    <w:p w14:paraId="1D6BB720" w14:textId="77777777" w:rsidR="00595EB6" w:rsidRPr="0068236B" w:rsidRDefault="00595EB6" w:rsidP="00595EB6">
      <w:pPr>
        <w:pStyle w:val="ListBullet2"/>
        <w:rPr>
          <w:sz w:val="20"/>
        </w:rPr>
      </w:pPr>
      <w:r w:rsidRPr="0068236B">
        <w:rPr>
          <w:sz w:val="20"/>
        </w:rPr>
        <w:t xml:space="preserve">Construction of a new </w:t>
      </w:r>
      <w:r w:rsidR="00AE48BF" w:rsidRPr="0068236B">
        <w:rPr>
          <w:sz w:val="20"/>
        </w:rPr>
        <w:t>approx. 1.8</w:t>
      </w:r>
      <w:r w:rsidR="00F06335" w:rsidRPr="0068236B">
        <w:rPr>
          <w:sz w:val="20"/>
        </w:rPr>
        <w:t xml:space="preserve"> km long </w:t>
      </w:r>
      <w:r w:rsidRPr="0068236B">
        <w:rPr>
          <w:sz w:val="20"/>
        </w:rPr>
        <w:t>110 kV OHL connector with the existing SS ‘EVP’ Miletkovo</w:t>
      </w:r>
      <w:r w:rsidR="005C3687" w:rsidRPr="0068236B">
        <w:rPr>
          <w:sz w:val="20"/>
        </w:rPr>
        <w:t>.</w:t>
      </w:r>
    </w:p>
    <w:p w14:paraId="4F9745B2" w14:textId="77777777" w:rsidR="0009297C" w:rsidRPr="0068236B" w:rsidRDefault="0009297C" w:rsidP="00FC40D6">
      <w:pPr>
        <w:pStyle w:val="Heading4"/>
        <w:rPr>
          <w:sz w:val="20"/>
        </w:rPr>
      </w:pPr>
      <w:bookmarkStart w:id="66" w:name="_Toc65936560"/>
      <w:bookmarkStart w:id="67" w:name="_Toc71559730"/>
      <w:r w:rsidRPr="0068236B">
        <w:rPr>
          <w:sz w:val="20"/>
        </w:rPr>
        <w:lastRenderedPageBreak/>
        <w:t>Approach to Design</w:t>
      </w:r>
    </w:p>
    <w:p w14:paraId="79599075" w14:textId="184A5F0A" w:rsidR="00F44A77" w:rsidRPr="0068236B" w:rsidRDefault="00F44A77" w:rsidP="00F44A77">
      <w:pPr>
        <w:pStyle w:val="NumberedParagraph"/>
        <w:rPr>
          <w:sz w:val="20"/>
        </w:rPr>
      </w:pPr>
      <w:r w:rsidRPr="0068236B">
        <w:rPr>
          <w:sz w:val="20"/>
        </w:rPr>
        <w:t xml:space="preserve">The technical requirements for design of the transmission </w:t>
      </w:r>
      <w:r w:rsidR="003B7905" w:rsidRPr="0068236B">
        <w:rPr>
          <w:sz w:val="20"/>
        </w:rPr>
        <w:t xml:space="preserve">elements </w:t>
      </w:r>
      <w:r w:rsidRPr="0068236B">
        <w:rPr>
          <w:sz w:val="20"/>
        </w:rPr>
        <w:t>proposed in the scope of the Project are defined in accordance with MEPSO’s standard practice and design, and based on the operational consider</w:t>
      </w:r>
      <w:r w:rsidRPr="0068236B">
        <w:rPr>
          <w:sz w:val="20"/>
        </w:rPr>
        <w:t>a</w:t>
      </w:r>
      <w:r w:rsidRPr="0068236B">
        <w:rPr>
          <w:sz w:val="20"/>
        </w:rPr>
        <w:t>tion, which include reliability, construction and maint</w:t>
      </w:r>
      <w:r w:rsidR="00113BF3" w:rsidRPr="0068236B">
        <w:rPr>
          <w:sz w:val="20"/>
        </w:rPr>
        <w:t>e</w:t>
      </w:r>
      <w:r w:rsidRPr="0068236B">
        <w:rPr>
          <w:sz w:val="20"/>
        </w:rPr>
        <w:t xml:space="preserve">nance of the </w:t>
      </w:r>
      <w:r w:rsidR="003A4403" w:rsidRPr="0068236B">
        <w:rPr>
          <w:sz w:val="20"/>
        </w:rPr>
        <w:t>transmission infrastructure</w:t>
      </w:r>
      <w:r w:rsidRPr="0068236B">
        <w:rPr>
          <w:sz w:val="20"/>
        </w:rPr>
        <w:t xml:space="preserve">. </w:t>
      </w:r>
    </w:p>
    <w:p w14:paraId="7C07CDB0" w14:textId="77777777" w:rsidR="00F44A77" w:rsidRPr="0068236B" w:rsidRDefault="00F44A77" w:rsidP="0009297C">
      <w:pPr>
        <w:autoSpaceDE w:val="0"/>
        <w:autoSpaceDN w:val="0"/>
        <w:adjustRightInd w:val="0"/>
        <w:rPr>
          <w:rFonts w:cs="Arial"/>
          <w:sz w:val="20"/>
          <w:szCs w:val="20"/>
        </w:rPr>
      </w:pPr>
      <w:r w:rsidRPr="0068236B">
        <w:rPr>
          <w:rFonts w:cs="Tahoma"/>
          <w:sz w:val="20"/>
          <w:szCs w:val="20"/>
          <w:lang w:eastAsia="en-US"/>
        </w:rPr>
        <w:t xml:space="preserve">According to these requirements, the proposed infrastructure will be designed in </w:t>
      </w:r>
      <w:r w:rsidRPr="0068236B">
        <w:rPr>
          <w:rFonts w:cs="Arial"/>
          <w:sz w:val="20"/>
          <w:szCs w:val="20"/>
        </w:rPr>
        <w:t xml:space="preserve">compliance with the current </w:t>
      </w:r>
      <w:r w:rsidR="003B7905" w:rsidRPr="0068236B">
        <w:rPr>
          <w:rFonts w:cs="Arial"/>
          <w:sz w:val="20"/>
          <w:szCs w:val="20"/>
        </w:rPr>
        <w:t>relevant Macedonian regulation</w:t>
      </w:r>
      <w:r w:rsidR="003B7905" w:rsidRPr="0068236B">
        <w:rPr>
          <w:rStyle w:val="FootnoteReference"/>
          <w:rFonts w:cs="Arial"/>
          <w:sz w:val="20"/>
          <w:szCs w:val="20"/>
        </w:rPr>
        <w:footnoteReference w:id="32"/>
      </w:r>
      <w:r w:rsidRPr="0068236B">
        <w:rPr>
          <w:rFonts w:cs="Arial"/>
          <w:sz w:val="20"/>
          <w:szCs w:val="20"/>
        </w:rPr>
        <w:t xml:space="preserve"> and MKS/EN standards</w:t>
      </w:r>
      <w:r w:rsidR="000253B9" w:rsidRPr="0068236B">
        <w:rPr>
          <w:rStyle w:val="FootnoteReference"/>
          <w:rFonts w:cs="Arial"/>
          <w:sz w:val="20"/>
          <w:szCs w:val="20"/>
        </w:rPr>
        <w:footnoteReference w:id="33"/>
      </w:r>
      <w:r w:rsidR="000253B9" w:rsidRPr="0068236B">
        <w:rPr>
          <w:rFonts w:cs="Arial"/>
          <w:sz w:val="20"/>
          <w:szCs w:val="20"/>
        </w:rPr>
        <w:t>.</w:t>
      </w:r>
    </w:p>
    <w:p w14:paraId="526ADC70" w14:textId="77777777" w:rsidR="0009297C" w:rsidRPr="0068236B" w:rsidRDefault="0009297C" w:rsidP="0009297C">
      <w:pPr>
        <w:autoSpaceDE w:val="0"/>
        <w:autoSpaceDN w:val="0"/>
        <w:adjustRightInd w:val="0"/>
        <w:rPr>
          <w:rFonts w:cs="Tahoma"/>
          <w:sz w:val="20"/>
          <w:szCs w:val="20"/>
          <w:lang w:eastAsia="en-US"/>
        </w:rPr>
      </w:pPr>
      <w:r w:rsidRPr="0068236B">
        <w:rPr>
          <w:rFonts w:cs="Tahoma"/>
          <w:sz w:val="20"/>
          <w:szCs w:val="20"/>
          <w:lang w:eastAsia="en-US"/>
        </w:rPr>
        <w:t xml:space="preserve">A </w:t>
      </w:r>
      <w:r w:rsidR="003B7905" w:rsidRPr="0068236B">
        <w:rPr>
          <w:rFonts w:cs="Tahoma"/>
          <w:sz w:val="20"/>
          <w:szCs w:val="20"/>
          <w:lang w:eastAsia="en-US"/>
        </w:rPr>
        <w:t xml:space="preserve">typical </w:t>
      </w:r>
      <w:r w:rsidRPr="0068236B">
        <w:rPr>
          <w:rFonts w:cs="Tahoma"/>
          <w:sz w:val="20"/>
          <w:szCs w:val="20"/>
          <w:lang w:eastAsia="en-US"/>
        </w:rPr>
        <w:t xml:space="preserve">transmission </w:t>
      </w:r>
      <w:r w:rsidR="004A711D" w:rsidRPr="0068236B">
        <w:rPr>
          <w:rFonts w:cs="Tahoma"/>
          <w:sz w:val="20"/>
          <w:szCs w:val="20"/>
          <w:lang w:eastAsia="en-US"/>
        </w:rPr>
        <w:t>project</w:t>
      </w:r>
      <w:r w:rsidR="003B7905" w:rsidRPr="0068236B">
        <w:rPr>
          <w:rFonts w:cs="Tahoma"/>
          <w:sz w:val="20"/>
          <w:szCs w:val="20"/>
          <w:lang w:eastAsia="en-US"/>
        </w:rPr>
        <w:t xml:space="preserve"> </w:t>
      </w:r>
      <w:r w:rsidRPr="0068236B">
        <w:rPr>
          <w:rFonts w:cs="Tahoma"/>
          <w:sz w:val="20"/>
          <w:szCs w:val="20"/>
          <w:lang w:eastAsia="en-US"/>
        </w:rPr>
        <w:t>is made up of a number of elements, the design of which is approached in a logical sequence as follows:</w:t>
      </w:r>
    </w:p>
    <w:p w14:paraId="68978622" w14:textId="77777777" w:rsidR="003B7905" w:rsidRPr="0068236B" w:rsidRDefault="003B7905" w:rsidP="003B7905">
      <w:pPr>
        <w:pStyle w:val="ListBullet"/>
        <w:spacing w:line="240" w:lineRule="auto"/>
        <w:ind w:left="709" w:hanging="284"/>
        <w:jc w:val="left"/>
        <w:rPr>
          <w:rFonts w:cs="Tahoma"/>
          <w:sz w:val="20"/>
          <w:lang w:eastAsia="en-US"/>
        </w:rPr>
      </w:pPr>
      <w:r w:rsidRPr="0068236B">
        <w:rPr>
          <w:rFonts w:cs="Tahoma"/>
          <w:sz w:val="20"/>
          <w:lang w:eastAsia="en-US"/>
        </w:rPr>
        <w:t xml:space="preserve">Location and design of </w:t>
      </w:r>
      <w:r w:rsidR="004A711D" w:rsidRPr="0068236B">
        <w:rPr>
          <w:rFonts w:cs="Tahoma"/>
          <w:sz w:val="20"/>
          <w:lang w:eastAsia="en-US"/>
        </w:rPr>
        <w:t xml:space="preserve">a </w:t>
      </w:r>
      <w:r w:rsidRPr="0068236B">
        <w:rPr>
          <w:rFonts w:cs="Tahoma"/>
          <w:sz w:val="20"/>
          <w:lang w:eastAsia="en-US"/>
        </w:rPr>
        <w:t>substation</w:t>
      </w:r>
      <w:r w:rsidR="004A711D" w:rsidRPr="0068236B">
        <w:rPr>
          <w:rFonts w:cs="Tahoma"/>
          <w:sz w:val="20"/>
          <w:lang w:eastAsia="en-US"/>
        </w:rPr>
        <w:t xml:space="preserve"> (civil construction and electro-mechanical elements).</w:t>
      </w:r>
    </w:p>
    <w:p w14:paraId="1801B134" w14:textId="425A72FD" w:rsidR="0009297C" w:rsidRPr="0068236B" w:rsidRDefault="0009297C" w:rsidP="0009297C">
      <w:pPr>
        <w:pStyle w:val="ListBullet"/>
        <w:spacing w:line="240" w:lineRule="auto"/>
        <w:ind w:left="709" w:hanging="284"/>
        <w:jc w:val="left"/>
        <w:rPr>
          <w:rFonts w:cs="Tahoma"/>
          <w:sz w:val="20"/>
          <w:lang w:eastAsia="en-US"/>
        </w:rPr>
      </w:pPr>
      <w:r w:rsidRPr="0068236B">
        <w:rPr>
          <w:rFonts w:cs="Tahoma"/>
          <w:sz w:val="20"/>
          <w:lang w:eastAsia="en-US"/>
        </w:rPr>
        <w:t xml:space="preserve">Selection of tower type </w:t>
      </w:r>
      <w:r w:rsidR="003A4403" w:rsidRPr="0068236B">
        <w:rPr>
          <w:rFonts w:cs="Tahoma"/>
          <w:sz w:val="20"/>
          <w:lang w:eastAsia="en-US"/>
        </w:rPr>
        <w:t>for the</w:t>
      </w:r>
      <w:r w:rsidR="003B7905" w:rsidRPr="0068236B">
        <w:rPr>
          <w:rFonts w:cs="Tahoma"/>
          <w:sz w:val="20"/>
          <w:lang w:eastAsia="en-US"/>
        </w:rPr>
        <w:t xml:space="preserve"> </w:t>
      </w:r>
      <w:r w:rsidR="003A4403" w:rsidRPr="0068236B">
        <w:rPr>
          <w:rFonts w:cs="Tahoma"/>
          <w:sz w:val="20"/>
          <w:lang w:eastAsia="en-US"/>
        </w:rPr>
        <w:t>new line(s)</w:t>
      </w:r>
      <w:r w:rsidR="003B7905" w:rsidRPr="0068236B">
        <w:rPr>
          <w:rFonts w:cs="Tahoma"/>
          <w:sz w:val="20"/>
          <w:lang w:eastAsia="en-US"/>
        </w:rPr>
        <w:t xml:space="preserve"> </w:t>
      </w:r>
      <w:r w:rsidRPr="0068236B">
        <w:rPr>
          <w:rFonts w:cs="Tahoma"/>
          <w:sz w:val="20"/>
          <w:lang w:eastAsia="en-US"/>
        </w:rPr>
        <w:t>(lattice or other and approximate height and span which relates to voltage and conductor type).</w:t>
      </w:r>
    </w:p>
    <w:p w14:paraId="13F7CC1E" w14:textId="0A3C9ACC" w:rsidR="0009297C" w:rsidRPr="0068236B" w:rsidRDefault="0009297C" w:rsidP="0009297C">
      <w:pPr>
        <w:pStyle w:val="ListBullet"/>
        <w:spacing w:line="240" w:lineRule="auto"/>
        <w:ind w:left="709" w:hanging="284"/>
        <w:jc w:val="left"/>
        <w:rPr>
          <w:rFonts w:cs="Tahoma"/>
          <w:sz w:val="20"/>
          <w:lang w:eastAsia="en-US"/>
        </w:rPr>
      </w:pPr>
      <w:r w:rsidRPr="0068236B">
        <w:rPr>
          <w:rFonts w:cs="Tahoma"/>
          <w:sz w:val="20"/>
          <w:lang w:eastAsia="en-US"/>
        </w:rPr>
        <w:t>Selection of</w:t>
      </w:r>
      <w:r w:rsidR="004A711D" w:rsidRPr="0068236B">
        <w:rPr>
          <w:rFonts w:cs="Tahoma"/>
          <w:sz w:val="20"/>
          <w:lang w:eastAsia="en-US"/>
        </w:rPr>
        <w:t xml:space="preserve"> an</w:t>
      </w:r>
      <w:r w:rsidRPr="0068236B">
        <w:rPr>
          <w:rFonts w:cs="Tahoma"/>
          <w:sz w:val="20"/>
          <w:lang w:eastAsia="en-US"/>
        </w:rPr>
        <w:t xml:space="preserve"> </w:t>
      </w:r>
      <w:r w:rsidR="003B7905" w:rsidRPr="0068236B">
        <w:rPr>
          <w:rFonts w:cs="Tahoma"/>
          <w:sz w:val="20"/>
          <w:lang w:eastAsia="en-US"/>
        </w:rPr>
        <w:t>OHL alignment / corridor</w:t>
      </w:r>
      <w:r w:rsidR="004A711D" w:rsidRPr="0068236B">
        <w:rPr>
          <w:rFonts w:cs="Tahoma"/>
          <w:sz w:val="20"/>
          <w:lang w:eastAsia="en-US"/>
        </w:rPr>
        <w:t>.</w:t>
      </w:r>
    </w:p>
    <w:p w14:paraId="76D2375C" w14:textId="77777777" w:rsidR="003A4403" w:rsidRPr="0068236B" w:rsidRDefault="003A4403" w:rsidP="003A4403">
      <w:pPr>
        <w:pStyle w:val="ListBullet"/>
        <w:spacing w:line="240" w:lineRule="auto"/>
        <w:ind w:left="709" w:hanging="284"/>
        <w:jc w:val="left"/>
        <w:rPr>
          <w:rFonts w:cs="Tahoma"/>
          <w:sz w:val="20"/>
          <w:szCs w:val="20"/>
          <w:lang w:eastAsia="en-US"/>
        </w:rPr>
      </w:pPr>
      <w:r w:rsidRPr="0068236B">
        <w:rPr>
          <w:rFonts w:cs="Tahoma"/>
          <w:sz w:val="20"/>
          <w:lang w:eastAsia="en-US"/>
        </w:rPr>
        <w:t xml:space="preserve">Design of new OHL towers and </w:t>
      </w:r>
      <w:r w:rsidRPr="0068236B">
        <w:rPr>
          <w:rFonts w:cs="Tahoma"/>
          <w:sz w:val="20"/>
          <w:szCs w:val="20"/>
          <w:lang w:eastAsia="en-US"/>
        </w:rPr>
        <w:t>transmission equipment (</w:t>
      </w:r>
      <w:r w:rsidRPr="0068236B">
        <w:rPr>
          <w:sz w:val="20"/>
          <w:szCs w:val="20"/>
        </w:rPr>
        <w:t>conductors, ground wire, insulators).</w:t>
      </w:r>
    </w:p>
    <w:p w14:paraId="4A02D046" w14:textId="642EA0F6" w:rsidR="003A4403" w:rsidRPr="0068236B" w:rsidRDefault="003A4403" w:rsidP="003A4403">
      <w:pPr>
        <w:pStyle w:val="ListBullet"/>
        <w:spacing w:line="240" w:lineRule="auto"/>
        <w:ind w:left="709" w:hanging="284"/>
        <w:jc w:val="left"/>
        <w:rPr>
          <w:rFonts w:cs="Tahoma"/>
          <w:sz w:val="20"/>
          <w:szCs w:val="20"/>
          <w:lang w:eastAsia="en-US"/>
        </w:rPr>
      </w:pPr>
      <w:r w:rsidRPr="0068236B">
        <w:rPr>
          <w:rFonts w:cs="Tahoma"/>
          <w:sz w:val="20"/>
          <w:lang w:eastAsia="en-US"/>
        </w:rPr>
        <w:t>Dismantle the existing (obsolete) OHL elements.</w:t>
      </w:r>
    </w:p>
    <w:p w14:paraId="785AC676" w14:textId="22FA22F6" w:rsidR="0009297C" w:rsidRPr="0068236B" w:rsidRDefault="0009297C" w:rsidP="0009297C">
      <w:pPr>
        <w:pStyle w:val="ListBullet"/>
        <w:spacing w:line="240" w:lineRule="auto"/>
        <w:ind w:left="709" w:hanging="284"/>
        <w:jc w:val="left"/>
        <w:rPr>
          <w:rFonts w:cs="Tahoma"/>
          <w:sz w:val="20"/>
          <w:lang w:eastAsia="en-US"/>
        </w:rPr>
      </w:pPr>
      <w:r w:rsidRPr="0068236B">
        <w:rPr>
          <w:rFonts w:cs="Tahoma"/>
          <w:sz w:val="20"/>
          <w:lang w:eastAsia="en-US"/>
        </w:rPr>
        <w:t xml:space="preserve">Location and design of </w:t>
      </w:r>
      <w:r w:rsidR="003A4403" w:rsidRPr="0068236B">
        <w:rPr>
          <w:rFonts w:cs="Tahoma"/>
          <w:sz w:val="20"/>
          <w:lang w:eastAsia="en-US"/>
        </w:rPr>
        <w:t xml:space="preserve">new </w:t>
      </w:r>
      <w:r w:rsidRPr="0068236B">
        <w:rPr>
          <w:rFonts w:cs="Tahoma"/>
          <w:sz w:val="20"/>
          <w:lang w:eastAsia="en-US"/>
        </w:rPr>
        <w:t>access tracks.</w:t>
      </w:r>
    </w:p>
    <w:p w14:paraId="4D7C9221" w14:textId="77777777" w:rsidR="0009297C" w:rsidRPr="0068236B" w:rsidRDefault="0009297C" w:rsidP="0009297C">
      <w:pPr>
        <w:pStyle w:val="ListBullet"/>
        <w:spacing w:line="240" w:lineRule="auto"/>
        <w:ind w:left="709" w:hanging="284"/>
        <w:jc w:val="left"/>
        <w:rPr>
          <w:rFonts w:cs="Tahoma"/>
          <w:sz w:val="20"/>
          <w:lang w:eastAsia="en-US"/>
        </w:rPr>
      </w:pPr>
      <w:r w:rsidRPr="0068236B">
        <w:rPr>
          <w:rFonts w:cs="Tahoma"/>
          <w:sz w:val="20"/>
          <w:lang w:eastAsia="en-US"/>
        </w:rPr>
        <w:t>Location and design of ancillary structures, and</w:t>
      </w:r>
    </w:p>
    <w:p w14:paraId="3EFEE02B" w14:textId="55DE7286" w:rsidR="0009297C" w:rsidRPr="0068236B" w:rsidRDefault="0009297C" w:rsidP="0009297C">
      <w:pPr>
        <w:pStyle w:val="ListBullet"/>
        <w:spacing w:line="240" w:lineRule="auto"/>
        <w:ind w:left="709" w:hanging="284"/>
        <w:jc w:val="left"/>
        <w:rPr>
          <w:rFonts w:cs="Tahoma"/>
          <w:sz w:val="20"/>
        </w:rPr>
      </w:pPr>
      <w:r w:rsidRPr="0068236B">
        <w:rPr>
          <w:rFonts w:cs="Tahoma"/>
          <w:sz w:val="20"/>
          <w:lang w:eastAsia="en-US"/>
        </w:rPr>
        <w:t xml:space="preserve">Design and management of </w:t>
      </w:r>
      <w:r w:rsidR="004A711D" w:rsidRPr="0068236B">
        <w:rPr>
          <w:rFonts w:cs="Tahoma"/>
          <w:sz w:val="20"/>
          <w:lang w:eastAsia="en-US"/>
        </w:rPr>
        <w:t xml:space="preserve">a safety zone at the substation and </w:t>
      </w:r>
      <w:r w:rsidRPr="0068236B">
        <w:rPr>
          <w:rFonts w:cs="Tahoma"/>
          <w:sz w:val="20"/>
          <w:lang w:eastAsia="en-US"/>
        </w:rPr>
        <w:t>a clearance corridor (</w:t>
      </w:r>
      <w:r w:rsidR="004A711D" w:rsidRPr="0068236B">
        <w:rPr>
          <w:rFonts w:cs="Tahoma"/>
          <w:sz w:val="20"/>
          <w:lang w:eastAsia="en-US"/>
        </w:rPr>
        <w:t>through forest and woodland) along the transmission line(s)</w:t>
      </w:r>
      <w:r w:rsidRPr="0068236B">
        <w:rPr>
          <w:rFonts w:cs="Tahoma"/>
          <w:sz w:val="20"/>
          <w:lang w:eastAsia="en-US"/>
        </w:rPr>
        <w:t>.</w:t>
      </w:r>
    </w:p>
    <w:p w14:paraId="52EAA5D7" w14:textId="77777777" w:rsidR="00F5084A" w:rsidRPr="0068236B" w:rsidRDefault="00F5084A" w:rsidP="00FC40D6">
      <w:pPr>
        <w:pStyle w:val="Heading4"/>
        <w:rPr>
          <w:sz w:val="20"/>
        </w:rPr>
      </w:pPr>
      <w:r w:rsidRPr="0068236B">
        <w:rPr>
          <w:sz w:val="20"/>
        </w:rPr>
        <w:t xml:space="preserve">Right of Way </w:t>
      </w:r>
    </w:p>
    <w:p w14:paraId="2FEDA0F7" w14:textId="77777777" w:rsidR="004509BE" w:rsidRPr="0068236B" w:rsidRDefault="004509BE" w:rsidP="004509BE">
      <w:pPr>
        <w:rPr>
          <w:rFonts w:cs="Tahoma"/>
          <w:sz w:val="20"/>
          <w:szCs w:val="20"/>
        </w:rPr>
      </w:pPr>
      <w:r w:rsidRPr="0068236B">
        <w:rPr>
          <w:rFonts w:cs="Tahoma"/>
          <w:sz w:val="20"/>
          <w:szCs w:val="20"/>
        </w:rPr>
        <w:t>The aforementioned Macedonian legislation</w:t>
      </w:r>
      <w:r w:rsidRPr="0068236B">
        <w:rPr>
          <w:rStyle w:val="FootnoteReference"/>
          <w:rFonts w:cs="Arial"/>
          <w:sz w:val="20"/>
          <w:szCs w:val="20"/>
        </w:rPr>
        <w:footnoteReference w:id="34"/>
      </w:r>
      <w:r w:rsidRPr="0068236B">
        <w:rPr>
          <w:rFonts w:cs="Tahoma"/>
          <w:sz w:val="20"/>
          <w:szCs w:val="20"/>
        </w:rPr>
        <w:t xml:space="preserve"> requires establishment of a protection zone (safety zone) or Right of Way (RoW) along the path of a transmission line and in proximity to a substation. This zone is pr</w:t>
      </w:r>
      <w:r w:rsidRPr="0068236B">
        <w:rPr>
          <w:rFonts w:cs="Tahoma"/>
          <w:sz w:val="20"/>
          <w:szCs w:val="20"/>
        </w:rPr>
        <w:t>e</w:t>
      </w:r>
      <w:r w:rsidRPr="0068236B">
        <w:rPr>
          <w:rFonts w:cs="Tahoma"/>
          <w:sz w:val="20"/>
          <w:szCs w:val="20"/>
        </w:rPr>
        <w:t>scribed by MEPSO’s Grid Code</w:t>
      </w:r>
      <w:r w:rsidRPr="0068236B">
        <w:rPr>
          <w:rStyle w:val="FootnoteReference"/>
          <w:rFonts w:cs="Tahoma"/>
          <w:sz w:val="20"/>
          <w:szCs w:val="20"/>
        </w:rPr>
        <w:footnoteReference w:id="35"/>
      </w:r>
      <w:r w:rsidRPr="0068236B">
        <w:rPr>
          <w:rFonts w:cs="Tahoma"/>
          <w:sz w:val="20"/>
          <w:szCs w:val="20"/>
        </w:rPr>
        <w:t>, according to which – ‘the safety zone is t</w:t>
      </w:r>
      <w:r w:rsidRPr="0068236B">
        <w:rPr>
          <w:sz w:val="20"/>
        </w:rPr>
        <w:t>he area and the space, below, above and along the existing electric power transmission facilities, necessary for their spatial planning, pr</w:t>
      </w:r>
      <w:r w:rsidRPr="0068236B">
        <w:rPr>
          <w:sz w:val="20"/>
        </w:rPr>
        <w:t>o</w:t>
      </w:r>
      <w:r w:rsidRPr="0068236B">
        <w:rPr>
          <w:sz w:val="20"/>
        </w:rPr>
        <w:t>tection and maintenance, in which the right of ownership is restricted or the possibility for performing co</w:t>
      </w:r>
      <w:r w:rsidRPr="0068236B">
        <w:rPr>
          <w:sz w:val="20"/>
        </w:rPr>
        <w:t>n</w:t>
      </w:r>
      <w:r w:rsidRPr="0068236B">
        <w:rPr>
          <w:sz w:val="20"/>
        </w:rPr>
        <w:t>struction actions and other activities without consent granted by MEPSO is limited’.</w:t>
      </w:r>
    </w:p>
    <w:p w14:paraId="4A44FB65" w14:textId="77777777" w:rsidR="004509BE" w:rsidRPr="0068236B" w:rsidRDefault="004509BE" w:rsidP="004509BE">
      <w:pPr>
        <w:rPr>
          <w:rFonts w:cs="Tahoma"/>
          <w:sz w:val="20"/>
          <w:szCs w:val="20"/>
        </w:rPr>
      </w:pPr>
      <w:r w:rsidRPr="0068236B">
        <w:rPr>
          <w:rFonts w:cs="Tahoma"/>
          <w:sz w:val="20"/>
          <w:szCs w:val="20"/>
        </w:rPr>
        <w:t>For an operational transmission line, the protection zone is prescribed by MEPSO’s Grid Code and is dete</w:t>
      </w:r>
      <w:r w:rsidRPr="0068236B">
        <w:rPr>
          <w:rFonts w:cs="Tahoma"/>
          <w:sz w:val="20"/>
          <w:szCs w:val="20"/>
        </w:rPr>
        <w:t>r</w:t>
      </w:r>
      <w:r w:rsidRPr="0068236B">
        <w:rPr>
          <w:rFonts w:cs="Tahoma"/>
          <w:sz w:val="20"/>
          <w:szCs w:val="20"/>
        </w:rPr>
        <w:t>mined by the voltage of the line:</w:t>
      </w:r>
    </w:p>
    <w:p w14:paraId="536D3F76" w14:textId="77777777" w:rsidR="004509BE" w:rsidRPr="0068236B" w:rsidRDefault="004509BE" w:rsidP="004509BE">
      <w:pPr>
        <w:pStyle w:val="ListBullet"/>
        <w:spacing w:line="240" w:lineRule="auto"/>
        <w:ind w:left="714" w:hanging="357"/>
        <w:jc w:val="left"/>
        <w:rPr>
          <w:sz w:val="20"/>
        </w:rPr>
      </w:pPr>
      <w:r w:rsidRPr="0068236B">
        <w:rPr>
          <w:sz w:val="20"/>
        </w:rPr>
        <w:t>15 m from the axis of an operational overhead line with nominal voltage of 400 kV (or</w:t>
      </w:r>
      <w:r w:rsidRPr="0068236B">
        <w:rPr>
          <w:rFonts w:cs="Tahoma"/>
          <w:sz w:val="20"/>
        </w:rPr>
        <w:t xml:space="preserve"> 30 metres wide safety corridor (zone) along the path of the line).</w:t>
      </w:r>
    </w:p>
    <w:p w14:paraId="21286FAE" w14:textId="77777777" w:rsidR="004509BE" w:rsidRPr="0068236B" w:rsidRDefault="004509BE" w:rsidP="004509BE">
      <w:pPr>
        <w:pStyle w:val="ListBullet"/>
        <w:spacing w:line="240" w:lineRule="auto"/>
        <w:ind w:left="714" w:hanging="357"/>
        <w:jc w:val="left"/>
        <w:rPr>
          <w:sz w:val="20"/>
        </w:rPr>
      </w:pPr>
      <w:r w:rsidRPr="0068236B">
        <w:rPr>
          <w:sz w:val="20"/>
        </w:rPr>
        <w:t>10 m from the axis of an operational overhead line with nominal voltage of 110 kV (or</w:t>
      </w:r>
      <w:r w:rsidRPr="0068236B">
        <w:rPr>
          <w:rFonts w:cs="Tahoma"/>
          <w:sz w:val="20"/>
        </w:rPr>
        <w:t xml:space="preserve"> 20 metres wide safety corridor (zone) along the path of the line).</w:t>
      </w:r>
    </w:p>
    <w:p w14:paraId="27512993" w14:textId="77777777" w:rsidR="004509BE" w:rsidRPr="0068236B" w:rsidRDefault="004509BE" w:rsidP="004509BE">
      <w:pPr>
        <w:pStyle w:val="ListBullet"/>
        <w:spacing w:line="240" w:lineRule="auto"/>
        <w:ind w:left="714" w:hanging="357"/>
        <w:jc w:val="left"/>
        <w:rPr>
          <w:sz w:val="20"/>
        </w:rPr>
      </w:pPr>
      <w:r w:rsidRPr="0068236B">
        <w:rPr>
          <w:sz w:val="20"/>
        </w:rPr>
        <w:t>1.5 m from the axis of an operational cable transmission line with nominal voltage of 110 kV (or</w:t>
      </w:r>
      <w:r w:rsidRPr="0068236B">
        <w:rPr>
          <w:rFonts w:cs="Tahoma"/>
          <w:sz w:val="20"/>
        </w:rPr>
        <w:t xml:space="preserve"> 3 metres wide safety corridor (zone) along the path of the line).</w:t>
      </w:r>
    </w:p>
    <w:p w14:paraId="6FB4AB31" w14:textId="77777777" w:rsidR="004509BE" w:rsidRPr="0068236B" w:rsidRDefault="004509BE" w:rsidP="004509BE">
      <w:pPr>
        <w:pStyle w:val="ListBullet"/>
        <w:numPr>
          <w:ilvl w:val="0"/>
          <w:numId w:val="0"/>
        </w:numPr>
        <w:spacing w:before="120" w:after="120"/>
        <w:rPr>
          <w:rFonts w:cs="Arial"/>
          <w:sz w:val="20"/>
        </w:rPr>
      </w:pPr>
      <w:r w:rsidRPr="0068236B">
        <w:rPr>
          <w:sz w:val="20"/>
        </w:rPr>
        <w:t>For an operational substation with a nominal voltage of 400 kV and 110 kV, the required safety distance is 5 metres from the outer edge of the substation’s fence or wall.</w:t>
      </w:r>
    </w:p>
    <w:p w14:paraId="011858E3" w14:textId="129CCEAD" w:rsidR="004509BE" w:rsidRPr="0068236B" w:rsidRDefault="004509BE" w:rsidP="004509BE">
      <w:pPr>
        <w:pStyle w:val="ListBullet"/>
        <w:numPr>
          <w:ilvl w:val="0"/>
          <w:numId w:val="0"/>
        </w:numPr>
        <w:spacing w:before="120" w:after="120"/>
        <w:rPr>
          <w:rFonts w:cs="Tahoma"/>
          <w:sz w:val="20"/>
          <w:szCs w:val="20"/>
        </w:rPr>
      </w:pPr>
      <w:r w:rsidRPr="0068236B">
        <w:rPr>
          <w:rFonts w:cs="Arial"/>
          <w:sz w:val="20"/>
        </w:rPr>
        <w:t>The regulation’s objective is to facilitate the uninterrupted functioning of the power grid, to ensure safe o</w:t>
      </w:r>
      <w:r w:rsidRPr="0068236B">
        <w:rPr>
          <w:rFonts w:cs="Arial"/>
          <w:sz w:val="20"/>
        </w:rPr>
        <w:t>p</w:t>
      </w:r>
      <w:r w:rsidRPr="0068236B">
        <w:rPr>
          <w:rFonts w:cs="Arial"/>
          <w:sz w:val="20"/>
        </w:rPr>
        <w:t xml:space="preserve">erations, to meet the requirements of the sanitary and safety norms, and to prevent accidents. </w:t>
      </w:r>
      <w:r w:rsidRPr="0068236B">
        <w:rPr>
          <w:rFonts w:cs="Tahoma"/>
          <w:sz w:val="20"/>
          <w:szCs w:val="20"/>
        </w:rPr>
        <w:t xml:space="preserve">Within this protection zone buildings and facilities must not be constructed and certain activities are restricted to ensure </w:t>
      </w:r>
      <w:r w:rsidRPr="0068236B">
        <w:rPr>
          <w:rFonts w:cs="Tahoma"/>
          <w:sz w:val="20"/>
          <w:szCs w:val="20"/>
        </w:rPr>
        <w:lastRenderedPageBreak/>
        <w:t>the safe operation of the lines and for the safety of people.</w:t>
      </w:r>
      <w:r w:rsidR="009547D2" w:rsidRPr="0068236B">
        <w:rPr>
          <w:rFonts w:cs="Tahoma"/>
          <w:sz w:val="20"/>
          <w:szCs w:val="20"/>
        </w:rPr>
        <w:t xml:space="preserve"> </w:t>
      </w:r>
      <w:r w:rsidR="009547D2" w:rsidRPr="0068236B">
        <w:rPr>
          <w:sz w:val="20"/>
        </w:rPr>
        <w:t xml:space="preserve">These mainly include agriculture </w:t>
      </w:r>
      <w:r w:rsidR="009547D2" w:rsidRPr="0068236B">
        <w:rPr>
          <w:rFonts w:cs="Arial"/>
          <w:sz w:val="20"/>
          <w:szCs w:val="20"/>
        </w:rPr>
        <w:t>activities within the RoW which include cultivated plants or trees which reach height that may pose safety operational risk for the line</w:t>
      </w:r>
      <w:r w:rsidR="009547D2" w:rsidRPr="0068236B">
        <w:rPr>
          <w:rStyle w:val="FootnoteReference"/>
          <w:rFonts w:cs="Arial"/>
          <w:sz w:val="20"/>
          <w:szCs w:val="20"/>
        </w:rPr>
        <w:footnoteReference w:id="36"/>
      </w:r>
      <w:r w:rsidR="009547D2" w:rsidRPr="0068236B">
        <w:rPr>
          <w:rFonts w:cs="Arial"/>
          <w:sz w:val="20"/>
          <w:szCs w:val="20"/>
        </w:rPr>
        <w:t>, or agricultural practices that use spraying equipment as well as fixed or mobile irrigation equi</w:t>
      </w:r>
      <w:r w:rsidR="009547D2" w:rsidRPr="0068236B">
        <w:rPr>
          <w:rFonts w:cs="Arial"/>
          <w:sz w:val="20"/>
          <w:szCs w:val="20"/>
        </w:rPr>
        <w:t>p</w:t>
      </w:r>
      <w:r w:rsidR="009547D2" w:rsidRPr="0068236B">
        <w:rPr>
          <w:rFonts w:cs="Arial"/>
          <w:sz w:val="20"/>
          <w:szCs w:val="20"/>
        </w:rPr>
        <w:t>ment.</w:t>
      </w:r>
    </w:p>
    <w:p w14:paraId="1E16A71A" w14:textId="7D027BDA" w:rsidR="004509BE" w:rsidRPr="0068236B" w:rsidRDefault="004509BE" w:rsidP="004509BE">
      <w:pPr>
        <w:rPr>
          <w:rFonts w:cs="Tahoma"/>
          <w:sz w:val="20"/>
          <w:szCs w:val="20"/>
        </w:rPr>
      </w:pPr>
      <w:r w:rsidRPr="0068236B">
        <w:rPr>
          <w:sz w:val="20"/>
        </w:rPr>
        <w:t>It is also necessary to remove trees and vegetation from within the right of way for the safe operation of the transmission line. Therefore, i</w:t>
      </w:r>
      <w:r w:rsidRPr="0068236B">
        <w:rPr>
          <w:rFonts w:cs="Tahoma"/>
          <w:sz w:val="20"/>
          <w:szCs w:val="20"/>
        </w:rPr>
        <w:t>n areas of forestry and woodland, clearance on either side of the transmission line within the safety zone is required</w:t>
      </w:r>
      <w:r w:rsidRPr="0068236B">
        <w:rPr>
          <w:rFonts w:cs="Arial"/>
          <w:sz w:val="20"/>
          <w:szCs w:val="20"/>
        </w:rPr>
        <w:t xml:space="preserve"> according to the rules defined by the relevant </w:t>
      </w:r>
      <w:r w:rsidRPr="0068236B">
        <w:rPr>
          <w:rFonts w:cs="Tahoma"/>
          <w:sz w:val="20"/>
          <w:szCs w:val="20"/>
        </w:rPr>
        <w:t>Macedonian legisl</w:t>
      </w:r>
      <w:r w:rsidRPr="0068236B">
        <w:rPr>
          <w:rFonts w:cs="Tahoma"/>
          <w:sz w:val="20"/>
          <w:szCs w:val="20"/>
        </w:rPr>
        <w:t>a</w:t>
      </w:r>
      <w:r w:rsidRPr="0068236B">
        <w:rPr>
          <w:rFonts w:cs="Tahoma"/>
          <w:sz w:val="20"/>
          <w:szCs w:val="20"/>
        </w:rPr>
        <w:t>tion</w:t>
      </w:r>
      <w:r w:rsidRPr="0068236B">
        <w:rPr>
          <w:rStyle w:val="FootnoteReference"/>
          <w:rFonts w:cs="Arial"/>
          <w:sz w:val="20"/>
          <w:szCs w:val="20"/>
        </w:rPr>
        <w:footnoteReference w:id="37"/>
      </w:r>
      <w:r w:rsidRPr="0068236B">
        <w:rPr>
          <w:rFonts w:cs="Tahoma"/>
          <w:sz w:val="20"/>
          <w:szCs w:val="20"/>
        </w:rPr>
        <w:t>.</w:t>
      </w:r>
    </w:p>
    <w:p w14:paraId="26BEE311" w14:textId="6C9492E7" w:rsidR="0009400C" w:rsidRPr="0068236B" w:rsidRDefault="0009400C" w:rsidP="004509BE">
      <w:pPr>
        <w:rPr>
          <w:sz w:val="20"/>
          <w:szCs w:val="20"/>
        </w:rPr>
      </w:pPr>
      <w:r w:rsidRPr="0068236B">
        <w:rPr>
          <w:sz w:val="20"/>
          <w:szCs w:val="20"/>
          <w:lang w:val="en-US"/>
        </w:rPr>
        <w:t>The respective RoW for the existing lines which will be subject to reconstruction along the same route (see Section 2.4.2.4) is secured in compliance with the aforementioned regulation. For the newly proposed transmission lines and the substation (see Section 2.4.2.4), new RoW is to be established and maintained during the operational phase of the Project.</w:t>
      </w:r>
    </w:p>
    <w:p w14:paraId="2D9D45B3" w14:textId="26568445" w:rsidR="006D0DBA" w:rsidRPr="0068236B" w:rsidRDefault="00FC40D6" w:rsidP="00FC40D6">
      <w:pPr>
        <w:pStyle w:val="Heading4"/>
        <w:rPr>
          <w:sz w:val="20"/>
        </w:rPr>
      </w:pPr>
      <w:r w:rsidRPr="0068236B">
        <w:rPr>
          <w:sz w:val="20"/>
        </w:rPr>
        <w:t>Project Description</w:t>
      </w:r>
    </w:p>
    <w:p w14:paraId="0587AB5D" w14:textId="43887B1E" w:rsidR="004B460B" w:rsidRPr="0068236B" w:rsidRDefault="004309A4" w:rsidP="008E77D3">
      <w:pPr>
        <w:pStyle w:val="Heading4"/>
        <w:numPr>
          <w:ilvl w:val="4"/>
          <w:numId w:val="43"/>
        </w:numPr>
        <w:rPr>
          <w:sz w:val="20"/>
        </w:rPr>
      </w:pPr>
      <w:r w:rsidRPr="0068236B">
        <w:rPr>
          <w:sz w:val="20"/>
        </w:rPr>
        <w:t xml:space="preserve">New 400/110 kV SS </w:t>
      </w:r>
      <w:r w:rsidR="00FC40D6" w:rsidRPr="0068236B">
        <w:rPr>
          <w:sz w:val="20"/>
        </w:rPr>
        <w:t>Miletkovo</w:t>
      </w:r>
      <w:r w:rsidR="00392338" w:rsidRPr="0068236B">
        <w:rPr>
          <w:sz w:val="20"/>
        </w:rPr>
        <w:t xml:space="preserve"> with In-out Connection with the existing 400 kV Line from Dubrovo to Thessalonica (GR)</w:t>
      </w:r>
    </w:p>
    <w:p w14:paraId="1A35C6AD" w14:textId="1C1393DF" w:rsidR="00047DC6" w:rsidRPr="0068236B" w:rsidRDefault="00047DC6" w:rsidP="00047DC6">
      <w:pPr>
        <w:pStyle w:val="NumberedParagraph"/>
        <w:ind w:firstLine="720"/>
        <w:rPr>
          <w:sz w:val="20"/>
          <w:u w:val="single"/>
        </w:rPr>
      </w:pPr>
      <w:r w:rsidRPr="0068236B">
        <w:rPr>
          <w:sz w:val="20"/>
          <w:u w:val="single"/>
        </w:rPr>
        <w:t>400/110 kV Substation Miletkovo</w:t>
      </w:r>
    </w:p>
    <w:p w14:paraId="7D475B2E" w14:textId="77777777" w:rsidR="0009297C" w:rsidRPr="0068236B" w:rsidRDefault="0009297C" w:rsidP="0009297C">
      <w:pPr>
        <w:rPr>
          <w:rFonts w:cs="Tahoma"/>
          <w:sz w:val="20"/>
          <w:szCs w:val="20"/>
        </w:rPr>
      </w:pPr>
      <w:r w:rsidRPr="0068236B">
        <w:rPr>
          <w:rFonts w:cs="Arial"/>
          <w:sz w:val="20"/>
          <w:szCs w:val="20"/>
        </w:rPr>
        <w:t>The proposed 400/110 kV substation will comprise:</w:t>
      </w:r>
    </w:p>
    <w:p w14:paraId="3581FEDB" w14:textId="4E26C3D9" w:rsidR="0009297C" w:rsidRPr="0068236B" w:rsidRDefault="0009297C" w:rsidP="00027F5D">
      <w:pPr>
        <w:pStyle w:val="ListBullet"/>
        <w:spacing w:line="240" w:lineRule="auto"/>
        <w:jc w:val="left"/>
        <w:rPr>
          <w:rFonts w:cs="Tahoma"/>
          <w:sz w:val="20"/>
        </w:rPr>
      </w:pPr>
      <w:r w:rsidRPr="0068236B">
        <w:rPr>
          <w:rFonts w:cs="Tahoma"/>
          <w:sz w:val="20"/>
        </w:rPr>
        <w:t xml:space="preserve">400 kV Switchyard with a total of </w:t>
      </w:r>
      <w:r w:rsidR="00FC40D6" w:rsidRPr="0068236B">
        <w:rPr>
          <w:rFonts w:cs="Tahoma"/>
          <w:sz w:val="20"/>
        </w:rPr>
        <w:t>seven</w:t>
      </w:r>
      <w:r w:rsidRPr="0068236B">
        <w:rPr>
          <w:rFonts w:cs="Tahoma"/>
          <w:sz w:val="20"/>
        </w:rPr>
        <w:t xml:space="preserve"> bays of which </w:t>
      </w:r>
      <w:r w:rsidR="00FC40D6" w:rsidRPr="0068236B">
        <w:rPr>
          <w:rFonts w:cs="Tahoma"/>
          <w:sz w:val="20"/>
        </w:rPr>
        <w:t xml:space="preserve">five fully equipped and two as </w:t>
      </w:r>
      <w:r w:rsidRPr="0068236B">
        <w:rPr>
          <w:rFonts w:cs="Tahoma"/>
          <w:sz w:val="20"/>
        </w:rPr>
        <w:t>spare bay</w:t>
      </w:r>
      <w:r w:rsidR="00FC40D6" w:rsidRPr="0068236B">
        <w:rPr>
          <w:rFonts w:cs="Tahoma"/>
          <w:sz w:val="20"/>
        </w:rPr>
        <w:t>s</w:t>
      </w:r>
      <w:r w:rsidRPr="0068236B">
        <w:rPr>
          <w:rFonts w:cs="Tahoma"/>
          <w:sz w:val="20"/>
        </w:rPr>
        <w:t>;</w:t>
      </w:r>
    </w:p>
    <w:p w14:paraId="571AD6DF" w14:textId="0B11A484" w:rsidR="0009297C" w:rsidRPr="0068236B" w:rsidRDefault="0009297C" w:rsidP="00027F5D">
      <w:pPr>
        <w:pStyle w:val="ListBullet"/>
        <w:spacing w:line="240" w:lineRule="auto"/>
        <w:jc w:val="left"/>
        <w:rPr>
          <w:rFonts w:cs="Tahoma"/>
          <w:sz w:val="20"/>
        </w:rPr>
      </w:pPr>
      <w:r w:rsidRPr="0068236B">
        <w:rPr>
          <w:rFonts w:cs="Tahoma"/>
          <w:sz w:val="20"/>
        </w:rPr>
        <w:t>Two power transformers 400</w:t>
      </w:r>
      <w:r w:rsidR="001E3740" w:rsidRPr="0068236B">
        <w:rPr>
          <w:rFonts w:cs="Tahoma"/>
          <w:sz w:val="20"/>
        </w:rPr>
        <w:t>/110</w:t>
      </w:r>
      <w:r w:rsidRPr="0068236B">
        <w:rPr>
          <w:rFonts w:cs="Tahoma"/>
          <w:sz w:val="20"/>
        </w:rPr>
        <w:t>/</w:t>
      </w:r>
      <w:r w:rsidR="001E3740" w:rsidRPr="0068236B">
        <w:rPr>
          <w:rFonts w:cs="Tahoma"/>
          <w:sz w:val="20"/>
        </w:rPr>
        <w:t xml:space="preserve">x </w:t>
      </w:r>
      <w:r w:rsidRPr="0068236B">
        <w:rPr>
          <w:rFonts w:cs="Tahoma"/>
          <w:sz w:val="20"/>
        </w:rPr>
        <w:t>kV, 300/300/</w:t>
      </w:r>
      <w:r w:rsidR="001E3740" w:rsidRPr="0068236B">
        <w:rPr>
          <w:rFonts w:cs="Tahoma"/>
          <w:sz w:val="20"/>
        </w:rPr>
        <w:t>x MVA and third power transformer of same type if required, according to 3system needs</w:t>
      </w:r>
    </w:p>
    <w:p w14:paraId="3BB21582" w14:textId="316CCB38" w:rsidR="0009297C" w:rsidRPr="0068236B" w:rsidRDefault="0009297C" w:rsidP="00027F5D">
      <w:pPr>
        <w:pStyle w:val="ListBullet"/>
        <w:spacing w:line="240" w:lineRule="auto"/>
        <w:jc w:val="left"/>
        <w:rPr>
          <w:rFonts w:cs="Tahoma"/>
          <w:sz w:val="20"/>
        </w:rPr>
      </w:pPr>
      <w:r w:rsidRPr="0068236B">
        <w:rPr>
          <w:rFonts w:cs="Tahoma"/>
          <w:sz w:val="20"/>
        </w:rPr>
        <w:t xml:space="preserve">110 kV Switchyard with a total of </w:t>
      </w:r>
      <w:r w:rsidR="00D329F2" w:rsidRPr="0068236B">
        <w:rPr>
          <w:rFonts w:cs="Tahoma"/>
          <w:sz w:val="20"/>
        </w:rPr>
        <w:t>seventeen</w:t>
      </w:r>
      <w:r w:rsidRPr="0068236B">
        <w:rPr>
          <w:rFonts w:cs="Tahoma"/>
          <w:sz w:val="20"/>
        </w:rPr>
        <w:t xml:space="preserve"> bays, of which </w:t>
      </w:r>
      <w:r w:rsidR="00FC40D6" w:rsidRPr="0068236B">
        <w:rPr>
          <w:rFonts w:cs="Tahoma"/>
          <w:sz w:val="20"/>
        </w:rPr>
        <w:t xml:space="preserve">seven fully </w:t>
      </w:r>
      <w:r w:rsidR="005E6643" w:rsidRPr="0068236B">
        <w:rPr>
          <w:rFonts w:cs="Tahoma"/>
          <w:sz w:val="20"/>
        </w:rPr>
        <w:t>equipped</w:t>
      </w:r>
      <w:r w:rsidR="00FC40D6" w:rsidRPr="0068236B">
        <w:rPr>
          <w:rFonts w:cs="Tahoma"/>
          <w:sz w:val="20"/>
        </w:rPr>
        <w:t xml:space="preserve"> and ten</w:t>
      </w:r>
      <w:r w:rsidRPr="0068236B">
        <w:rPr>
          <w:rFonts w:cs="Tahoma"/>
          <w:sz w:val="20"/>
        </w:rPr>
        <w:t xml:space="preserve"> </w:t>
      </w:r>
      <w:r w:rsidR="00FC40D6" w:rsidRPr="0068236B">
        <w:rPr>
          <w:rFonts w:cs="Tahoma"/>
          <w:sz w:val="20"/>
        </w:rPr>
        <w:t>as</w:t>
      </w:r>
      <w:r w:rsidRPr="0068236B">
        <w:rPr>
          <w:rFonts w:cs="Tahoma"/>
          <w:sz w:val="20"/>
        </w:rPr>
        <w:t xml:space="preserve"> spare bays;</w:t>
      </w:r>
    </w:p>
    <w:p w14:paraId="39EFF6AA" w14:textId="77777777" w:rsidR="0009297C" w:rsidRPr="0068236B" w:rsidRDefault="0009297C" w:rsidP="00027F5D">
      <w:pPr>
        <w:pStyle w:val="ListBullet"/>
        <w:spacing w:line="240" w:lineRule="auto"/>
        <w:jc w:val="left"/>
        <w:rPr>
          <w:rFonts w:cs="Tahoma"/>
          <w:sz w:val="20"/>
        </w:rPr>
      </w:pPr>
      <w:r w:rsidRPr="0068236B">
        <w:rPr>
          <w:rFonts w:cs="Tahoma"/>
          <w:sz w:val="20"/>
        </w:rPr>
        <w:t>Control building, with approximate dimensions of 20 m x 40 m, and</w:t>
      </w:r>
    </w:p>
    <w:p w14:paraId="45D6BAD0" w14:textId="48FF2BFB" w:rsidR="0009297C" w:rsidRPr="0068236B" w:rsidRDefault="00027F5D" w:rsidP="00027F5D">
      <w:pPr>
        <w:pStyle w:val="ListBullet"/>
        <w:spacing w:line="240" w:lineRule="auto"/>
        <w:jc w:val="left"/>
        <w:rPr>
          <w:rFonts w:cs="Tahoma"/>
          <w:sz w:val="20"/>
        </w:rPr>
      </w:pPr>
      <w:r w:rsidRPr="0068236B">
        <w:rPr>
          <w:rFonts w:cs="Tahoma"/>
          <w:sz w:val="20"/>
        </w:rPr>
        <w:t>R</w:t>
      </w:r>
      <w:r w:rsidR="0009297C" w:rsidRPr="0068236B">
        <w:rPr>
          <w:rFonts w:cs="Tahoma"/>
          <w:sz w:val="20"/>
        </w:rPr>
        <w:t xml:space="preserve">elay kiosks in </w:t>
      </w:r>
      <w:r w:rsidRPr="0068236B">
        <w:rPr>
          <w:sz w:val="20"/>
        </w:rPr>
        <w:t xml:space="preserve">the 400 kV </w:t>
      </w:r>
      <w:r w:rsidR="00D329F2" w:rsidRPr="0068236B">
        <w:rPr>
          <w:sz w:val="20"/>
        </w:rPr>
        <w:t xml:space="preserve">and 110 kV </w:t>
      </w:r>
      <w:r w:rsidRPr="0068236B">
        <w:rPr>
          <w:sz w:val="20"/>
        </w:rPr>
        <w:t>switchyard</w:t>
      </w:r>
      <w:r w:rsidR="00D329F2" w:rsidRPr="0068236B">
        <w:rPr>
          <w:sz w:val="20"/>
        </w:rPr>
        <w:t>s</w:t>
      </w:r>
      <w:r w:rsidRPr="0068236B">
        <w:rPr>
          <w:sz w:val="20"/>
        </w:rPr>
        <w:t>.</w:t>
      </w:r>
    </w:p>
    <w:p w14:paraId="1A085D36" w14:textId="55543E23" w:rsidR="00027F5D" w:rsidRPr="0068236B" w:rsidRDefault="004309A4" w:rsidP="004309A4">
      <w:pPr>
        <w:pStyle w:val="NumberedParagraph"/>
        <w:rPr>
          <w:sz w:val="20"/>
        </w:rPr>
      </w:pPr>
      <w:r w:rsidRPr="0068236B">
        <w:rPr>
          <w:sz w:val="20"/>
        </w:rPr>
        <w:t xml:space="preserve">The area required for </w:t>
      </w:r>
      <w:r w:rsidRPr="0068236B">
        <w:rPr>
          <w:rFonts w:cs="Arial"/>
          <w:sz w:val="20"/>
        </w:rPr>
        <w:t>construction</w:t>
      </w:r>
      <w:r w:rsidRPr="0068236B">
        <w:rPr>
          <w:sz w:val="20"/>
        </w:rPr>
        <w:t xml:space="preserve"> of t</w:t>
      </w:r>
      <w:r w:rsidR="00027F5D" w:rsidRPr="0068236B">
        <w:rPr>
          <w:sz w:val="20"/>
        </w:rPr>
        <w:t>he substation is approximately 6 ha (30</w:t>
      </w:r>
      <w:r w:rsidRPr="0068236B">
        <w:rPr>
          <w:sz w:val="20"/>
        </w:rPr>
        <w:t>0 m x 200 m). The entire su</w:t>
      </w:r>
      <w:r w:rsidRPr="0068236B">
        <w:rPr>
          <w:sz w:val="20"/>
        </w:rPr>
        <w:t>b</w:t>
      </w:r>
      <w:r w:rsidRPr="0068236B">
        <w:rPr>
          <w:sz w:val="20"/>
        </w:rPr>
        <w:t>station will be constructed on an open space with equipment and safety distances for outdoor installation</w:t>
      </w:r>
      <w:r w:rsidR="00027F5D" w:rsidRPr="0068236B">
        <w:rPr>
          <w:sz w:val="20"/>
        </w:rPr>
        <w:t xml:space="preserve"> in </w:t>
      </w:r>
      <w:r w:rsidR="005E6643" w:rsidRPr="0068236B">
        <w:rPr>
          <w:sz w:val="20"/>
        </w:rPr>
        <w:t>accordance</w:t>
      </w:r>
      <w:r w:rsidR="00027F5D" w:rsidRPr="0068236B">
        <w:rPr>
          <w:sz w:val="20"/>
        </w:rPr>
        <w:t xml:space="preserve"> with the applicable technical standards</w:t>
      </w:r>
      <w:r w:rsidRPr="0068236B">
        <w:rPr>
          <w:sz w:val="20"/>
        </w:rPr>
        <w:t xml:space="preserve">. </w:t>
      </w:r>
    </w:p>
    <w:p w14:paraId="59C99C58" w14:textId="4DEC913F" w:rsidR="004309A4" w:rsidRPr="0068236B" w:rsidRDefault="0009297C" w:rsidP="004309A4">
      <w:pPr>
        <w:pStyle w:val="NumberedParagraph"/>
        <w:rPr>
          <w:sz w:val="20"/>
        </w:rPr>
      </w:pPr>
      <w:r w:rsidRPr="0068236B">
        <w:rPr>
          <w:sz w:val="20"/>
        </w:rPr>
        <w:t xml:space="preserve">The 400 kV and 110 kV switchyards will be designed </w:t>
      </w:r>
      <w:r w:rsidR="004309A4" w:rsidRPr="0068236B">
        <w:rPr>
          <w:sz w:val="20"/>
        </w:rPr>
        <w:t>with the following basic configuration:</w:t>
      </w:r>
    </w:p>
    <w:p w14:paraId="267FD38E" w14:textId="77777777" w:rsidR="004309A4" w:rsidRPr="0068236B" w:rsidRDefault="004309A4" w:rsidP="004309A4">
      <w:pPr>
        <w:pStyle w:val="ListBullet"/>
        <w:spacing w:line="240" w:lineRule="auto"/>
        <w:ind w:left="714" w:hanging="357"/>
        <w:jc w:val="left"/>
        <w:rPr>
          <w:sz w:val="20"/>
        </w:rPr>
      </w:pPr>
      <w:r w:rsidRPr="0068236B">
        <w:rPr>
          <w:sz w:val="20"/>
        </w:rPr>
        <w:t>400 kV Switchyard</w:t>
      </w:r>
    </w:p>
    <w:p w14:paraId="10E3C488" w14:textId="37183B08" w:rsidR="00AF5C93" w:rsidRPr="0068236B" w:rsidRDefault="004309A4" w:rsidP="00937B2F">
      <w:pPr>
        <w:ind w:left="709"/>
        <w:rPr>
          <w:sz w:val="20"/>
        </w:rPr>
      </w:pPr>
      <w:r w:rsidRPr="0068236B">
        <w:rPr>
          <w:sz w:val="20"/>
        </w:rPr>
        <w:t xml:space="preserve">The </w:t>
      </w:r>
      <w:r w:rsidR="00937B2F" w:rsidRPr="0068236B">
        <w:rPr>
          <w:sz w:val="20"/>
        </w:rPr>
        <w:t xml:space="preserve">proposed </w:t>
      </w:r>
      <w:r w:rsidRPr="0068236B">
        <w:rPr>
          <w:sz w:val="20"/>
        </w:rPr>
        <w:t>400</w:t>
      </w:r>
      <w:r w:rsidR="00937B2F" w:rsidRPr="0068236B">
        <w:rPr>
          <w:sz w:val="20"/>
        </w:rPr>
        <w:t xml:space="preserve"> </w:t>
      </w:r>
      <w:r w:rsidRPr="0068236B">
        <w:rPr>
          <w:sz w:val="20"/>
        </w:rPr>
        <w:t xml:space="preserve">kV switchyard </w:t>
      </w:r>
      <w:r w:rsidR="00937B2F" w:rsidRPr="0068236B">
        <w:rPr>
          <w:sz w:val="20"/>
        </w:rPr>
        <w:t xml:space="preserve">would be </w:t>
      </w:r>
      <w:r w:rsidRPr="0068236B">
        <w:rPr>
          <w:sz w:val="20"/>
        </w:rPr>
        <w:t>air insulated, with double tubular busbar systems.</w:t>
      </w:r>
      <w:r w:rsidR="00AF5C93" w:rsidRPr="0068236B">
        <w:rPr>
          <w:sz w:val="20"/>
        </w:rPr>
        <w:t xml:space="preserve"> It shall consist of </w:t>
      </w:r>
      <w:r w:rsidR="00027F5D" w:rsidRPr="0068236B">
        <w:rPr>
          <w:sz w:val="20"/>
        </w:rPr>
        <w:t>seven</w:t>
      </w:r>
      <w:r w:rsidR="00AF5C93" w:rsidRPr="0068236B">
        <w:rPr>
          <w:sz w:val="20"/>
        </w:rPr>
        <w:t xml:space="preserve"> </w:t>
      </w:r>
      <w:r w:rsidR="00937B2F" w:rsidRPr="0068236B">
        <w:rPr>
          <w:sz w:val="20"/>
        </w:rPr>
        <w:t xml:space="preserve">400 kV </w:t>
      </w:r>
      <w:r w:rsidR="00AF5C93" w:rsidRPr="0068236B">
        <w:rPr>
          <w:sz w:val="20"/>
        </w:rPr>
        <w:t xml:space="preserve">bays - five fully equipped bays and </w:t>
      </w:r>
      <w:r w:rsidR="00027F5D" w:rsidRPr="0068236B">
        <w:rPr>
          <w:sz w:val="20"/>
        </w:rPr>
        <w:t>two</w:t>
      </w:r>
      <w:r w:rsidR="00AF5C93" w:rsidRPr="0068236B">
        <w:rPr>
          <w:sz w:val="20"/>
        </w:rPr>
        <w:t xml:space="preserve"> spare bay</w:t>
      </w:r>
      <w:r w:rsidR="00027F5D" w:rsidRPr="0068236B">
        <w:rPr>
          <w:sz w:val="20"/>
        </w:rPr>
        <w:t>s</w:t>
      </w:r>
      <w:r w:rsidR="00AF5C93" w:rsidRPr="0068236B">
        <w:rPr>
          <w:sz w:val="20"/>
        </w:rPr>
        <w:t xml:space="preserve">. Two equipped bays would be for connection to the 400 kV OHL from Dubrovo to MK/GR border (further to </w:t>
      </w:r>
      <w:r w:rsidR="00937B2F" w:rsidRPr="0068236B">
        <w:rPr>
          <w:sz w:val="20"/>
        </w:rPr>
        <w:t>Thessalonica</w:t>
      </w:r>
      <w:r w:rsidR="00AF5C93" w:rsidRPr="0068236B">
        <w:rPr>
          <w:sz w:val="20"/>
        </w:rPr>
        <w:t xml:space="preserve"> (GR)), two would be </w:t>
      </w:r>
      <w:r w:rsidR="00937B2F" w:rsidRPr="0068236B">
        <w:rPr>
          <w:sz w:val="20"/>
        </w:rPr>
        <w:t xml:space="preserve">400 kV </w:t>
      </w:r>
      <w:r w:rsidR="00AF5C93" w:rsidRPr="0068236B">
        <w:rPr>
          <w:sz w:val="20"/>
        </w:rPr>
        <w:t xml:space="preserve">transformer bays and one would be </w:t>
      </w:r>
      <w:r w:rsidR="00937B2F" w:rsidRPr="0068236B">
        <w:rPr>
          <w:sz w:val="20"/>
        </w:rPr>
        <w:t>coupling/metering bay.</w:t>
      </w:r>
    </w:p>
    <w:p w14:paraId="0CF755FF" w14:textId="656E3999" w:rsidR="00937B2F" w:rsidRPr="0068236B" w:rsidRDefault="00937B2F" w:rsidP="00937B2F">
      <w:pPr>
        <w:ind w:left="709"/>
        <w:rPr>
          <w:sz w:val="20"/>
        </w:rPr>
      </w:pPr>
      <w:r w:rsidRPr="0068236B">
        <w:rPr>
          <w:sz w:val="20"/>
        </w:rPr>
        <w:t>Three relay kiosks are foreseen in this switchyard. Each relay kiosk should house the secondary equipment for two 400 kV bays (control, protection, metering, auxiliary supply).</w:t>
      </w:r>
      <w:r w:rsidR="00562E86" w:rsidRPr="0068236B">
        <w:rPr>
          <w:sz w:val="20"/>
        </w:rPr>
        <w:t xml:space="preserve"> </w:t>
      </w:r>
    </w:p>
    <w:p w14:paraId="07AAE125" w14:textId="77777777" w:rsidR="00937B2F" w:rsidRPr="0068236B" w:rsidRDefault="00937B2F" w:rsidP="00937B2F">
      <w:pPr>
        <w:pStyle w:val="ListBullet"/>
        <w:spacing w:line="240" w:lineRule="auto"/>
        <w:ind w:left="714" w:hanging="357"/>
        <w:jc w:val="left"/>
        <w:rPr>
          <w:sz w:val="20"/>
        </w:rPr>
      </w:pPr>
      <w:r w:rsidRPr="0068236B">
        <w:rPr>
          <w:sz w:val="20"/>
        </w:rPr>
        <w:t>110 kV Switchyard</w:t>
      </w:r>
    </w:p>
    <w:p w14:paraId="418C032F" w14:textId="1110931B" w:rsidR="00937B2F" w:rsidRPr="0068236B" w:rsidRDefault="00937B2F" w:rsidP="00937B2F">
      <w:pPr>
        <w:ind w:left="709"/>
        <w:rPr>
          <w:sz w:val="20"/>
        </w:rPr>
      </w:pPr>
      <w:r w:rsidRPr="0068236B">
        <w:rPr>
          <w:sz w:val="20"/>
        </w:rPr>
        <w:t xml:space="preserve">The proposed 110 kV switchyard would be air insulated, with double tubular busbar systems. It shall consist of </w:t>
      </w:r>
      <w:r w:rsidR="00D329F2" w:rsidRPr="0068236B">
        <w:rPr>
          <w:sz w:val="20"/>
        </w:rPr>
        <w:t>seventeen</w:t>
      </w:r>
      <w:r w:rsidRPr="0068236B">
        <w:rPr>
          <w:sz w:val="20"/>
        </w:rPr>
        <w:t xml:space="preserve"> bays: seven fully equipped bays and </w:t>
      </w:r>
      <w:r w:rsidR="00D329F2" w:rsidRPr="0068236B">
        <w:rPr>
          <w:sz w:val="20"/>
        </w:rPr>
        <w:t>ten</w:t>
      </w:r>
      <w:r w:rsidRPr="0068236B">
        <w:rPr>
          <w:sz w:val="20"/>
        </w:rPr>
        <w:t xml:space="preserve"> spare bays. Four equipped bays would </w:t>
      </w:r>
      <w:r w:rsidRPr="0068236B">
        <w:rPr>
          <w:sz w:val="20"/>
        </w:rPr>
        <w:lastRenderedPageBreak/>
        <w:t xml:space="preserve">be for connection to the existing 110 kV substations </w:t>
      </w:r>
      <w:r w:rsidR="005B3561" w:rsidRPr="0068236B">
        <w:rPr>
          <w:sz w:val="20"/>
        </w:rPr>
        <w:t xml:space="preserve">‘EVP’ </w:t>
      </w:r>
      <w:r w:rsidRPr="0068236B">
        <w:rPr>
          <w:sz w:val="20"/>
        </w:rPr>
        <w:t xml:space="preserve">Miletkovo </w:t>
      </w:r>
      <w:r w:rsidR="005B3561" w:rsidRPr="0068236B">
        <w:rPr>
          <w:sz w:val="20"/>
        </w:rPr>
        <w:t xml:space="preserve">(two bays) </w:t>
      </w:r>
      <w:r w:rsidRPr="0068236B">
        <w:rPr>
          <w:sz w:val="20"/>
        </w:rPr>
        <w:t>and Valandovo (</w:t>
      </w:r>
      <w:r w:rsidR="005B3561" w:rsidRPr="0068236B">
        <w:rPr>
          <w:sz w:val="20"/>
        </w:rPr>
        <w:t>one bay</w:t>
      </w:r>
      <w:r w:rsidRPr="0068236B">
        <w:rPr>
          <w:sz w:val="20"/>
        </w:rPr>
        <w:t>), two would be 110 kV transformer bays</w:t>
      </w:r>
      <w:r w:rsidR="005B3561" w:rsidRPr="0068236B">
        <w:rPr>
          <w:sz w:val="20"/>
        </w:rPr>
        <w:t xml:space="preserve">, one would be substation self-consumption supply bay </w:t>
      </w:r>
      <w:r w:rsidRPr="0068236B">
        <w:rPr>
          <w:sz w:val="20"/>
        </w:rPr>
        <w:t>and one would be coupling/metering bay.</w:t>
      </w:r>
    </w:p>
    <w:p w14:paraId="33630B80" w14:textId="77777777" w:rsidR="00937B2F" w:rsidRPr="0068236B" w:rsidRDefault="00937B2F" w:rsidP="00937B2F">
      <w:pPr>
        <w:ind w:left="709"/>
        <w:rPr>
          <w:sz w:val="20"/>
        </w:rPr>
      </w:pPr>
      <w:r w:rsidRPr="0068236B">
        <w:rPr>
          <w:sz w:val="20"/>
        </w:rPr>
        <w:t>Eight relay kiosks are foreseen in this switchyard. Each relay kiosk should house the secondary equipment for two 110 kV bays (control, protection, metering, auxiliary supply).</w:t>
      </w:r>
    </w:p>
    <w:p w14:paraId="1523C900" w14:textId="1249899B" w:rsidR="001E3740" w:rsidRPr="0068236B" w:rsidRDefault="001E3740" w:rsidP="001E3740">
      <w:pPr>
        <w:rPr>
          <w:rFonts w:cs="Tahoma"/>
          <w:sz w:val="20"/>
          <w:szCs w:val="20"/>
          <w:lang w:eastAsia="sr-Latn-RS"/>
        </w:rPr>
      </w:pPr>
      <w:r w:rsidRPr="0068236B">
        <w:rPr>
          <w:rFonts w:cs="Tahoma"/>
          <w:sz w:val="20"/>
          <w:szCs w:val="20"/>
          <w:lang w:eastAsia="sr-Latn-RS"/>
        </w:rPr>
        <w:t xml:space="preserve">In accordance with the </w:t>
      </w:r>
      <w:r w:rsidR="000F22DE" w:rsidRPr="0068236B">
        <w:rPr>
          <w:rFonts w:cs="Tahoma"/>
          <w:sz w:val="20"/>
          <w:szCs w:val="20"/>
          <w:lang w:eastAsia="sr-Latn-RS"/>
        </w:rPr>
        <w:t>S</w:t>
      </w:r>
      <w:r w:rsidRPr="0068236B">
        <w:rPr>
          <w:rFonts w:cs="Tahoma"/>
          <w:sz w:val="20"/>
          <w:szCs w:val="20"/>
          <w:lang w:eastAsia="sr-Latn-RS"/>
        </w:rPr>
        <w:t xml:space="preserve">ystem </w:t>
      </w:r>
      <w:r w:rsidR="000F22DE" w:rsidRPr="0068236B">
        <w:rPr>
          <w:rFonts w:cs="Tahoma"/>
          <w:sz w:val="20"/>
          <w:szCs w:val="20"/>
          <w:lang w:eastAsia="sr-Latn-RS"/>
        </w:rPr>
        <w:t>S</w:t>
      </w:r>
      <w:r w:rsidR="00E53C3C" w:rsidRPr="0068236B">
        <w:rPr>
          <w:rFonts w:cs="Tahoma"/>
          <w:sz w:val="20"/>
          <w:szCs w:val="20"/>
          <w:lang w:eastAsia="sr-Latn-RS"/>
        </w:rPr>
        <w:t xml:space="preserve">tudies </w:t>
      </w:r>
      <w:r w:rsidR="00047DC6" w:rsidRPr="0068236B">
        <w:rPr>
          <w:rFonts w:cs="Tahoma"/>
          <w:sz w:val="20"/>
          <w:szCs w:val="20"/>
          <w:lang w:eastAsia="sr-Latn-RS"/>
        </w:rPr>
        <w:t>performed for the purposes of the Project</w:t>
      </w:r>
      <w:r w:rsidRPr="0068236B">
        <w:rPr>
          <w:rFonts w:cs="Tahoma"/>
          <w:sz w:val="20"/>
          <w:szCs w:val="20"/>
          <w:lang w:eastAsia="sr-Latn-RS"/>
        </w:rPr>
        <w:t>, two power transformers will be installed in the new 400/110 kV substation in the initial phase of construction. Third power tran</w:t>
      </w:r>
      <w:r w:rsidRPr="0068236B">
        <w:rPr>
          <w:rFonts w:cs="Tahoma"/>
          <w:sz w:val="20"/>
          <w:szCs w:val="20"/>
          <w:lang w:eastAsia="sr-Latn-RS"/>
        </w:rPr>
        <w:t>s</w:t>
      </w:r>
      <w:r w:rsidRPr="0068236B">
        <w:rPr>
          <w:rFonts w:cs="Tahoma"/>
          <w:sz w:val="20"/>
          <w:szCs w:val="20"/>
          <w:lang w:eastAsia="sr-Latn-RS"/>
        </w:rPr>
        <w:t>former shall be installed according to system needs. The rated power of the transformers will be 300/300/x MVA, in accordance with MEPSO standard values.</w:t>
      </w:r>
      <w:r w:rsidR="00562E86" w:rsidRPr="0068236B">
        <w:rPr>
          <w:rFonts w:cs="Tahoma"/>
          <w:sz w:val="20"/>
          <w:szCs w:val="20"/>
          <w:lang w:eastAsia="sr-Latn-RS"/>
        </w:rPr>
        <w:t xml:space="preserve"> </w:t>
      </w:r>
      <w:r w:rsidRPr="0068236B">
        <w:rPr>
          <w:rFonts w:cs="Tahoma"/>
          <w:sz w:val="20"/>
          <w:szCs w:val="20"/>
          <w:lang w:eastAsia="sr-Latn-RS"/>
        </w:rPr>
        <w:t>The transformer</w:t>
      </w:r>
      <w:r w:rsidR="00E17903" w:rsidRPr="0068236B">
        <w:rPr>
          <w:rFonts w:cs="Tahoma"/>
          <w:sz w:val="20"/>
          <w:szCs w:val="20"/>
          <w:lang w:eastAsia="sr-Latn-RS"/>
        </w:rPr>
        <w:t>s</w:t>
      </w:r>
      <w:r w:rsidRPr="0068236B">
        <w:rPr>
          <w:rFonts w:cs="Tahoma"/>
          <w:sz w:val="20"/>
          <w:szCs w:val="20"/>
          <w:lang w:eastAsia="sr-Latn-RS"/>
        </w:rPr>
        <w:t xml:space="preserve"> </w:t>
      </w:r>
      <w:r w:rsidR="005E6643" w:rsidRPr="0068236B">
        <w:rPr>
          <w:rFonts w:cs="Tahoma"/>
          <w:sz w:val="20"/>
          <w:szCs w:val="20"/>
          <w:lang w:eastAsia="sr-Latn-RS"/>
        </w:rPr>
        <w:t>will</w:t>
      </w:r>
      <w:r w:rsidRPr="0068236B">
        <w:rPr>
          <w:rFonts w:cs="Tahoma"/>
          <w:sz w:val="20"/>
          <w:szCs w:val="20"/>
          <w:lang w:eastAsia="sr-Latn-RS"/>
        </w:rPr>
        <w:t xml:space="preserve"> be </w:t>
      </w:r>
      <w:r w:rsidR="00E17903" w:rsidRPr="0068236B">
        <w:rPr>
          <w:rFonts w:cs="Tahoma"/>
          <w:sz w:val="20"/>
          <w:szCs w:val="20"/>
          <w:lang w:eastAsia="sr-Latn-RS"/>
        </w:rPr>
        <w:t xml:space="preserve">oil immersed three phase outdoor autotransformers, </w:t>
      </w:r>
      <w:r w:rsidRPr="0068236B">
        <w:rPr>
          <w:rFonts w:cs="Tahoma"/>
          <w:sz w:val="20"/>
          <w:szCs w:val="20"/>
          <w:lang w:eastAsia="sr-Latn-RS"/>
        </w:rPr>
        <w:t xml:space="preserve">equipped with stabilizing winding and with onload voltage regulation and associated equipment. </w:t>
      </w:r>
    </w:p>
    <w:p w14:paraId="79BCF6C7" w14:textId="77777777" w:rsidR="0092498A" w:rsidRPr="0068236B" w:rsidRDefault="00937B2F" w:rsidP="0092498A">
      <w:pPr>
        <w:rPr>
          <w:sz w:val="20"/>
        </w:rPr>
      </w:pPr>
      <w:r w:rsidRPr="0068236B">
        <w:rPr>
          <w:sz w:val="20"/>
        </w:rPr>
        <w:t xml:space="preserve">A typical layout of the substation is provided below. </w:t>
      </w:r>
    </w:p>
    <w:p w14:paraId="56527062" w14:textId="77777777" w:rsidR="00C860FD" w:rsidRPr="0068236B" w:rsidRDefault="00D329F2" w:rsidP="00BC2EBE">
      <w:pPr>
        <w:spacing w:before="0" w:after="60" w:line="240" w:lineRule="auto"/>
        <w:jc w:val="left"/>
        <w:rPr>
          <w:rFonts w:cs="Arial"/>
          <w:iCs/>
          <w:sz w:val="20"/>
          <w:szCs w:val="20"/>
        </w:rPr>
      </w:pPr>
      <w:r w:rsidRPr="0068236B">
        <w:rPr>
          <w:rFonts w:cs="Tahoma"/>
          <w:iCs/>
          <w:noProof/>
          <w:sz w:val="20"/>
          <w:szCs w:val="20"/>
          <w:lang w:val="mk-MK" w:eastAsia="mk-MK"/>
        </w:rPr>
        <w:drawing>
          <wp:inline distT="0" distB="0" distL="0" distR="0" wp14:anchorId="0D66AC3C" wp14:editId="492A6616">
            <wp:extent cx="6120765" cy="4133065"/>
            <wp:effectExtent l="0" t="0" r="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email">
                      <a:extLst>
                        <a:ext uri="{28A0092B-C50C-407E-A947-70E740481C1C}">
                          <a14:useLocalDpi xmlns:a14="http://schemas.microsoft.com/office/drawing/2010/main" val="0"/>
                        </a:ext>
                      </a:extLst>
                    </a:blip>
                    <a:srcRect/>
                    <a:stretch>
                      <a:fillRect/>
                    </a:stretch>
                  </pic:blipFill>
                  <pic:spPr bwMode="auto">
                    <a:xfrm>
                      <a:off x="0" y="0"/>
                      <a:ext cx="6120765" cy="4133065"/>
                    </a:xfrm>
                    <a:prstGeom prst="rect">
                      <a:avLst/>
                    </a:prstGeom>
                    <a:noFill/>
                    <a:ln>
                      <a:noFill/>
                    </a:ln>
                  </pic:spPr>
                </pic:pic>
              </a:graphicData>
            </a:graphic>
          </wp:inline>
        </w:drawing>
      </w:r>
      <w:r w:rsidR="00AA25B5" w:rsidRPr="0068236B">
        <w:rPr>
          <w:rFonts w:cs="Arial"/>
          <w:iCs/>
          <w:sz w:val="20"/>
          <w:szCs w:val="20"/>
        </w:rPr>
        <w:t xml:space="preserve"> </w:t>
      </w:r>
    </w:p>
    <w:p w14:paraId="73CA216B" w14:textId="33AE4E46" w:rsidR="00937B2F" w:rsidRPr="0068236B" w:rsidRDefault="00AA25B5" w:rsidP="00BC2EBE">
      <w:pPr>
        <w:spacing w:before="0" w:after="60" w:line="240" w:lineRule="auto"/>
        <w:jc w:val="left"/>
        <w:rPr>
          <w:rFonts w:cs="Tahoma"/>
          <w:iCs/>
          <w:sz w:val="18"/>
          <w:szCs w:val="20"/>
        </w:rPr>
      </w:pPr>
      <w:bookmarkStart w:id="68" w:name="_Toc112928852"/>
      <w:r w:rsidRPr="0068236B">
        <w:rPr>
          <w:rFonts w:cs="Arial"/>
          <w:iCs/>
          <w:sz w:val="18"/>
          <w:szCs w:val="20"/>
        </w:rPr>
        <w:t xml:space="preserve">Figure </w:t>
      </w:r>
      <w:r w:rsidRPr="0068236B">
        <w:rPr>
          <w:rFonts w:cs="Arial"/>
          <w:iCs/>
          <w:sz w:val="18"/>
          <w:szCs w:val="20"/>
        </w:rPr>
        <w:fldChar w:fldCharType="begin"/>
      </w:r>
      <w:r w:rsidRPr="0068236B">
        <w:rPr>
          <w:rFonts w:cs="Arial"/>
          <w:iCs/>
          <w:sz w:val="18"/>
          <w:szCs w:val="20"/>
        </w:rPr>
        <w:instrText xml:space="preserve"> STYLEREF 1 \s </w:instrText>
      </w:r>
      <w:r w:rsidRPr="0068236B">
        <w:rPr>
          <w:rFonts w:cs="Arial"/>
          <w:iCs/>
          <w:sz w:val="18"/>
          <w:szCs w:val="20"/>
        </w:rPr>
        <w:fldChar w:fldCharType="separate"/>
      </w:r>
      <w:r w:rsidR="00234EBE" w:rsidRPr="0068236B">
        <w:rPr>
          <w:rFonts w:cs="Arial"/>
          <w:iCs/>
          <w:noProof/>
          <w:sz w:val="18"/>
          <w:szCs w:val="20"/>
        </w:rPr>
        <w:t>2</w:t>
      </w:r>
      <w:r w:rsidRPr="0068236B">
        <w:rPr>
          <w:rFonts w:cs="Arial"/>
          <w:iCs/>
          <w:sz w:val="18"/>
          <w:szCs w:val="20"/>
        </w:rPr>
        <w:fldChar w:fldCharType="end"/>
      </w:r>
      <w:r w:rsidRPr="0068236B">
        <w:rPr>
          <w:rFonts w:cs="Arial"/>
          <w:iCs/>
          <w:sz w:val="18"/>
          <w:szCs w:val="20"/>
        </w:rPr>
        <w:t>.</w:t>
      </w:r>
      <w:r w:rsidRPr="0068236B">
        <w:rPr>
          <w:rFonts w:cs="Arial"/>
          <w:iCs/>
          <w:sz w:val="18"/>
          <w:szCs w:val="20"/>
        </w:rPr>
        <w:fldChar w:fldCharType="begin"/>
      </w:r>
      <w:r w:rsidRPr="0068236B">
        <w:rPr>
          <w:rFonts w:cs="Arial"/>
          <w:iCs/>
          <w:sz w:val="18"/>
          <w:szCs w:val="20"/>
        </w:rPr>
        <w:instrText xml:space="preserve"> SEQ Figure \* ARABIC \s 1 </w:instrText>
      </w:r>
      <w:r w:rsidRPr="0068236B">
        <w:rPr>
          <w:rFonts w:cs="Arial"/>
          <w:iCs/>
          <w:sz w:val="18"/>
          <w:szCs w:val="20"/>
        </w:rPr>
        <w:fldChar w:fldCharType="separate"/>
      </w:r>
      <w:r w:rsidR="00234EBE" w:rsidRPr="0068236B">
        <w:rPr>
          <w:rFonts w:cs="Arial"/>
          <w:iCs/>
          <w:noProof/>
          <w:sz w:val="18"/>
          <w:szCs w:val="20"/>
        </w:rPr>
        <w:t>3</w:t>
      </w:r>
      <w:r w:rsidRPr="0068236B">
        <w:rPr>
          <w:rFonts w:cs="Arial"/>
          <w:iCs/>
          <w:sz w:val="18"/>
          <w:szCs w:val="20"/>
        </w:rPr>
        <w:fldChar w:fldCharType="end"/>
      </w:r>
      <w:r w:rsidRPr="0068236B">
        <w:rPr>
          <w:sz w:val="18"/>
          <w:szCs w:val="20"/>
        </w:rPr>
        <w:t>:</w:t>
      </w:r>
      <w:r w:rsidR="0092498A" w:rsidRPr="0068236B">
        <w:rPr>
          <w:rFonts w:cs="Tahoma"/>
          <w:iCs/>
          <w:sz w:val="18"/>
          <w:szCs w:val="20"/>
        </w:rPr>
        <w:t xml:space="preserve"> Layout of the new 400/110 kV substation Valandovo</w:t>
      </w:r>
      <w:bookmarkEnd w:id="68"/>
    </w:p>
    <w:p w14:paraId="1A4FD650" w14:textId="017BF52F" w:rsidR="00BC2EBE" w:rsidRPr="0068236B" w:rsidRDefault="00BC2EBE" w:rsidP="00BC2EBE">
      <w:pPr>
        <w:spacing w:before="0" w:after="240" w:line="240" w:lineRule="auto"/>
        <w:jc w:val="left"/>
        <w:rPr>
          <w:rFonts w:cs="Tahoma"/>
          <w:bCs/>
          <w:sz w:val="16"/>
          <w:szCs w:val="18"/>
        </w:rPr>
      </w:pPr>
      <w:r w:rsidRPr="0068236B">
        <w:rPr>
          <w:rFonts w:cs="Tahoma"/>
          <w:iCs/>
          <w:sz w:val="16"/>
          <w:szCs w:val="18"/>
        </w:rPr>
        <w:t xml:space="preserve">Source: </w:t>
      </w:r>
      <w:r w:rsidRPr="0068236B">
        <w:rPr>
          <w:rFonts w:cs="Tahoma"/>
          <w:sz w:val="16"/>
          <w:szCs w:val="18"/>
          <w:lang w:eastAsia="en-US"/>
        </w:rPr>
        <w:t xml:space="preserve">WB21-MKD-ENE-03 North Macedonia, Strengthening the Transmission Network in the Southeast Region of North Macedonia - Component 1; </w:t>
      </w:r>
      <w:r w:rsidR="00E6543C" w:rsidRPr="0068236B">
        <w:rPr>
          <w:rFonts w:cs="Tahoma"/>
          <w:sz w:val="16"/>
          <w:szCs w:val="18"/>
        </w:rPr>
        <w:t>Detailed Technical Assessment of Preferred Option, January 2022</w:t>
      </w:r>
      <w:r w:rsidRPr="0068236B">
        <w:rPr>
          <w:rFonts w:cs="Tahoma"/>
          <w:bCs/>
          <w:sz w:val="16"/>
          <w:szCs w:val="18"/>
        </w:rPr>
        <w:t xml:space="preserve"> [Ref.7]</w:t>
      </w:r>
    </w:p>
    <w:p w14:paraId="68E007E3" w14:textId="65C383BB" w:rsidR="00E17903" w:rsidRPr="0068236B" w:rsidRDefault="00E17903" w:rsidP="00E17903">
      <w:pPr>
        <w:rPr>
          <w:rFonts w:cs="Tahoma"/>
          <w:sz w:val="20"/>
          <w:szCs w:val="20"/>
          <w:lang w:eastAsia="sr-Latn-RS"/>
        </w:rPr>
      </w:pPr>
      <w:r w:rsidRPr="0068236B">
        <w:rPr>
          <w:rFonts w:cs="Tahoma"/>
          <w:sz w:val="20"/>
          <w:szCs w:val="20"/>
          <w:lang w:eastAsia="sr-Latn-RS"/>
        </w:rPr>
        <w:t>The new substation Miletkovo shall have the latest technology integral system of control, protection and metering. The control system (SCADA) shall be capable of remote and local control, data acquisition and local automation.</w:t>
      </w:r>
    </w:p>
    <w:p w14:paraId="3F93BCCC" w14:textId="21BEAAC3" w:rsidR="00047DC6" w:rsidRPr="0068236B" w:rsidRDefault="00047DC6" w:rsidP="00047DC6">
      <w:pPr>
        <w:ind w:firstLine="720"/>
        <w:rPr>
          <w:sz w:val="20"/>
          <w:u w:val="single"/>
        </w:rPr>
      </w:pPr>
      <w:r w:rsidRPr="0068236B">
        <w:rPr>
          <w:sz w:val="20"/>
          <w:u w:val="single"/>
        </w:rPr>
        <w:t>In-out Connection with the existing 400 kV Line from Dubrovo to Thessalonica (GR)</w:t>
      </w:r>
    </w:p>
    <w:p w14:paraId="4A28A929" w14:textId="3D0ED287" w:rsidR="00121F92" w:rsidRPr="0068236B" w:rsidRDefault="00121F92" w:rsidP="00121F92">
      <w:pPr>
        <w:pStyle w:val="NumberedParagraph"/>
        <w:rPr>
          <w:sz w:val="20"/>
          <w:szCs w:val="20"/>
        </w:rPr>
      </w:pPr>
      <w:r w:rsidRPr="0068236B">
        <w:rPr>
          <w:sz w:val="20"/>
        </w:rPr>
        <w:t xml:space="preserve">The new substation </w:t>
      </w:r>
      <w:r w:rsidR="006D7A8B" w:rsidRPr="0068236B">
        <w:rPr>
          <w:sz w:val="20"/>
        </w:rPr>
        <w:t>will</w:t>
      </w:r>
      <w:r w:rsidRPr="0068236B">
        <w:rPr>
          <w:sz w:val="20"/>
        </w:rPr>
        <w:t xml:space="preserve"> be connected with the existing 400 kV transmission network via ‘in-out’ connection with the existing 400 kV OHL from Dubrovo to Thessalonica (GR) which passes in the immediate proximity to the proposed substation location. This connection will be done between towers no.100 and no.102, at around 36 km from th</w:t>
      </w:r>
      <w:r w:rsidRPr="0068236B">
        <w:rPr>
          <w:sz w:val="20"/>
          <w:szCs w:val="20"/>
        </w:rPr>
        <w:t xml:space="preserve">e starting point of the line, at the SS Dubrovo </w:t>
      </w:r>
      <w:r w:rsidRPr="0068236B">
        <w:rPr>
          <w:sz w:val="20"/>
        </w:rPr>
        <w:t>(Figure below)</w:t>
      </w:r>
      <w:r w:rsidRPr="0068236B">
        <w:rPr>
          <w:sz w:val="20"/>
          <w:szCs w:val="20"/>
        </w:rPr>
        <w:t>. Practically there will be no line corridor/route, since the connection will be done by adding new 400 kV towers and entry in the new SS 400/110 kV Miletkovo.</w:t>
      </w:r>
    </w:p>
    <w:p w14:paraId="6896ED7B" w14:textId="55AA241E" w:rsidR="00397E48" w:rsidRPr="0068236B" w:rsidRDefault="003101F1" w:rsidP="00397E48">
      <w:pPr>
        <w:pStyle w:val="ListBullet"/>
        <w:numPr>
          <w:ilvl w:val="0"/>
          <w:numId w:val="0"/>
        </w:numPr>
        <w:spacing w:after="0"/>
        <w:jc w:val="left"/>
        <w:rPr>
          <w:rFonts w:cs="Tahoma"/>
          <w:sz w:val="20"/>
        </w:rPr>
      </w:pPr>
      <w:r w:rsidRPr="0068236B">
        <w:rPr>
          <w:noProof/>
          <w:lang w:val="mk-MK" w:eastAsia="mk-MK"/>
        </w:rPr>
        <w:lastRenderedPageBreak/>
        <w:drawing>
          <wp:inline distT="0" distB="0" distL="0" distR="0" wp14:anchorId="7B3882D7" wp14:editId="42005A2E">
            <wp:extent cx="3364811" cy="5760000"/>
            <wp:effectExtent l="254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r="2074"/>
                    <a:stretch/>
                  </pic:blipFill>
                  <pic:spPr bwMode="auto">
                    <a:xfrm rot="16200000">
                      <a:off x="0" y="0"/>
                      <a:ext cx="3364811" cy="5760000"/>
                    </a:xfrm>
                    <a:prstGeom prst="rect">
                      <a:avLst/>
                    </a:prstGeom>
                    <a:noFill/>
                    <a:ln>
                      <a:noFill/>
                    </a:ln>
                    <a:extLst>
                      <a:ext uri="{53640926-AAD7-44D8-BBD7-CCE9431645EC}">
                        <a14:shadowObscured xmlns:a14="http://schemas.microsoft.com/office/drawing/2010/main"/>
                      </a:ext>
                    </a:extLst>
                  </pic:spPr>
                </pic:pic>
              </a:graphicData>
            </a:graphic>
          </wp:inline>
        </w:drawing>
      </w:r>
    </w:p>
    <w:p w14:paraId="0121729C" w14:textId="77777777" w:rsidR="00397E48" w:rsidRPr="0068236B" w:rsidRDefault="00397E48" w:rsidP="003101F1">
      <w:pPr>
        <w:spacing w:before="60" w:after="60"/>
        <w:jc w:val="left"/>
        <w:rPr>
          <w:sz w:val="18"/>
          <w:szCs w:val="18"/>
        </w:rPr>
      </w:pPr>
      <w:bookmarkStart w:id="69" w:name="_Toc112928853"/>
      <w:r w:rsidRPr="0068236B">
        <w:rPr>
          <w:rFonts w:cs="Arial"/>
          <w:iCs/>
          <w:sz w:val="18"/>
          <w:szCs w:val="18"/>
        </w:rPr>
        <w:t xml:space="preserve">Figure </w:t>
      </w:r>
      <w:r w:rsidRPr="0068236B">
        <w:rPr>
          <w:rFonts w:cs="Arial"/>
          <w:iCs/>
          <w:sz w:val="18"/>
          <w:szCs w:val="18"/>
        </w:rPr>
        <w:fldChar w:fldCharType="begin"/>
      </w:r>
      <w:r w:rsidRPr="0068236B">
        <w:rPr>
          <w:rFonts w:cs="Arial"/>
          <w:iCs/>
          <w:sz w:val="18"/>
          <w:szCs w:val="18"/>
        </w:rPr>
        <w:instrText xml:space="preserve"> STYLEREF 1 \s </w:instrText>
      </w:r>
      <w:r w:rsidRPr="0068236B">
        <w:rPr>
          <w:rFonts w:cs="Arial"/>
          <w:iCs/>
          <w:sz w:val="18"/>
          <w:szCs w:val="18"/>
        </w:rPr>
        <w:fldChar w:fldCharType="separate"/>
      </w:r>
      <w:r w:rsidR="00234EBE" w:rsidRPr="0068236B">
        <w:rPr>
          <w:rFonts w:cs="Arial"/>
          <w:iCs/>
          <w:noProof/>
          <w:sz w:val="18"/>
          <w:szCs w:val="18"/>
        </w:rPr>
        <w:t>2</w:t>
      </w:r>
      <w:r w:rsidRPr="0068236B">
        <w:rPr>
          <w:rFonts w:cs="Arial"/>
          <w:iCs/>
          <w:sz w:val="18"/>
          <w:szCs w:val="18"/>
        </w:rPr>
        <w:fldChar w:fldCharType="end"/>
      </w:r>
      <w:r w:rsidRPr="0068236B">
        <w:rPr>
          <w:rFonts w:cs="Arial"/>
          <w:iCs/>
          <w:sz w:val="18"/>
          <w:szCs w:val="18"/>
        </w:rPr>
        <w:t>.</w:t>
      </w:r>
      <w:r w:rsidRPr="0068236B">
        <w:rPr>
          <w:rFonts w:cs="Arial"/>
          <w:iCs/>
          <w:sz w:val="18"/>
          <w:szCs w:val="18"/>
        </w:rPr>
        <w:fldChar w:fldCharType="begin"/>
      </w:r>
      <w:r w:rsidRPr="0068236B">
        <w:rPr>
          <w:rFonts w:cs="Arial"/>
          <w:iCs/>
          <w:sz w:val="18"/>
          <w:szCs w:val="18"/>
        </w:rPr>
        <w:instrText xml:space="preserve"> SEQ Figure \* ARABIC \s 1 </w:instrText>
      </w:r>
      <w:r w:rsidRPr="0068236B">
        <w:rPr>
          <w:rFonts w:cs="Arial"/>
          <w:iCs/>
          <w:sz w:val="18"/>
          <w:szCs w:val="18"/>
        </w:rPr>
        <w:fldChar w:fldCharType="separate"/>
      </w:r>
      <w:r w:rsidR="00234EBE" w:rsidRPr="0068236B">
        <w:rPr>
          <w:rFonts w:cs="Arial"/>
          <w:iCs/>
          <w:noProof/>
          <w:sz w:val="18"/>
          <w:szCs w:val="18"/>
        </w:rPr>
        <w:t>4</w:t>
      </w:r>
      <w:r w:rsidRPr="0068236B">
        <w:rPr>
          <w:rFonts w:cs="Arial"/>
          <w:iCs/>
          <w:sz w:val="18"/>
          <w:szCs w:val="18"/>
        </w:rPr>
        <w:fldChar w:fldCharType="end"/>
      </w:r>
      <w:r w:rsidRPr="0068236B">
        <w:rPr>
          <w:sz w:val="18"/>
          <w:szCs w:val="18"/>
        </w:rPr>
        <w:t xml:space="preserve">: </w:t>
      </w:r>
      <w:r w:rsidRPr="0068236B">
        <w:rPr>
          <w:rFonts w:eastAsia="Calibri" w:cs="Tahoma"/>
          <w:color w:val="000000"/>
          <w:sz w:val="18"/>
          <w:szCs w:val="18"/>
        </w:rPr>
        <w:t xml:space="preserve">In-out connection of 400/110 kV substation Miletkovo with </w:t>
      </w:r>
      <w:r w:rsidRPr="0068236B">
        <w:rPr>
          <w:sz w:val="18"/>
          <w:szCs w:val="18"/>
        </w:rPr>
        <w:t>the existing 400 kV line from SS Dubrovo to The</w:t>
      </w:r>
      <w:r w:rsidRPr="0068236B">
        <w:rPr>
          <w:sz w:val="18"/>
          <w:szCs w:val="18"/>
        </w:rPr>
        <w:t>s</w:t>
      </w:r>
      <w:r w:rsidRPr="0068236B">
        <w:rPr>
          <w:sz w:val="18"/>
          <w:szCs w:val="18"/>
        </w:rPr>
        <w:t>salonica (GR)</w:t>
      </w:r>
      <w:bookmarkEnd w:id="69"/>
    </w:p>
    <w:p w14:paraId="7B3685DD" w14:textId="5990CC11" w:rsidR="00397E48" w:rsidRPr="0068236B" w:rsidRDefault="00397E48" w:rsidP="00397E48">
      <w:pPr>
        <w:spacing w:before="0" w:after="240" w:line="240" w:lineRule="auto"/>
        <w:jc w:val="left"/>
        <w:rPr>
          <w:rFonts w:cs="Tahoma"/>
          <w:bCs/>
          <w:sz w:val="18"/>
          <w:szCs w:val="18"/>
        </w:rPr>
      </w:pPr>
      <w:r w:rsidRPr="0068236B">
        <w:rPr>
          <w:rFonts w:cs="Tahoma"/>
          <w:iCs/>
          <w:sz w:val="16"/>
          <w:szCs w:val="18"/>
        </w:rPr>
        <w:t xml:space="preserve">Source: </w:t>
      </w:r>
      <w:r w:rsidRPr="0068236B">
        <w:rPr>
          <w:rFonts w:cs="Tahoma"/>
          <w:sz w:val="16"/>
          <w:szCs w:val="18"/>
          <w:lang w:eastAsia="en-US"/>
        </w:rPr>
        <w:t xml:space="preserve">WB21-MKD-ENE-03 North Macedonia, Strengthening the Transmission Network in the Southeast Region of North Macedonia - Component 1; </w:t>
      </w:r>
      <w:r w:rsidR="00E6543C" w:rsidRPr="0068236B">
        <w:rPr>
          <w:rFonts w:cs="Tahoma"/>
          <w:sz w:val="16"/>
          <w:szCs w:val="18"/>
        </w:rPr>
        <w:t>Detailed Technical Assessment of Preferred Option, January 2022</w:t>
      </w:r>
      <w:r w:rsidRPr="0068236B">
        <w:rPr>
          <w:rFonts w:cs="Tahoma"/>
          <w:bCs/>
          <w:sz w:val="16"/>
          <w:szCs w:val="18"/>
        </w:rPr>
        <w:t xml:space="preserve"> [Ref.7]</w:t>
      </w:r>
    </w:p>
    <w:p w14:paraId="0567CB12" w14:textId="77777777" w:rsidR="00572449" w:rsidRPr="0068236B" w:rsidRDefault="00572449" w:rsidP="00572449">
      <w:pPr>
        <w:pStyle w:val="ListBullet"/>
        <w:jc w:val="left"/>
        <w:rPr>
          <w:sz w:val="20"/>
        </w:rPr>
      </w:pPr>
      <w:r w:rsidRPr="0068236B">
        <w:rPr>
          <w:sz w:val="20"/>
        </w:rPr>
        <w:t>Technical Elements</w:t>
      </w:r>
    </w:p>
    <w:p w14:paraId="79E6326C" w14:textId="32C51DF7" w:rsidR="00572449" w:rsidRPr="0068236B" w:rsidRDefault="00572449" w:rsidP="00572449">
      <w:pPr>
        <w:pStyle w:val="NumberedParagraph"/>
        <w:rPr>
          <w:sz w:val="20"/>
        </w:rPr>
      </w:pPr>
      <w:r w:rsidRPr="0068236B">
        <w:rPr>
          <w:sz w:val="20"/>
        </w:rPr>
        <w:t xml:space="preserve">The proposed 400 kV in-out connection in the new 400/110 kV SS </w:t>
      </w:r>
      <w:r w:rsidR="00E17903" w:rsidRPr="0068236B">
        <w:rPr>
          <w:sz w:val="20"/>
        </w:rPr>
        <w:t>Miletkovo</w:t>
      </w:r>
      <w:r w:rsidRPr="0068236B">
        <w:rPr>
          <w:sz w:val="20"/>
        </w:rPr>
        <w:t xml:space="preserve"> includes the following technical elements: </w:t>
      </w:r>
    </w:p>
    <w:p w14:paraId="0F2964FB" w14:textId="77777777" w:rsidR="00572449" w:rsidRPr="0068236B" w:rsidRDefault="00572449" w:rsidP="008E77D3">
      <w:pPr>
        <w:pStyle w:val="NumberedParagraph"/>
        <w:numPr>
          <w:ilvl w:val="0"/>
          <w:numId w:val="47"/>
        </w:numPr>
        <w:spacing w:before="0" w:after="60" w:line="240" w:lineRule="auto"/>
        <w:ind w:left="714" w:hanging="357"/>
        <w:jc w:val="left"/>
        <w:rPr>
          <w:sz w:val="20"/>
        </w:rPr>
      </w:pPr>
      <w:r w:rsidRPr="0068236B">
        <w:rPr>
          <w:sz w:val="20"/>
        </w:rPr>
        <w:t xml:space="preserve">Towers. The proposed </w:t>
      </w:r>
      <w:r w:rsidR="00602DBC" w:rsidRPr="0068236B">
        <w:rPr>
          <w:sz w:val="20"/>
        </w:rPr>
        <w:t>in-out connection will be</w:t>
      </w:r>
      <w:r w:rsidRPr="0068236B">
        <w:rPr>
          <w:sz w:val="20"/>
        </w:rPr>
        <w:t xml:space="preserve"> designed and will be constructed with galvanised steel-lattice single circuit self-supporting towers with a horizontal configuration of conductors and two earth wires.</w:t>
      </w:r>
    </w:p>
    <w:p w14:paraId="42139B85" w14:textId="77777777" w:rsidR="00572449" w:rsidRPr="0068236B" w:rsidRDefault="00572449" w:rsidP="008E77D3">
      <w:pPr>
        <w:pStyle w:val="ListBullet"/>
        <w:numPr>
          <w:ilvl w:val="0"/>
          <w:numId w:val="47"/>
        </w:numPr>
        <w:spacing w:line="240" w:lineRule="auto"/>
        <w:ind w:left="714" w:hanging="357"/>
        <w:jc w:val="left"/>
        <w:rPr>
          <w:sz w:val="20"/>
        </w:rPr>
      </w:pPr>
      <w:r w:rsidRPr="0068236B">
        <w:rPr>
          <w:sz w:val="20"/>
        </w:rPr>
        <w:t xml:space="preserve">Foundations. The tower foundations </w:t>
      </w:r>
      <w:r w:rsidR="00602DBC" w:rsidRPr="0068236B">
        <w:rPr>
          <w:sz w:val="20"/>
        </w:rPr>
        <w:t>will be</w:t>
      </w:r>
      <w:r w:rsidRPr="0068236B">
        <w:rPr>
          <w:sz w:val="20"/>
        </w:rPr>
        <w:t xml:space="preserve"> designed and will be constructed of four separate rei</w:t>
      </w:r>
      <w:r w:rsidRPr="0068236B">
        <w:rPr>
          <w:sz w:val="20"/>
        </w:rPr>
        <w:t>n</w:t>
      </w:r>
      <w:r w:rsidRPr="0068236B">
        <w:rPr>
          <w:sz w:val="20"/>
        </w:rPr>
        <w:t xml:space="preserve">forced concrete footings suitable for the specific bearing capacity of the terrain. </w:t>
      </w:r>
    </w:p>
    <w:p w14:paraId="054208D9" w14:textId="0EA17235" w:rsidR="00572449" w:rsidRPr="0068236B" w:rsidRDefault="00572449" w:rsidP="008E77D3">
      <w:pPr>
        <w:pStyle w:val="ListBullet"/>
        <w:numPr>
          <w:ilvl w:val="0"/>
          <w:numId w:val="47"/>
        </w:numPr>
        <w:spacing w:line="240" w:lineRule="auto"/>
        <w:ind w:left="714" w:hanging="357"/>
        <w:jc w:val="left"/>
        <w:rPr>
          <w:sz w:val="20"/>
        </w:rPr>
      </w:pPr>
      <w:r w:rsidRPr="0068236B">
        <w:rPr>
          <w:sz w:val="20"/>
        </w:rPr>
        <w:t xml:space="preserve">Phase conductors and insulator strings. Two conductors per phase are </w:t>
      </w:r>
      <w:r w:rsidR="00602DBC" w:rsidRPr="0068236B">
        <w:rPr>
          <w:sz w:val="20"/>
        </w:rPr>
        <w:t>foreseen</w:t>
      </w:r>
      <w:r w:rsidRPr="0068236B">
        <w:rPr>
          <w:sz w:val="20"/>
        </w:rPr>
        <w:t xml:space="preserve">. Characteristics of the conductors are in compliance with national </w:t>
      </w:r>
      <w:r w:rsidR="003E3353" w:rsidRPr="0068236B">
        <w:rPr>
          <w:sz w:val="20"/>
        </w:rPr>
        <w:t xml:space="preserve">standards </w:t>
      </w:r>
      <w:r w:rsidRPr="0068236B">
        <w:rPr>
          <w:sz w:val="20"/>
        </w:rPr>
        <w:t xml:space="preserve">(MKS) and European </w:t>
      </w:r>
      <w:r w:rsidR="003E3353" w:rsidRPr="0068236B">
        <w:rPr>
          <w:sz w:val="20"/>
        </w:rPr>
        <w:t xml:space="preserve">standards </w:t>
      </w:r>
      <w:r w:rsidRPr="0068236B">
        <w:rPr>
          <w:sz w:val="20"/>
        </w:rPr>
        <w:t>(E</w:t>
      </w:r>
      <w:r w:rsidR="003E3353" w:rsidRPr="0068236B">
        <w:rPr>
          <w:sz w:val="20"/>
        </w:rPr>
        <w:t xml:space="preserve">uropean </w:t>
      </w:r>
      <w:r w:rsidR="000F2E34" w:rsidRPr="0068236B">
        <w:rPr>
          <w:sz w:val="20"/>
        </w:rPr>
        <w:t>Norms - EN</w:t>
      </w:r>
      <w:r w:rsidRPr="0068236B">
        <w:rPr>
          <w:sz w:val="20"/>
        </w:rPr>
        <w:t xml:space="preserve">). The insulator strings </w:t>
      </w:r>
      <w:r w:rsidR="00602DBC" w:rsidRPr="0068236B">
        <w:rPr>
          <w:sz w:val="20"/>
        </w:rPr>
        <w:t>will be</w:t>
      </w:r>
      <w:r w:rsidRPr="0068236B">
        <w:rPr>
          <w:sz w:val="20"/>
        </w:rPr>
        <w:t xml:space="preserve"> tension strings.</w:t>
      </w:r>
    </w:p>
    <w:p w14:paraId="34F10416" w14:textId="77777777" w:rsidR="00572449" w:rsidRPr="0068236B" w:rsidRDefault="00572449" w:rsidP="004E78D4">
      <w:pPr>
        <w:pStyle w:val="ListBullet"/>
        <w:spacing w:before="120" w:after="120"/>
        <w:jc w:val="left"/>
        <w:rPr>
          <w:sz w:val="20"/>
        </w:rPr>
      </w:pPr>
      <w:r w:rsidRPr="0068236B">
        <w:rPr>
          <w:sz w:val="20"/>
        </w:rPr>
        <w:t>Towers</w:t>
      </w:r>
      <w:r w:rsidR="004E5965" w:rsidRPr="0068236B">
        <w:rPr>
          <w:sz w:val="20"/>
        </w:rPr>
        <w:t xml:space="preserve"> and foundations</w:t>
      </w:r>
    </w:p>
    <w:p w14:paraId="1D369976" w14:textId="77777777" w:rsidR="00572449" w:rsidRPr="0068236B" w:rsidRDefault="00572449" w:rsidP="00572449">
      <w:pPr>
        <w:pStyle w:val="BodyText"/>
        <w:spacing w:before="120" w:after="120"/>
        <w:ind w:left="0"/>
        <w:jc w:val="both"/>
        <w:rPr>
          <w:rFonts w:ascii="Tahoma" w:hAnsi="Tahoma" w:cs="Tahoma"/>
          <w:sz w:val="20"/>
          <w:szCs w:val="22"/>
        </w:rPr>
      </w:pPr>
      <w:r w:rsidRPr="0068236B">
        <w:rPr>
          <w:rFonts w:ascii="Tahoma" w:hAnsi="Tahoma" w:cs="Tahoma"/>
          <w:sz w:val="20"/>
          <w:szCs w:val="22"/>
        </w:rPr>
        <w:t>The design of the towers will ensure safe operation in all working climate conditions, paying particular r</w:t>
      </w:r>
      <w:r w:rsidRPr="0068236B">
        <w:rPr>
          <w:rFonts w:ascii="Tahoma" w:hAnsi="Tahoma" w:cs="Tahoma"/>
          <w:sz w:val="20"/>
          <w:szCs w:val="22"/>
        </w:rPr>
        <w:t>e</w:t>
      </w:r>
      <w:r w:rsidRPr="0068236B">
        <w:rPr>
          <w:rFonts w:ascii="Tahoma" w:hAnsi="Tahoma" w:cs="Tahoma"/>
          <w:sz w:val="20"/>
          <w:szCs w:val="22"/>
        </w:rPr>
        <w:t>gard to the phase conductors, earth wires and insulator sets and for the designed wind and weight spans.</w:t>
      </w:r>
    </w:p>
    <w:p w14:paraId="52A9F2B2" w14:textId="77777777" w:rsidR="00602DBC" w:rsidRPr="0068236B" w:rsidRDefault="00602DBC" w:rsidP="00602DBC">
      <w:pPr>
        <w:pStyle w:val="BodyText"/>
        <w:spacing w:before="120" w:after="120"/>
        <w:ind w:left="0"/>
        <w:jc w:val="both"/>
        <w:rPr>
          <w:rFonts w:ascii="Tahoma" w:hAnsi="Tahoma" w:cs="Tahoma"/>
          <w:sz w:val="20"/>
          <w:szCs w:val="22"/>
        </w:rPr>
      </w:pPr>
      <w:r w:rsidRPr="0068236B">
        <w:rPr>
          <w:rFonts w:ascii="Tahoma" w:hAnsi="Tahoma" w:cs="Tahoma"/>
          <w:sz w:val="20"/>
          <w:szCs w:val="22"/>
        </w:rPr>
        <w:t>In general, depending on their position in a transmission line, the types of towers could be:</w:t>
      </w:r>
    </w:p>
    <w:p w14:paraId="5CD084A8" w14:textId="77777777" w:rsidR="00602DBC" w:rsidRPr="0068236B" w:rsidRDefault="00602DBC" w:rsidP="00602DBC">
      <w:pPr>
        <w:pStyle w:val="ListBullet2"/>
        <w:rPr>
          <w:sz w:val="20"/>
        </w:rPr>
      </w:pPr>
      <w:r w:rsidRPr="0068236B">
        <w:rPr>
          <w:sz w:val="20"/>
        </w:rPr>
        <w:t xml:space="preserve">Suspension towers, </w:t>
      </w:r>
    </w:p>
    <w:p w14:paraId="467E13BF" w14:textId="77777777" w:rsidR="00602DBC" w:rsidRPr="0068236B" w:rsidRDefault="00602DBC" w:rsidP="00602DBC">
      <w:pPr>
        <w:pStyle w:val="ListBullet2"/>
        <w:rPr>
          <w:sz w:val="20"/>
        </w:rPr>
      </w:pPr>
      <w:r w:rsidRPr="0068236B">
        <w:rPr>
          <w:sz w:val="20"/>
        </w:rPr>
        <w:t>Angle (tension) towers, used where the line changes direction or for special loading cases along the line,</w:t>
      </w:r>
    </w:p>
    <w:p w14:paraId="6DC863BF" w14:textId="77777777" w:rsidR="00602DBC" w:rsidRPr="0068236B" w:rsidRDefault="00602DBC" w:rsidP="00602DBC">
      <w:pPr>
        <w:pStyle w:val="ListBullet2"/>
        <w:rPr>
          <w:rFonts w:cs="Tahoma"/>
          <w:sz w:val="20"/>
        </w:rPr>
      </w:pPr>
      <w:r w:rsidRPr="0068236B">
        <w:rPr>
          <w:sz w:val="20"/>
        </w:rPr>
        <w:t xml:space="preserve">Terminal towers, used when the line is connected to a substation. </w:t>
      </w:r>
    </w:p>
    <w:p w14:paraId="3BA77CAA" w14:textId="77777777" w:rsidR="00D14A49" w:rsidRPr="0068236B" w:rsidRDefault="00602DBC" w:rsidP="00602DBC">
      <w:pPr>
        <w:pStyle w:val="NumberedParagraph"/>
        <w:rPr>
          <w:rFonts w:cs="Tahoma"/>
          <w:sz w:val="20"/>
        </w:rPr>
      </w:pPr>
      <w:r w:rsidRPr="0068236B">
        <w:rPr>
          <w:rFonts w:cs="Tahoma"/>
          <w:sz w:val="20"/>
        </w:rPr>
        <w:t xml:space="preserve">The proposed in-out connection </w:t>
      </w:r>
      <w:r w:rsidR="00572449" w:rsidRPr="0068236B">
        <w:rPr>
          <w:rFonts w:cs="Tahoma"/>
          <w:sz w:val="20"/>
        </w:rPr>
        <w:t xml:space="preserve">is designed with </w:t>
      </w:r>
      <w:r w:rsidRPr="0068236B">
        <w:rPr>
          <w:rFonts w:cs="Tahoma"/>
          <w:sz w:val="20"/>
        </w:rPr>
        <w:t xml:space="preserve">two </w:t>
      </w:r>
      <w:r w:rsidR="00572449" w:rsidRPr="0068236B">
        <w:rPr>
          <w:rFonts w:cs="Tahoma"/>
          <w:sz w:val="20"/>
        </w:rPr>
        <w:t xml:space="preserve">steel-lattice </w:t>
      </w:r>
      <w:r w:rsidRPr="0068236B">
        <w:rPr>
          <w:rFonts w:cs="Tahoma"/>
          <w:sz w:val="20"/>
        </w:rPr>
        <w:t xml:space="preserve">angle (tension) </w:t>
      </w:r>
      <w:r w:rsidR="00572449" w:rsidRPr="0068236B">
        <w:rPr>
          <w:rFonts w:cs="Tahoma"/>
          <w:sz w:val="20"/>
        </w:rPr>
        <w:t>towers with two condu</w:t>
      </w:r>
      <w:r w:rsidR="00572449" w:rsidRPr="0068236B">
        <w:rPr>
          <w:rFonts w:cs="Tahoma"/>
          <w:sz w:val="20"/>
        </w:rPr>
        <w:t>c</w:t>
      </w:r>
      <w:r w:rsidR="00572449" w:rsidRPr="0068236B">
        <w:rPr>
          <w:rFonts w:cs="Tahoma"/>
          <w:sz w:val="20"/>
        </w:rPr>
        <w:t>tors per phase and two eart</w:t>
      </w:r>
      <w:r w:rsidRPr="0068236B">
        <w:rPr>
          <w:rFonts w:cs="Tahoma"/>
          <w:sz w:val="20"/>
        </w:rPr>
        <w:t>h wires (</w:t>
      </w:r>
      <w:r w:rsidR="00572449" w:rsidRPr="0068236B">
        <w:rPr>
          <w:rFonts w:cs="Tahoma"/>
          <w:sz w:val="20"/>
        </w:rPr>
        <w:t>Figure below</w:t>
      </w:r>
      <w:r w:rsidRPr="0068236B">
        <w:rPr>
          <w:rFonts w:cs="Tahoma"/>
          <w:sz w:val="20"/>
        </w:rPr>
        <w:t>)</w:t>
      </w:r>
      <w:r w:rsidR="00572449" w:rsidRPr="0068236B">
        <w:rPr>
          <w:rFonts w:cs="Tahoma"/>
          <w:sz w:val="20"/>
        </w:rPr>
        <w:t xml:space="preserve">. </w:t>
      </w:r>
      <w:r w:rsidRPr="0068236B">
        <w:rPr>
          <w:rFonts w:cs="Tahoma"/>
          <w:sz w:val="20"/>
          <w:lang w:eastAsia="en-US"/>
        </w:rPr>
        <w:t xml:space="preserve">The tower series selected for the connection are of </w:t>
      </w:r>
      <w:r w:rsidRPr="0068236B">
        <w:rPr>
          <w:sz w:val="20"/>
        </w:rPr>
        <w:t>Type “</w:t>
      </w:r>
      <w:r w:rsidRPr="0068236B">
        <w:rPr>
          <w:rFonts w:cs="Tahoma"/>
          <w:sz w:val="20"/>
        </w:rPr>
        <w:t xml:space="preserve">AZ-4” for changing the direction of the line in a range from 50° to 60°. </w:t>
      </w:r>
    </w:p>
    <w:p w14:paraId="23665D5A" w14:textId="77777777" w:rsidR="00D14A49" w:rsidRPr="0068236B" w:rsidRDefault="00D14A49">
      <w:pPr>
        <w:spacing w:before="0" w:after="0" w:line="240" w:lineRule="auto"/>
        <w:jc w:val="left"/>
        <w:rPr>
          <w:rFonts w:cs="Tahoma"/>
          <w:sz w:val="20"/>
        </w:rPr>
      </w:pPr>
      <w:r w:rsidRPr="0068236B">
        <w:rPr>
          <w:rFonts w:cs="Tahoma"/>
          <w:noProof/>
          <w:sz w:val="20"/>
          <w:lang w:val="mk-MK" w:eastAsia="mk-MK"/>
        </w:rPr>
        <w:lastRenderedPageBreak/>
        <w:drawing>
          <wp:inline distT="0" distB="0" distL="0" distR="0" wp14:anchorId="3CFDAD96" wp14:editId="6AF92589">
            <wp:extent cx="4320540" cy="4320000"/>
            <wp:effectExtent l="57150" t="19050" r="118110" b="80550"/>
            <wp:docPr id="905"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1338" t="7009" r="-107" b="32058"/>
                    <a:stretch/>
                  </pic:blipFill>
                  <pic:spPr bwMode="auto">
                    <a:xfrm>
                      <a:off x="0" y="0"/>
                      <a:ext cx="4320540" cy="4320000"/>
                    </a:xfrm>
                    <a:prstGeom prst="rect">
                      <a:avLst/>
                    </a:prstGeom>
                    <a:ln w="3175" cap="sq">
                      <a:solidFill>
                        <a:schemeClr val="tx1"/>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29180623" w14:textId="137AA227" w:rsidR="003E3353" w:rsidRPr="0068236B" w:rsidRDefault="00AA25B5" w:rsidP="003E3353">
      <w:pPr>
        <w:overflowPunct w:val="0"/>
        <w:autoSpaceDE w:val="0"/>
        <w:autoSpaceDN w:val="0"/>
        <w:adjustRightInd w:val="0"/>
        <w:spacing w:before="60" w:after="240"/>
        <w:jc w:val="left"/>
        <w:textAlignment w:val="baseline"/>
        <w:rPr>
          <w:sz w:val="18"/>
          <w:szCs w:val="20"/>
        </w:rPr>
      </w:pPr>
      <w:bookmarkStart w:id="70" w:name="_Toc112928854"/>
      <w:r w:rsidRPr="0068236B">
        <w:rPr>
          <w:rFonts w:cs="Arial"/>
          <w:iCs/>
          <w:sz w:val="18"/>
          <w:szCs w:val="20"/>
        </w:rPr>
        <w:t xml:space="preserve">Figure </w:t>
      </w:r>
      <w:r w:rsidRPr="0068236B">
        <w:rPr>
          <w:rFonts w:cs="Arial"/>
          <w:iCs/>
          <w:sz w:val="18"/>
          <w:szCs w:val="20"/>
        </w:rPr>
        <w:fldChar w:fldCharType="begin"/>
      </w:r>
      <w:r w:rsidRPr="0068236B">
        <w:rPr>
          <w:rFonts w:cs="Arial"/>
          <w:iCs/>
          <w:sz w:val="18"/>
          <w:szCs w:val="20"/>
        </w:rPr>
        <w:instrText xml:space="preserve"> STYLEREF 1 \s </w:instrText>
      </w:r>
      <w:r w:rsidRPr="0068236B">
        <w:rPr>
          <w:rFonts w:cs="Arial"/>
          <w:iCs/>
          <w:sz w:val="18"/>
          <w:szCs w:val="20"/>
        </w:rPr>
        <w:fldChar w:fldCharType="separate"/>
      </w:r>
      <w:r w:rsidR="00234EBE" w:rsidRPr="0068236B">
        <w:rPr>
          <w:rFonts w:cs="Arial"/>
          <w:iCs/>
          <w:noProof/>
          <w:sz w:val="18"/>
          <w:szCs w:val="20"/>
        </w:rPr>
        <w:t>2</w:t>
      </w:r>
      <w:r w:rsidRPr="0068236B">
        <w:rPr>
          <w:rFonts w:cs="Arial"/>
          <w:iCs/>
          <w:sz w:val="18"/>
          <w:szCs w:val="20"/>
        </w:rPr>
        <w:fldChar w:fldCharType="end"/>
      </w:r>
      <w:r w:rsidRPr="0068236B">
        <w:rPr>
          <w:rFonts w:cs="Arial"/>
          <w:iCs/>
          <w:sz w:val="18"/>
          <w:szCs w:val="20"/>
        </w:rPr>
        <w:t>.</w:t>
      </w:r>
      <w:r w:rsidRPr="0068236B">
        <w:rPr>
          <w:rFonts w:cs="Arial"/>
          <w:iCs/>
          <w:sz w:val="18"/>
          <w:szCs w:val="20"/>
        </w:rPr>
        <w:fldChar w:fldCharType="begin"/>
      </w:r>
      <w:r w:rsidRPr="0068236B">
        <w:rPr>
          <w:rFonts w:cs="Arial"/>
          <w:iCs/>
          <w:sz w:val="18"/>
          <w:szCs w:val="20"/>
        </w:rPr>
        <w:instrText xml:space="preserve"> SEQ Figure \* ARABIC \s 1 </w:instrText>
      </w:r>
      <w:r w:rsidRPr="0068236B">
        <w:rPr>
          <w:rFonts w:cs="Arial"/>
          <w:iCs/>
          <w:sz w:val="18"/>
          <w:szCs w:val="20"/>
        </w:rPr>
        <w:fldChar w:fldCharType="separate"/>
      </w:r>
      <w:r w:rsidR="00234EBE" w:rsidRPr="0068236B">
        <w:rPr>
          <w:rFonts w:cs="Arial"/>
          <w:iCs/>
          <w:noProof/>
          <w:sz w:val="18"/>
          <w:szCs w:val="20"/>
        </w:rPr>
        <w:t>5</w:t>
      </w:r>
      <w:r w:rsidRPr="0068236B">
        <w:rPr>
          <w:rFonts w:cs="Arial"/>
          <w:iCs/>
          <w:sz w:val="18"/>
          <w:szCs w:val="20"/>
        </w:rPr>
        <w:fldChar w:fldCharType="end"/>
      </w:r>
      <w:r w:rsidRPr="0068236B">
        <w:rPr>
          <w:sz w:val="18"/>
          <w:szCs w:val="20"/>
        </w:rPr>
        <w:t>:</w:t>
      </w:r>
      <w:r w:rsidR="00D14A49" w:rsidRPr="0068236B">
        <w:rPr>
          <w:rFonts w:cs="Tahoma"/>
          <w:iCs/>
          <w:sz w:val="18"/>
          <w:szCs w:val="20"/>
        </w:rPr>
        <w:t xml:space="preserve"> Typical tower for </w:t>
      </w:r>
      <w:r w:rsidR="003E3353" w:rsidRPr="0068236B">
        <w:rPr>
          <w:sz w:val="18"/>
          <w:szCs w:val="20"/>
        </w:rPr>
        <w:t xml:space="preserve">the in-out connection of the new </w:t>
      </w:r>
      <w:r w:rsidR="003E3353" w:rsidRPr="0068236B">
        <w:rPr>
          <w:rFonts w:cs="Tahoma"/>
          <w:sz w:val="18"/>
          <w:szCs w:val="20"/>
        </w:rPr>
        <w:t xml:space="preserve">400/110 kV substation </w:t>
      </w:r>
      <w:r w:rsidR="004823AA" w:rsidRPr="0068236B">
        <w:rPr>
          <w:rFonts w:cs="Tahoma"/>
          <w:sz w:val="18"/>
          <w:szCs w:val="20"/>
        </w:rPr>
        <w:t>Miletkovo</w:t>
      </w:r>
      <w:r w:rsidR="003E3353" w:rsidRPr="0068236B">
        <w:rPr>
          <w:rFonts w:cs="Tahoma"/>
          <w:sz w:val="18"/>
          <w:szCs w:val="20"/>
        </w:rPr>
        <w:t xml:space="preserve"> </w:t>
      </w:r>
      <w:r w:rsidR="003E3353" w:rsidRPr="0068236B">
        <w:rPr>
          <w:sz w:val="18"/>
          <w:szCs w:val="20"/>
        </w:rPr>
        <w:t>with the existing 400 kV transmission line from Dubrovo to Thessalonica (GR)</w:t>
      </w:r>
      <w:bookmarkEnd w:id="70"/>
    </w:p>
    <w:p w14:paraId="19B02849" w14:textId="548C7586" w:rsidR="00602DBC" w:rsidRPr="0068236B" w:rsidRDefault="00572449" w:rsidP="003E3353">
      <w:pPr>
        <w:overflowPunct w:val="0"/>
        <w:autoSpaceDE w:val="0"/>
        <w:autoSpaceDN w:val="0"/>
        <w:adjustRightInd w:val="0"/>
        <w:jc w:val="left"/>
        <w:textAlignment w:val="baseline"/>
        <w:rPr>
          <w:rFonts w:cs="Tahoma"/>
          <w:sz w:val="20"/>
        </w:rPr>
      </w:pPr>
      <w:r w:rsidRPr="0068236B">
        <w:rPr>
          <w:rFonts w:cs="Tahoma"/>
          <w:sz w:val="20"/>
        </w:rPr>
        <w:t>The</w:t>
      </w:r>
      <w:r w:rsidR="00602DBC" w:rsidRPr="0068236B">
        <w:rPr>
          <w:rFonts w:cs="Tahoma"/>
          <w:sz w:val="20"/>
        </w:rPr>
        <w:t xml:space="preserve"> typical</w:t>
      </w:r>
      <w:r w:rsidRPr="0068236B">
        <w:rPr>
          <w:rFonts w:cs="Tahoma"/>
          <w:sz w:val="20"/>
        </w:rPr>
        <w:t xml:space="preserve"> tower height range is between 17 and 33 metres.</w:t>
      </w:r>
      <w:r w:rsidR="00562E86" w:rsidRPr="0068236B">
        <w:rPr>
          <w:rFonts w:cs="Tahoma"/>
          <w:sz w:val="20"/>
        </w:rPr>
        <w:t xml:space="preserve"> </w:t>
      </w:r>
    </w:p>
    <w:p w14:paraId="16063B82" w14:textId="77777777" w:rsidR="00572449" w:rsidRPr="0068236B" w:rsidRDefault="00572449" w:rsidP="003E3353">
      <w:pPr>
        <w:pStyle w:val="NumberedParagraph"/>
        <w:rPr>
          <w:rFonts w:cs="Tahoma"/>
          <w:sz w:val="20"/>
        </w:rPr>
      </w:pPr>
      <w:r w:rsidRPr="0068236B">
        <w:rPr>
          <w:rFonts w:cs="Tahoma"/>
          <w:sz w:val="20"/>
        </w:rPr>
        <w:t xml:space="preserve">The number of conductors and their disposition on </w:t>
      </w:r>
      <w:r w:rsidR="003E3353" w:rsidRPr="0068236B">
        <w:rPr>
          <w:rFonts w:cs="Tahoma"/>
          <w:sz w:val="20"/>
        </w:rPr>
        <w:t xml:space="preserve">the </w:t>
      </w:r>
      <w:r w:rsidRPr="0068236B">
        <w:rPr>
          <w:rFonts w:cs="Tahoma"/>
          <w:sz w:val="20"/>
        </w:rPr>
        <w:t>tower is</w:t>
      </w:r>
      <w:r w:rsidR="00602DBC" w:rsidRPr="0068236B">
        <w:rPr>
          <w:rFonts w:cs="Tahoma"/>
          <w:sz w:val="20"/>
        </w:rPr>
        <w:t xml:space="preserve"> three</w:t>
      </w:r>
      <w:r w:rsidRPr="0068236B">
        <w:rPr>
          <w:rFonts w:cs="Tahoma"/>
          <w:sz w:val="20"/>
        </w:rPr>
        <w:t xml:space="preserve"> circuits with two conductors per phase and </w:t>
      </w:r>
      <w:r w:rsidR="00602DBC" w:rsidRPr="0068236B">
        <w:rPr>
          <w:rFonts w:cs="Tahoma"/>
          <w:sz w:val="20"/>
        </w:rPr>
        <w:t>two</w:t>
      </w:r>
      <w:r w:rsidRPr="0068236B">
        <w:rPr>
          <w:rFonts w:cs="Tahoma"/>
          <w:sz w:val="20"/>
        </w:rPr>
        <w:t xml:space="preserve"> protective wires in a horizontal direction</w:t>
      </w:r>
      <w:r w:rsidR="00602DBC" w:rsidRPr="0068236B">
        <w:rPr>
          <w:rFonts w:cs="Tahoma"/>
          <w:sz w:val="20"/>
        </w:rPr>
        <w:t>.</w:t>
      </w:r>
    </w:p>
    <w:p w14:paraId="0825AC8B" w14:textId="77777777" w:rsidR="00602DBC" w:rsidRPr="0068236B" w:rsidRDefault="00602DBC" w:rsidP="004E5965">
      <w:pPr>
        <w:rPr>
          <w:rFonts w:cs="Tahoma"/>
          <w:sz w:val="20"/>
        </w:rPr>
      </w:pPr>
      <w:r w:rsidRPr="0068236B">
        <w:rPr>
          <w:rFonts w:cs="Tahoma"/>
          <w:sz w:val="20"/>
        </w:rPr>
        <w:t>The maximal footprint area for a tower is approximately up to 250 m</w:t>
      </w:r>
      <w:r w:rsidRPr="0068236B">
        <w:rPr>
          <w:rFonts w:cs="Tahoma"/>
          <w:sz w:val="20"/>
          <w:vertAlign w:val="superscript"/>
        </w:rPr>
        <w:t>2</w:t>
      </w:r>
      <w:r w:rsidRPr="0068236B">
        <w:rPr>
          <w:rFonts w:cs="Tahoma"/>
          <w:sz w:val="20"/>
        </w:rPr>
        <w:t>. This land area will need to be perm</w:t>
      </w:r>
      <w:r w:rsidRPr="0068236B">
        <w:rPr>
          <w:rFonts w:cs="Tahoma"/>
          <w:sz w:val="20"/>
        </w:rPr>
        <w:t>a</w:t>
      </w:r>
      <w:r w:rsidRPr="0068236B">
        <w:rPr>
          <w:rFonts w:cs="Tahoma"/>
          <w:sz w:val="20"/>
        </w:rPr>
        <w:t xml:space="preserve">nently acquired in order ensure safe operations and maintenance of the </w:t>
      </w:r>
      <w:r w:rsidR="004E2A55" w:rsidRPr="0068236B">
        <w:rPr>
          <w:rFonts w:cs="Tahoma"/>
          <w:sz w:val="20"/>
        </w:rPr>
        <w:t>in-out</w:t>
      </w:r>
      <w:r w:rsidRPr="0068236B">
        <w:rPr>
          <w:rFonts w:cs="Tahoma"/>
          <w:sz w:val="20"/>
        </w:rPr>
        <w:t xml:space="preserve"> line.</w:t>
      </w:r>
    </w:p>
    <w:p w14:paraId="2858FA75" w14:textId="77777777" w:rsidR="004E5965" w:rsidRPr="0068236B" w:rsidRDefault="004E5965" w:rsidP="004E5965">
      <w:pPr>
        <w:pStyle w:val="BodyText"/>
        <w:spacing w:before="120" w:after="120"/>
        <w:ind w:left="0"/>
        <w:jc w:val="both"/>
        <w:rPr>
          <w:rFonts w:ascii="Tahoma" w:hAnsi="Tahoma" w:cs="Tahoma"/>
          <w:sz w:val="20"/>
          <w:szCs w:val="22"/>
        </w:rPr>
      </w:pPr>
      <w:r w:rsidRPr="0068236B">
        <w:rPr>
          <w:rFonts w:ascii="Tahoma" w:hAnsi="Tahoma" w:cs="Tahoma"/>
          <w:sz w:val="20"/>
          <w:szCs w:val="22"/>
        </w:rPr>
        <w:t>Each tower will have four legs and single foundation per leg, i.e. four foundations for each tower. The fou</w:t>
      </w:r>
      <w:r w:rsidRPr="0068236B">
        <w:rPr>
          <w:rFonts w:ascii="Tahoma" w:hAnsi="Tahoma" w:cs="Tahoma"/>
          <w:sz w:val="20"/>
          <w:szCs w:val="22"/>
        </w:rPr>
        <w:t>n</w:t>
      </w:r>
      <w:r w:rsidRPr="0068236B">
        <w:rPr>
          <w:rFonts w:ascii="Tahoma" w:hAnsi="Tahoma" w:cs="Tahoma"/>
          <w:sz w:val="20"/>
          <w:szCs w:val="22"/>
        </w:rPr>
        <w:t>dations will be designed with reinforced concrete blocks with a type of concrete suitable to the specific bea</w:t>
      </w:r>
      <w:r w:rsidRPr="0068236B">
        <w:rPr>
          <w:rFonts w:ascii="Tahoma" w:hAnsi="Tahoma" w:cs="Tahoma"/>
          <w:sz w:val="20"/>
          <w:szCs w:val="22"/>
        </w:rPr>
        <w:t>r</w:t>
      </w:r>
      <w:r w:rsidRPr="0068236B">
        <w:rPr>
          <w:rFonts w:ascii="Tahoma" w:hAnsi="Tahoma" w:cs="Tahoma"/>
          <w:sz w:val="20"/>
          <w:szCs w:val="22"/>
        </w:rPr>
        <w:t>ing capacity of the soil, obtained from the respective site-specific geo-technical investigation.</w:t>
      </w:r>
    </w:p>
    <w:p w14:paraId="788D298D" w14:textId="77777777" w:rsidR="004E5965" w:rsidRPr="0068236B" w:rsidRDefault="004E5965" w:rsidP="004E5965">
      <w:pPr>
        <w:pStyle w:val="ListBullet"/>
        <w:jc w:val="left"/>
        <w:rPr>
          <w:sz w:val="20"/>
        </w:rPr>
      </w:pPr>
      <w:r w:rsidRPr="0068236B">
        <w:rPr>
          <w:sz w:val="20"/>
        </w:rPr>
        <w:t>Phase conductors</w:t>
      </w:r>
    </w:p>
    <w:p w14:paraId="5A7FF843" w14:textId="6224FC88" w:rsidR="00572449" w:rsidRDefault="00572449" w:rsidP="00572449">
      <w:pPr>
        <w:pStyle w:val="BodyText"/>
        <w:spacing w:before="120" w:after="120"/>
        <w:ind w:left="0"/>
        <w:jc w:val="both"/>
        <w:rPr>
          <w:rFonts w:ascii="Tahoma" w:hAnsi="Tahoma" w:cs="Tahoma"/>
          <w:sz w:val="20"/>
          <w:szCs w:val="20"/>
        </w:rPr>
      </w:pPr>
      <w:r w:rsidRPr="0068236B">
        <w:rPr>
          <w:rFonts w:ascii="Tahoma" w:hAnsi="Tahoma" w:cs="Tahoma"/>
          <w:sz w:val="20"/>
          <w:szCs w:val="22"/>
        </w:rPr>
        <w:t xml:space="preserve">For the phase conductors for this 400 kV </w:t>
      </w:r>
      <w:r w:rsidR="004E5965" w:rsidRPr="0068236B">
        <w:rPr>
          <w:rFonts w:ascii="Tahoma" w:hAnsi="Tahoma" w:cs="Tahoma"/>
          <w:sz w:val="20"/>
          <w:szCs w:val="22"/>
        </w:rPr>
        <w:t>in-out connection</w:t>
      </w:r>
      <w:r w:rsidRPr="0068236B">
        <w:rPr>
          <w:rFonts w:ascii="Tahoma" w:hAnsi="Tahoma" w:cs="Tahoma"/>
          <w:sz w:val="20"/>
          <w:szCs w:val="22"/>
        </w:rPr>
        <w:t xml:space="preserve">, pursuant to the current concept in Macedonia </w:t>
      </w:r>
      <w:r w:rsidRPr="0068236B">
        <w:rPr>
          <w:rFonts w:ascii="Tahoma" w:hAnsi="Tahoma" w:cs="Tahoma"/>
          <w:bCs/>
          <w:color w:val="222222"/>
          <w:sz w:val="20"/>
          <w:szCs w:val="22"/>
          <w:shd w:val="clear" w:color="auto" w:fill="FFFFFF"/>
        </w:rPr>
        <w:t>Aluminium Conductor Steel-Reinforced</w:t>
      </w:r>
      <w:r w:rsidRPr="0068236B">
        <w:rPr>
          <w:rFonts w:ascii="Tahoma" w:hAnsi="Tahoma" w:cs="Tahoma"/>
          <w:sz w:val="20"/>
          <w:szCs w:val="22"/>
        </w:rPr>
        <w:t xml:space="preserve"> (ACSR) conductors will be used with a normal cross section of 490/65 mm</w:t>
      </w:r>
      <w:r w:rsidRPr="0068236B">
        <w:rPr>
          <w:rFonts w:ascii="Tahoma" w:hAnsi="Tahoma" w:cs="Tahoma"/>
          <w:sz w:val="20"/>
          <w:szCs w:val="22"/>
          <w:vertAlign w:val="superscript"/>
        </w:rPr>
        <w:t>2</w:t>
      </w:r>
      <w:r w:rsidR="00636A3E" w:rsidRPr="0068236B">
        <w:rPr>
          <w:rFonts w:ascii="Tahoma" w:hAnsi="Tahoma" w:cs="Tahoma"/>
          <w:sz w:val="20"/>
          <w:szCs w:val="22"/>
        </w:rPr>
        <w:t xml:space="preserve"> (Figure below).</w:t>
      </w:r>
      <w:r w:rsidRPr="0068236B">
        <w:rPr>
          <w:rFonts w:ascii="Tahoma" w:hAnsi="Tahoma" w:cs="Tahoma"/>
          <w:sz w:val="20"/>
          <w:szCs w:val="22"/>
        </w:rPr>
        <w:t xml:space="preserve"> Two conductors per phase (a bundle) are designed at a mutual distance of 400 mm</w:t>
      </w:r>
      <w:r w:rsidR="004E5965" w:rsidRPr="0068236B">
        <w:rPr>
          <w:rFonts w:ascii="Tahoma" w:hAnsi="Tahoma" w:cs="Tahoma"/>
          <w:sz w:val="20"/>
          <w:szCs w:val="22"/>
        </w:rPr>
        <w:t>.</w:t>
      </w:r>
      <w:r w:rsidR="00DD1068" w:rsidRPr="0068236B">
        <w:rPr>
          <w:rFonts w:ascii="Tahoma" w:hAnsi="Tahoma" w:cs="Tahoma"/>
          <w:sz w:val="20"/>
          <w:szCs w:val="22"/>
        </w:rPr>
        <w:t xml:space="preserve"> The designed </w:t>
      </w:r>
      <w:r w:rsidR="00DD1068" w:rsidRPr="0068236B">
        <w:rPr>
          <w:rFonts w:ascii="Tahoma" w:hAnsi="Tahoma" w:cs="Tahoma"/>
          <w:sz w:val="20"/>
          <w:szCs w:val="20"/>
        </w:rPr>
        <w:t>distance between the conductors (in horizontal plane) is 8 metres.</w:t>
      </w:r>
    </w:p>
    <w:p w14:paraId="2F083F0A" w14:textId="77777777" w:rsidR="00A40352" w:rsidRPr="0068236B" w:rsidRDefault="00A40352" w:rsidP="00A40352">
      <w:pPr>
        <w:pStyle w:val="ListBullet"/>
        <w:jc w:val="left"/>
        <w:rPr>
          <w:sz w:val="20"/>
        </w:rPr>
      </w:pPr>
      <w:r w:rsidRPr="0068236B">
        <w:rPr>
          <w:sz w:val="20"/>
        </w:rPr>
        <w:t>Insulators</w:t>
      </w:r>
    </w:p>
    <w:p w14:paraId="7564972B" w14:textId="11E46989" w:rsidR="00A40352" w:rsidRPr="0068236B" w:rsidRDefault="00A40352" w:rsidP="00A40352">
      <w:pPr>
        <w:pStyle w:val="NumberedParagraph"/>
        <w:rPr>
          <w:rFonts w:cs="Tahoma"/>
          <w:sz w:val="20"/>
        </w:rPr>
      </w:pPr>
      <w:r w:rsidRPr="0068236B">
        <w:rPr>
          <w:rFonts w:cs="Tahoma"/>
          <w:sz w:val="20"/>
        </w:rPr>
        <w:t>The in-out line will be connected to the grid with a directly grounded neutral point and and nominal lightning impulse withstand voltage of 1425 kV. The insulator that is to be used will be of a type approved for such lines and appropriate assembling procedures will be carried out for the various types of insulator chains. Insulators are typically made of toughened glass.</w:t>
      </w:r>
      <w:r>
        <w:rPr>
          <w:rFonts w:cs="Tahoma"/>
          <w:sz w:val="20"/>
        </w:rPr>
        <w:t xml:space="preserve"> For 400 kV lines, </w:t>
      </w:r>
      <w:r>
        <w:rPr>
          <w:sz w:val="20"/>
          <w:szCs w:val="20"/>
        </w:rPr>
        <w:t>MEPSO design practice uses an insulator chain w</w:t>
      </w:r>
      <w:r w:rsidRPr="00ED2B22">
        <w:rPr>
          <w:sz w:val="20"/>
          <w:szCs w:val="20"/>
        </w:rPr>
        <w:t xml:space="preserve">ith a length </w:t>
      </w:r>
      <w:r w:rsidRPr="006C6ADB">
        <w:rPr>
          <w:sz w:val="20"/>
          <w:szCs w:val="20"/>
        </w:rPr>
        <w:t>in a range from 3</w:t>
      </w:r>
      <w:r>
        <w:rPr>
          <w:sz w:val="20"/>
          <w:szCs w:val="20"/>
        </w:rPr>
        <w:t>400 mm to 37</w:t>
      </w:r>
      <w:r w:rsidRPr="006C6ADB">
        <w:rPr>
          <w:sz w:val="20"/>
          <w:szCs w:val="20"/>
        </w:rPr>
        <w:t xml:space="preserve">00 mm.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06"/>
        <w:gridCol w:w="4656"/>
      </w:tblGrid>
      <w:tr w:rsidR="007D149E" w:rsidRPr="0068236B" w14:paraId="7B2B3AEE" w14:textId="77777777" w:rsidTr="007D149E">
        <w:tc>
          <w:tcPr>
            <w:tcW w:w="4806" w:type="dxa"/>
          </w:tcPr>
          <w:p w14:paraId="0EEF4C46" w14:textId="77777777" w:rsidR="007D149E" w:rsidRPr="0068236B" w:rsidRDefault="007D149E" w:rsidP="002E6209">
            <w:r w:rsidRPr="0068236B">
              <w:rPr>
                <w:noProof/>
                <w:lang w:val="mk-MK" w:eastAsia="mk-MK"/>
              </w:rPr>
              <w:lastRenderedPageBreak/>
              <w:drawing>
                <wp:inline distT="0" distB="0" distL="0" distR="0" wp14:anchorId="4480B086" wp14:editId="1800EC75">
                  <wp:extent cx="2880000" cy="2727134"/>
                  <wp:effectExtent l="19050" t="19050" r="15875" b="16510"/>
                  <wp:docPr id="908" name="Picture 908" descr="China ACSR 490/65 Aluminum Conductor Steel Reinforced Bare Conductor for  Busbar Connection - China ACSR, 49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ina ACSR 490/65 Aluminum Conductor Steel Reinforced Bare Conductor for  Busbar Connection - China ACSR, 490/65"/>
                          <pic:cNvPicPr>
                            <a:picLocks noChangeAspect="1" noChangeArrowheads="1"/>
                          </pic:cNvPicPr>
                        </pic:nvPicPr>
                        <pic:blipFill rotWithShape="1">
                          <a:blip r:embed="rId42">
                            <a:extLst>
                              <a:ext uri="{28A0092B-C50C-407E-A947-70E740481C1C}">
                                <a14:useLocalDpi xmlns:a14="http://schemas.microsoft.com/office/drawing/2010/main" val="0"/>
                              </a:ext>
                            </a:extLst>
                          </a:blip>
                          <a:srcRect l="8885" t="20516" r="15024" b="7433"/>
                          <a:stretch/>
                        </pic:blipFill>
                        <pic:spPr bwMode="auto">
                          <a:xfrm>
                            <a:off x="0" y="0"/>
                            <a:ext cx="2880000" cy="2727134"/>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tc>
        <w:tc>
          <w:tcPr>
            <w:tcW w:w="4656" w:type="dxa"/>
            <w:vAlign w:val="center"/>
          </w:tcPr>
          <w:p w14:paraId="0D4DC27F" w14:textId="77777777" w:rsidR="007D149E" w:rsidRPr="0068236B" w:rsidRDefault="007D149E" w:rsidP="002E6209">
            <w:pPr>
              <w:jc w:val="left"/>
            </w:pPr>
            <w:r w:rsidRPr="0068236B">
              <w:rPr>
                <w:noProof/>
                <w:lang w:val="mk-MK" w:eastAsia="mk-MK"/>
              </w:rPr>
              <w:drawing>
                <wp:inline distT="0" distB="0" distL="0" distR="0" wp14:anchorId="767C0DEE" wp14:editId="102F63F7">
                  <wp:extent cx="2810933" cy="1885526"/>
                  <wp:effectExtent l="0" t="0" r="8890" b="635"/>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3">
                            <a:extLst>
                              <a:ext uri="{28A0092B-C50C-407E-A947-70E740481C1C}">
                                <a14:useLocalDpi xmlns:a14="http://schemas.microsoft.com/office/drawing/2010/main" val="0"/>
                              </a:ext>
                            </a:extLst>
                          </a:blip>
                          <a:stretch>
                            <a:fillRect/>
                          </a:stretch>
                        </pic:blipFill>
                        <pic:spPr>
                          <a:xfrm>
                            <a:off x="0" y="0"/>
                            <a:ext cx="2812236" cy="1886400"/>
                          </a:xfrm>
                          <a:prstGeom prst="rect">
                            <a:avLst/>
                          </a:prstGeom>
                        </pic:spPr>
                      </pic:pic>
                    </a:graphicData>
                  </a:graphic>
                </wp:inline>
              </w:drawing>
            </w:r>
          </w:p>
        </w:tc>
      </w:tr>
    </w:tbl>
    <w:p w14:paraId="325DE429" w14:textId="77777777" w:rsidR="007D149E" w:rsidRPr="0068236B" w:rsidRDefault="007D149E" w:rsidP="007D149E">
      <w:pPr>
        <w:spacing w:before="0" w:after="240" w:line="240" w:lineRule="auto"/>
        <w:jc w:val="left"/>
        <w:rPr>
          <w:rFonts w:cs="Tahoma"/>
          <w:sz w:val="18"/>
          <w:szCs w:val="18"/>
        </w:rPr>
      </w:pPr>
      <w:bookmarkStart w:id="71" w:name="_Toc112928855"/>
      <w:r w:rsidRPr="0068236B">
        <w:rPr>
          <w:rFonts w:cs="Arial"/>
          <w:iCs/>
          <w:sz w:val="18"/>
          <w:szCs w:val="18"/>
        </w:rPr>
        <w:t xml:space="preserve">Figure </w:t>
      </w:r>
      <w:r w:rsidRPr="0068236B">
        <w:rPr>
          <w:rFonts w:cs="Arial"/>
          <w:iCs/>
          <w:sz w:val="18"/>
          <w:szCs w:val="18"/>
        </w:rPr>
        <w:fldChar w:fldCharType="begin"/>
      </w:r>
      <w:r w:rsidRPr="0068236B">
        <w:rPr>
          <w:rFonts w:cs="Arial"/>
          <w:iCs/>
          <w:sz w:val="18"/>
          <w:szCs w:val="18"/>
        </w:rPr>
        <w:instrText xml:space="preserve"> STYLEREF 1 \s </w:instrText>
      </w:r>
      <w:r w:rsidRPr="0068236B">
        <w:rPr>
          <w:rFonts w:cs="Arial"/>
          <w:iCs/>
          <w:sz w:val="18"/>
          <w:szCs w:val="18"/>
        </w:rPr>
        <w:fldChar w:fldCharType="separate"/>
      </w:r>
      <w:r w:rsidRPr="0068236B">
        <w:rPr>
          <w:rFonts w:cs="Arial"/>
          <w:iCs/>
          <w:noProof/>
          <w:sz w:val="18"/>
          <w:szCs w:val="18"/>
        </w:rPr>
        <w:t>2</w:t>
      </w:r>
      <w:r w:rsidRPr="0068236B">
        <w:rPr>
          <w:rFonts w:cs="Arial"/>
          <w:iCs/>
          <w:sz w:val="18"/>
          <w:szCs w:val="18"/>
        </w:rPr>
        <w:fldChar w:fldCharType="end"/>
      </w:r>
      <w:r w:rsidRPr="0068236B">
        <w:rPr>
          <w:rFonts w:cs="Arial"/>
          <w:iCs/>
          <w:sz w:val="18"/>
          <w:szCs w:val="18"/>
        </w:rPr>
        <w:t>.</w:t>
      </w:r>
      <w:r w:rsidRPr="0068236B">
        <w:rPr>
          <w:rFonts w:cs="Arial"/>
          <w:iCs/>
          <w:sz w:val="18"/>
          <w:szCs w:val="18"/>
        </w:rPr>
        <w:fldChar w:fldCharType="begin"/>
      </w:r>
      <w:r w:rsidRPr="0068236B">
        <w:rPr>
          <w:rFonts w:cs="Arial"/>
          <w:iCs/>
          <w:sz w:val="18"/>
          <w:szCs w:val="18"/>
        </w:rPr>
        <w:instrText xml:space="preserve"> SEQ Figure \* ARABIC \s 1 </w:instrText>
      </w:r>
      <w:r w:rsidRPr="0068236B">
        <w:rPr>
          <w:rFonts w:cs="Arial"/>
          <w:iCs/>
          <w:sz w:val="18"/>
          <w:szCs w:val="18"/>
        </w:rPr>
        <w:fldChar w:fldCharType="separate"/>
      </w:r>
      <w:r w:rsidRPr="0068236B">
        <w:rPr>
          <w:rFonts w:cs="Arial"/>
          <w:iCs/>
          <w:noProof/>
          <w:sz w:val="18"/>
          <w:szCs w:val="18"/>
        </w:rPr>
        <w:t>5</w:t>
      </w:r>
      <w:r w:rsidRPr="0068236B">
        <w:rPr>
          <w:rFonts w:cs="Arial"/>
          <w:iCs/>
          <w:sz w:val="18"/>
          <w:szCs w:val="18"/>
        </w:rPr>
        <w:fldChar w:fldCharType="end"/>
      </w:r>
      <w:r w:rsidRPr="0068236B">
        <w:rPr>
          <w:sz w:val="18"/>
          <w:szCs w:val="18"/>
        </w:rPr>
        <w:t>:</w:t>
      </w:r>
      <w:r w:rsidRPr="0068236B">
        <w:rPr>
          <w:rFonts w:cs="Tahoma"/>
          <w:iCs/>
          <w:sz w:val="18"/>
          <w:szCs w:val="18"/>
        </w:rPr>
        <w:t xml:space="preserve"> Typical </w:t>
      </w:r>
      <w:r w:rsidRPr="0068236B">
        <w:rPr>
          <w:rFonts w:cs="Tahoma"/>
          <w:bCs/>
          <w:color w:val="222222"/>
          <w:sz w:val="18"/>
          <w:szCs w:val="18"/>
          <w:shd w:val="clear" w:color="auto" w:fill="FFFFFF"/>
        </w:rPr>
        <w:t>Aluminium Conductor Steel-Reinforced</w:t>
      </w:r>
      <w:r w:rsidRPr="0068236B">
        <w:rPr>
          <w:rFonts w:cs="Tahoma"/>
          <w:sz w:val="18"/>
          <w:szCs w:val="18"/>
        </w:rPr>
        <w:t xml:space="preserve"> conductor for 400 kV transmission line</w:t>
      </w:r>
      <w:bookmarkEnd w:id="71"/>
    </w:p>
    <w:p w14:paraId="74BF2156" w14:textId="77777777" w:rsidR="004E5965" w:rsidRPr="0068236B" w:rsidRDefault="004E5965" w:rsidP="004E5965">
      <w:pPr>
        <w:pStyle w:val="ListBullet"/>
        <w:jc w:val="left"/>
        <w:rPr>
          <w:sz w:val="20"/>
        </w:rPr>
      </w:pPr>
      <w:r w:rsidRPr="0068236B">
        <w:rPr>
          <w:sz w:val="20"/>
        </w:rPr>
        <w:t>Earthing</w:t>
      </w:r>
    </w:p>
    <w:p w14:paraId="1C0FFA3E" w14:textId="3C418E64" w:rsidR="005B3561" w:rsidRPr="0068236B" w:rsidRDefault="005B3561" w:rsidP="005B3561">
      <w:pPr>
        <w:pStyle w:val="BodyText2"/>
        <w:spacing w:before="120" w:line="276" w:lineRule="auto"/>
        <w:jc w:val="both"/>
        <w:rPr>
          <w:rFonts w:ascii="Tahoma" w:hAnsi="Tahoma" w:cs="Tahoma"/>
          <w:sz w:val="20"/>
          <w:szCs w:val="22"/>
        </w:rPr>
      </w:pPr>
      <w:r w:rsidRPr="0068236B">
        <w:rPr>
          <w:rFonts w:ascii="Tahoma" w:hAnsi="Tahoma" w:cs="Tahoma"/>
          <w:sz w:val="20"/>
          <w:szCs w:val="22"/>
        </w:rPr>
        <w:t xml:space="preserve">Earthing of the towers will be completed with one ring made of hot dip galvanized Fe bar conductor </w:t>
      </w:r>
      <w:r w:rsidRPr="0068236B">
        <w:rPr>
          <w:rFonts w:cs="Arial"/>
          <w:sz w:val="20"/>
          <w:szCs w:val="22"/>
        </w:rPr>
        <w:t>Ø</w:t>
      </w:r>
      <w:r w:rsidRPr="0068236B">
        <w:rPr>
          <w:rFonts w:ascii="Tahoma" w:hAnsi="Tahoma" w:cs="Tahoma"/>
          <w:sz w:val="20"/>
          <w:szCs w:val="22"/>
        </w:rPr>
        <w:t>10mm</w:t>
      </w:r>
      <w:r w:rsidR="00562E86" w:rsidRPr="0068236B">
        <w:rPr>
          <w:rFonts w:ascii="Tahoma" w:hAnsi="Tahoma" w:cs="Tahoma"/>
          <w:sz w:val="20"/>
          <w:szCs w:val="22"/>
        </w:rPr>
        <w:t xml:space="preserve"> </w:t>
      </w:r>
      <w:r w:rsidRPr="0068236B">
        <w:rPr>
          <w:rFonts w:ascii="Tahoma" w:hAnsi="Tahoma" w:cs="Tahoma"/>
          <w:sz w:val="20"/>
          <w:szCs w:val="22"/>
        </w:rPr>
        <w:t>around each tower foundation and additional ring is laid around the entire tower structure, roughly 1 metre away from existing rings and at depth of 0.8 to 1.0 metre. These rings are connected between them and to the tower steel structure. In cases where earthing needs to be reinforced (e.g. for types of soil with lower conductivity), reinforcement is done by adding two extensions from FeZn wires or FeZn tapes to existing rings on each tower foundation.</w:t>
      </w:r>
    </w:p>
    <w:p w14:paraId="2C01F110" w14:textId="77777777" w:rsidR="004E5965" w:rsidRPr="0068236B" w:rsidRDefault="004E5965" w:rsidP="004E5965">
      <w:pPr>
        <w:pStyle w:val="ListBullet"/>
        <w:jc w:val="left"/>
        <w:rPr>
          <w:sz w:val="20"/>
        </w:rPr>
      </w:pPr>
      <w:r w:rsidRPr="0068236B">
        <w:rPr>
          <w:sz w:val="20"/>
        </w:rPr>
        <w:t>Protective wires</w:t>
      </w:r>
    </w:p>
    <w:p w14:paraId="6189CBAD" w14:textId="77777777" w:rsidR="002570F6" w:rsidRPr="0068236B" w:rsidRDefault="00572449" w:rsidP="002570F6">
      <w:pPr>
        <w:rPr>
          <w:rFonts w:cs="Tahoma"/>
          <w:sz w:val="20"/>
          <w:szCs w:val="20"/>
        </w:rPr>
      </w:pPr>
      <w:r w:rsidRPr="0068236B">
        <w:rPr>
          <w:rFonts w:cs="Tahoma"/>
          <w:sz w:val="20"/>
          <w:szCs w:val="20"/>
        </w:rPr>
        <w:t>Two ground wires will be strung above the top most conductors between the tower peaks for protection against lightning strikes.</w:t>
      </w:r>
    </w:p>
    <w:p w14:paraId="70F757C6" w14:textId="13A85FCD" w:rsidR="006D5311" w:rsidRPr="0068236B" w:rsidRDefault="000F22DE" w:rsidP="008E77D3">
      <w:pPr>
        <w:pStyle w:val="Heading4"/>
        <w:numPr>
          <w:ilvl w:val="4"/>
          <w:numId w:val="43"/>
        </w:numPr>
        <w:rPr>
          <w:sz w:val="20"/>
        </w:rPr>
      </w:pPr>
      <w:r w:rsidRPr="0068236B">
        <w:rPr>
          <w:sz w:val="20"/>
        </w:rPr>
        <w:t xml:space="preserve">Reconstruction </w:t>
      </w:r>
      <w:r w:rsidR="006D5311" w:rsidRPr="0068236B">
        <w:rPr>
          <w:sz w:val="20"/>
        </w:rPr>
        <w:t xml:space="preserve">of the existing </w:t>
      </w:r>
      <w:r w:rsidR="008B016F" w:rsidRPr="0068236B">
        <w:rPr>
          <w:sz w:val="20"/>
        </w:rPr>
        <w:t>D</w:t>
      </w:r>
      <w:r w:rsidRPr="0068236B">
        <w:rPr>
          <w:sz w:val="20"/>
        </w:rPr>
        <w:t xml:space="preserve">ouble </w:t>
      </w:r>
      <w:r w:rsidR="008B016F" w:rsidRPr="0068236B">
        <w:rPr>
          <w:sz w:val="20"/>
        </w:rPr>
        <w:t>S</w:t>
      </w:r>
      <w:r w:rsidRPr="0068236B">
        <w:rPr>
          <w:sz w:val="20"/>
        </w:rPr>
        <w:t>ystem</w:t>
      </w:r>
      <w:r w:rsidR="006D5311" w:rsidRPr="0068236B">
        <w:rPr>
          <w:sz w:val="20"/>
        </w:rPr>
        <w:t xml:space="preserve"> </w:t>
      </w:r>
      <w:r w:rsidR="008B016F" w:rsidRPr="0068236B">
        <w:rPr>
          <w:sz w:val="20"/>
        </w:rPr>
        <w:t xml:space="preserve">110 kV </w:t>
      </w:r>
      <w:r w:rsidR="006D5311" w:rsidRPr="0068236B">
        <w:rPr>
          <w:sz w:val="20"/>
        </w:rPr>
        <w:t xml:space="preserve">OHL SS Valandovo – SS ‘EVP’ Miletkovo </w:t>
      </w:r>
      <w:r w:rsidRPr="0068236B">
        <w:rPr>
          <w:sz w:val="20"/>
        </w:rPr>
        <w:t xml:space="preserve">to </w:t>
      </w:r>
      <w:r w:rsidR="008B016F" w:rsidRPr="0068236B">
        <w:rPr>
          <w:sz w:val="20"/>
        </w:rPr>
        <w:t>Single C</w:t>
      </w:r>
      <w:r w:rsidRPr="0068236B">
        <w:rPr>
          <w:sz w:val="20"/>
        </w:rPr>
        <w:t xml:space="preserve">ircuit </w:t>
      </w:r>
      <w:r w:rsidR="008B016F" w:rsidRPr="0068236B">
        <w:rPr>
          <w:sz w:val="20"/>
        </w:rPr>
        <w:t>110 kV OHL and its Extension to the new 400/110 kV SS Miletkovo</w:t>
      </w:r>
    </w:p>
    <w:p w14:paraId="06650661" w14:textId="4CFA3BF6" w:rsidR="000F22DE" w:rsidRPr="0068236B" w:rsidRDefault="000F22DE" w:rsidP="000F22DE">
      <w:pPr>
        <w:rPr>
          <w:sz w:val="20"/>
        </w:rPr>
      </w:pPr>
      <w:r w:rsidRPr="0068236B">
        <w:rPr>
          <w:sz w:val="20"/>
        </w:rPr>
        <w:t>The existing double system (2x110 kV) OHL from SS Valandovo to SS ‘EVP’ Miletkovo will be reconstructed to connect the new 400/110 kV SS Miletkovo with the existing 110/35 kV SS Valandovo.</w:t>
      </w:r>
    </w:p>
    <w:p w14:paraId="575FDCB3" w14:textId="0162C906" w:rsidR="000F22DE" w:rsidRPr="0068236B" w:rsidRDefault="000F22DE" w:rsidP="000F22DE">
      <w:pPr>
        <w:rPr>
          <w:sz w:val="20"/>
          <w:szCs w:val="20"/>
        </w:rPr>
      </w:pPr>
      <w:r w:rsidRPr="0068236B">
        <w:rPr>
          <w:rFonts w:cs="Tahoma"/>
          <w:sz w:val="20"/>
          <w:szCs w:val="20"/>
          <w:lang w:eastAsia="sr-Latn-RS"/>
        </w:rPr>
        <w:t>In accordance with the System Studies performed for the purposes of the Project</w:t>
      </w:r>
      <w:r w:rsidRPr="0068236B">
        <w:rPr>
          <w:sz w:val="20"/>
          <w:szCs w:val="20"/>
        </w:rPr>
        <w:t xml:space="preserve"> and the limited space for reconstruction/extension in existing SS 110/35 kV Valandovo, the existing double system </w:t>
      </w:r>
      <w:r w:rsidR="003355C1" w:rsidRPr="0068236B">
        <w:rPr>
          <w:sz w:val="20"/>
          <w:szCs w:val="20"/>
        </w:rPr>
        <w:t xml:space="preserve">(2x110 kV) </w:t>
      </w:r>
      <w:r w:rsidRPr="0068236B">
        <w:rPr>
          <w:sz w:val="20"/>
          <w:szCs w:val="20"/>
        </w:rPr>
        <w:t xml:space="preserve">OHL SS Valandovo – SS ‘EVP’ Miletkovo will be reconstructed to three phase single circuit </w:t>
      </w:r>
      <w:r w:rsidR="003355C1" w:rsidRPr="0068236B">
        <w:rPr>
          <w:sz w:val="20"/>
          <w:szCs w:val="20"/>
        </w:rPr>
        <w:t xml:space="preserve">(1x110 kV) </w:t>
      </w:r>
      <w:r w:rsidRPr="0068236B">
        <w:rPr>
          <w:sz w:val="20"/>
          <w:szCs w:val="20"/>
        </w:rPr>
        <w:t>line, with the use of the same towers and positions and by replacing the conductor, to i</w:t>
      </w:r>
      <w:r w:rsidR="006D1D5F" w:rsidRPr="0068236B">
        <w:rPr>
          <w:sz w:val="20"/>
          <w:szCs w:val="20"/>
        </w:rPr>
        <w:t>n</w:t>
      </w:r>
      <w:r w:rsidRPr="0068236B">
        <w:rPr>
          <w:sz w:val="20"/>
          <w:szCs w:val="20"/>
        </w:rPr>
        <w:t xml:space="preserve">crease its transfer capacity. </w:t>
      </w:r>
    </w:p>
    <w:p w14:paraId="4F4BF7A1" w14:textId="51A33C01" w:rsidR="008B016F" w:rsidRPr="0068236B" w:rsidRDefault="008B016F" w:rsidP="008B016F">
      <w:pPr>
        <w:rPr>
          <w:sz w:val="20"/>
          <w:szCs w:val="20"/>
        </w:rPr>
      </w:pPr>
      <w:r w:rsidRPr="0068236B">
        <w:rPr>
          <w:sz w:val="20"/>
          <w:szCs w:val="20"/>
        </w:rPr>
        <w:t>The reconstruction can be divided into two separate processes (Figure below):</w:t>
      </w:r>
    </w:p>
    <w:p w14:paraId="3067B062" w14:textId="31502B96" w:rsidR="008B016F" w:rsidRPr="0068236B" w:rsidRDefault="008B016F" w:rsidP="008B016F">
      <w:pPr>
        <w:pStyle w:val="ListBullet"/>
        <w:spacing w:line="240" w:lineRule="auto"/>
        <w:jc w:val="left"/>
        <w:rPr>
          <w:sz w:val="20"/>
          <w:szCs w:val="20"/>
        </w:rPr>
      </w:pPr>
      <w:r w:rsidRPr="0068236B">
        <w:rPr>
          <w:sz w:val="20"/>
          <w:szCs w:val="20"/>
        </w:rPr>
        <w:t xml:space="preserve">Reconstruction of the existing line from double phase 2x110 kV OHL into three phase 1x110 kV OHL from tower no.1 to tower no.19 (yellow line in the Figure below), in approximate length of </w:t>
      </w:r>
      <w:r w:rsidR="003355C1" w:rsidRPr="0068236B">
        <w:rPr>
          <w:sz w:val="20"/>
          <w:szCs w:val="20"/>
        </w:rPr>
        <w:t>6</w:t>
      </w:r>
      <w:r w:rsidRPr="0068236B">
        <w:rPr>
          <w:sz w:val="20"/>
          <w:szCs w:val="20"/>
        </w:rPr>
        <w:t xml:space="preserve"> km, and</w:t>
      </w:r>
    </w:p>
    <w:p w14:paraId="14E671BA" w14:textId="61D6DF3F" w:rsidR="008B016F" w:rsidRPr="0068236B" w:rsidRDefault="008B016F" w:rsidP="008B016F">
      <w:pPr>
        <w:pStyle w:val="ListBullet"/>
        <w:spacing w:line="240" w:lineRule="auto"/>
        <w:jc w:val="left"/>
        <w:rPr>
          <w:color w:val="000000" w:themeColor="text1"/>
          <w:sz w:val="20"/>
          <w:szCs w:val="20"/>
        </w:rPr>
      </w:pPr>
      <w:r w:rsidRPr="0068236B">
        <w:rPr>
          <w:sz w:val="20"/>
          <w:szCs w:val="20"/>
        </w:rPr>
        <w:t xml:space="preserve">Construction of a new three phase 1x110 kV line from tower no. 19 to the new SS 400/110 kV Miletkovo </w:t>
      </w:r>
      <w:r w:rsidRPr="0068236B">
        <w:rPr>
          <w:color w:val="000000" w:themeColor="text1"/>
          <w:sz w:val="20"/>
          <w:szCs w:val="20"/>
        </w:rPr>
        <w:t>(</w:t>
      </w:r>
      <w:r w:rsidR="00AE746C" w:rsidRPr="0068236B">
        <w:rPr>
          <w:color w:val="000000" w:themeColor="text1"/>
          <w:sz w:val="20"/>
          <w:szCs w:val="20"/>
        </w:rPr>
        <w:t>dark blue</w:t>
      </w:r>
      <w:r w:rsidRPr="0068236B">
        <w:rPr>
          <w:color w:val="000000" w:themeColor="text1"/>
          <w:sz w:val="20"/>
          <w:szCs w:val="20"/>
        </w:rPr>
        <w:t xml:space="preserve"> line in the Figure below</w:t>
      </w:r>
      <w:r w:rsidR="00D91484" w:rsidRPr="0068236B">
        <w:rPr>
          <w:color w:val="000000" w:themeColor="text1"/>
          <w:sz w:val="20"/>
          <w:szCs w:val="20"/>
        </w:rPr>
        <w:t xml:space="preserve">), </w:t>
      </w:r>
      <w:r w:rsidR="00D91484" w:rsidRPr="0068236B">
        <w:rPr>
          <w:sz w:val="20"/>
          <w:szCs w:val="20"/>
        </w:rPr>
        <w:t xml:space="preserve">in approximate length of </w:t>
      </w:r>
      <w:r w:rsidR="003355C1" w:rsidRPr="0068236B">
        <w:rPr>
          <w:sz w:val="20"/>
          <w:szCs w:val="20"/>
        </w:rPr>
        <w:t>1.9</w:t>
      </w:r>
      <w:r w:rsidR="00D91484" w:rsidRPr="0068236B">
        <w:rPr>
          <w:sz w:val="20"/>
          <w:szCs w:val="20"/>
        </w:rPr>
        <w:t xml:space="preserve"> km.</w:t>
      </w:r>
    </w:p>
    <w:p w14:paraId="68BAB418" w14:textId="77777777" w:rsidR="00AE746C" w:rsidRPr="0068236B" w:rsidRDefault="00AE746C">
      <w:pPr>
        <w:spacing w:before="0" w:after="0" w:line="240" w:lineRule="auto"/>
        <w:jc w:val="left"/>
        <w:rPr>
          <w:sz w:val="20"/>
          <w:u w:val="single"/>
        </w:rPr>
      </w:pPr>
    </w:p>
    <w:p w14:paraId="1624D2D9" w14:textId="77777777" w:rsidR="007D149E" w:rsidRPr="0068236B" w:rsidRDefault="007D149E">
      <w:pPr>
        <w:spacing w:before="0" w:after="0" w:line="240" w:lineRule="auto"/>
        <w:jc w:val="left"/>
        <w:rPr>
          <w:sz w:val="20"/>
          <w:u w:val="single"/>
        </w:rPr>
        <w:sectPr w:rsidR="007D149E" w:rsidRPr="0068236B" w:rsidSect="00F56664">
          <w:pgSz w:w="11907" w:h="16840" w:code="9"/>
          <w:pgMar w:top="1134" w:right="1134" w:bottom="1077" w:left="1134" w:header="397" w:footer="397" w:gutter="0"/>
          <w:cols w:space="708"/>
          <w:docGrid w:linePitch="360"/>
        </w:sectPr>
      </w:pPr>
    </w:p>
    <w:p w14:paraId="6CDA4040" w14:textId="0BDFD7E8" w:rsidR="00AE746C" w:rsidRPr="0068236B" w:rsidRDefault="00AE746C">
      <w:pPr>
        <w:spacing w:before="0" w:after="0" w:line="240" w:lineRule="auto"/>
        <w:jc w:val="left"/>
        <w:rPr>
          <w:sz w:val="20"/>
          <w:u w:val="single"/>
        </w:rPr>
      </w:pPr>
      <w:r w:rsidRPr="0068236B">
        <w:rPr>
          <w:noProof/>
          <w:sz w:val="20"/>
          <w:lang w:val="mk-MK" w:eastAsia="mk-MK"/>
        </w:rPr>
        <w:lastRenderedPageBreak/>
        <w:drawing>
          <wp:inline distT="0" distB="0" distL="0" distR="0" wp14:anchorId="256A8E1D" wp14:editId="4A15F322">
            <wp:extent cx="5508000" cy="9360000"/>
            <wp:effectExtent l="0" t="1905" r="0" b="0"/>
            <wp:docPr id="228" name="Picture 2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10423" r="10291" b="3292"/>
                    <a:stretch/>
                  </pic:blipFill>
                  <pic:spPr bwMode="auto">
                    <a:xfrm rot="16200000">
                      <a:off x="0" y="0"/>
                      <a:ext cx="5508000" cy="9360000"/>
                    </a:xfrm>
                    <a:prstGeom prst="rect">
                      <a:avLst/>
                    </a:prstGeom>
                    <a:noFill/>
                    <a:ln>
                      <a:noFill/>
                    </a:ln>
                    <a:extLst>
                      <a:ext uri="{53640926-AAD7-44D8-BBD7-CCE9431645EC}">
                        <a14:shadowObscured xmlns:a14="http://schemas.microsoft.com/office/drawing/2010/main"/>
                      </a:ext>
                    </a:extLst>
                  </pic:spPr>
                </pic:pic>
              </a:graphicData>
            </a:graphic>
          </wp:inline>
        </w:drawing>
      </w:r>
    </w:p>
    <w:p w14:paraId="27919456" w14:textId="77777777" w:rsidR="00AE746C" w:rsidRPr="0068236B" w:rsidRDefault="00AE746C" w:rsidP="00AE746C">
      <w:pPr>
        <w:spacing w:before="0" w:after="60"/>
        <w:jc w:val="left"/>
        <w:rPr>
          <w:sz w:val="18"/>
          <w:szCs w:val="20"/>
        </w:rPr>
      </w:pPr>
      <w:bookmarkStart w:id="72" w:name="_Toc92134871"/>
      <w:bookmarkStart w:id="73" w:name="_Toc112928856"/>
      <w:r w:rsidRPr="0068236B">
        <w:rPr>
          <w:rFonts w:cs="Arial"/>
          <w:iCs/>
          <w:sz w:val="18"/>
          <w:szCs w:val="20"/>
        </w:rPr>
        <w:t xml:space="preserve">Figure </w:t>
      </w:r>
      <w:r w:rsidRPr="0068236B">
        <w:rPr>
          <w:rFonts w:cs="Arial"/>
          <w:iCs/>
          <w:sz w:val="18"/>
          <w:szCs w:val="20"/>
        </w:rPr>
        <w:fldChar w:fldCharType="begin"/>
      </w:r>
      <w:r w:rsidRPr="0068236B">
        <w:rPr>
          <w:rFonts w:cs="Arial"/>
          <w:iCs/>
          <w:sz w:val="18"/>
          <w:szCs w:val="20"/>
        </w:rPr>
        <w:instrText xml:space="preserve"> STYLEREF 1 \s </w:instrText>
      </w:r>
      <w:r w:rsidRPr="0068236B">
        <w:rPr>
          <w:rFonts w:cs="Arial"/>
          <w:iCs/>
          <w:sz w:val="18"/>
          <w:szCs w:val="20"/>
        </w:rPr>
        <w:fldChar w:fldCharType="separate"/>
      </w:r>
      <w:r w:rsidRPr="0068236B">
        <w:rPr>
          <w:rFonts w:cs="Arial"/>
          <w:iCs/>
          <w:noProof/>
          <w:sz w:val="18"/>
          <w:szCs w:val="20"/>
        </w:rPr>
        <w:t>2</w:t>
      </w:r>
      <w:r w:rsidRPr="0068236B">
        <w:rPr>
          <w:rFonts w:cs="Arial"/>
          <w:iCs/>
          <w:sz w:val="18"/>
          <w:szCs w:val="20"/>
        </w:rPr>
        <w:fldChar w:fldCharType="end"/>
      </w:r>
      <w:r w:rsidRPr="0068236B">
        <w:rPr>
          <w:rFonts w:cs="Arial"/>
          <w:iCs/>
          <w:sz w:val="18"/>
          <w:szCs w:val="20"/>
        </w:rPr>
        <w:t>.</w:t>
      </w:r>
      <w:r w:rsidRPr="0068236B">
        <w:rPr>
          <w:rFonts w:cs="Arial"/>
          <w:iCs/>
          <w:sz w:val="18"/>
          <w:szCs w:val="20"/>
        </w:rPr>
        <w:fldChar w:fldCharType="begin"/>
      </w:r>
      <w:r w:rsidRPr="0068236B">
        <w:rPr>
          <w:rFonts w:cs="Arial"/>
          <w:iCs/>
          <w:sz w:val="18"/>
          <w:szCs w:val="20"/>
        </w:rPr>
        <w:instrText xml:space="preserve"> SEQ Figure \* ARABIC \s 1 </w:instrText>
      </w:r>
      <w:r w:rsidRPr="0068236B">
        <w:rPr>
          <w:rFonts w:cs="Arial"/>
          <w:iCs/>
          <w:sz w:val="18"/>
          <w:szCs w:val="20"/>
        </w:rPr>
        <w:fldChar w:fldCharType="separate"/>
      </w:r>
      <w:r w:rsidRPr="0068236B">
        <w:rPr>
          <w:rFonts w:cs="Arial"/>
          <w:iCs/>
          <w:noProof/>
          <w:sz w:val="18"/>
          <w:szCs w:val="20"/>
        </w:rPr>
        <w:t>7</w:t>
      </w:r>
      <w:r w:rsidRPr="0068236B">
        <w:rPr>
          <w:rFonts w:cs="Arial"/>
          <w:iCs/>
          <w:sz w:val="18"/>
          <w:szCs w:val="20"/>
        </w:rPr>
        <w:fldChar w:fldCharType="end"/>
      </w:r>
      <w:r w:rsidRPr="0068236B">
        <w:rPr>
          <w:sz w:val="18"/>
          <w:szCs w:val="20"/>
        </w:rPr>
        <w:t>: Reconstruction of existing double phase 2x110 kV transmission line from Valandovo substation to ‘EVP’ Miletkovo substation to three-phase 110 kV transmission line and extension to 400/110 kV SS Miletkovo</w:t>
      </w:r>
      <w:bookmarkEnd w:id="72"/>
      <w:bookmarkEnd w:id="73"/>
    </w:p>
    <w:p w14:paraId="16F47791" w14:textId="77777777" w:rsidR="00AE746C" w:rsidRPr="0068236B" w:rsidRDefault="00AE746C" w:rsidP="00AE746C">
      <w:pPr>
        <w:spacing w:before="0" w:after="240" w:line="240" w:lineRule="auto"/>
        <w:jc w:val="left"/>
        <w:rPr>
          <w:rFonts w:cs="Tahoma"/>
          <w:bCs/>
          <w:sz w:val="16"/>
          <w:szCs w:val="18"/>
        </w:rPr>
      </w:pPr>
      <w:r w:rsidRPr="0068236B">
        <w:rPr>
          <w:rFonts w:cs="Tahoma"/>
          <w:iCs/>
          <w:sz w:val="16"/>
          <w:szCs w:val="18"/>
        </w:rPr>
        <w:t xml:space="preserve">Source: </w:t>
      </w:r>
      <w:r w:rsidRPr="0068236B">
        <w:rPr>
          <w:rFonts w:cs="Tahoma"/>
          <w:sz w:val="16"/>
          <w:szCs w:val="18"/>
          <w:lang w:eastAsia="en-US"/>
        </w:rPr>
        <w:t xml:space="preserve">WB21-MKD-ENE-03 North Macedonia, Strengthening the Transmission Network in the Southeast Region of North Macedonia - Component 1; </w:t>
      </w:r>
      <w:r w:rsidRPr="0068236B">
        <w:rPr>
          <w:rFonts w:cs="Tahoma"/>
          <w:sz w:val="16"/>
          <w:szCs w:val="18"/>
        </w:rPr>
        <w:t>Detailed Technical Assessment of Preferred Option, January 2022</w:t>
      </w:r>
      <w:r w:rsidRPr="0068236B">
        <w:rPr>
          <w:rFonts w:cs="Tahoma"/>
          <w:bCs/>
          <w:sz w:val="16"/>
          <w:szCs w:val="18"/>
        </w:rPr>
        <w:t xml:space="preserve"> [Ref.7]</w:t>
      </w:r>
    </w:p>
    <w:p w14:paraId="0C18C7B5" w14:textId="77777777" w:rsidR="00AE746C" w:rsidRPr="0068236B" w:rsidRDefault="00AE746C">
      <w:pPr>
        <w:spacing w:before="0" w:after="0" w:line="240" w:lineRule="auto"/>
        <w:jc w:val="left"/>
        <w:rPr>
          <w:sz w:val="20"/>
          <w:u w:val="single"/>
        </w:rPr>
        <w:sectPr w:rsidR="00AE746C" w:rsidRPr="0068236B" w:rsidSect="00AE746C">
          <w:pgSz w:w="16840" w:h="11907" w:orient="landscape" w:code="9"/>
          <w:pgMar w:top="1134" w:right="1134" w:bottom="1134" w:left="1077" w:header="397" w:footer="397" w:gutter="0"/>
          <w:cols w:space="708"/>
          <w:docGrid w:linePitch="360"/>
        </w:sectPr>
      </w:pPr>
    </w:p>
    <w:p w14:paraId="1DDEB570" w14:textId="345EE82E" w:rsidR="00047DC6" w:rsidRPr="0068236B" w:rsidRDefault="00047DC6" w:rsidP="008843F6">
      <w:pPr>
        <w:ind w:left="720" w:firstLine="720"/>
        <w:rPr>
          <w:sz w:val="20"/>
          <w:u w:val="single"/>
        </w:rPr>
      </w:pPr>
      <w:r w:rsidRPr="0068236B">
        <w:rPr>
          <w:sz w:val="20"/>
          <w:u w:val="single"/>
        </w:rPr>
        <w:lastRenderedPageBreak/>
        <w:t>Existing Line</w:t>
      </w:r>
    </w:p>
    <w:p w14:paraId="127AE77F" w14:textId="77777777" w:rsidR="006D5311" w:rsidRPr="0068236B" w:rsidRDefault="006D5311" w:rsidP="006D5311">
      <w:pPr>
        <w:pStyle w:val="NumberedParagraph"/>
        <w:rPr>
          <w:sz w:val="20"/>
        </w:rPr>
      </w:pPr>
      <w:r w:rsidRPr="0068236B">
        <w:rPr>
          <w:sz w:val="20"/>
        </w:rPr>
        <w:t xml:space="preserve">This transmission line is approx. 6.4 km long, with 21 towers (14 </w:t>
      </w:r>
      <w:r w:rsidRPr="0068236B">
        <w:rPr>
          <w:rFonts w:cs="Tahoma"/>
          <w:sz w:val="20"/>
          <w:szCs w:val="20"/>
        </w:rPr>
        <w:t>angle-tension towers</w:t>
      </w:r>
      <w:r w:rsidRPr="0068236B">
        <w:rPr>
          <w:sz w:val="20"/>
        </w:rPr>
        <w:t xml:space="preserve"> and 7 suspension towers). It was constructed and is in operation since 1986.</w:t>
      </w:r>
    </w:p>
    <w:p w14:paraId="100F9F93" w14:textId="3FED7326" w:rsidR="006D5311" w:rsidRPr="0068236B" w:rsidRDefault="006D5311" w:rsidP="006D5311">
      <w:pPr>
        <w:rPr>
          <w:sz w:val="20"/>
        </w:rPr>
      </w:pPr>
      <w:r w:rsidRPr="0068236B">
        <w:rPr>
          <w:rFonts w:cs="Tahoma"/>
          <w:sz w:val="20"/>
          <w:szCs w:val="20"/>
        </w:rPr>
        <w:t>The towers are typical three phase double system 110 kV steel lattice towers</w:t>
      </w:r>
      <w:r w:rsidR="009D19D7" w:rsidRPr="0068236B">
        <w:rPr>
          <w:rFonts w:cs="Tahoma"/>
          <w:sz w:val="20"/>
          <w:szCs w:val="20"/>
        </w:rPr>
        <w:t xml:space="preserve"> (Figure below)</w:t>
      </w:r>
      <w:r w:rsidRPr="0068236B">
        <w:rPr>
          <w:rFonts w:cs="Tahoma"/>
          <w:sz w:val="20"/>
          <w:szCs w:val="20"/>
        </w:rPr>
        <w:t xml:space="preserve">, </w:t>
      </w:r>
      <w:r w:rsidRPr="0068236B">
        <w:rPr>
          <w:sz w:val="20"/>
        </w:rPr>
        <w:t>from which only the top two arms and middle tower arms</w:t>
      </w:r>
      <w:r w:rsidRPr="0068236B" w:rsidDel="00AC01F1">
        <w:rPr>
          <w:sz w:val="20"/>
        </w:rPr>
        <w:t xml:space="preserve"> </w:t>
      </w:r>
      <w:r w:rsidRPr="0068236B">
        <w:rPr>
          <w:sz w:val="20"/>
        </w:rPr>
        <w:t xml:space="preserve">are used for the line, i.e. for the purposes of the power supply for the railway SS 110/25 kV Miletkovo. The tower types are AD120, AD150 and SD. </w:t>
      </w:r>
      <w:r w:rsidRPr="0068236B">
        <w:rPr>
          <w:rFonts w:cs="Tahoma"/>
          <w:sz w:val="20"/>
          <w:szCs w:val="20"/>
        </w:rPr>
        <w:t>The height of the su</w:t>
      </w:r>
      <w:r w:rsidRPr="0068236B">
        <w:rPr>
          <w:rFonts w:cs="Tahoma"/>
          <w:sz w:val="20"/>
          <w:szCs w:val="20"/>
        </w:rPr>
        <w:t>s</w:t>
      </w:r>
      <w:r w:rsidRPr="0068236B">
        <w:rPr>
          <w:rFonts w:cs="Tahoma"/>
          <w:sz w:val="20"/>
          <w:szCs w:val="20"/>
        </w:rPr>
        <w:t xml:space="preserve">pension towers ranges from 12.8 m to 21.8 m, while for the tension towers from 12 m to 25 m. </w:t>
      </w:r>
      <w:r w:rsidRPr="0068236B">
        <w:rPr>
          <w:sz w:val="20"/>
        </w:rPr>
        <w:t>The phase conductor is ACSR</w:t>
      </w:r>
      <w:r w:rsidR="003116C6" w:rsidRPr="0068236B">
        <w:rPr>
          <w:rStyle w:val="FootnoteReference"/>
          <w:sz w:val="20"/>
          <w:szCs w:val="20"/>
        </w:rPr>
        <w:footnoteReference w:id="38"/>
      </w:r>
      <w:r w:rsidRPr="0068236B">
        <w:rPr>
          <w:sz w:val="20"/>
        </w:rPr>
        <w:t xml:space="preserve"> 150/25 mm</w:t>
      </w:r>
      <w:r w:rsidRPr="0068236B">
        <w:rPr>
          <w:sz w:val="20"/>
          <w:vertAlign w:val="superscript"/>
        </w:rPr>
        <w:t>2</w:t>
      </w:r>
      <w:r w:rsidRPr="0068236B">
        <w:rPr>
          <w:sz w:val="20"/>
        </w:rPr>
        <w:t>.</w:t>
      </w:r>
    </w:p>
    <w:p w14:paraId="426989DE" w14:textId="77777777" w:rsidR="006D5311" w:rsidRPr="0068236B" w:rsidRDefault="006D5311" w:rsidP="006D5311">
      <w:pPr>
        <w:rPr>
          <w:rFonts w:cs="Tahoma"/>
          <w:sz w:val="20"/>
          <w:szCs w:val="20"/>
        </w:rPr>
      </w:pPr>
      <w:r w:rsidRPr="0068236B">
        <w:rPr>
          <w:rFonts w:cs="Tahoma"/>
          <w:sz w:val="20"/>
          <w:szCs w:val="20"/>
        </w:rPr>
        <w:t>The foundations are separate reinforced concrete footings for various bearing capacity of the ground. The earthing is performed with a copper wire (50 mm</w:t>
      </w:r>
      <w:r w:rsidRPr="0068236B">
        <w:rPr>
          <w:rFonts w:cs="Tahoma"/>
          <w:sz w:val="20"/>
          <w:szCs w:val="20"/>
          <w:vertAlign w:val="superscript"/>
        </w:rPr>
        <w:t>2</w:t>
      </w:r>
      <w:r w:rsidRPr="0068236B">
        <w:rPr>
          <w:rFonts w:cs="Tahoma"/>
          <w:sz w:val="20"/>
          <w:szCs w:val="20"/>
        </w:rPr>
        <w:t>) around each foundation footing and one outer ring placed at a depth of 0.7 m.</w:t>
      </w:r>
    </w:p>
    <w:p w14:paraId="3673356D" w14:textId="7CD55AA1" w:rsidR="00047DC6" w:rsidRPr="0068236B" w:rsidRDefault="00047DC6" w:rsidP="008843F6">
      <w:pPr>
        <w:ind w:left="720" w:firstLine="720"/>
        <w:rPr>
          <w:rFonts w:cs="Tahoma"/>
          <w:sz w:val="20"/>
          <w:szCs w:val="20"/>
          <w:u w:val="single"/>
        </w:rPr>
      </w:pPr>
      <w:r w:rsidRPr="0068236B">
        <w:rPr>
          <w:sz w:val="20"/>
          <w:u w:val="single"/>
        </w:rPr>
        <w:t>Reconstruction</w:t>
      </w:r>
    </w:p>
    <w:p w14:paraId="386F6EAA" w14:textId="3A95E8D6" w:rsidR="00EC73BF" w:rsidRPr="0068236B" w:rsidRDefault="003F23A1" w:rsidP="00E92CF4">
      <w:pPr>
        <w:rPr>
          <w:sz w:val="20"/>
        </w:rPr>
      </w:pPr>
      <w:r w:rsidRPr="0068236B">
        <w:rPr>
          <w:sz w:val="20"/>
        </w:rPr>
        <w:t xml:space="preserve">The reconstruction </w:t>
      </w:r>
      <w:r w:rsidR="006D5311" w:rsidRPr="0068236B">
        <w:rPr>
          <w:sz w:val="20"/>
        </w:rPr>
        <w:t>of the existing 2x110 kV OHL from SS Valandovo to SS ‘EVP’ Miletkovo will include mod</w:t>
      </w:r>
      <w:r w:rsidR="006D5311" w:rsidRPr="0068236B">
        <w:rPr>
          <w:sz w:val="20"/>
        </w:rPr>
        <w:t>i</w:t>
      </w:r>
      <w:r w:rsidR="006D5311" w:rsidRPr="0068236B">
        <w:rPr>
          <w:sz w:val="20"/>
        </w:rPr>
        <w:t xml:space="preserve">fication of the current double system line into three phase line </w:t>
      </w:r>
      <w:r w:rsidR="006D1D5F" w:rsidRPr="0068236B">
        <w:rPr>
          <w:sz w:val="20"/>
        </w:rPr>
        <w:t xml:space="preserve">single </w:t>
      </w:r>
      <w:r w:rsidR="00C008E6" w:rsidRPr="0068236B">
        <w:rPr>
          <w:sz w:val="20"/>
        </w:rPr>
        <w:t>circuit</w:t>
      </w:r>
      <w:r w:rsidR="006D1D5F" w:rsidRPr="0068236B">
        <w:rPr>
          <w:sz w:val="20"/>
        </w:rPr>
        <w:t xml:space="preserve"> line </w:t>
      </w:r>
      <w:r w:rsidR="006D5311" w:rsidRPr="0068236B">
        <w:rPr>
          <w:sz w:val="20"/>
        </w:rPr>
        <w:t xml:space="preserve">with </w:t>
      </w:r>
      <w:r w:rsidR="006D1D5F" w:rsidRPr="0068236B">
        <w:rPr>
          <w:sz w:val="20"/>
        </w:rPr>
        <w:t xml:space="preserve">a new </w:t>
      </w:r>
      <w:r w:rsidR="006D5311" w:rsidRPr="0068236B">
        <w:rPr>
          <w:sz w:val="20"/>
        </w:rPr>
        <w:t xml:space="preserve">conductor </w:t>
      </w:r>
      <w:r w:rsidR="006D1D5F" w:rsidRPr="0068236B">
        <w:rPr>
          <w:sz w:val="20"/>
        </w:rPr>
        <w:t>(</w:t>
      </w:r>
      <w:r w:rsidR="00C008E6" w:rsidRPr="0068236B">
        <w:rPr>
          <w:sz w:val="20"/>
        </w:rPr>
        <w:t>type</w:t>
      </w:r>
      <w:r w:rsidR="00C008E6" w:rsidRPr="0068236B">
        <w:rPr>
          <w:sz w:val="20"/>
          <w:szCs w:val="20"/>
          <w:lang w:eastAsia="en-US"/>
        </w:rPr>
        <w:t xml:space="preserve"> </w:t>
      </w:r>
      <w:r w:rsidR="006D1D5F" w:rsidRPr="0068236B">
        <w:rPr>
          <w:sz w:val="20"/>
          <w:szCs w:val="20"/>
          <w:lang w:eastAsia="en-US"/>
        </w:rPr>
        <w:t>AAAC</w:t>
      </w:r>
      <w:r w:rsidR="00C008E6" w:rsidRPr="0068236B">
        <w:rPr>
          <w:rStyle w:val="FootnoteReference"/>
          <w:sz w:val="20"/>
          <w:szCs w:val="20"/>
          <w:lang w:eastAsia="en-US"/>
        </w:rPr>
        <w:footnoteReference w:id="39"/>
      </w:r>
      <w:r w:rsidR="006D1D5F" w:rsidRPr="0068236B">
        <w:rPr>
          <w:sz w:val="20"/>
          <w:szCs w:val="20"/>
          <w:lang w:eastAsia="en-US"/>
        </w:rPr>
        <w:t xml:space="preserve"> 324 mm</w:t>
      </w:r>
      <w:r w:rsidR="006D1D5F" w:rsidRPr="0068236B">
        <w:rPr>
          <w:sz w:val="20"/>
          <w:szCs w:val="20"/>
          <w:vertAlign w:val="superscript"/>
          <w:lang w:eastAsia="en-US"/>
        </w:rPr>
        <w:t>2</w:t>
      </w:r>
      <w:r w:rsidR="006D1D5F" w:rsidRPr="0068236B">
        <w:rPr>
          <w:sz w:val="20"/>
        </w:rPr>
        <w:t xml:space="preserve">) </w:t>
      </w:r>
      <w:r w:rsidR="006D5311" w:rsidRPr="0068236B">
        <w:rPr>
          <w:sz w:val="20"/>
        </w:rPr>
        <w:t>on the existing route</w:t>
      </w:r>
      <w:r w:rsidR="00C008E6" w:rsidRPr="0068236B">
        <w:rPr>
          <w:sz w:val="20"/>
        </w:rPr>
        <w:t xml:space="preserve"> alignment, using the existing OHL towers. Therefore, f</w:t>
      </w:r>
      <w:r w:rsidR="00EC73BF" w:rsidRPr="0068236B">
        <w:rPr>
          <w:sz w:val="20"/>
        </w:rPr>
        <w:t>or the purpo</w:t>
      </w:r>
      <w:r w:rsidR="00EC73BF" w:rsidRPr="0068236B">
        <w:rPr>
          <w:sz w:val="20"/>
        </w:rPr>
        <w:t>s</w:t>
      </w:r>
      <w:r w:rsidR="00EC73BF" w:rsidRPr="0068236B">
        <w:rPr>
          <w:sz w:val="20"/>
        </w:rPr>
        <w:t xml:space="preserve">es of this </w:t>
      </w:r>
      <w:r w:rsidR="00C008E6" w:rsidRPr="0068236B">
        <w:rPr>
          <w:sz w:val="20"/>
        </w:rPr>
        <w:t>reconstruction</w:t>
      </w:r>
      <w:r w:rsidR="00EC73BF" w:rsidRPr="0068236B">
        <w:rPr>
          <w:sz w:val="20"/>
        </w:rPr>
        <w:t xml:space="preserve">, the existing </w:t>
      </w:r>
      <w:r w:rsidR="00C008E6" w:rsidRPr="0068236B">
        <w:rPr>
          <w:sz w:val="20"/>
        </w:rPr>
        <w:t>towers will remain in use during the operational life of the reconstruc</w:t>
      </w:r>
      <w:r w:rsidR="00C008E6" w:rsidRPr="0068236B">
        <w:rPr>
          <w:sz w:val="20"/>
        </w:rPr>
        <w:t>t</w:t>
      </w:r>
      <w:r w:rsidR="00C008E6" w:rsidRPr="0068236B">
        <w:rPr>
          <w:sz w:val="20"/>
        </w:rPr>
        <w:t xml:space="preserve">ed </w:t>
      </w:r>
      <w:r w:rsidR="00EC73BF" w:rsidRPr="0068236B">
        <w:rPr>
          <w:sz w:val="20"/>
        </w:rPr>
        <w:t>line.</w:t>
      </w:r>
    </w:p>
    <w:p w14:paraId="7177CF29" w14:textId="6160CA72" w:rsidR="003F23A1" w:rsidRPr="0068236B" w:rsidRDefault="003F23A1" w:rsidP="003F23A1">
      <w:pPr>
        <w:rPr>
          <w:sz w:val="20"/>
          <w:szCs w:val="20"/>
        </w:rPr>
      </w:pPr>
      <w:r w:rsidRPr="0068236B">
        <w:rPr>
          <w:sz w:val="20"/>
          <w:szCs w:val="20"/>
        </w:rPr>
        <w:t>The proposed reconstruction of the line will be done from its starting point (existing SS Valandovo), i.e. to</w:t>
      </w:r>
      <w:r w:rsidRPr="0068236B">
        <w:rPr>
          <w:sz w:val="20"/>
          <w:szCs w:val="20"/>
        </w:rPr>
        <w:t>w</w:t>
      </w:r>
      <w:r w:rsidRPr="0068236B">
        <w:rPr>
          <w:sz w:val="20"/>
          <w:szCs w:val="20"/>
        </w:rPr>
        <w:t>er no.1 to tower no.19</w:t>
      </w:r>
      <w:r w:rsidR="003116C6" w:rsidRPr="0068236B">
        <w:rPr>
          <w:sz w:val="20"/>
          <w:szCs w:val="20"/>
        </w:rPr>
        <w:t xml:space="preserve">, with estimated length of 6 km </w:t>
      </w:r>
      <w:r w:rsidRPr="0068236B">
        <w:rPr>
          <w:sz w:val="20"/>
          <w:szCs w:val="20"/>
        </w:rPr>
        <w:t xml:space="preserve">and will consist of the following steps: </w:t>
      </w:r>
    </w:p>
    <w:p w14:paraId="1C5342F8" w14:textId="6AE0D0F7" w:rsidR="003F23A1" w:rsidRPr="0068236B" w:rsidRDefault="003F23A1" w:rsidP="003F23A1">
      <w:pPr>
        <w:pStyle w:val="ListBullet"/>
        <w:spacing w:line="240" w:lineRule="auto"/>
        <w:jc w:val="left"/>
        <w:rPr>
          <w:sz w:val="20"/>
          <w:szCs w:val="20"/>
        </w:rPr>
      </w:pPr>
      <w:r w:rsidRPr="0068236B">
        <w:rPr>
          <w:sz w:val="20"/>
          <w:szCs w:val="20"/>
        </w:rPr>
        <w:t>Dismantling the existing conductors</w:t>
      </w:r>
      <w:r w:rsidR="003116C6" w:rsidRPr="0068236B">
        <w:rPr>
          <w:sz w:val="20"/>
          <w:szCs w:val="20"/>
        </w:rPr>
        <w:t xml:space="preserve"> </w:t>
      </w:r>
      <w:r w:rsidR="003116C6" w:rsidRPr="0068236B">
        <w:rPr>
          <w:sz w:val="20"/>
        </w:rPr>
        <w:t>ACSR150/25 mm</w:t>
      </w:r>
      <w:r w:rsidR="003116C6" w:rsidRPr="0068236B">
        <w:rPr>
          <w:sz w:val="20"/>
          <w:vertAlign w:val="superscript"/>
        </w:rPr>
        <w:t>2</w:t>
      </w:r>
      <w:r w:rsidRPr="0068236B">
        <w:rPr>
          <w:sz w:val="20"/>
          <w:szCs w:val="20"/>
        </w:rPr>
        <w:t>, insulator strings and earth wire</w:t>
      </w:r>
    </w:p>
    <w:p w14:paraId="413CED4D" w14:textId="4DBD9415" w:rsidR="003F23A1" w:rsidRPr="0068236B" w:rsidRDefault="003F23A1" w:rsidP="003F23A1">
      <w:pPr>
        <w:pStyle w:val="ListBullet"/>
        <w:spacing w:line="240" w:lineRule="auto"/>
        <w:jc w:val="left"/>
        <w:rPr>
          <w:sz w:val="20"/>
          <w:szCs w:val="20"/>
        </w:rPr>
      </w:pPr>
      <w:r w:rsidRPr="0068236B">
        <w:rPr>
          <w:sz w:val="20"/>
          <w:szCs w:val="20"/>
        </w:rPr>
        <w:t>Installing new 110 kV conductor</w:t>
      </w:r>
      <w:r w:rsidR="003116C6" w:rsidRPr="0068236B">
        <w:rPr>
          <w:sz w:val="20"/>
          <w:szCs w:val="20"/>
        </w:rPr>
        <w:t>s</w:t>
      </w:r>
      <w:r w:rsidRPr="0068236B">
        <w:rPr>
          <w:sz w:val="20"/>
          <w:szCs w:val="20"/>
        </w:rPr>
        <w:t xml:space="preserve"> AAAC 324 mm</w:t>
      </w:r>
      <w:r w:rsidRPr="0068236B">
        <w:rPr>
          <w:sz w:val="20"/>
          <w:szCs w:val="20"/>
          <w:vertAlign w:val="superscript"/>
        </w:rPr>
        <w:t>2</w:t>
      </w:r>
      <w:r w:rsidRPr="0068236B">
        <w:rPr>
          <w:sz w:val="20"/>
          <w:szCs w:val="20"/>
        </w:rPr>
        <w:t xml:space="preserve"> (with capacity of 150 MVA)</w:t>
      </w:r>
    </w:p>
    <w:p w14:paraId="59686835" w14:textId="77777777" w:rsidR="003F23A1" w:rsidRPr="0068236B" w:rsidRDefault="003F23A1" w:rsidP="003F23A1">
      <w:pPr>
        <w:pStyle w:val="ListBullet"/>
        <w:spacing w:line="240" w:lineRule="auto"/>
        <w:jc w:val="left"/>
        <w:rPr>
          <w:sz w:val="20"/>
          <w:szCs w:val="20"/>
        </w:rPr>
      </w:pPr>
      <w:r w:rsidRPr="0068236B">
        <w:rPr>
          <w:sz w:val="20"/>
          <w:szCs w:val="20"/>
        </w:rPr>
        <w:t>Installing new insulator strings</w:t>
      </w:r>
    </w:p>
    <w:p w14:paraId="15728CCD" w14:textId="77777777" w:rsidR="003F23A1" w:rsidRPr="0068236B" w:rsidRDefault="003F23A1" w:rsidP="003F23A1">
      <w:pPr>
        <w:pStyle w:val="ListBullet"/>
        <w:spacing w:line="240" w:lineRule="auto"/>
        <w:jc w:val="left"/>
        <w:rPr>
          <w:sz w:val="20"/>
          <w:szCs w:val="20"/>
        </w:rPr>
      </w:pPr>
      <w:r w:rsidRPr="0068236B">
        <w:rPr>
          <w:sz w:val="20"/>
          <w:szCs w:val="20"/>
        </w:rPr>
        <w:t>Installing new earth wire (OPGW)</w:t>
      </w:r>
    </w:p>
    <w:p w14:paraId="04B63174" w14:textId="1142EB0B" w:rsidR="003F23A1" w:rsidRPr="0068236B" w:rsidRDefault="003F23A1" w:rsidP="003F23A1">
      <w:pPr>
        <w:rPr>
          <w:sz w:val="20"/>
          <w:szCs w:val="20"/>
          <w:lang w:eastAsia="en-US"/>
        </w:rPr>
      </w:pPr>
      <w:r w:rsidRPr="0068236B">
        <w:rPr>
          <w:sz w:val="20"/>
          <w:szCs w:val="20"/>
          <w:lang w:eastAsia="en-US"/>
        </w:rPr>
        <w:t xml:space="preserve">As noted, the dismantling works will consist of dismantling of the existing conductor </w:t>
      </w:r>
      <w:r w:rsidR="003116C6" w:rsidRPr="0068236B">
        <w:rPr>
          <w:sz w:val="20"/>
          <w:szCs w:val="20"/>
          <w:lang w:eastAsia="en-US"/>
        </w:rPr>
        <w:t>(</w:t>
      </w:r>
      <w:r w:rsidRPr="0068236B">
        <w:rPr>
          <w:sz w:val="20"/>
          <w:szCs w:val="20"/>
        </w:rPr>
        <w:t>four conductor wires), the insulator strings and e</w:t>
      </w:r>
      <w:r w:rsidRPr="0068236B">
        <w:rPr>
          <w:sz w:val="20"/>
          <w:szCs w:val="20"/>
          <w:lang w:eastAsia="en-US"/>
        </w:rPr>
        <w:t>arth wire.</w:t>
      </w:r>
      <w:r w:rsidR="0082478D" w:rsidRPr="0068236B">
        <w:rPr>
          <w:sz w:val="20"/>
          <w:szCs w:val="20"/>
          <w:lang w:eastAsia="en-US"/>
        </w:rPr>
        <w:t xml:space="preserve"> </w:t>
      </w:r>
      <w:r w:rsidR="00257E54" w:rsidRPr="0068236B">
        <w:rPr>
          <w:sz w:val="20"/>
          <w:szCs w:val="20"/>
          <w:lang w:eastAsia="en-US"/>
        </w:rPr>
        <w:t>Also, t</w:t>
      </w:r>
      <w:r w:rsidR="00257E54" w:rsidRPr="0068236B">
        <w:rPr>
          <w:rFonts w:cs="Tahoma"/>
          <w:sz w:val="20"/>
          <w:szCs w:val="20"/>
        </w:rPr>
        <w:t>wo existing towers (no.19 and no.20) at the proximity of the ‘EVP’ SS Miletkovo will be dismantled and removed, followed by removal of the respective foundations. These towers are not required for operation of the Project.</w:t>
      </w:r>
    </w:p>
    <w:p w14:paraId="6BD13262" w14:textId="11DC01FF" w:rsidR="003F23A1" w:rsidRPr="0068236B" w:rsidRDefault="003F23A1" w:rsidP="003F23A1">
      <w:pPr>
        <w:rPr>
          <w:sz w:val="20"/>
          <w:szCs w:val="20"/>
          <w:lang w:eastAsia="en-US"/>
        </w:rPr>
      </w:pPr>
      <w:r w:rsidRPr="0068236B">
        <w:rPr>
          <w:sz w:val="20"/>
          <w:szCs w:val="20"/>
          <w:lang w:eastAsia="en-US"/>
        </w:rPr>
        <w:t>Since the line will be reconstructed from double phase (2x110 kV) line into three phase (1x110 kV) line, after the dismantling of the conductor and the insulator strings, one arm of the tower will remain empty (without insulators and conductor)</w:t>
      </w:r>
      <w:r w:rsidR="003355C1" w:rsidRPr="0068236B">
        <w:rPr>
          <w:sz w:val="20"/>
          <w:szCs w:val="20"/>
          <w:lang w:eastAsia="en-US"/>
        </w:rPr>
        <w:t>.</w:t>
      </w:r>
    </w:p>
    <w:p w14:paraId="5BDB4686" w14:textId="661FBDC2" w:rsidR="003355C1" w:rsidRPr="0068236B" w:rsidRDefault="003355C1" w:rsidP="008843F6">
      <w:pPr>
        <w:pStyle w:val="ListBullet"/>
        <w:numPr>
          <w:ilvl w:val="0"/>
          <w:numId w:val="0"/>
        </w:numPr>
        <w:spacing w:before="120" w:after="120"/>
        <w:ind w:firstLine="720"/>
        <w:jc w:val="left"/>
        <w:rPr>
          <w:sz w:val="20"/>
          <w:u w:val="single"/>
        </w:rPr>
      </w:pPr>
      <w:r w:rsidRPr="0068236B">
        <w:rPr>
          <w:sz w:val="20"/>
          <w:u w:val="single"/>
        </w:rPr>
        <w:t>Extension of Single Circuit (1x110 kV) OHL to the new 400/110 kV SS Miletkovo</w:t>
      </w:r>
    </w:p>
    <w:p w14:paraId="26F17F1D" w14:textId="53FB535A" w:rsidR="003355C1" w:rsidRPr="0068236B" w:rsidRDefault="003355C1" w:rsidP="003355C1">
      <w:pPr>
        <w:rPr>
          <w:sz w:val="20"/>
          <w:szCs w:val="20"/>
        </w:rPr>
      </w:pPr>
      <w:r w:rsidRPr="0068236B">
        <w:rPr>
          <w:sz w:val="20"/>
          <w:szCs w:val="20"/>
        </w:rPr>
        <w:t xml:space="preserve">In order to connect the section </w:t>
      </w:r>
      <w:r w:rsidR="003116C6" w:rsidRPr="0068236B">
        <w:rPr>
          <w:sz w:val="20"/>
          <w:szCs w:val="20"/>
        </w:rPr>
        <w:t>of the reconstructed line from</w:t>
      </w:r>
      <w:r w:rsidRPr="0068236B">
        <w:rPr>
          <w:sz w:val="20"/>
          <w:szCs w:val="20"/>
        </w:rPr>
        <w:t xml:space="preserve"> tower no.19 to the new SS 400/110 kV M</w:t>
      </w:r>
      <w:r w:rsidRPr="0068236B">
        <w:rPr>
          <w:sz w:val="20"/>
          <w:szCs w:val="20"/>
        </w:rPr>
        <w:t>i</w:t>
      </w:r>
      <w:r w:rsidRPr="0068236B">
        <w:rPr>
          <w:sz w:val="20"/>
          <w:szCs w:val="20"/>
        </w:rPr>
        <w:t>letkovo, a new 110 kV OHL will be constructed with an estimated length of 1.9 km</w:t>
      </w:r>
      <w:r w:rsidR="003116C6" w:rsidRPr="0068236B">
        <w:rPr>
          <w:sz w:val="20"/>
          <w:szCs w:val="20"/>
        </w:rPr>
        <w:t xml:space="preserve"> (Figure below)</w:t>
      </w:r>
      <w:r w:rsidRPr="0068236B">
        <w:rPr>
          <w:sz w:val="20"/>
          <w:szCs w:val="20"/>
        </w:rPr>
        <w:t xml:space="preserve">. </w:t>
      </w:r>
    </w:p>
    <w:p w14:paraId="55DB5F13" w14:textId="2027E83C" w:rsidR="003355C1" w:rsidRPr="0068236B" w:rsidRDefault="008562BA" w:rsidP="003B32A0">
      <w:pPr>
        <w:spacing w:before="0" w:after="0"/>
        <w:rPr>
          <w:sz w:val="20"/>
          <w:szCs w:val="20"/>
          <w:lang w:eastAsia="en-US"/>
        </w:rPr>
      </w:pPr>
      <w:r w:rsidRPr="0068236B">
        <w:rPr>
          <w:noProof/>
          <w:lang w:val="mk-MK" w:eastAsia="mk-MK"/>
        </w:rPr>
        <w:lastRenderedPageBreak/>
        <w:drawing>
          <wp:inline distT="0" distB="0" distL="0" distR="0" wp14:anchorId="360514B3" wp14:editId="7BF7D4C4">
            <wp:extent cx="4838700" cy="4450080"/>
            <wp:effectExtent l="3810" t="0" r="3810" b="381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email">
                      <a:extLst>
                        <a:ext uri="{28A0092B-C50C-407E-A947-70E740481C1C}">
                          <a14:useLocalDpi xmlns:a14="http://schemas.microsoft.com/office/drawing/2010/main" val="0"/>
                        </a:ext>
                      </a:extLst>
                    </a:blip>
                    <a:srcRect/>
                    <a:stretch>
                      <a:fillRect/>
                    </a:stretch>
                  </pic:blipFill>
                  <pic:spPr bwMode="auto">
                    <a:xfrm rot="16200000">
                      <a:off x="0" y="0"/>
                      <a:ext cx="4838700" cy="4450080"/>
                    </a:xfrm>
                    <a:prstGeom prst="rect">
                      <a:avLst/>
                    </a:prstGeom>
                    <a:noFill/>
                    <a:ln>
                      <a:noFill/>
                    </a:ln>
                  </pic:spPr>
                </pic:pic>
              </a:graphicData>
            </a:graphic>
          </wp:inline>
        </w:drawing>
      </w:r>
    </w:p>
    <w:p w14:paraId="65907CC1" w14:textId="3AD17441" w:rsidR="008843F6" w:rsidRPr="0068236B" w:rsidRDefault="00AA25B5" w:rsidP="003116C6">
      <w:pPr>
        <w:spacing w:before="0" w:after="60"/>
        <w:jc w:val="left"/>
        <w:rPr>
          <w:sz w:val="18"/>
          <w:szCs w:val="20"/>
        </w:rPr>
      </w:pPr>
      <w:bookmarkStart w:id="74" w:name="_Toc112928857"/>
      <w:r w:rsidRPr="0068236B">
        <w:rPr>
          <w:rFonts w:cs="Arial"/>
          <w:iCs/>
          <w:sz w:val="18"/>
          <w:szCs w:val="20"/>
        </w:rPr>
        <w:t xml:space="preserve">Figure </w:t>
      </w:r>
      <w:r w:rsidRPr="0068236B">
        <w:rPr>
          <w:rFonts w:cs="Arial"/>
          <w:iCs/>
          <w:sz w:val="18"/>
          <w:szCs w:val="20"/>
        </w:rPr>
        <w:fldChar w:fldCharType="begin"/>
      </w:r>
      <w:r w:rsidRPr="0068236B">
        <w:rPr>
          <w:rFonts w:cs="Arial"/>
          <w:iCs/>
          <w:sz w:val="18"/>
          <w:szCs w:val="20"/>
        </w:rPr>
        <w:instrText xml:space="preserve"> STYLEREF 1 \s </w:instrText>
      </w:r>
      <w:r w:rsidRPr="0068236B">
        <w:rPr>
          <w:rFonts w:cs="Arial"/>
          <w:iCs/>
          <w:sz w:val="18"/>
          <w:szCs w:val="20"/>
        </w:rPr>
        <w:fldChar w:fldCharType="separate"/>
      </w:r>
      <w:r w:rsidR="00234EBE" w:rsidRPr="0068236B">
        <w:rPr>
          <w:rFonts w:cs="Arial"/>
          <w:iCs/>
          <w:noProof/>
          <w:sz w:val="18"/>
          <w:szCs w:val="20"/>
        </w:rPr>
        <w:t>2</w:t>
      </w:r>
      <w:r w:rsidRPr="0068236B">
        <w:rPr>
          <w:rFonts w:cs="Arial"/>
          <w:iCs/>
          <w:sz w:val="18"/>
          <w:szCs w:val="20"/>
        </w:rPr>
        <w:fldChar w:fldCharType="end"/>
      </w:r>
      <w:r w:rsidRPr="0068236B">
        <w:rPr>
          <w:rFonts w:cs="Arial"/>
          <w:iCs/>
          <w:sz w:val="18"/>
          <w:szCs w:val="20"/>
        </w:rPr>
        <w:t>.</w:t>
      </w:r>
      <w:r w:rsidRPr="0068236B">
        <w:rPr>
          <w:rFonts w:cs="Arial"/>
          <w:iCs/>
          <w:sz w:val="18"/>
          <w:szCs w:val="20"/>
        </w:rPr>
        <w:fldChar w:fldCharType="begin"/>
      </w:r>
      <w:r w:rsidRPr="0068236B">
        <w:rPr>
          <w:rFonts w:cs="Arial"/>
          <w:iCs/>
          <w:sz w:val="18"/>
          <w:szCs w:val="20"/>
        </w:rPr>
        <w:instrText xml:space="preserve"> SEQ Figure \* ARABIC \s 1 </w:instrText>
      </w:r>
      <w:r w:rsidRPr="0068236B">
        <w:rPr>
          <w:rFonts w:cs="Arial"/>
          <w:iCs/>
          <w:sz w:val="18"/>
          <w:szCs w:val="20"/>
        </w:rPr>
        <w:fldChar w:fldCharType="separate"/>
      </w:r>
      <w:r w:rsidR="00234EBE" w:rsidRPr="0068236B">
        <w:rPr>
          <w:rFonts w:cs="Arial"/>
          <w:iCs/>
          <w:noProof/>
          <w:sz w:val="18"/>
          <w:szCs w:val="20"/>
        </w:rPr>
        <w:t>8</w:t>
      </w:r>
      <w:r w:rsidRPr="0068236B">
        <w:rPr>
          <w:rFonts w:cs="Arial"/>
          <w:iCs/>
          <w:sz w:val="18"/>
          <w:szCs w:val="20"/>
        </w:rPr>
        <w:fldChar w:fldCharType="end"/>
      </w:r>
      <w:r w:rsidRPr="0068236B">
        <w:rPr>
          <w:sz w:val="18"/>
          <w:szCs w:val="20"/>
        </w:rPr>
        <w:t>:</w:t>
      </w:r>
      <w:r w:rsidR="003116C6" w:rsidRPr="0068236B">
        <w:rPr>
          <w:sz w:val="18"/>
          <w:szCs w:val="20"/>
        </w:rPr>
        <w:t xml:space="preserve"> New 110 kV </w:t>
      </w:r>
      <w:r w:rsidR="005A38FE" w:rsidRPr="0068236B">
        <w:rPr>
          <w:sz w:val="18"/>
          <w:szCs w:val="20"/>
        </w:rPr>
        <w:t>transm</w:t>
      </w:r>
      <w:r w:rsidR="008843F6" w:rsidRPr="0068236B">
        <w:rPr>
          <w:sz w:val="18"/>
          <w:szCs w:val="20"/>
        </w:rPr>
        <w:t xml:space="preserve">ission line from tower no.19 to </w:t>
      </w:r>
      <w:r w:rsidR="003116C6" w:rsidRPr="0068236B">
        <w:rPr>
          <w:sz w:val="18"/>
          <w:szCs w:val="20"/>
        </w:rPr>
        <w:t xml:space="preserve">400/110 kV </w:t>
      </w:r>
      <w:r w:rsidR="005A38FE" w:rsidRPr="0068236B">
        <w:rPr>
          <w:sz w:val="18"/>
          <w:szCs w:val="20"/>
        </w:rPr>
        <w:t xml:space="preserve">substation </w:t>
      </w:r>
      <w:r w:rsidR="003116C6" w:rsidRPr="0068236B">
        <w:rPr>
          <w:sz w:val="18"/>
          <w:szCs w:val="20"/>
        </w:rPr>
        <w:t>Miletkovo</w:t>
      </w:r>
      <w:r w:rsidR="005A38FE" w:rsidRPr="0068236B">
        <w:rPr>
          <w:sz w:val="18"/>
          <w:szCs w:val="20"/>
        </w:rPr>
        <w:t xml:space="preserve"> (extension of</w:t>
      </w:r>
      <w:r w:rsidR="008562BA" w:rsidRPr="0068236B">
        <w:rPr>
          <w:sz w:val="18"/>
          <w:szCs w:val="20"/>
        </w:rPr>
        <w:t xml:space="preserve"> existing</w:t>
      </w:r>
      <w:r w:rsidR="005A38FE" w:rsidRPr="0068236B">
        <w:rPr>
          <w:sz w:val="18"/>
          <w:szCs w:val="20"/>
        </w:rPr>
        <w:t xml:space="preserve"> 110 kV transmission line, subject to reconstruction)</w:t>
      </w:r>
      <w:bookmarkEnd w:id="74"/>
    </w:p>
    <w:p w14:paraId="22443395" w14:textId="258803A1" w:rsidR="003116C6" w:rsidRPr="0068236B" w:rsidRDefault="008843F6" w:rsidP="003116C6">
      <w:pPr>
        <w:spacing w:before="0" w:after="60"/>
        <w:jc w:val="left"/>
        <w:rPr>
          <w:sz w:val="16"/>
          <w:szCs w:val="18"/>
        </w:rPr>
      </w:pPr>
      <w:r w:rsidRPr="0068236B">
        <w:rPr>
          <w:sz w:val="16"/>
          <w:szCs w:val="18"/>
        </w:rPr>
        <w:t xml:space="preserve">Note: the extension is depicted in dark </w:t>
      </w:r>
      <w:r w:rsidR="00264B7B" w:rsidRPr="0068236B">
        <w:rPr>
          <w:sz w:val="16"/>
          <w:szCs w:val="18"/>
        </w:rPr>
        <w:t>blue line</w:t>
      </w:r>
    </w:p>
    <w:p w14:paraId="2D7BA83B" w14:textId="5454FF80" w:rsidR="003116C6" w:rsidRPr="0068236B" w:rsidRDefault="003116C6" w:rsidP="003116C6">
      <w:pPr>
        <w:spacing w:before="0" w:after="240" w:line="240" w:lineRule="auto"/>
        <w:jc w:val="left"/>
        <w:rPr>
          <w:rFonts w:cs="Tahoma"/>
          <w:bCs/>
          <w:sz w:val="16"/>
          <w:szCs w:val="18"/>
        </w:rPr>
      </w:pPr>
      <w:r w:rsidRPr="0068236B">
        <w:rPr>
          <w:rFonts w:cs="Tahoma"/>
          <w:iCs/>
          <w:sz w:val="16"/>
          <w:szCs w:val="18"/>
        </w:rPr>
        <w:t xml:space="preserve">Source: </w:t>
      </w:r>
      <w:r w:rsidRPr="0068236B">
        <w:rPr>
          <w:rFonts w:cs="Tahoma"/>
          <w:sz w:val="16"/>
          <w:szCs w:val="18"/>
          <w:lang w:eastAsia="en-US"/>
        </w:rPr>
        <w:t xml:space="preserve">WB21-MKD-ENE-03 North Macedonia, Strengthening the Transmission Network in the Southeast Region of North Macedonia - Component 1; </w:t>
      </w:r>
      <w:r w:rsidR="00E6543C" w:rsidRPr="0068236B">
        <w:rPr>
          <w:rFonts w:cs="Tahoma"/>
          <w:sz w:val="16"/>
          <w:szCs w:val="18"/>
        </w:rPr>
        <w:t>Detailed Technical Assessment of Preferred Option, January 2022</w:t>
      </w:r>
      <w:r w:rsidRPr="0068236B">
        <w:rPr>
          <w:rFonts w:cs="Tahoma"/>
          <w:bCs/>
          <w:sz w:val="16"/>
          <w:szCs w:val="18"/>
        </w:rPr>
        <w:t xml:space="preserve"> [Ref.7]</w:t>
      </w:r>
    </w:p>
    <w:p w14:paraId="09DF4304" w14:textId="0C697937" w:rsidR="008843F6" w:rsidRPr="0068236B" w:rsidRDefault="008843F6" w:rsidP="008843F6">
      <w:pPr>
        <w:pStyle w:val="NumberedParagraph"/>
        <w:rPr>
          <w:sz w:val="20"/>
          <w:szCs w:val="20"/>
        </w:rPr>
      </w:pPr>
      <w:r w:rsidRPr="0068236B">
        <w:rPr>
          <w:sz w:val="20"/>
        </w:rPr>
        <w:t xml:space="preserve">The proposed </w:t>
      </w:r>
      <w:r w:rsidR="00572740" w:rsidRPr="0068236B">
        <w:rPr>
          <w:sz w:val="20"/>
        </w:rPr>
        <w:t xml:space="preserve">extension of the </w:t>
      </w:r>
      <w:r w:rsidRPr="0068236B">
        <w:rPr>
          <w:sz w:val="20"/>
        </w:rPr>
        <w:t>existing 110 kV line from SS Valandovo to SS ‘EVP’ Miletkovo</w:t>
      </w:r>
      <w:r w:rsidR="00572740" w:rsidRPr="0068236B">
        <w:rPr>
          <w:sz w:val="20"/>
        </w:rPr>
        <w:t xml:space="preserve">, which will be </w:t>
      </w:r>
      <w:r w:rsidR="00572740" w:rsidRPr="0068236B">
        <w:rPr>
          <w:sz w:val="20"/>
          <w:szCs w:val="20"/>
        </w:rPr>
        <w:t xml:space="preserve">reconstructed, </w:t>
      </w:r>
      <w:r w:rsidRPr="0068236B">
        <w:rPr>
          <w:sz w:val="20"/>
          <w:szCs w:val="20"/>
        </w:rPr>
        <w:t xml:space="preserve">to the new 400/110 kV SS Miletkovo includes the following technical elements: </w:t>
      </w:r>
    </w:p>
    <w:p w14:paraId="32E4ED10" w14:textId="18A09065" w:rsidR="00572740" w:rsidRPr="0068236B" w:rsidRDefault="00572740" w:rsidP="008E77D3">
      <w:pPr>
        <w:pStyle w:val="NumberedParagraph"/>
        <w:numPr>
          <w:ilvl w:val="0"/>
          <w:numId w:val="47"/>
        </w:numPr>
        <w:spacing w:before="0" w:after="60" w:line="240" w:lineRule="auto"/>
        <w:ind w:left="714" w:hanging="357"/>
        <w:jc w:val="left"/>
        <w:rPr>
          <w:sz w:val="20"/>
          <w:szCs w:val="20"/>
        </w:rPr>
      </w:pPr>
      <w:r w:rsidRPr="0068236B">
        <w:rPr>
          <w:sz w:val="20"/>
          <w:szCs w:val="20"/>
        </w:rPr>
        <w:t xml:space="preserve">Towers. The proposed transmission line will be designed and constructed with galvanised steel-lattice towers with three arms configuration of conductors with one conductor per phase and one earth wire at the top of the towers. </w:t>
      </w:r>
    </w:p>
    <w:p w14:paraId="136751C3" w14:textId="13E32647" w:rsidR="00572740" w:rsidRPr="0068236B" w:rsidRDefault="00572740" w:rsidP="008E77D3">
      <w:pPr>
        <w:pStyle w:val="ListBullet"/>
        <w:numPr>
          <w:ilvl w:val="0"/>
          <w:numId w:val="47"/>
        </w:numPr>
        <w:spacing w:line="240" w:lineRule="auto"/>
        <w:ind w:left="714" w:hanging="357"/>
        <w:jc w:val="left"/>
        <w:rPr>
          <w:sz w:val="20"/>
          <w:szCs w:val="20"/>
        </w:rPr>
      </w:pPr>
      <w:r w:rsidRPr="0068236B">
        <w:rPr>
          <w:sz w:val="20"/>
          <w:szCs w:val="20"/>
        </w:rPr>
        <w:t>Foundations. The tower foundations will be designed and will be constructed of four separate rei</w:t>
      </w:r>
      <w:r w:rsidRPr="0068236B">
        <w:rPr>
          <w:sz w:val="20"/>
          <w:szCs w:val="20"/>
        </w:rPr>
        <w:t>n</w:t>
      </w:r>
      <w:r w:rsidRPr="0068236B">
        <w:rPr>
          <w:sz w:val="20"/>
          <w:szCs w:val="20"/>
        </w:rPr>
        <w:t xml:space="preserve">forced concrete footings suitable for the specific bearing capacity of the terrain. </w:t>
      </w:r>
    </w:p>
    <w:p w14:paraId="7DB85C3C" w14:textId="77777777" w:rsidR="00572740" w:rsidRPr="0068236B" w:rsidRDefault="00572740" w:rsidP="008E77D3">
      <w:pPr>
        <w:pStyle w:val="ListBullet"/>
        <w:numPr>
          <w:ilvl w:val="0"/>
          <w:numId w:val="47"/>
        </w:numPr>
        <w:spacing w:line="240" w:lineRule="auto"/>
        <w:ind w:left="714" w:hanging="357"/>
        <w:jc w:val="left"/>
        <w:rPr>
          <w:sz w:val="20"/>
          <w:szCs w:val="20"/>
        </w:rPr>
      </w:pPr>
      <w:r w:rsidRPr="0068236B">
        <w:rPr>
          <w:sz w:val="20"/>
          <w:szCs w:val="20"/>
        </w:rPr>
        <w:t>Phase conductors and insulator strings. One conductor per phase is foreseen. Characteristics of the conductors will be in compliance with national standards (MKS) and European standards (European Norms - EN). The insulator strings will be tension strings.</w:t>
      </w:r>
    </w:p>
    <w:p w14:paraId="234D3E20" w14:textId="77777777" w:rsidR="00572740" w:rsidRPr="0068236B" w:rsidRDefault="00572740" w:rsidP="00572740">
      <w:pPr>
        <w:pStyle w:val="ListBullet"/>
        <w:spacing w:before="120" w:after="120"/>
        <w:jc w:val="left"/>
        <w:rPr>
          <w:sz w:val="20"/>
          <w:szCs w:val="20"/>
        </w:rPr>
      </w:pPr>
      <w:r w:rsidRPr="0068236B">
        <w:rPr>
          <w:sz w:val="20"/>
          <w:szCs w:val="20"/>
        </w:rPr>
        <w:t>Towers and foundations</w:t>
      </w:r>
    </w:p>
    <w:p w14:paraId="65551D9A" w14:textId="6C1E6124" w:rsidR="00572740" w:rsidRPr="0068236B" w:rsidRDefault="00572740" w:rsidP="00572740">
      <w:pPr>
        <w:pStyle w:val="BodyText"/>
        <w:spacing w:before="120" w:after="120"/>
        <w:ind w:left="0"/>
        <w:jc w:val="both"/>
        <w:rPr>
          <w:rFonts w:ascii="Tahoma" w:hAnsi="Tahoma" w:cs="Tahoma"/>
          <w:sz w:val="20"/>
          <w:szCs w:val="20"/>
        </w:rPr>
      </w:pPr>
      <w:r w:rsidRPr="0068236B">
        <w:rPr>
          <w:rFonts w:ascii="Tahoma" w:hAnsi="Tahoma" w:cs="Tahoma"/>
          <w:sz w:val="20"/>
          <w:szCs w:val="20"/>
        </w:rPr>
        <w:t>The design of the towers will ensure safe operation in all working climate conditions, paying particular r</w:t>
      </w:r>
      <w:r w:rsidRPr="0068236B">
        <w:rPr>
          <w:rFonts w:ascii="Tahoma" w:hAnsi="Tahoma" w:cs="Tahoma"/>
          <w:sz w:val="20"/>
          <w:szCs w:val="20"/>
        </w:rPr>
        <w:t>e</w:t>
      </w:r>
      <w:r w:rsidRPr="0068236B">
        <w:rPr>
          <w:rFonts w:ascii="Tahoma" w:hAnsi="Tahoma" w:cs="Tahoma"/>
          <w:sz w:val="20"/>
          <w:szCs w:val="20"/>
        </w:rPr>
        <w:t>gard to the phase conductors, earth wires and insulator sets and for the designed wind and weight spans.</w:t>
      </w:r>
    </w:p>
    <w:p w14:paraId="0D5D7DD5" w14:textId="77777777" w:rsidR="00572740" w:rsidRPr="0068236B" w:rsidRDefault="00572740" w:rsidP="00572740">
      <w:pPr>
        <w:pStyle w:val="BodyText"/>
        <w:spacing w:before="120" w:after="120"/>
        <w:ind w:left="0"/>
        <w:jc w:val="both"/>
        <w:rPr>
          <w:rFonts w:ascii="Tahoma" w:hAnsi="Tahoma" w:cs="Tahoma"/>
          <w:sz w:val="20"/>
          <w:szCs w:val="20"/>
        </w:rPr>
      </w:pPr>
      <w:r w:rsidRPr="0068236B">
        <w:rPr>
          <w:rFonts w:ascii="Tahoma" w:hAnsi="Tahoma" w:cs="Tahoma"/>
          <w:sz w:val="20"/>
          <w:szCs w:val="20"/>
        </w:rPr>
        <w:t>Depending on their position in the transmission line, the types of towers could be:</w:t>
      </w:r>
    </w:p>
    <w:p w14:paraId="56B10289" w14:textId="77777777" w:rsidR="00572740" w:rsidRPr="0068236B" w:rsidRDefault="00572740" w:rsidP="00572740">
      <w:pPr>
        <w:pStyle w:val="ListBullet2"/>
        <w:rPr>
          <w:sz w:val="20"/>
          <w:szCs w:val="20"/>
        </w:rPr>
      </w:pPr>
      <w:r w:rsidRPr="0068236B">
        <w:rPr>
          <w:sz w:val="20"/>
          <w:szCs w:val="20"/>
        </w:rPr>
        <w:t xml:space="preserve">Suspension towers, </w:t>
      </w:r>
    </w:p>
    <w:p w14:paraId="5FBB1769" w14:textId="77777777" w:rsidR="00572740" w:rsidRPr="0068236B" w:rsidRDefault="00572740" w:rsidP="00572740">
      <w:pPr>
        <w:pStyle w:val="ListBullet2"/>
        <w:rPr>
          <w:sz w:val="20"/>
          <w:szCs w:val="20"/>
        </w:rPr>
      </w:pPr>
      <w:r w:rsidRPr="0068236B">
        <w:rPr>
          <w:sz w:val="20"/>
          <w:szCs w:val="20"/>
        </w:rPr>
        <w:t>Angle (tension) towers, used where the line changes direction or for special loading cases along the line,</w:t>
      </w:r>
    </w:p>
    <w:p w14:paraId="277E0896" w14:textId="77777777" w:rsidR="00572740" w:rsidRPr="0068236B" w:rsidRDefault="00572740" w:rsidP="00572740">
      <w:pPr>
        <w:pStyle w:val="ListBullet2"/>
        <w:rPr>
          <w:rFonts w:cs="Tahoma"/>
          <w:sz w:val="20"/>
          <w:szCs w:val="20"/>
        </w:rPr>
      </w:pPr>
      <w:r w:rsidRPr="0068236B">
        <w:rPr>
          <w:sz w:val="20"/>
          <w:szCs w:val="20"/>
        </w:rPr>
        <w:t xml:space="preserve">Terminal towers, used when the line is connected to a substation. </w:t>
      </w:r>
    </w:p>
    <w:p w14:paraId="291C3C7C" w14:textId="0AE6B6F1" w:rsidR="00572740" w:rsidRPr="0068236B" w:rsidRDefault="002F61B9" w:rsidP="00572740">
      <w:pPr>
        <w:pStyle w:val="BodyText"/>
        <w:spacing w:before="120" w:after="120"/>
        <w:ind w:left="0"/>
        <w:jc w:val="both"/>
        <w:rPr>
          <w:rFonts w:ascii="Tahoma" w:hAnsi="Tahoma" w:cs="Tahoma"/>
          <w:sz w:val="20"/>
          <w:szCs w:val="20"/>
        </w:rPr>
      </w:pPr>
      <w:r w:rsidRPr="0068236B">
        <w:rPr>
          <w:noProof/>
          <w:lang w:val="mk-MK" w:eastAsia="mk-MK"/>
        </w:rPr>
        <w:lastRenderedPageBreak/>
        <mc:AlternateContent>
          <mc:Choice Requires="wpg">
            <w:drawing>
              <wp:anchor distT="0" distB="0" distL="114300" distR="114300" simplePos="0" relativeHeight="251662345" behindDoc="0" locked="0" layoutInCell="1" allowOverlap="1" wp14:anchorId="08E90800" wp14:editId="25B456F4">
                <wp:simplePos x="0" y="0"/>
                <wp:positionH relativeFrom="column">
                  <wp:posOffset>19050</wp:posOffset>
                </wp:positionH>
                <wp:positionV relativeFrom="paragraph">
                  <wp:posOffset>518160</wp:posOffset>
                </wp:positionV>
                <wp:extent cx="3779520" cy="4499610"/>
                <wp:effectExtent l="19050" t="19050" r="11430" b="15240"/>
                <wp:wrapTopAndBottom/>
                <wp:docPr id="225" name="Group 225"/>
                <wp:cNvGraphicFramePr/>
                <a:graphic xmlns:a="http://schemas.openxmlformats.org/drawingml/2006/main">
                  <a:graphicData uri="http://schemas.microsoft.com/office/word/2010/wordprocessingGroup">
                    <wpg:wgp>
                      <wpg:cNvGrpSpPr/>
                      <wpg:grpSpPr>
                        <a:xfrm>
                          <a:off x="0" y="0"/>
                          <a:ext cx="3779520" cy="4499610"/>
                          <a:chOff x="180000" y="180001"/>
                          <a:chExt cx="3779520" cy="4436745"/>
                        </a:xfrm>
                      </wpg:grpSpPr>
                      <pic:pic xmlns:pic="http://schemas.openxmlformats.org/drawingml/2006/picture">
                        <pic:nvPicPr>
                          <pic:cNvPr id="226" name="Picture 226"/>
                          <pic:cNvPicPr/>
                        </pic:nvPicPr>
                        <pic:blipFill rotWithShape="1">
                          <a:blip r:embed="rId44" cstate="email">
                            <a:extLst>
                              <a:ext uri="{28A0092B-C50C-407E-A947-70E740481C1C}">
                                <a14:useLocalDpi xmlns:a14="http://schemas.microsoft.com/office/drawing/2010/main" val="0"/>
                              </a:ext>
                            </a:extLst>
                          </a:blip>
                          <a:srcRect/>
                          <a:stretch/>
                        </pic:blipFill>
                        <pic:spPr bwMode="auto">
                          <a:xfrm>
                            <a:off x="180000" y="180001"/>
                            <a:ext cx="3779520" cy="3873840"/>
                          </a:xfrm>
                          <a:prstGeom prst="rect">
                            <a:avLst/>
                          </a:prstGeom>
                          <a:noFill/>
                          <a:ln w="3175">
                            <a:solidFill>
                              <a:schemeClr val="tx1"/>
                            </a:solidFill>
                          </a:ln>
                          <a:extLst>
                            <a:ext uri="{53640926-AAD7-44D8-BBD7-CCE9431645EC}">
                              <a14:shadowObscured xmlns:a14="http://schemas.microsoft.com/office/drawing/2010/main"/>
                            </a:ext>
                          </a:extLst>
                        </pic:spPr>
                      </pic:pic>
                      <pic:pic xmlns:pic="http://schemas.openxmlformats.org/drawingml/2006/picture">
                        <pic:nvPicPr>
                          <pic:cNvPr id="227" name="Picture 227"/>
                          <pic:cNvPicPr/>
                        </pic:nvPicPr>
                        <pic:blipFill rotWithShape="1">
                          <a:blip r:embed="rId45" cstate="email">
                            <a:extLst>
                              <a:ext uri="{28A0092B-C50C-407E-A947-70E740481C1C}">
                                <a14:useLocalDpi xmlns:a14="http://schemas.microsoft.com/office/drawing/2010/main" val="0"/>
                              </a:ext>
                            </a:extLst>
                          </a:blip>
                          <a:srcRect/>
                          <a:stretch/>
                        </pic:blipFill>
                        <pic:spPr bwMode="auto">
                          <a:xfrm>
                            <a:off x="180000" y="4053841"/>
                            <a:ext cx="3779520" cy="562905"/>
                          </a:xfrm>
                          <a:prstGeom prst="rect">
                            <a:avLst/>
                          </a:prstGeom>
                          <a:noFill/>
                          <a:ln w="3175">
                            <a:solidFill>
                              <a:schemeClr val="tx1"/>
                            </a:solid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Group 225" o:spid="_x0000_s1026" style="position:absolute;margin-left:1.5pt;margin-top:40.8pt;width:297.6pt;height:354.3pt;z-index:251662345;mso-width-relative:margin;mso-height-relative:margin" coordorigin="1800,1800" coordsize="37795,4436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6" o:spid="_x0000_s1027" type="#_x0000_t75" style="position:absolute;left:1800;top:1800;width:37795;height:387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yGZnGAAAA3AAAAA8AAABkcnMvZG93bnJldi54bWxEj0FrAjEUhO+F/ofwCt5qtntYZDWKFSot&#10;aKnagt4em9fN4uZlSeK6/vumUOhxmJlvmNlisK3oyYfGsYKncQaCuHK64VrB5+HlcQIiRGSNrWNS&#10;cKMAi/n93QxL7a68o34fa5EgHEpUYGLsSilDZchiGLuOOHnfzluMSfpaao/XBLetzLOskBYbTgsG&#10;O1oZqs77i1XQT3pemtOxuPiP7debt+vN8/taqdHDsJyCiDTE//Bf+1UryPMCfs+kIyDn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jIZmcYAAADcAAAADwAAAAAAAAAAAAAA&#10;AACfAgAAZHJzL2Rvd25yZXYueG1sUEsFBgAAAAAEAAQA9wAAAJIDAAAAAA==&#10;" stroked="t" strokecolor="black [3213]" strokeweight=".25pt">
                  <v:imagedata r:id="rId47" o:title=""/>
                </v:shape>
                <v:shape id="Picture 227" o:spid="_x0000_s1028" type="#_x0000_t75" style="position:absolute;left:1800;top:40538;width:37795;height:56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5SzlLCAAAA3AAAAA8AAABkcnMvZG93bnJldi54bWxEj0GLwjAUhO/C/ofwFvZmU3NYpRpFF4Sy&#10;4MHqD3g0zzbYvJQmq/XfbwTB4zAz3zCrzeg6caMhWM8aZlkOgrj2xnKj4XzaTxcgQkQ22HkmDQ8K&#10;sFl/TFZYGH/nI92q2IgE4VCghjbGvpAy1C05DJnviZN38YPDmOTQSDPgPcFdJ1Wef0uHltNCiz39&#10;tFRfqz+noTks1NbFfG4vvlS7395SV1Zaf32O2yWISGN8h1/t0mhQag7PM+kIyPU/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eUs5SwgAAANwAAAAPAAAAAAAAAAAAAAAAAJ8C&#10;AABkcnMvZG93bnJldi54bWxQSwUGAAAAAAQABAD3AAAAjgMAAAAA&#10;" stroked="t" strokecolor="black [3213]" strokeweight=".25pt">
                  <v:imagedata r:id="rId48" o:title=""/>
                </v:shape>
                <w10:wrap type="topAndBottom"/>
              </v:group>
            </w:pict>
          </mc:Fallback>
        </mc:AlternateContent>
      </w:r>
      <w:r w:rsidR="00572740" w:rsidRPr="0068236B">
        <w:rPr>
          <w:rFonts w:ascii="Tahoma" w:hAnsi="Tahoma" w:cs="Tahoma"/>
          <w:sz w:val="20"/>
          <w:szCs w:val="20"/>
        </w:rPr>
        <w:t xml:space="preserve">The transmission line is designed with steel-lattice towers with three arms with one conductor per phase and one earth wire (Figure below). </w:t>
      </w:r>
    </w:p>
    <w:p w14:paraId="15DEF8D8" w14:textId="5D05C055" w:rsidR="00572740" w:rsidRPr="0068236B" w:rsidRDefault="00AA25B5" w:rsidP="002F61B9">
      <w:pPr>
        <w:overflowPunct w:val="0"/>
        <w:autoSpaceDE w:val="0"/>
        <w:autoSpaceDN w:val="0"/>
        <w:adjustRightInd w:val="0"/>
        <w:spacing w:before="60" w:after="60"/>
        <w:jc w:val="left"/>
        <w:textAlignment w:val="baseline"/>
        <w:rPr>
          <w:sz w:val="18"/>
          <w:szCs w:val="20"/>
        </w:rPr>
      </w:pPr>
      <w:bookmarkStart w:id="75" w:name="_Toc112928858"/>
      <w:r w:rsidRPr="0068236B">
        <w:rPr>
          <w:rFonts w:cs="Arial"/>
          <w:iCs/>
          <w:sz w:val="18"/>
          <w:szCs w:val="20"/>
        </w:rPr>
        <w:t xml:space="preserve">Figure </w:t>
      </w:r>
      <w:r w:rsidRPr="0068236B">
        <w:rPr>
          <w:rFonts w:cs="Arial"/>
          <w:iCs/>
          <w:sz w:val="18"/>
          <w:szCs w:val="20"/>
        </w:rPr>
        <w:fldChar w:fldCharType="begin"/>
      </w:r>
      <w:r w:rsidRPr="0068236B">
        <w:rPr>
          <w:rFonts w:cs="Arial"/>
          <w:iCs/>
          <w:sz w:val="18"/>
          <w:szCs w:val="20"/>
        </w:rPr>
        <w:instrText xml:space="preserve"> STYLEREF 1 \s </w:instrText>
      </w:r>
      <w:r w:rsidRPr="0068236B">
        <w:rPr>
          <w:rFonts w:cs="Arial"/>
          <w:iCs/>
          <w:sz w:val="18"/>
          <w:szCs w:val="20"/>
        </w:rPr>
        <w:fldChar w:fldCharType="separate"/>
      </w:r>
      <w:r w:rsidR="00234EBE" w:rsidRPr="0068236B">
        <w:rPr>
          <w:rFonts w:cs="Arial"/>
          <w:iCs/>
          <w:noProof/>
          <w:sz w:val="18"/>
          <w:szCs w:val="20"/>
        </w:rPr>
        <w:t>2</w:t>
      </w:r>
      <w:r w:rsidRPr="0068236B">
        <w:rPr>
          <w:rFonts w:cs="Arial"/>
          <w:iCs/>
          <w:sz w:val="18"/>
          <w:szCs w:val="20"/>
        </w:rPr>
        <w:fldChar w:fldCharType="end"/>
      </w:r>
      <w:r w:rsidRPr="0068236B">
        <w:rPr>
          <w:rFonts w:cs="Arial"/>
          <w:iCs/>
          <w:sz w:val="18"/>
          <w:szCs w:val="20"/>
        </w:rPr>
        <w:t>.</w:t>
      </w:r>
      <w:r w:rsidRPr="0068236B">
        <w:rPr>
          <w:rFonts w:cs="Arial"/>
          <w:iCs/>
          <w:sz w:val="18"/>
          <w:szCs w:val="20"/>
        </w:rPr>
        <w:fldChar w:fldCharType="begin"/>
      </w:r>
      <w:r w:rsidRPr="0068236B">
        <w:rPr>
          <w:rFonts w:cs="Arial"/>
          <w:iCs/>
          <w:sz w:val="18"/>
          <w:szCs w:val="20"/>
        </w:rPr>
        <w:instrText xml:space="preserve"> SEQ Figure \* ARABIC \s 1 </w:instrText>
      </w:r>
      <w:r w:rsidRPr="0068236B">
        <w:rPr>
          <w:rFonts w:cs="Arial"/>
          <w:iCs/>
          <w:sz w:val="18"/>
          <w:szCs w:val="20"/>
        </w:rPr>
        <w:fldChar w:fldCharType="separate"/>
      </w:r>
      <w:r w:rsidR="00234EBE" w:rsidRPr="0068236B">
        <w:rPr>
          <w:rFonts w:cs="Arial"/>
          <w:iCs/>
          <w:noProof/>
          <w:sz w:val="18"/>
          <w:szCs w:val="20"/>
        </w:rPr>
        <w:t>9</w:t>
      </w:r>
      <w:r w:rsidRPr="0068236B">
        <w:rPr>
          <w:rFonts w:cs="Arial"/>
          <w:iCs/>
          <w:sz w:val="18"/>
          <w:szCs w:val="20"/>
        </w:rPr>
        <w:fldChar w:fldCharType="end"/>
      </w:r>
      <w:r w:rsidRPr="0068236B">
        <w:rPr>
          <w:sz w:val="18"/>
          <w:szCs w:val="20"/>
        </w:rPr>
        <w:t>:</w:t>
      </w:r>
      <w:r w:rsidR="00572740" w:rsidRPr="0068236B">
        <w:rPr>
          <w:rFonts w:cs="Tahoma"/>
          <w:iCs/>
          <w:sz w:val="18"/>
          <w:szCs w:val="20"/>
        </w:rPr>
        <w:t xml:space="preserve"> Typical tower for </w:t>
      </w:r>
      <w:r w:rsidR="00572740" w:rsidRPr="0068236B">
        <w:rPr>
          <w:sz w:val="18"/>
          <w:szCs w:val="20"/>
        </w:rPr>
        <w:t xml:space="preserve">the </w:t>
      </w:r>
      <w:r w:rsidR="002F61B9" w:rsidRPr="0068236B">
        <w:rPr>
          <w:sz w:val="18"/>
        </w:rPr>
        <w:t>extension of the existing 110 kV transmission line from SS Valandovo to SS ‘EVP’ M</w:t>
      </w:r>
      <w:r w:rsidR="002F61B9" w:rsidRPr="0068236B">
        <w:rPr>
          <w:sz w:val="18"/>
        </w:rPr>
        <w:t>i</w:t>
      </w:r>
      <w:r w:rsidR="002F61B9" w:rsidRPr="0068236B">
        <w:rPr>
          <w:sz w:val="18"/>
        </w:rPr>
        <w:t xml:space="preserve">letkovo, which will be </w:t>
      </w:r>
      <w:r w:rsidR="002F61B9" w:rsidRPr="0068236B">
        <w:rPr>
          <w:sz w:val="18"/>
          <w:szCs w:val="20"/>
        </w:rPr>
        <w:t>reconstructed, to the new 400/110 kV SS Miletkovo</w:t>
      </w:r>
      <w:bookmarkEnd w:id="75"/>
    </w:p>
    <w:p w14:paraId="433D7F10" w14:textId="6DD25DF4" w:rsidR="002F61B9" w:rsidRPr="0068236B" w:rsidRDefault="002F61B9" w:rsidP="00F97B41">
      <w:pPr>
        <w:spacing w:before="0" w:after="240" w:line="240" w:lineRule="auto"/>
        <w:jc w:val="left"/>
        <w:rPr>
          <w:rFonts w:cs="Tahoma"/>
          <w:bCs/>
          <w:sz w:val="16"/>
          <w:szCs w:val="18"/>
        </w:rPr>
      </w:pPr>
      <w:r w:rsidRPr="0068236B">
        <w:rPr>
          <w:rFonts w:cs="Tahoma"/>
          <w:iCs/>
          <w:sz w:val="16"/>
          <w:szCs w:val="18"/>
        </w:rPr>
        <w:t xml:space="preserve">Source: </w:t>
      </w:r>
      <w:r w:rsidRPr="0068236B">
        <w:rPr>
          <w:rFonts w:cs="Tahoma"/>
          <w:sz w:val="16"/>
          <w:szCs w:val="18"/>
        </w:rPr>
        <w:t xml:space="preserve">WB21-MKD-ENE-03 North Macedonia, Strengthening the Transmission Network in the Southeast Region of North Macedonia - Component 1; </w:t>
      </w:r>
      <w:r w:rsidR="00E6543C" w:rsidRPr="0068236B">
        <w:rPr>
          <w:rFonts w:cs="Tahoma"/>
          <w:sz w:val="16"/>
          <w:szCs w:val="18"/>
        </w:rPr>
        <w:t>Detailed Technical Assessment of Preferred Option, January 2022</w:t>
      </w:r>
      <w:r w:rsidRPr="0068236B">
        <w:rPr>
          <w:rFonts w:cs="Tahoma"/>
          <w:bCs/>
          <w:sz w:val="16"/>
          <w:szCs w:val="18"/>
        </w:rPr>
        <w:t xml:space="preserve"> [Ref.7]</w:t>
      </w:r>
    </w:p>
    <w:p w14:paraId="3BECF980" w14:textId="5B29C2BD" w:rsidR="002F61B9" w:rsidRPr="0068236B" w:rsidRDefault="002F61B9" w:rsidP="002F61B9">
      <w:pPr>
        <w:pStyle w:val="BodyText"/>
        <w:spacing w:before="120" w:after="120"/>
        <w:ind w:left="0"/>
        <w:jc w:val="both"/>
        <w:rPr>
          <w:rFonts w:ascii="Tahoma" w:hAnsi="Tahoma" w:cs="Tahoma"/>
          <w:sz w:val="20"/>
          <w:szCs w:val="20"/>
        </w:rPr>
      </w:pPr>
      <w:r w:rsidRPr="0068236B">
        <w:rPr>
          <w:rFonts w:ascii="Tahoma" w:hAnsi="Tahoma" w:cs="Tahoma"/>
          <w:sz w:val="20"/>
          <w:szCs w:val="20"/>
        </w:rPr>
        <w:t xml:space="preserve">The typical tower height range is between </w:t>
      </w:r>
      <w:r w:rsidR="00264B7B" w:rsidRPr="0068236B">
        <w:rPr>
          <w:rFonts w:ascii="Tahoma" w:hAnsi="Tahoma" w:cs="Tahoma"/>
          <w:sz w:val="20"/>
          <w:szCs w:val="22"/>
        </w:rPr>
        <w:t>12 and 27 metres for the tension towers, and 12 to 30 metres for the suspension tower types.</w:t>
      </w:r>
      <w:r w:rsidRPr="0068236B">
        <w:rPr>
          <w:rFonts w:ascii="Tahoma" w:hAnsi="Tahoma" w:cs="Tahoma"/>
          <w:sz w:val="20"/>
          <w:szCs w:val="20"/>
        </w:rPr>
        <w:t xml:space="preserve"> Towers are manufactured from galvanised steel and are therefore grey in colour - this finish is considered appropriate in order to minimise visual impact. Tower steelwork is painted at inte</w:t>
      </w:r>
      <w:r w:rsidRPr="0068236B">
        <w:rPr>
          <w:rFonts w:ascii="Tahoma" w:hAnsi="Tahoma" w:cs="Tahoma"/>
          <w:sz w:val="20"/>
          <w:szCs w:val="20"/>
        </w:rPr>
        <w:t>r</w:t>
      </w:r>
      <w:r w:rsidRPr="0068236B">
        <w:rPr>
          <w:rFonts w:ascii="Tahoma" w:hAnsi="Tahoma" w:cs="Tahoma"/>
          <w:sz w:val="20"/>
          <w:szCs w:val="20"/>
        </w:rPr>
        <w:t>vals throughout the life of the towers, to afford continued protection against corrosion.</w:t>
      </w:r>
    </w:p>
    <w:p w14:paraId="0D2C8177" w14:textId="77777777" w:rsidR="002F61B9" w:rsidRPr="0068236B" w:rsidRDefault="002F61B9" w:rsidP="002F61B9">
      <w:pPr>
        <w:pStyle w:val="NumberedParagraph"/>
        <w:rPr>
          <w:sz w:val="20"/>
          <w:szCs w:val="20"/>
        </w:rPr>
      </w:pPr>
      <w:r w:rsidRPr="0068236B">
        <w:rPr>
          <w:rFonts w:cs="Tahoma"/>
          <w:sz w:val="20"/>
          <w:szCs w:val="20"/>
          <w:lang w:eastAsia="en-US"/>
        </w:rPr>
        <w:t>The tower series selected for the transmission line are the following:</w:t>
      </w:r>
    </w:p>
    <w:p w14:paraId="7F6F5D29" w14:textId="77777777" w:rsidR="002F61B9" w:rsidRPr="0068236B" w:rsidRDefault="002F61B9" w:rsidP="003B32A0">
      <w:pPr>
        <w:pStyle w:val="ListBullet2"/>
        <w:ind w:left="1134"/>
        <w:rPr>
          <w:sz w:val="20"/>
          <w:szCs w:val="20"/>
        </w:rPr>
      </w:pPr>
      <w:r w:rsidRPr="0068236B">
        <w:rPr>
          <w:sz w:val="20"/>
          <w:szCs w:val="20"/>
        </w:rPr>
        <w:t>Angle (tension) towers:</w:t>
      </w:r>
    </w:p>
    <w:p w14:paraId="6E55F12B" w14:textId="13C112AA" w:rsidR="002F61B9" w:rsidRPr="0068236B" w:rsidRDefault="002F61B9" w:rsidP="008E77D3">
      <w:pPr>
        <w:pStyle w:val="ListBullet2"/>
        <w:numPr>
          <w:ilvl w:val="1"/>
          <w:numId w:val="48"/>
        </w:numPr>
        <w:spacing w:before="0" w:after="60" w:line="240" w:lineRule="auto"/>
        <w:ind w:left="1134" w:hanging="425"/>
        <w:contextualSpacing w:val="0"/>
        <w:rPr>
          <w:sz w:val="20"/>
          <w:szCs w:val="20"/>
        </w:rPr>
      </w:pPr>
      <w:r w:rsidRPr="0068236B">
        <w:rPr>
          <w:sz w:val="20"/>
          <w:szCs w:val="20"/>
        </w:rPr>
        <w:t>Type “</w:t>
      </w:r>
      <w:r w:rsidR="005B3561" w:rsidRPr="0068236B">
        <w:rPr>
          <w:rFonts w:cs="Tahoma"/>
          <w:sz w:val="20"/>
          <w:szCs w:val="20"/>
        </w:rPr>
        <w:t>A1</w:t>
      </w:r>
      <w:r w:rsidRPr="0068236B">
        <w:rPr>
          <w:rFonts w:cs="Tahoma"/>
          <w:sz w:val="20"/>
          <w:szCs w:val="20"/>
        </w:rPr>
        <w:t>-120” for changing the direction of the transmission line in a range from 30° to 60°</w:t>
      </w:r>
    </w:p>
    <w:p w14:paraId="7211E173" w14:textId="22FD4AC6" w:rsidR="002F61B9" w:rsidRPr="0068236B" w:rsidRDefault="002F61B9" w:rsidP="008E77D3">
      <w:pPr>
        <w:pStyle w:val="ListBullet2"/>
        <w:numPr>
          <w:ilvl w:val="1"/>
          <w:numId w:val="48"/>
        </w:numPr>
        <w:spacing w:before="0" w:after="60" w:line="240" w:lineRule="auto"/>
        <w:ind w:left="1134" w:hanging="425"/>
        <w:contextualSpacing w:val="0"/>
        <w:rPr>
          <w:sz w:val="20"/>
          <w:szCs w:val="20"/>
        </w:rPr>
      </w:pPr>
      <w:r w:rsidRPr="0068236B">
        <w:rPr>
          <w:sz w:val="20"/>
          <w:szCs w:val="20"/>
        </w:rPr>
        <w:t>Type “</w:t>
      </w:r>
      <w:r w:rsidR="005B3561" w:rsidRPr="0068236B">
        <w:rPr>
          <w:rFonts w:cs="Tahoma"/>
          <w:sz w:val="20"/>
          <w:szCs w:val="20"/>
        </w:rPr>
        <w:t>A1</w:t>
      </w:r>
      <w:r w:rsidRPr="0068236B">
        <w:rPr>
          <w:rFonts w:cs="Tahoma"/>
          <w:sz w:val="20"/>
          <w:szCs w:val="20"/>
        </w:rPr>
        <w:t>-150”</w:t>
      </w:r>
      <w:r w:rsidRPr="0068236B">
        <w:rPr>
          <w:sz w:val="20"/>
          <w:szCs w:val="20"/>
        </w:rPr>
        <w:t xml:space="preserve"> </w:t>
      </w:r>
      <w:r w:rsidRPr="0068236B">
        <w:rPr>
          <w:rFonts w:cs="Tahoma"/>
          <w:sz w:val="20"/>
          <w:szCs w:val="20"/>
        </w:rPr>
        <w:t>for changing the direction of the transmission line in a range from 1° to 30°</w:t>
      </w:r>
    </w:p>
    <w:p w14:paraId="3302E919" w14:textId="77777777" w:rsidR="002F61B9" w:rsidRPr="0068236B" w:rsidRDefault="002F61B9" w:rsidP="003B32A0">
      <w:pPr>
        <w:pStyle w:val="ListBullet2"/>
        <w:ind w:left="1134"/>
        <w:rPr>
          <w:sz w:val="20"/>
          <w:szCs w:val="20"/>
        </w:rPr>
      </w:pPr>
      <w:r w:rsidRPr="0068236B">
        <w:rPr>
          <w:sz w:val="20"/>
          <w:szCs w:val="20"/>
        </w:rPr>
        <w:t>Suspension towers</w:t>
      </w:r>
    </w:p>
    <w:p w14:paraId="11B5225A" w14:textId="010DB878" w:rsidR="002F61B9" w:rsidRPr="0068236B" w:rsidRDefault="002F61B9" w:rsidP="008E77D3">
      <w:pPr>
        <w:pStyle w:val="ListBullet2"/>
        <w:numPr>
          <w:ilvl w:val="1"/>
          <w:numId w:val="48"/>
        </w:numPr>
        <w:spacing w:before="0" w:after="60" w:line="240" w:lineRule="auto"/>
        <w:ind w:left="1134" w:hanging="425"/>
        <w:contextualSpacing w:val="0"/>
        <w:rPr>
          <w:sz w:val="20"/>
          <w:szCs w:val="20"/>
        </w:rPr>
      </w:pPr>
      <w:r w:rsidRPr="0068236B">
        <w:rPr>
          <w:sz w:val="20"/>
          <w:szCs w:val="20"/>
        </w:rPr>
        <w:t xml:space="preserve">Type “S1”, “S2” and “S3” for towers used for different wind and weight spans depending on the terrain conditions. </w:t>
      </w:r>
    </w:p>
    <w:p w14:paraId="6CF387FF" w14:textId="5813E3E8" w:rsidR="002F61B9" w:rsidRPr="0068236B" w:rsidRDefault="002F61B9" w:rsidP="002F61B9">
      <w:pPr>
        <w:autoSpaceDE w:val="0"/>
        <w:autoSpaceDN w:val="0"/>
        <w:adjustRightInd w:val="0"/>
        <w:rPr>
          <w:rFonts w:cs="Arial"/>
          <w:sz w:val="20"/>
          <w:szCs w:val="20"/>
        </w:rPr>
      </w:pPr>
      <w:r w:rsidRPr="0068236B">
        <w:rPr>
          <w:rFonts w:cs="Arial"/>
          <w:sz w:val="20"/>
          <w:szCs w:val="20"/>
        </w:rPr>
        <w:t>The number of towers and their type as well as the proposed position of each individual tower within the proposed corridor will be identified and confirmed during the upcoming Project reference development sta</w:t>
      </w:r>
      <w:r w:rsidRPr="0068236B">
        <w:rPr>
          <w:rFonts w:cs="Arial"/>
          <w:sz w:val="20"/>
          <w:szCs w:val="20"/>
        </w:rPr>
        <w:t>g</w:t>
      </w:r>
      <w:r w:rsidR="003553E2" w:rsidRPr="0068236B">
        <w:rPr>
          <w:rFonts w:cs="Arial"/>
          <w:sz w:val="20"/>
          <w:szCs w:val="20"/>
        </w:rPr>
        <w:t>es (Preliminary Design and D</w:t>
      </w:r>
      <w:r w:rsidRPr="0068236B">
        <w:rPr>
          <w:rFonts w:cs="Arial"/>
          <w:sz w:val="20"/>
          <w:szCs w:val="20"/>
        </w:rPr>
        <w:t xml:space="preserve">etailed </w:t>
      </w:r>
      <w:r w:rsidR="003553E2" w:rsidRPr="0068236B">
        <w:rPr>
          <w:rFonts w:cs="Arial"/>
          <w:sz w:val="20"/>
          <w:szCs w:val="20"/>
        </w:rPr>
        <w:t>D</w:t>
      </w:r>
      <w:r w:rsidRPr="0068236B">
        <w:rPr>
          <w:rFonts w:cs="Arial"/>
          <w:sz w:val="20"/>
          <w:szCs w:val="20"/>
        </w:rPr>
        <w:t xml:space="preserve">esign) in line with the relevant Macedonian legislation. </w:t>
      </w:r>
    </w:p>
    <w:p w14:paraId="55B52F68" w14:textId="04215CD8" w:rsidR="002F61B9" w:rsidRPr="0068236B" w:rsidRDefault="002F61B9" w:rsidP="002F61B9">
      <w:pPr>
        <w:pStyle w:val="BodyText"/>
        <w:spacing w:before="120" w:after="120"/>
        <w:ind w:left="0"/>
        <w:jc w:val="both"/>
        <w:rPr>
          <w:rFonts w:ascii="Tahoma" w:hAnsi="Tahoma" w:cs="Tahoma"/>
          <w:sz w:val="20"/>
          <w:szCs w:val="20"/>
        </w:rPr>
      </w:pPr>
      <w:r w:rsidRPr="0068236B">
        <w:rPr>
          <w:rFonts w:ascii="Tahoma" w:hAnsi="Tahoma" w:cs="Tahoma"/>
          <w:sz w:val="20"/>
          <w:szCs w:val="20"/>
        </w:rPr>
        <w:t xml:space="preserve">The number of conductors and their disposition on each tower type is </w:t>
      </w:r>
      <w:r w:rsidR="005B3561" w:rsidRPr="0068236B">
        <w:rPr>
          <w:rFonts w:ascii="Tahoma" w:hAnsi="Tahoma" w:cs="Tahoma"/>
          <w:sz w:val="20"/>
          <w:szCs w:val="20"/>
        </w:rPr>
        <w:t>one</w:t>
      </w:r>
      <w:r w:rsidRPr="0068236B">
        <w:rPr>
          <w:rFonts w:ascii="Tahoma" w:hAnsi="Tahoma" w:cs="Tahoma"/>
          <w:sz w:val="20"/>
          <w:szCs w:val="20"/>
        </w:rPr>
        <w:t xml:space="preserve"> circuit with one conductor per phase and one protective wire at the top of the tower.</w:t>
      </w:r>
    </w:p>
    <w:p w14:paraId="22E886AB" w14:textId="77777777" w:rsidR="002F61B9" w:rsidRPr="0068236B" w:rsidRDefault="002F61B9" w:rsidP="002F61B9">
      <w:pPr>
        <w:rPr>
          <w:rFonts w:cs="Tahoma"/>
          <w:sz w:val="20"/>
          <w:szCs w:val="20"/>
        </w:rPr>
      </w:pPr>
      <w:r w:rsidRPr="0068236B">
        <w:rPr>
          <w:rFonts w:cs="Tahoma"/>
          <w:sz w:val="20"/>
          <w:szCs w:val="20"/>
        </w:rPr>
        <w:lastRenderedPageBreak/>
        <w:t>The maximal footprint area for a tower is approximately up to 100 m</w:t>
      </w:r>
      <w:r w:rsidRPr="0068236B">
        <w:rPr>
          <w:rFonts w:cs="Tahoma"/>
          <w:sz w:val="20"/>
          <w:szCs w:val="20"/>
          <w:vertAlign w:val="superscript"/>
        </w:rPr>
        <w:t>2</w:t>
      </w:r>
      <w:r w:rsidRPr="0068236B">
        <w:rPr>
          <w:rFonts w:cs="Tahoma"/>
          <w:sz w:val="20"/>
          <w:szCs w:val="20"/>
        </w:rPr>
        <w:t>. This land area will need to be perm</w:t>
      </w:r>
      <w:r w:rsidRPr="0068236B">
        <w:rPr>
          <w:rFonts w:cs="Tahoma"/>
          <w:sz w:val="20"/>
          <w:szCs w:val="20"/>
        </w:rPr>
        <w:t>a</w:t>
      </w:r>
      <w:r w:rsidRPr="0068236B">
        <w:rPr>
          <w:rFonts w:cs="Tahoma"/>
          <w:sz w:val="20"/>
          <w:szCs w:val="20"/>
        </w:rPr>
        <w:t>nently acquired in order ensure safe operations and maintenance of the transmission line.</w:t>
      </w:r>
    </w:p>
    <w:p w14:paraId="4D831873" w14:textId="77777777" w:rsidR="002F61B9" w:rsidRPr="0068236B" w:rsidRDefault="002F61B9" w:rsidP="002F61B9">
      <w:pPr>
        <w:pStyle w:val="BodyText"/>
        <w:spacing w:before="120" w:after="120"/>
        <w:ind w:left="0"/>
        <w:jc w:val="both"/>
        <w:rPr>
          <w:rFonts w:ascii="Tahoma" w:hAnsi="Tahoma" w:cs="Tahoma"/>
          <w:sz w:val="20"/>
          <w:szCs w:val="22"/>
        </w:rPr>
      </w:pPr>
      <w:r w:rsidRPr="0068236B">
        <w:rPr>
          <w:rFonts w:ascii="Tahoma" w:hAnsi="Tahoma" w:cs="Tahoma"/>
          <w:sz w:val="20"/>
          <w:szCs w:val="20"/>
        </w:rPr>
        <w:t>Each tower will have four legs and single foundation per leg, i.e. four foundations for each tower. The fou</w:t>
      </w:r>
      <w:r w:rsidRPr="0068236B">
        <w:rPr>
          <w:rFonts w:ascii="Tahoma" w:hAnsi="Tahoma" w:cs="Tahoma"/>
          <w:sz w:val="20"/>
          <w:szCs w:val="20"/>
        </w:rPr>
        <w:t>n</w:t>
      </w:r>
      <w:r w:rsidRPr="0068236B">
        <w:rPr>
          <w:rFonts w:ascii="Tahoma" w:hAnsi="Tahoma" w:cs="Tahoma"/>
          <w:sz w:val="20"/>
          <w:szCs w:val="20"/>
        </w:rPr>
        <w:t>dations will be designed with reinforced concrete blocks with a type of concrete suitable to the specific bea</w:t>
      </w:r>
      <w:r w:rsidRPr="0068236B">
        <w:rPr>
          <w:rFonts w:ascii="Tahoma" w:hAnsi="Tahoma" w:cs="Tahoma"/>
          <w:sz w:val="20"/>
          <w:szCs w:val="20"/>
        </w:rPr>
        <w:t>r</w:t>
      </w:r>
      <w:r w:rsidRPr="0068236B">
        <w:rPr>
          <w:rFonts w:ascii="Tahoma" w:hAnsi="Tahoma" w:cs="Tahoma"/>
          <w:sz w:val="20"/>
          <w:szCs w:val="20"/>
        </w:rPr>
        <w:t>ing capacity of the soil, obtained from the respective site-specific geo-technical investigation</w:t>
      </w:r>
      <w:r w:rsidRPr="0068236B">
        <w:rPr>
          <w:rFonts w:ascii="Tahoma" w:hAnsi="Tahoma" w:cs="Tahoma"/>
          <w:sz w:val="20"/>
          <w:szCs w:val="22"/>
        </w:rPr>
        <w:t>.</w:t>
      </w:r>
    </w:p>
    <w:p w14:paraId="14372CD1" w14:textId="77777777" w:rsidR="002F61B9" w:rsidRPr="0068236B" w:rsidRDefault="002F61B9" w:rsidP="002F61B9">
      <w:pPr>
        <w:pStyle w:val="ListBullet"/>
        <w:jc w:val="left"/>
        <w:rPr>
          <w:rFonts w:cs="Tahoma"/>
          <w:sz w:val="20"/>
          <w:szCs w:val="20"/>
        </w:rPr>
      </w:pPr>
      <w:r w:rsidRPr="0068236B">
        <w:rPr>
          <w:rFonts w:cs="Tahoma"/>
          <w:sz w:val="20"/>
          <w:szCs w:val="20"/>
        </w:rPr>
        <w:t>Phase Conductors</w:t>
      </w:r>
    </w:p>
    <w:p w14:paraId="3093E92E" w14:textId="4CB1166B" w:rsidR="007D149E" w:rsidRPr="0068236B" w:rsidRDefault="002F61B9" w:rsidP="002F61B9">
      <w:pPr>
        <w:pStyle w:val="BodyText2"/>
        <w:spacing w:before="120" w:line="276" w:lineRule="auto"/>
        <w:jc w:val="both"/>
        <w:rPr>
          <w:rFonts w:ascii="Tahoma" w:hAnsi="Tahoma" w:cs="Tahoma"/>
          <w:sz w:val="20"/>
          <w:szCs w:val="20"/>
        </w:rPr>
      </w:pPr>
      <w:r w:rsidRPr="0068236B">
        <w:rPr>
          <w:rFonts w:ascii="Tahoma" w:hAnsi="Tahoma" w:cs="Tahoma"/>
          <w:sz w:val="20"/>
          <w:szCs w:val="20"/>
        </w:rPr>
        <w:t>The conductors are attached to the cross-arms at OHL towers by insulator strings, which, in the case of su</w:t>
      </w:r>
      <w:r w:rsidRPr="0068236B">
        <w:rPr>
          <w:rFonts w:ascii="Tahoma" w:hAnsi="Tahoma" w:cs="Tahoma"/>
          <w:sz w:val="20"/>
          <w:szCs w:val="20"/>
        </w:rPr>
        <w:t>s</w:t>
      </w:r>
      <w:r w:rsidRPr="0068236B">
        <w:rPr>
          <w:rFonts w:ascii="Tahoma" w:hAnsi="Tahoma" w:cs="Tahoma"/>
          <w:sz w:val="20"/>
          <w:szCs w:val="20"/>
        </w:rPr>
        <w:t xml:space="preserve">pension towers, hang vertically below the cross-arms. At angle towers the conductors are again attached to the cross arms by insulators but in this case the insulators are in line with the conductors. </w:t>
      </w:r>
      <w:r w:rsidR="00DD1068" w:rsidRPr="0068236B">
        <w:rPr>
          <w:rFonts w:ascii="Tahoma" w:hAnsi="Tahoma" w:cs="Tahoma"/>
          <w:sz w:val="20"/>
          <w:szCs w:val="22"/>
        </w:rPr>
        <w:t xml:space="preserve">The designed </w:t>
      </w:r>
      <w:r w:rsidR="00DD1068" w:rsidRPr="0068236B">
        <w:rPr>
          <w:rFonts w:ascii="Tahoma" w:hAnsi="Tahoma" w:cs="Tahoma"/>
          <w:sz w:val="20"/>
          <w:szCs w:val="20"/>
        </w:rPr>
        <w:t xml:space="preserve">distance between the closest conductors </w:t>
      </w:r>
      <w:r w:rsidR="00B35D4A" w:rsidRPr="0068236B">
        <w:rPr>
          <w:rFonts w:ascii="Tahoma" w:hAnsi="Tahoma" w:cs="Tahoma"/>
          <w:sz w:val="20"/>
          <w:szCs w:val="20"/>
        </w:rPr>
        <w:t xml:space="preserve">(set in triagle formation) </w:t>
      </w:r>
      <w:r w:rsidR="00DD1068" w:rsidRPr="0068236B">
        <w:rPr>
          <w:rFonts w:ascii="Tahoma" w:hAnsi="Tahoma" w:cs="Tahoma"/>
          <w:sz w:val="20"/>
          <w:szCs w:val="20"/>
        </w:rPr>
        <w:t xml:space="preserve">is between 4.0 meters and 4.6 metres). </w:t>
      </w:r>
      <w:r w:rsidRPr="0068236B">
        <w:rPr>
          <w:rFonts w:ascii="Tahoma" w:hAnsi="Tahoma" w:cs="Tahoma"/>
          <w:sz w:val="20"/>
          <w:szCs w:val="20"/>
        </w:rPr>
        <w:t xml:space="preserve">Conductors for transmission lines are typically manufactured from aluminium with steel core. For the phase conductors for this 110 kV transmission line, pursuant to the current concept in Macedonia, </w:t>
      </w:r>
      <w:r w:rsidR="003B32A0" w:rsidRPr="0068236B">
        <w:rPr>
          <w:rFonts w:ascii="Tahoma" w:hAnsi="Tahoma" w:cs="Tahoma"/>
          <w:sz w:val="20"/>
          <w:szCs w:val="20"/>
        </w:rPr>
        <w:t>AAAC</w:t>
      </w:r>
      <w:r w:rsidRPr="0068236B">
        <w:rPr>
          <w:rFonts w:ascii="Tahoma" w:hAnsi="Tahoma" w:cs="Tahoma"/>
          <w:sz w:val="20"/>
          <w:szCs w:val="20"/>
        </w:rPr>
        <w:t xml:space="preserve"> conductors will be used with a normal cross section of </w:t>
      </w:r>
      <w:r w:rsidR="003B32A0" w:rsidRPr="0068236B">
        <w:rPr>
          <w:rFonts w:ascii="Tahoma" w:hAnsi="Tahoma" w:cs="Tahoma"/>
          <w:sz w:val="20"/>
          <w:szCs w:val="20"/>
        </w:rPr>
        <w:t>3</w:t>
      </w:r>
      <w:r w:rsidRPr="0068236B">
        <w:rPr>
          <w:rFonts w:ascii="Tahoma" w:hAnsi="Tahoma" w:cs="Tahoma"/>
          <w:sz w:val="20"/>
          <w:szCs w:val="20"/>
        </w:rPr>
        <w:t>24 mm</w:t>
      </w:r>
      <w:r w:rsidRPr="0068236B">
        <w:rPr>
          <w:rFonts w:ascii="Tahoma" w:hAnsi="Tahoma" w:cs="Tahoma"/>
          <w:sz w:val="20"/>
          <w:szCs w:val="20"/>
          <w:vertAlign w:val="superscript"/>
        </w:rPr>
        <w:t>2</w:t>
      </w:r>
      <w:r w:rsidR="007D149E" w:rsidRPr="0068236B">
        <w:rPr>
          <w:rFonts w:ascii="Tahoma" w:hAnsi="Tahoma" w:cs="Tahoma"/>
          <w:sz w:val="20"/>
          <w:szCs w:val="20"/>
        </w:rPr>
        <w:t xml:space="preserve"> (Figure below).</w:t>
      </w:r>
      <w:r w:rsidR="00A40352">
        <w:rPr>
          <w:rFonts w:ascii="Tahoma" w:hAnsi="Tahoma" w:cs="Tahoma"/>
          <w:sz w:val="20"/>
          <w:szCs w:val="20"/>
        </w:rPr>
        <w:t xml:space="preserve"> </w:t>
      </w:r>
    </w:p>
    <w:p w14:paraId="35654DAC" w14:textId="0A618FA9" w:rsidR="007D149E" w:rsidRPr="0068236B" w:rsidRDefault="007D149E" w:rsidP="002F61B9">
      <w:pPr>
        <w:pStyle w:val="BodyText2"/>
        <w:spacing w:before="120" w:line="276" w:lineRule="auto"/>
        <w:jc w:val="both"/>
        <w:rPr>
          <w:rFonts w:ascii="Tahoma" w:hAnsi="Tahoma" w:cs="Tahoma"/>
          <w:sz w:val="20"/>
          <w:szCs w:val="20"/>
        </w:rPr>
      </w:pPr>
      <w:r w:rsidRPr="0068236B">
        <w:rPr>
          <w:noProof/>
          <w:lang w:val="mk-MK" w:eastAsia="mk-MK"/>
        </w:rPr>
        <w:drawing>
          <wp:inline distT="0" distB="0" distL="0" distR="0" wp14:anchorId="5BD10781" wp14:editId="34F30607">
            <wp:extent cx="3600000" cy="2844001"/>
            <wp:effectExtent l="19050" t="19050" r="19685" b="13970"/>
            <wp:docPr id="910" name="Picture 910" descr="AAAC Condu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AAC Conductor"/>
                    <pic:cNvPicPr>
                      <a:picLocks noChangeAspect="1" noChangeArrowheads="1"/>
                    </pic:cNvPicPr>
                  </pic:nvPicPr>
                  <pic:blipFill rotWithShape="1">
                    <a:blip r:embed="rId49">
                      <a:extLst>
                        <a:ext uri="{28A0092B-C50C-407E-A947-70E740481C1C}">
                          <a14:useLocalDpi xmlns:a14="http://schemas.microsoft.com/office/drawing/2010/main" val="0"/>
                        </a:ext>
                      </a:extLst>
                    </a:blip>
                    <a:srcRect l="5516" t="12990" r="5516" b="16726"/>
                    <a:stretch/>
                  </pic:blipFill>
                  <pic:spPr bwMode="auto">
                    <a:xfrm>
                      <a:off x="0" y="0"/>
                      <a:ext cx="3600000" cy="2844001"/>
                    </a:xfrm>
                    <a:prstGeom prst="rect">
                      <a:avLst/>
                    </a:prstGeom>
                    <a:noFill/>
                    <a:ln w="3175">
                      <a:solidFill>
                        <a:schemeClr val="tx1"/>
                      </a:solidFill>
                    </a:ln>
                    <a:extLst>
                      <a:ext uri="{53640926-AAD7-44D8-BBD7-CCE9431645EC}">
                        <a14:shadowObscured xmlns:a14="http://schemas.microsoft.com/office/drawing/2010/main"/>
                      </a:ext>
                    </a:extLst>
                  </pic:spPr>
                </pic:pic>
              </a:graphicData>
            </a:graphic>
          </wp:inline>
        </w:drawing>
      </w:r>
    </w:p>
    <w:p w14:paraId="01CCC9ED" w14:textId="285F7B7D" w:rsidR="007D149E" w:rsidRPr="0068236B" w:rsidRDefault="007D149E" w:rsidP="007D149E">
      <w:pPr>
        <w:spacing w:before="0" w:after="240" w:line="240" w:lineRule="auto"/>
        <w:jc w:val="left"/>
        <w:rPr>
          <w:rFonts w:cs="Tahoma"/>
          <w:sz w:val="18"/>
          <w:szCs w:val="18"/>
        </w:rPr>
      </w:pPr>
      <w:bookmarkStart w:id="76" w:name="_Toc112928859"/>
      <w:r w:rsidRPr="0068236B">
        <w:rPr>
          <w:rFonts w:cs="Arial"/>
          <w:iCs/>
          <w:sz w:val="18"/>
          <w:szCs w:val="18"/>
        </w:rPr>
        <w:t xml:space="preserve">Figure </w:t>
      </w:r>
      <w:r w:rsidRPr="0068236B">
        <w:rPr>
          <w:rFonts w:cs="Arial"/>
          <w:iCs/>
          <w:sz w:val="18"/>
          <w:szCs w:val="18"/>
        </w:rPr>
        <w:fldChar w:fldCharType="begin"/>
      </w:r>
      <w:r w:rsidRPr="0068236B">
        <w:rPr>
          <w:rFonts w:cs="Arial"/>
          <w:iCs/>
          <w:sz w:val="18"/>
          <w:szCs w:val="18"/>
        </w:rPr>
        <w:instrText xml:space="preserve"> STYLEREF 1 \s </w:instrText>
      </w:r>
      <w:r w:rsidRPr="0068236B">
        <w:rPr>
          <w:rFonts w:cs="Arial"/>
          <w:iCs/>
          <w:sz w:val="18"/>
          <w:szCs w:val="18"/>
        </w:rPr>
        <w:fldChar w:fldCharType="separate"/>
      </w:r>
      <w:r w:rsidRPr="0068236B">
        <w:rPr>
          <w:rFonts w:cs="Arial"/>
          <w:iCs/>
          <w:noProof/>
          <w:sz w:val="18"/>
          <w:szCs w:val="18"/>
        </w:rPr>
        <w:t>2</w:t>
      </w:r>
      <w:r w:rsidRPr="0068236B">
        <w:rPr>
          <w:rFonts w:cs="Arial"/>
          <w:iCs/>
          <w:sz w:val="18"/>
          <w:szCs w:val="18"/>
        </w:rPr>
        <w:fldChar w:fldCharType="end"/>
      </w:r>
      <w:r w:rsidRPr="0068236B">
        <w:rPr>
          <w:rFonts w:cs="Arial"/>
          <w:iCs/>
          <w:sz w:val="18"/>
          <w:szCs w:val="18"/>
        </w:rPr>
        <w:t>.</w:t>
      </w:r>
      <w:r w:rsidRPr="0068236B">
        <w:rPr>
          <w:rFonts w:cs="Arial"/>
          <w:iCs/>
          <w:sz w:val="18"/>
          <w:szCs w:val="18"/>
        </w:rPr>
        <w:fldChar w:fldCharType="begin"/>
      </w:r>
      <w:r w:rsidRPr="0068236B">
        <w:rPr>
          <w:rFonts w:cs="Arial"/>
          <w:iCs/>
          <w:sz w:val="18"/>
          <w:szCs w:val="18"/>
        </w:rPr>
        <w:instrText xml:space="preserve"> SEQ Figure \* ARABIC \s 1 </w:instrText>
      </w:r>
      <w:r w:rsidRPr="0068236B">
        <w:rPr>
          <w:rFonts w:cs="Arial"/>
          <w:iCs/>
          <w:sz w:val="18"/>
          <w:szCs w:val="18"/>
        </w:rPr>
        <w:fldChar w:fldCharType="separate"/>
      </w:r>
      <w:r w:rsidRPr="0068236B">
        <w:rPr>
          <w:rFonts w:cs="Arial"/>
          <w:iCs/>
          <w:noProof/>
          <w:sz w:val="18"/>
          <w:szCs w:val="18"/>
        </w:rPr>
        <w:t>5</w:t>
      </w:r>
      <w:r w:rsidRPr="0068236B">
        <w:rPr>
          <w:rFonts w:cs="Arial"/>
          <w:iCs/>
          <w:sz w:val="18"/>
          <w:szCs w:val="18"/>
        </w:rPr>
        <w:fldChar w:fldCharType="end"/>
      </w:r>
      <w:r w:rsidRPr="0068236B">
        <w:rPr>
          <w:sz w:val="18"/>
          <w:szCs w:val="18"/>
        </w:rPr>
        <w:t>:</w:t>
      </w:r>
      <w:r w:rsidRPr="0068236B">
        <w:rPr>
          <w:rFonts w:cs="Tahoma"/>
          <w:iCs/>
          <w:sz w:val="18"/>
          <w:szCs w:val="18"/>
        </w:rPr>
        <w:t xml:space="preserve"> Typical</w:t>
      </w:r>
      <w:r w:rsidR="002151AE" w:rsidRPr="0068236B">
        <w:rPr>
          <w:rFonts w:cs="Tahoma"/>
          <w:iCs/>
          <w:sz w:val="18"/>
          <w:szCs w:val="18"/>
        </w:rPr>
        <w:t xml:space="preserve"> a</w:t>
      </w:r>
      <w:r w:rsidR="002151AE" w:rsidRPr="0068236B">
        <w:rPr>
          <w:rFonts w:cs="Tahoma"/>
          <w:sz w:val="18"/>
          <w:szCs w:val="18"/>
        </w:rPr>
        <w:t>ll aluminium alloy conductor</w:t>
      </w:r>
      <w:r w:rsidRPr="0068236B">
        <w:rPr>
          <w:rFonts w:cs="Tahoma"/>
          <w:sz w:val="18"/>
          <w:szCs w:val="18"/>
        </w:rPr>
        <w:t xml:space="preserve"> for </w:t>
      </w:r>
      <w:r w:rsidR="002151AE" w:rsidRPr="0068236B">
        <w:rPr>
          <w:rFonts w:cs="Tahoma"/>
          <w:sz w:val="18"/>
          <w:szCs w:val="18"/>
        </w:rPr>
        <w:t>110</w:t>
      </w:r>
      <w:r w:rsidRPr="0068236B">
        <w:rPr>
          <w:rFonts w:cs="Tahoma"/>
          <w:sz w:val="18"/>
          <w:szCs w:val="18"/>
        </w:rPr>
        <w:t xml:space="preserve"> kV transmission line</w:t>
      </w:r>
      <w:bookmarkEnd w:id="76"/>
    </w:p>
    <w:p w14:paraId="74EA1874" w14:textId="77777777" w:rsidR="002F61B9" w:rsidRPr="0068236B" w:rsidRDefault="002F61B9" w:rsidP="002F61B9">
      <w:pPr>
        <w:pStyle w:val="ListBullet"/>
        <w:jc w:val="left"/>
        <w:rPr>
          <w:rFonts w:cs="Tahoma"/>
          <w:sz w:val="20"/>
          <w:szCs w:val="20"/>
        </w:rPr>
      </w:pPr>
      <w:r w:rsidRPr="0068236B">
        <w:rPr>
          <w:rFonts w:cs="Tahoma"/>
          <w:sz w:val="20"/>
          <w:szCs w:val="20"/>
        </w:rPr>
        <w:t>Insulators</w:t>
      </w:r>
    </w:p>
    <w:p w14:paraId="1BDF89C1" w14:textId="77777777" w:rsidR="00A40352" w:rsidRDefault="002F61B9" w:rsidP="00A40352">
      <w:r w:rsidRPr="0068236B">
        <w:rPr>
          <w:rFonts w:cs="Tahoma"/>
          <w:sz w:val="20"/>
          <w:szCs w:val="20"/>
        </w:rPr>
        <w:t>The transmission line will be connected to the grid with a directly grounded neutral point and nominal ligh</w:t>
      </w:r>
      <w:r w:rsidRPr="0068236B">
        <w:rPr>
          <w:rFonts w:cs="Tahoma"/>
          <w:sz w:val="20"/>
          <w:szCs w:val="20"/>
        </w:rPr>
        <w:t>t</w:t>
      </w:r>
      <w:r w:rsidRPr="0068236B">
        <w:rPr>
          <w:rFonts w:cs="Tahoma"/>
          <w:sz w:val="20"/>
          <w:szCs w:val="20"/>
        </w:rPr>
        <w:t xml:space="preserve">ning </w:t>
      </w:r>
      <w:r w:rsidR="005E6643" w:rsidRPr="0068236B">
        <w:rPr>
          <w:rFonts w:cs="Tahoma"/>
          <w:sz w:val="20"/>
          <w:szCs w:val="20"/>
        </w:rPr>
        <w:t>impulse withstands</w:t>
      </w:r>
      <w:r w:rsidR="00A40352">
        <w:rPr>
          <w:rFonts w:cs="Tahoma"/>
          <w:sz w:val="20"/>
          <w:szCs w:val="20"/>
        </w:rPr>
        <w:t xml:space="preserve"> voltage of 550 kV. </w:t>
      </w:r>
      <w:r w:rsidRPr="0068236B">
        <w:rPr>
          <w:rFonts w:cs="Tahoma"/>
          <w:sz w:val="20"/>
          <w:szCs w:val="20"/>
        </w:rPr>
        <w:t>The insulator that is to be used will be of a type approved for such transmission lines and appropriate assembling procedures will be carried out for the various types of insulator chains. Insulators are typically made of toughened glass.</w:t>
      </w:r>
      <w:r w:rsidR="00A40352">
        <w:rPr>
          <w:rFonts w:cs="Tahoma"/>
          <w:sz w:val="20"/>
          <w:szCs w:val="20"/>
        </w:rPr>
        <w:t xml:space="preserve"> </w:t>
      </w:r>
      <w:r w:rsidR="00A40352">
        <w:rPr>
          <w:rFonts w:cs="Tahoma"/>
          <w:sz w:val="20"/>
        </w:rPr>
        <w:t xml:space="preserve">For 110 kV lines, </w:t>
      </w:r>
      <w:r w:rsidR="00A40352">
        <w:rPr>
          <w:sz w:val="20"/>
          <w:szCs w:val="20"/>
        </w:rPr>
        <w:t>MEPSO design practice uses an insulator chain w</w:t>
      </w:r>
      <w:r w:rsidR="00A40352" w:rsidRPr="00ED2B22">
        <w:rPr>
          <w:sz w:val="20"/>
          <w:szCs w:val="20"/>
        </w:rPr>
        <w:t xml:space="preserve">ith a length </w:t>
      </w:r>
      <w:r w:rsidR="00A40352">
        <w:rPr>
          <w:sz w:val="20"/>
          <w:szCs w:val="20"/>
        </w:rPr>
        <w:t>of 1800 mm</w:t>
      </w:r>
      <w:r w:rsidR="00A40352" w:rsidRPr="006C6ADB">
        <w:rPr>
          <w:sz w:val="20"/>
          <w:szCs w:val="20"/>
        </w:rPr>
        <w:t>.</w:t>
      </w:r>
    </w:p>
    <w:p w14:paraId="3ABF8973" w14:textId="38B6C195" w:rsidR="005B3561" w:rsidRPr="0068236B" w:rsidRDefault="002F61B9" w:rsidP="005B3561">
      <w:pPr>
        <w:pStyle w:val="ListBullet"/>
        <w:jc w:val="left"/>
        <w:rPr>
          <w:rFonts w:cs="Tahoma"/>
          <w:sz w:val="20"/>
          <w:szCs w:val="20"/>
        </w:rPr>
      </w:pPr>
      <w:r w:rsidRPr="0068236B">
        <w:rPr>
          <w:rFonts w:cs="Tahoma"/>
          <w:sz w:val="20"/>
          <w:szCs w:val="20"/>
        </w:rPr>
        <w:t>Earthing</w:t>
      </w:r>
    </w:p>
    <w:p w14:paraId="11B74841" w14:textId="214C57BC" w:rsidR="002F61B9" w:rsidRPr="0068236B" w:rsidRDefault="005B3561" w:rsidP="002F61B9">
      <w:pPr>
        <w:pStyle w:val="BodyText2"/>
        <w:spacing w:before="120" w:line="276" w:lineRule="auto"/>
        <w:jc w:val="both"/>
        <w:rPr>
          <w:rFonts w:ascii="Tahoma" w:hAnsi="Tahoma" w:cs="Tahoma"/>
          <w:sz w:val="20"/>
          <w:szCs w:val="20"/>
        </w:rPr>
      </w:pPr>
      <w:r w:rsidRPr="0068236B">
        <w:rPr>
          <w:rFonts w:ascii="Tahoma" w:hAnsi="Tahoma" w:cs="Tahoma"/>
          <w:sz w:val="20"/>
          <w:szCs w:val="20"/>
        </w:rPr>
        <w:t xml:space="preserve">Earthing of the towers will be completed with one ring around each tower foundation and additional ring </w:t>
      </w:r>
      <w:r w:rsidRPr="0068236B">
        <w:rPr>
          <w:rFonts w:ascii="Tahoma" w:hAnsi="Tahoma" w:cs="Tahoma"/>
          <w:sz w:val="20"/>
          <w:szCs w:val="22"/>
        </w:rPr>
        <w:t xml:space="preserve">made of hot dip galvanized Fe bar conductor </w:t>
      </w:r>
      <w:r w:rsidRPr="0068236B">
        <w:rPr>
          <w:rFonts w:cs="Arial"/>
          <w:sz w:val="20"/>
          <w:szCs w:val="22"/>
        </w:rPr>
        <w:t>Ø</w:t>
      </w:r>
      <w:r w:rsidRPr="0068236B">
        <w:rPr>
          <w:rFonts w:ascii="Tahoma" w:hAnsi="Tahoma" w:cs="Tahoma"/>
          <w:sz w:val="20"/>
          <w:szCs w:val="22"/>
        </w:rPr>
        <w:t>10mm</w:t>
      </w:r>
      <w:r w:rsidRPr="0068236B">
        <w:rPr>
          <w:rFonts w:ascii="Tahoma" w:hAnsi="Tahoma" w:cs="Tahoma"/>
          <w:sz w:val="20"/>
          <w:szCs w:val="20"/>
        </w:rPr>
        <w:t xml:space="preserve"> is laid around the entire tower structure, roughly 1 metre away from existing rings and at depth of 0.8 to 1.0 metre. These rings are connected between them and to the tower steel structure. In cases where earthing needs to be reinforced (e.g. for types of soil with lower conductivity), reinforcement is done by adding two extensions from FeZn wires or FeZn tapes to exis</w:t>
      </w:r>
      <w:r w:rsidRPr="0068236B">
        <w:rPr>
          <w:rFonts w:ascii="Tahoma" w:hAnsi="Tahoma" w:cs="Tahoma"/>
          <w:sz w:val="20"/>
          <w:szCs w:val="20"/>
        </w:rPr>
        <w:t>t</w:t>
      </w:r>
      <w:r w:rsidRPr="0068236B">
        <w:rPr>
          <w:rFonts w:ascii="Tahoma" w:hAnsi="Tahoma" w:cs="Tahoma"/>
          <w:sz w:val="20"/>
          <w:szCs w:val="20"/>
        </w:rPr>
        <w:t>ing rings on each tower foundation.</w:t>
      </w:r>
    </w:p>
    <w:p w14:paraId="3F5BA47A" w14:textId="77777777" w:rsidR="002F61B9" w:rsidRPr="0068236B" w:rsidRDefault="002F61B9" w:rsidP="002F61B9">
      <w:pPr>
        <w:pStyle w:val="ListBullet"/>
        <w:jc w:val="left"/>
        <w:rPr>
          <w:rFonts w:cs="Tahoma"/>
          <w:sz w:val="20"/>
          <w:szCs w:val="20"/>
        </w:rPr>
      </w:pPr>
      <w:r w:rsidRPr="0068236B">
        <w:rPr>
          <w:rFonts w:cs="Tahoma"/>
          <w:sz w:val="20"/>
          <w:szCs w:val="20"/>
        </w:rPr>
        <w:t>Protective Wires</w:t>
      </w:r>
    </w:p>
    <w:p w14:paraId="2E3F08B3" w14:textId="10098804" w:rsidR="002F61B9" w:rsidRPr="0068236B" w:rsidRDefault="002F61B9" w:rsidP="00D41AA9">
      <w:pPr>
        <w:rPr>
          <w:rFonts w:cs="Tahoma"/>
          <w:sz w:val="20"/>
          <w:szCs w:val="20"/>
        </w:rPr>
      </w:pPr>
      <w:r w:rsidRPr="0068236B">
        <w:rPr>
          <w:rFonts w:cs="Tahoma"/>
          <w:sz w:val="20"/>
          <w:szCs w:val="20"/>
        </w:rPr>
        <w:t>One ground wire will be strung above the towers arms at the tower peak for protec</w:t>
      </w:r>
      <w:r w:rsidR="00D41AA9" w:rsidRPr="0068236B">
        <w:rPr>
          <w:rFonts w:cs="Tahoma"/>
          <w:sz w:val="20"/>
          <w:szCs w:val="20"/>
        </w:rPr>
        <w:t>tion against lightning strikes.</w:t>
      </w:r>
    </w:p>
    <w:p w14:paraId="7DB31339" w14:textId="718917C5" w:rsidR="00047DC6" w:rsidRPr="0068236B" w:rsidRDefault="00047DC6" w:rsidP="008E77D3">
      <w:pPr>
        <w:pStyle w:val="Heading4"/>
        <w:numPr>
          <w:ilvl w:val="4"/>
          <w:numId w:val="43"/>
        </w:numPr>
        <w:rPr>
          <w:sz w:val="20"/>
        </w:rPr>
      </w:pPr>
      <w:r w:rsidRPr="0068236B">
        <w:rPr>
          <w:rFonts w:cs="Tahoma"/>
          <w:sz w:val="20"/>
        </w:rPr>
        <w:lastRenderedPageBreak/>
        <w:t xml:space="preserve">New 2x110 kV OHL </w:t>
      </w:r>
      <w:r w:rsidR="00B91B1E" w:rsidRPr="0068236B">
        <w:rPr>
          <w:rFonts w:cs="Tahoma"/>
          <w:sz w:val="20"/>
        </w:rPr>
        <w:t>400/110 kV SS Miletkovo</w:t>
      </w:r>
      <w:r w:rsidRPr="0068236B">
        <w:rPr>
          <w:rFonts w:cs="Tahoma"/>
          <w:sz w:val="20"/>
        </w:rPr>
        <w:t xml:space="preserve"> - SS ‘EVP’ Miletkovo</w:t>
      </w:r>
    </w:p>
    <w:p w14:paraId="59F56D30" w14:textId="58648B41" w:rsidR="00047DC6" w:rsidRPr="0068236B" w:rsidRDefault="00047DC6" w:rsidP="00047DC6">
      <w:pPr>
        <w:rPr>
          <w:sz w:val="20"/>
        </w:rPr>
      </w:pPr>
      <w:r w:rsidRPr="0068236B">
        <w:rPr>
          <w:sz w:val="20"/>
        </w:rPr>
        <w:t xml:space="preserve">A new two-phase 2x110 kV line will be built to connect the existing SS ‘EVP Miletkovo’ to the new </w:t>
      </w:r>
      <w:r w:rsidR="00B91B1E" w:rsidRPr="0068236B">
        <w:rPr>
          <w:sz w:val="20"/>
        </w:rPr>
        <w:t>400/110 kV SS Miletkovo</w:t>
      </w:r>
      <w:r w:rsidRPr="0068236B">
        <w:rPr>
          <w:sz w:val="20"/>
        </w:rPr>
        <w:t xml:space="preserve"> since the existing 2x110 kV OHL SS Valandovo – SS EVP Miletkovo will be reconstructed, extended and connected to the new SS 400/110 kV Valandovo thus enabling a connection between new </w:t>
      </w:r>
      <w:r w:rsidR="00B91B1E" w:rsidRPr="0068236B">
        <w:rPr>
          <w:sz w:val="20"/>
        </w:rPr>
        <w:t>400/110 kV SS Miletkovo</w:t>
      </w:r>
      <w:r w:rsidRPr="0068236B">
        <w:rPr>
          <w:sz w:val="20"/>
        </w:rPr>
        <w:t xml:space="preserve"> and existing 110/35/10 kV SS Valandovo</w:t>
      </w:r>
      <w:r w:rsidR="003B32A0" w:rsidRPr="0068236B">
        <w:rPr>
          <w:sz w:val="20"/>
        </w:rPr>
        <w:t xml:space="preserve"> (Figure below)</w:t>
      </w:r>
      <w:r w:rsidRPr="0068236B">
        <w:rPr>
          <w:sz w:val="20"/>
        </w:rPr>
        <w:t>. This new line will be co</w:t>
      </w:r>
      <w:r w:rsidRPr="0068236B">
        <w:rPr>
          <w:sz w:val="20"/>
        </w:rPr>
        <w:t>n</w:t>
      </w:r>
      <w:r w:rsidRPr="0068236B">
        <w:rPr>
          <w:sz w:val="20"/>
        </w:rPr>
        <w:t>structed as a double-system line (2x110 kV) to provide reliable supply to the SS ‘EVP’ Miletkovo which is the main power supply of the railway transport system in the southeastern part of the country.</w:t>
      </w:r>
    </w:p>
    <w:p w14:paraId="6DFFF65A" w14:textId="5D175D59" w:rsidR="00264B7B" w:rsidRPr="0068236B" w:rsidRDefault="00652B16" w:rsidP="00264B7B">
      <w:pPr>
        <w:spacing w:before="0" w:after="0"/>
        <w:rPr>
          <w:sz w:val="20"/>
          <w:szCs w:val="20"/>
          <w:lang w:eastAsia="en-US"/>
        </w:rPr>
      </w:pPr>
      <w:r w:rsidRPr="0068236B">
        <w:rPr>
          <w:noProof/>
          <w:lang w:val="mk-MK" w:eastAsia="mk-MK"/>
        </w:rPr>
        <w:drawing>
          <wp:inline distT="0" distB="0" distL="0" distR="0" wp14:anchorId="3DFF18E4" wp14:editId="7E6AAA62">
            <wp:extent cx="4838700" cy="4450080"/>
            <wp:effectExtent l="3810" t="0" r="3810" b="381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email">
                      <a:extLst>
                        <a:ext uri="{28A0092B-C50C-407E-A947-70E740481C1C}">
                          <a14:useLocalDpi xmlns:a14="http://schemas.microsoft.com/office/drawing/2010/main" val="0"/>
                        </a:ext>
                      </a:extLst>
                    </a:blip>
                    <a:srcRect/>
                    <a:stretch>
                      <a:fillRect/>
                    </a:stretch>
                  </pic:blipFill>
                  <pic:spPr bwMode="auto">
                    <a:xfrm rot="16200000">
                      <a:off x="0" y="0"/>
                      <a:ext cx="4838700" cy="4450080"/>
                    </a:xfrm>
                    <a:prstGeom prst="rect">
                      <a:avLst/>
                    </a:prstGeom>
                    <a:noFill/>
                    <a:ln>
                      <a:noFill/>
                    </a:ln>
                  </pic:spPr>
                </pic:pic>
              </a:graphicData>
            </a:graphic>
          </wp:inline>
        </w:drawing>
      </w:r>
    </w:p>
    <w:p w14:paraId="0F9AC3C0" w14:textId="3D54DAD9" w:rsidR="00264B7B" w:rsidRPr="0068236B" w:rsidRDefault="00AA25B5" w:rsidP="00264B7B">
      <w:pPr>
        <w:spacing w:before="0" w:after="60"/>
        <w:jc w:val="left"/>
        <w:rPr>
          <w:sz w:val="18"/>
          <w:szCs w:val="20"/>
        </w:rPr>
      </w:pPr>
      <w:bookmarkStart w:id="77" w:name="_Toc112928860"/>
      <w:r w:rsidRPr="0068236B">
        <w:rPr>
          <w:rFonts w:cs="Arial"/>
          <w:iCs/>
          <w:sz w:val="18"/>
          <w:szCs w:val="20"/>
        </w:rPr>
        <w:t xml:space="preserve">Figure </w:t>
      </w:r>
      <w:r w:rsidRPr="0068236B">
        <w:rPr>
          <w:rFonts w:cs="Arial"/>
          <w:iCs/>
          <w:sz w:val="18"/>
          <w:szCs w:val="20"/>
        </w:rPr>
        <w:fldChar w:fldCharType="begin"/>
      </w:r>
      <w:r w:rsidRPr="0068236B">
        <w:rPr>
          <w:rFonts w:cs="Arial"/>
          <w:iCs/>
          <w:sz w:val="18"/>
          <w:szCs w:val="20"/>
        </w:rPr>
        <w:instrText xml:space="preserve"> STYLEREF 1 \s </w:instrText>
      </w:r>
      <w:r w:rsidRPr="0068236B">
        <w:rPr>
          <w:rFonts w:cs="Arial"/>
          <w:iCs/>
          <w:sz w:val="18"/>
          <w:szCs w:val="20"/>
        </w:rPr>
        <w:fldChar w:fldCharType="separate"/>
      </w:r>
      <w:r w:rsidR="00234EBE" w:rsidRPr="0068236B">
        <w:rPr>
          <w:rFonts w:cs="Arial"/>
          <w:iCs/>
          <w:noProof/>
          <w:sz w:val="18"/>
          <w:szCs w:val="20"/>
        </w:rPr>
        <w:t>2</w:t>
      </w:r>
      <w:r w:rsidRPr="0068236B">
        <w:rPr>
          <w:rFonts w:cs="Arial"/>
          <w:iCs/>
          <w:sz w:val="18"/>
          <w:szCs w:val="20"/>
        </w:rPr>
        <w:fldChar w:fldCharType="end"/>
      </w:r>
      <w:r w:rsidRPr="0068236B">
        <w:rPr>
          <w:rFonts w:cs="Arial"/>
          <w:iCs/>
          <w:sz w:val="18"/>
          <w:szCs w:val="20"/>
        </w:rPr>
        <w:t>.</w:t>
      </w:r>
      <w:r w:rsidRPr="0068236B">
        <w:rPr>
          <w:rFonts w:cs="Arial"/>
          <w:iCs/>
          <w:sz w:val="18"/>
          <w:szCs w:val="20"/>
        </w:rPr>
        <w:fldChar w:fldCharType="begin"/>
      </w:r>
      <w:r w:rsidRPr="0068236B">
        <w:rPr>
          <w:rFonts w:cs="Arial"/>
          <w:iCs/>
          <w:sz w:val="18"/>
          <w:szCs w:val="20"/>
        </w:rPr>
        <w:instrText xml:space="preserve"> SEQ Figure \* ARABIC \s 1 </w:instrText>
      </w:r>
      <w:r w:rsidRPr="0068236B">
        <w:rPr>
          <w:rFonts w:cs="Arial"/>
          <w:iCs/>
          <w:sz w:val="18"/>
          <w:szCs w:val="20"/>
        </w:rPr>
        <w:fldChar w:fldCharType="separate"/>
      </w:r>
      <w:r w:rsidR="00234EBE" w:rsidRPr="0068236B">
        <w:rPr>
          <w:rFonts w:cs="Arial"/>
          <w:iCs/>
          <w:noProof/>
          <w:sz w:val="18"/>
          <w:szCs w:val="20"/>
        </w:rPr>
        <w:t>10</w:t>
      </w:r>
      <w:r w:rsidRPr="0068236B">
        <w:rPr>
          <w:rFonts w:cs="Arial"/>
          <w:iCs/>
          <w:sz w:val="18"/>
          <w:szCs w:val="20"/>
        </w:rPr>
        <w:fldChar w:fldCharType="end"/>
      </w:r>
      <w:r w:rsidRPr="0068236B">
        <w:rPr>
          <w:sz w:val="18"/>
          <w:szCs w:val="20"/>
        </w:rPr>
        <w:t>:</w:t>
      </w:r>
      <w:r w:rsidR="00AE746C" w:rsidRPr="0068236B">
        <w:rPr>
          <w:sz w:val="18"/>
          <w:szCs w:val="20"/>
        </w:rPr>
        <w:t xml:space="preserve"> </w:t>
      </w:r>
      <w:r w:rsidR="00264B7B" w:rsidRPr="0068236B">
        <w:rPr>
          <w:sz w:val="18"/>
          <w:szCs w:val="20"/>
        </w:rPr>
        <w:t>New 2x110 kV transmission line from 400/110 kV substation Miletkovo to ‘EVP’ Miletkovo substation</w:t>
      </w:r>
      <w:bookmarkEnd w:id="77"/>
    </w:p>
    <w:p w14:paraId="3F544330" w14:textId="47253149" w:rsidR="00264B7B" w:rsidRPr="0068236B" w:rsidRDefault="00264B7B" w:rsidP="00264B7B">
      <w:pPr>
        <w:spacing w:before="0" w:after="60"/>
        <w:jc w:val="left"/>
        <w:rPr>
          <w:sz w:val="16"/>
          <w:szCs w:val="16"/>
        </w:rPr>
      </w:pPr>
      <w:r w:rsidRPr="0068236B">
        <w:rPr>
          <w:sz w:val="16"/>
          <w:szCs w:val="16"/>
        </w:rPr>
        <w:t>Note: the extension is depicted in light blue line</w:t>
      </w:r>
    </w:p>
    <w:p w14:paraId="1EA2693F" w14:textId="3F3DD503" w:rsidR="00264B7B" w:rsidRPr="0068236B" w:rsidRDefault="00264B7B" w:rsidP="00264B7B">
      <w:pPr>
        <w:spacing w:before="0" w:after="240" w:line="240" w:lineRule="auto"/>
        <w:jc w:val="left"/>
        <w:rPr>
          <w:rFonts w:cs="Tahoma"/>
          <w:bCs/>
          <w:sz w:val="16"/>
          <w:szCs w:val="16"/>
        </w:rPr>
      </w:pPr>
      <w:r w:rsidRPr="0068236B">
        <w:rPr>
          <w:rFonts w:cs="Tahoma"/>
          <w:iCs/>
          <w:sz w:val="16"/>
          <w:szCs w:val="16"/>
        </w:rPr>
        <w:t xml:space="preserve">Source: </w:t>
      </w:r>
      <w:r w:rsidRPr="0068236B">
        <w:rPr>
          <w:rFonts w:cs="Tahoma"/>
          <w:sz w:val="16"/>
          <w:szCs w:val="16"/>
          <w:lang w:eastAsia="en-US"/>
        </w:rPr>
        <w:t xml:space="preserve">WB21-MKD-ENE-03 North Macedonia, Strengthening the Transmission Network in the Southeast Region of North Macedonia - Component 1; </w:t>
      </w:r>
      <w:r w:rsidR="00E6543C" w:rsidRPr="0068236B">
        <w:rPr>
          <w:rFonts w:cs="Tahoma"/>
          <w:sz w:val="16"/>
          <w:szCs w:val="16"/>
        </w:rPr>
        <w:t>Detailed Technical Assessment of Preferred Option, January 2022</w:t>
      </w:r>
      <w:r w:rsidRPr="0068236B">
        <w:rPr>
          <w:rFonts w:cs="Tahoma"/>
          <w:bCs/>
          <w:sz w:val="16"/>
          <w:szCs w:val="16"/>
        </w:rPr>
        <w:t xml:space="preserve"> [Ref.7]</w:t>
      </w:r>
    </w:p>
    <w:p w14:paraId="6690CC26" w14:textId="77777777" w:rsidR="003355C1" w:rsidRPr="0068236B" w:rsidRDefault="003355C1" w:rsidP="008843F6">
      <w:pPr>
        <w:pStyle w:val="ListBullet"/>
        <w:numPr>
          <w:ilvl w:val="0"/>
          <w:numId w:val="0"/>
        </w:numPr>
        <w:spacing w:before="120" w:after="120"/>
        <w:ind w:firstLine="720"/>
        <w:jc w:val="left"/>
        <w:rPr>
          <w:sz w:val="20"/>
          <w:u w:val="single"/>
        </w:rPr>
      </w:pPr>
      <w:r w:rsidRPr="0068236B">
        <w:rPr>
          <w:sz w:val="20"/>
          <w:u w:val="single"/>
        </w:rPr>
        <w:t>Technical Elements</w:t>
      </w:r>
    </w:p>
    <w:p w14:paraId="1326F2B5" w14:textId="77777777" w:rsidR="00047DC6" w:rsidRPr="0068236B" w:rsidRDefault="00047DC6" w:rsidP="00047DC6">
      <w:pPr>
        <w:pStyle w:val="NumberedParagraph"/>
        <w:rPr>
          <w:sz w:val="20"/>
        </w:rPr>
      </w:pPr>
      <w:r w:rsidRPr="0068236B">
        <w:rPr>
          <w:sz w:val="20"/>
        </w:rPr>
        <w:t xml:space="preserve">The proposed new </w:t>
      </w:r>
      <w:r w:rsidRPr="0068236B">
        <w:rPr>
          <w:rFonts w:cs="Tahoma"/>
          <w:sz w:val="20"/>
        </w:rPr>
        <w:t xml:space="preserve">2x110 kV line </w:t>
      </w:r>
      <w:r w:rsidRPr="0068236B">
        <w:rPr>
          <w:sz w:val="20"/>
        </w:rPr>
        <w:t xml:space="preserve">includes the following technical elements: </w:t>
      </w:r>
    </w:p>
    <w:p w14:paraId="5839C060" w14:textId="77777777" w:rsidR="00047DC6" w:rsidRPr="0068236B" w:rsidRDefault="00047DC6" w:rsidP="008E77D3">
      <w:pPr>
        <w:pStyle w:val="NumberedParagraph"/>
        <w:numPr>
          <w:ilvl w:val="0"/>
          <w:numId w:val="47"/>
        </w:numPr>
        <w:spacing w:before="0" w:after="60" w:line="240" w:lineRule="auto"/>
        <w:ind w:left="714" w:hanging="357"/>
        <w:jc w:val="left"/>
        <w:rPr>
          <w:sz w:val="20"/>
        </w:rPr>
      </w:pPr>
      <w:r w:rsidRPr="0068236B">
        <w:rPr>
          <w:sz w:val="20"/>
        </w:rPr>
        <w:t>Towers. The proposed transmission line will be designed and constructed with galvanised steel-lattice towers with four arms configuration of conductors and one earth wire at the top of the to</w:t>
      </w:r>
      <w:r w:rsidRPr="0068236B">
        <w:rPr>
          <w:sz w:val="20"/>
        </w:rPr>
        <w:t>w</w:t>
      </w:r>
      <w:r w:rsidRPr="0068236B">
        <w:rPr>
          <w:sz w:val="20"/>
        </w:rPr>
        <w:t xml:space="preserve">ers. </w:t>
      </w:r>
    </w:p>
    <w:p w14:paraId="3A960CAD" w14:textId="77777777" w:rsidR="00047DC6" w:rsidRPr="0068236B" w:rsidRDefault="00047DC6" w:rsidP="008E77D3">
      <w:pPr>
        <w:pStyle w:val="ListBullet"/>
        <w:numPr>
          <w:ilvl w:val="0"/>
          <w:numId w:val="47"/>
        </w:numPr>
        <w:spacing w:line="240" w:lineRule="auto"/>
        <w:ind w:left="714" w:hanging="357"/>
        <w:jc w:val="left"/>
        <w:rPr>
          <w:sz w:val="20"/>
        </w:rPr>
      </w:pPr>
      <w:r w:rsidRPr="0068236B">
        <w:rPr>
          <w:sz w:val="20"/>
        </w:rPr>
        <w:t>Foundations. The tower foundations will be designed and will be constructed of four separate rei</w:t>
      </w:r>
      <w:r w:rsidRPr="0068236B">
        <w:rPr>
          <w:sz w:val="20"/>
        </w:rPr>
        <w:t>n</w:t>
      </w:r>
      <w:r w:rsidRPr="0068236B">
        <w:rPr>
          <w:sz w:val="20"/>
        </w:rPr>
        <w:t xml:space="preserve">forced concrete footings suitable for the specific bearing capacity of the terrain. </w:t>
      </w:r>
    </w:p>
    <w:p w14:paraId="29710E9C" w14:textId="77777777" w:rsidR="00047DC6" w:rsidRPr="0068236B" w:rsidRDefault="00047DC6" w:rsidP="008E77D3">
      <w:pPr>
        <w:pStyle w:val="ListBullet"/>
        <w:numPr>
          <w:ilvl w:val="0"/>
          <w:numId w:val="47"/>
        </w:numPr>
        <w:spacing w:line="240" w:lineRule="auto"/>
        <w:ind w:left="714" w:hanging="357"/>
        <w:jc w:val="left"/>
        <w:rPr>
          <w:sz w:val="20"/>
        </w:rPr>
      </w:pPr>
      <w:r w:rsidRPr="0068236B">
        <w:rPr>
          <w:sz w:val="20"/>
        </w:rPr>
        <w:t>Phase conductors and insulator strings. One conductor per phase is foreseen. Characteristics of the conductors will be in compliance with national standards (MKS) and European standards (European Norms - EN). The insulator strings will be tension strings.</w:t>
      </w:r>
    </w:p>
    <w:p w14:paraId="714A2E44" w14:textId="77777777" w:rsidR="00047DC6" w:rsidRPr="0068236B" w:rsidRDefault="00047DC6" w:rsidP="00047DC6">
      <w:pPr>
        <w:pStyle w:val="ListBullet"/>
        <w:spacing w:before="120" w:after="120"/>
        <w:jc w:val="left"/>
        <w:rPr>
          <w:sz w:val="20"/>
        </w:rPr>
      </w:pPr>
      <w:r w:rsidRPr="0068236B">
        <w:rPr>
          <w:sz w:val="20"/>
        </w:rPr>
        <w:t>Towers and foundations</w:t>
      </w:r>
    </w:p>
    <w:p w14:paraId="45DDDE5D" w14:textId="77777777" w:rsidR="00047DC6" w:rsidRPr="0068236B" w:rsidRDefault="00047DC6" w:rsidP="00047DC6">
      <w:pPr>
        <w:pStyle w:val="BodyText"/>
        <w:spacing w:before="120" w:after="120"/>
        <w:ind w:left="0"/>
        <w:jc w:val="both"/>
        <w:rPr>
          <w:rFonts w:ascii="Tahoma" w:hAnsi="Tahoma" w:cs="Tahoma"/>
          <w:sz w:val="20"/>
          <w:szCs w:val="22"/>
        </w:rPr>
      </w:pPr>
      <w:r w:rsidRPr="0068236B">
        <w:rPr>
          <w:rFonts w:ascii="Tahoma" w:hAnsi="Tahoma" w:cs="Tahoma"/>
          <w:sz w:val="20"/>
          <w:szCs w:val="22"/>
        </w:rPr>
        <w:lastRenderedPageBreak/>
        <w:t>The design of the towers will ensure safe operation in all working climate conditions, paying particular r</w:t>
      </w:r>
      <w:r w:rsidRPr="0068236B">
        <w:rPr>
          <w:rFonts w:ascii="Tahoma" w:hAnsi="Tahoma" w:cs="Tahoma"/>
          <w:sz w:val="20"/>
          <w:szCs w:val="22"/>
        </w:rPr>
        <w:t>e</w:t>
      </w:r>
      <w:r w:rsidRPr="0068236B">
        <w:rPr>
          <w:rFonts w:ascii="Tahoma" w:hAnsi="Tahoma" w:cs="Tahoma"/>
          <w:sz w:val="20"/>
          <w:szCs w:val="22"/>
        </w:rPr>
        <w:t>gard to the phase conductors, earth wires and insulator sets and for the designed wind and weight spans.</w:t>
      </w:r>
    </w:p>
    <w:p w14:paraId="6BA872C5" w14:textId="77777777" w:rsidR="00047DC6" w:rsidRPr="0068236B" w:rsidRDefault="00047DC6" w:rsidP="00047DC6">
      <w:pPr>
        <w:pStyle w:val="BodyText"/>
        <w:spacing w:before="120" w:after="120"/>
        <w:ind w:left="0"/>
        <w:jc w:val="both"/>
        <w:rPr>
          <w:rFonts w:ascii="Tahoma" w:hAnsi="Tahoma" w:cs="Tahoma"/>
          <w:sz w:val="20"/>
          <w:szCs w:val="22"/>
        </w:rPr>
      </w:pPr>
      <w:r w:rsidRPr="0068236B">
        <w:rPr>
          <w:rFonts w:ascii="Tahoma" w:hAnsi="Tahoma" w:cs="Tahoma"/>
          <w:sz w:val="20"/>
          <w:szCs w:val="22"/>
        </w:rPr>
        <w:t>Depending on their position in the transmission line, the types of towers could be:</w:t>
      </w:r>
    </w:p>
    <w:p w14:paraId="3847D95E" w14:textId="77777777" w:rsidR="00047DC6" w:rsidRPr="0068236B" w:rsidRDefault="00047DC6" w:rsidP="00047DC6">
      <w:pPr>
        <w:pStyle w:val="ListBullet2"/>
        <w:rPr>
          <w:sz w:val="20"/>
        </w:rPr>
      </w:pPr>
      <w:r w:rsidRPr="0068236B">
        <w:rPr>
          <w:sz w:val="20"/>
        </w:rPr>
        <w:t xml:space="preserve">Suspension towers, </w:t>
      </w:r>
    </w:p>
    <w:p w14:paraId="376AB0E8" w14:textId="77777777" w:rsidR="00047DC6" w:rsidRPr="0068236B" w:rsidRDefault="00047DC6" w:rsidP="00047DC6">
      <w:pPr>
        <w:pStyle w:val="ListBullet2"/>
        <w:rPr>
          <w:sz w:val="20"/>
        </w:rPr>
      </w:pPr>
      <w:r w:rsidRPr="0068236B">
        <w:rPr>
          <w:sz w:val="20"/>
        </w:rPr>
        <w:t>Angle (tension) towers, used where the line changes direction or for special loading cases along the line,</w:t>
      </w:r>
    </w:p>
    <w:p w14:paraId="1311923F" w14:textId="77777777" w:rsidR="00047DC6" w:rsidRPr="0068236B" w:rsidRDefault="00047DC6" w:rsidP="00047DC6">
      <w:pPr>
        <w:pStyle w:val="ListBullet2"/>
        <w:rPr>
          <w:rFonts w:cs="Tahoma"/>
          <w:sz w:val="20"/>
        </w:rPr>
      </w:pPr>
      <w:r w:rsidRPr="0068236B">
        <w:rPr>
          <w:sz w:val="20"/>
        </w:rPr>
        <w:t xml:space="preserve">Terminal towers, used when the line is connected to a substation. </w:t>
      </w:r>
    </w:p>
    <w:p w14:paraId="242425D3" w14:textId="77777777" w:rsidR="00047DC6" w:rsidRPr="0068236B" w:rsidRDefault="00047DC6" w:rsidP="00047DC6">
      <w:pPr>
        <w:pStyle w:val="BodyText"/>
        <w:spacing w:before="120" w:after="120"/>
        <w:ind w:left="0"/>
        <w:jc w:val="both"/>
        <w:rPr>
          <w:rFonts w:ascii="Tahoma" w:hAnsi="Tahoma" w:cs="Tahoma"/>
          <w:sz w:val="20"/>
          <w:szCs w:val="22"/>
        </w:rPr>
      </w:pPr>
      <w:r w:rsidRPr="0068236B">
        <w:rPr>
          <w:rFonts w:ascii="Tahoma" w:hAnsi="Tahoma" w:cs="Tahoma"/>
          <w:sz w:val="20"/>
          <w:szCs w:val="22"/>
        </w:rPr>
        <w:t xml:space="preserve">The transmission line is designed with steel-lattice towers with four arms with one conductor per phase and one earth wire (Figure below). </w:t>
      </w:r>
    </w:p>
    <w:p w14:paraId="19CBC634" w14:textId="77777777" w:rsidR="00047DC6" w:rsidRPr="0068236B" w:rsidRDefault="00047DC6" w:rsidP="00047DC6">
      <w:pPr>
        <w:spacing w:before="0" w:after="0" w:line="240" w:lineRule="auto"/>
        <w:jc w:val="left"/>
        <w:rPr>
          <w:rFonts w:cs="Tahoma"/>
          <w:sz w:val="20"/>
        </w:rPr>
      </w:pPr>
      <w:r w:rsidRPr="0068236B">
        <w:rPr>
          <w:rFonts w:cs="Tahoma"/>
          <w:noProof/>
          <w:sz w:val="20"/>
          <w:lang w:val="mk-MK" w:eastAsia="mk-MK"/>
        </w:rPr>
        <w:drawing>
          <wp:inline distT="0" distB="0" distL="0" distR="0" wp14:anchorId="2E98CD1F" wp14:editId="3701EC30">
            <wp:extent cx="3780155" cy="4392000"/>
            <wp:effectExtent l="38100" t="19050" r="10795" b="27600"/>
            <wp:docPr id="902"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extLst>
                        <a:ext uri="{28A0092B-C50C-407E-A947-70E740481C1C}">
                          <a14:useLocalDpi xmlns:a14="http://schemas.microsoft.com/office/drawing/2010/main" val="0"/>
                        </a:ext>
                      </a:extLst>
                    </a:blip>
                    <a:srcRect l="3510" t="5389" r="1207"/>
                    <a:stretch>
                      <a:fillRect/>
                    </a:stretch>
                  </pic:blipFill>
                  <pic:spPr bwMode="auto">
                    <a:xfrm>
                      <a:off x="0" y="0"/>
                      <a:ext cx="3780155" cy="4392000"/>
                    </a:xfrm>
                    <a:prstGeom prst="rect">
                      <a:avLst/>
                    </a:prstGeom>
                    <a:noFill/>
                    <a:ln w="3175">
                      <a:solidFill>
                        <a:schemeClr val="tx1"/>
                      </a:solidFill>
                    </a:ln>
                  </pic:spPr>
                </pic:pic>
              </a:graphicData>
            </a:graphic>
          </wp:inline>
        </w:drawing>
      </w:r>
    </w:p>
    <w:p w14:paraId="397F755C" w14:textId="5B30C1B2" w:rsidR="00047DC6" w:rsidRPr="0068236B" w:rsidRDefault="00AA25B5" w:rsidP="00F97B41">
      <w:pPr>
        <w:overflowPunct w:val="0"/>
        <w:autoSpaceDE w:val="0"/>
        <w:autoSpaceDN w:val="0"/>
        <w:adjustRightInd w:val="0"/>
        <w:spacing w:before="60" w:after="60"/>
        <w:jc w:val="left"/>
        <w:textAlignment w:val="baseline"/>
        <w:rPr>
          <w:rFonts w:cs="Tahoma"/>
          <w:sz w:val="18"/>
          <w:szCs w:val="20"/>
        </w:rPr>
      </w:pPr>
      <w:bookmarkStart w:id="78" w:name="_Toc112928861"/>
      <w:r w:rsidRPr="0068236B">
        <w:rPr>
          <w:rFonts w:cs="Arial"/>
          <w:iCs/>
          <w:sz w:val="18"/>
          <w:szCs w:val="20"/>
        </w:rPr>
        <w:t xml:space="preserve">Figure </w:t>
      </w:r>
      <w:r w:rsidRPr="0068236B">
        <w:rPr>
          <w:rFonts w:cs="Arial"/>
          <w:iCs/>
          <w:sz w:val="18"/>
          <w:szCs w:val="20"/>
        </w:rPr>
        <w:fldChar w:fldCharType="begin"/>
      </w:r>
      <w:r w:rsidRPr="0068236B">
        <w:rPr>
          <w:rFonts w:cs="Arial"/>
          <w:iCs/>
          <w:sz w:val="18"/>
          <w:szCs w:val="20"/>
        </w:rPr>
        <w:instrText xml:space="preserve"> STYLEREF 1 \s </w:instrText>
      </w:r>
      <w:r w:rsidRPr="0068236B">
        <w:rPr>
          <w:rFonts w:cs="Arial"/>
          <w:iCs/>
          <w:sz w:val="18"/>
          <w:szCs w:val="20"/>
        </w:rPr>
        <w:fldChar w:fldCharType="separate"/>
      </w:r>
      <w:r w:rsidR="00E502D0" w:rsidRPr="0068236B">
        <w:rPr>
          <w:rFonts w:cs="Arial"/>
          <w:iCs/>
          <w:noProof/>
          <w:sz w:val="18"/>
          <w:szCs w:val="20"/>
        </w:rPr>
        <w:t>2</w:t>
      </w:r>
      <w:r w:rsidRPr="0068236B">
        <w:rPr>
          <w:rFonts w:cs="Arial"/>
          <w:iCs/>
          <w:sz w:val="18"/>
          <w:szCs w:val="20"/>
        </w:rPr>
        <w:fldChar w:fldCharType="end"/>
      </w:r>
      <w:r w:rsidRPr="0068236B">
        <w:rPr>
          <w:rFonts w:cs="Arial"/>
          <w:iCs/>
          <w:sz w:val="18"/>
          <w:szCs w:val="20"/>
        </w:rPr>
        <w:t>.</w:t>
      </w:r>
      <w:r w:rsidRPr="0068236B">
        <w:rPr>
          <w:rFonts w:cs="Arial"/>
          <w:iCs/>
          <w:sz w:val="18"/>
          <w:szCs w:val="20"/>
        </w:rPr>
        <w:fldChar w:fldCharType="begin"/>
      </w:r>
      <w:r w:rsidRPr="0068236B">
        <w:rPr>
          <w:rFonts w:cs="Arial"/>
          <w:iCs/>
          <w:sz w:val="18"/>
          <w:szCs w:val="20"/>
        </w:rPr>
        <w:instrText xml:space="preserve"> SEQ Figure \* ARABIC \s 1 </w:instrText>
      </w:r>
      <w:r w:rsidRPr="0068236B">
        <w:rPr>
          <w:rFonts w:cs="Arial"/>
          <w:iCs/>
          <w:sz w:val="18"/>
          <w:szCs w:val="20"/>
        </w:rPr>
        <w:fldChar w:fldCharType="separate"/>
      </w:r>
      <w:r w:rsidR="00E502D0" w:rsidRPr="0068236B">
        <w:rPr>
          <w:rFonts w:cs="Arial"/>
          <w:iCs/>
          <w:noProof/>
          <w:sz w:val="18"/>
          <w:szCs w:val="20"/>
        </w:rPr>
        <w:t>10</w:t>
      </w:r>
      <w:r w:rsidRPr="0068236B">
        <w:rPr>
          <w:rFonts w:cs="Arial"/>
          <w:iCs/>
          <w:sz w:val="18"/>
          <w:szCs w:val="20"/>
        </w:rPr>
        <w:fldChar w:fldCharType="end"/>
      </w:r>
      <w:r w:rsidRPr="0068236B">
        <w:rPr>
          <w:sz w:val="18"/>
          <w:szCs w:val="20"/>
        </w:rPr>
        <w:t>:</w:t>
      </w:r>
      <w:r w:rsidR="00047DC6" w:rsidRPr="0068236B">
        <w:rPr>
          <w:rFonts w:cs="Tahoma"/>
          <w:iCs/>
          <w:sz w:val="18"/>
          <w:szCs w:val="20"/>
        </w:rPr>
        <w:t xml:space="preserve"> Typical tower for the new double-circuit </w:t>
      </w:r>
      <w:r w:rsidR="00047DC6" w:rsidRPr="0068236B">
        <w:rPr>
          <w:sz w:val="18"/>
          <w:szCs w:val="20"/>
        </w:rPr>
        <w:t xml:space="preserve">transmission line from the new </w:t>
      </w:r>
      <w:r w:rsidR="00047DC6" w:rsidRPr="0068236B">
        <w:rPr>
          <w:rFonts w:cs="Tahoma"/>
          <w:sz w:val="18"/>
          <w:szCs w:val="20"/>
        </w:rPr>
        <w:t>400/110 kV substation Valandovo to substation ‘EVP’ Miletkovo</w:t>
      </w:r>
      <w:bookmarkEnd w:id="78"/>
    </w:p>
    <w:p w14:paraId="4A568317" w14:textId="77777777" w:rsidR="00F97B41" w:rsidRPr="0068236B" w:rsidRDefault="00F97B41" w:rsidP="00F97B41">
      <w:pPr>
        <w:spacing w:before="0" w:after="240" w:line="240" w:lineRule="auto"/>
        <w:jc w:val="left"/>
        <w:rPr>
          <w:rFonts w:cs="Tahoma"/>
          <w:bCs/>
          <w:sz w:val="16"/>
          <w:szCs w:val="18"/>
        </w:rPr>
      </w:pPr>
      <w:r w:rsidRPr="0068236B">
        <w:rPr>
          <w:rFonts w:cs="Tahoma"/>
          <w:iCs/>
          <w:sz w:val="16"/>
          <w:szCs w:val="18"/>
        </w:rPr>
        <w:t xml:space="preserve">Source: </w:t>
      </w:r>
      <w:r w:rsidRPr="0068236B">
        <w:rPr>
          <w:rFonts w:cs="Tahoma"/>
          <w:sz w:val="16"/>
          <w:szCs w:val="18"/>
        </w:rPr>
        <w:t>WB21-MKD-ENE-03 North Macedonia, Strengthening the Transmission Network in the Southeast Region of North Macedonia - Component 1; Detailed Technical Assessment of Preferred Option, January 2022</w:t>
      </w:r>
      <w:r w:rsidRPr="0068236B">
        <w:rPr>
          <w:rFonts w:cs="Tahoma"/>
          <w:bCs/>
          <w:sz w:val="16"/>
          <w:szCs w:val="18"/>
        </w:rPr>
        <w:t xml:space="preserve"> [Ref.7]</w:t>
      </w:r>
    </w:p>
    <w:p w14:paraId="69C6144D" w14:textId="2CDD4D67" w:rsidR="00047DC6" w:rsidRPr="0068236B" w:rsidRDefault="00047DC6" w:rsidP="00047DC6">
      <w:pPr>
        <w:pStyle w:val="BodyText"/>
        <w:spacing w:before="120" w:after="120"/>
        <w:ind w:left="0"/>
        <w:jc w:val="both"/>
        <w:rPr>
          <w:rFonts w:ascii="Tahoma" w:hAnsi="Tahoma" w:cs="Tahoma"/>
          <w:sz w:val="20"/>
          <w:szCs w:val="22"/>
        </w:rPr>
      </w:pPr>
      <w:r w:rsidRPr="0068236B">
        <w:rPr>
          <w:rFonts w:ascii="Tahoma" w:hAnsi="Tahoma" w:cs="Tahoma"/>
          <w:sz w:val="20"/>
          <w:szCs w:val="22"/>
        </w:rPr>
        <w:t xml:space="preserve">The typical tower height range is between </w:t>
      </w:r>
      <w:r w:rsidR="00264B7B" w:rsidRPr="0068236B">
        <w:rPr>
          <w:rFonts w:ascii="Tahoma" w:hAnsi="Tahoma" w:cs="Tahoma"/>
          <w:sz w:val="20"/>
          <w:szCs w:val="22"/>
        </w:rPr>
        <w:t>12</w:t>
      </w:r>
      <w:r w:rsidRPr="0068236B">
        <w:rPr>
          <w:rFonts w:ascii="Tahoma" w:hAnsi="Tahoma" w:cs="Tahoma"/>
          <w:sz w:val="20"/>
          <w:szCs w:val="22"/>
        </w:rPr>
        <w:t xml:space="preserve"> and 27 metres for the tension towers, and 12 to 30 metres for the suspension tower types. Towers are manufactured from galvanised steel and are therefore grey in colour - this finish is considered appropriate in order to minimise visual impact. Tower steelwork is painted grey at intervals throughout the life of the towers, to afford continued protection against corrosion.</w:t>
      </w:r>
    </w:p>
    <w:p w14:paraId="6F05AB8E" w14:textId="77777777" w:rsidR="00047DC6" w:rsidRPr="0068236B" w:rsidRDefault="00047DC6" w:rsidP="00047DC6">
      <w:pPr>
        <w:pStyle w:val="NumberedParagraph"/>
        <w:rPr>
          <w:sz w:val="20"/>
        </w:rPr>
      </w:pPr>
      <w:r w:rsidRPr="0068236B">
        <w:rPr>
          <w:rFonts w:cs="Tahoma"/>
          <w:sz w:val="20"/>
          <w:lang w:eastAsia="en-US"/>
        </w:rPr>
        <w:t>The tower series selected for the transmission line are the following:</w:t>
      </w:r>
    </w:p>
    <w:p w14:paraId="479361C5" w14:textId="77777777" w:rsidR="00047DC6" w:rsidRPr="0068236B" w:rsidRDefault="00047DC6" w:rsidP="00264B7B">
      <w:pPr>
        <w:pStyle w:val="ListBullet2"/>
        <w:ind w:left="1134" w:hanging="708"/>
        <w:rPr>
          <w:sz w:val="20"/>
        </w:rPr>
      </w:pPr>
      <w:r w:rsidRPr="0068236B">
        <w:rPr>
          <w:sz w:val="20"/>
        </w:rPr>
        <w:t>Angle (tension) towers:</w:t>
      </w:r>
    </w:p>
    <w:p w14:paraId="7C1A8DB7" w14:textId="77777777" w:rsidR="00047DC6" w:rsidRPr="0068236B" w:rsidRDefault="00047DC6" w:rsidP="008E77D3">
      <w:pPr>
        <w:pStyle w:val="ListBullet2"/>
        <w:numPr>
          <w:ilvl w:val="1"/>
          <w:numId w:val="48"/>
        </w:numPr>
        <w:spacing w:before="0" w:after="60" w:line="240" w:lineRule="auto"/>
        <w:ind w:left="1134" w:hanging="708"/>
        <w:contextualSpacing w:val="0"/>
        <w:rPr>
          <w:sz w:val="20"/>
        </w:rPr>
      </w:pPr>
      <w:r w:rsidRPr="0068236B">
        <w:rPr>
          <w:sz w:val="20"/>
        </w:rPr>
        <w:t>Type “</w:t>
      </w:r>
      <w:r w:rsidRPr="0068236B">
        <w:rPr>
          <w:rFonts w:cs="Tahoma"/>
          <w:sz w:val="20"/>
        </w:rPr>
        <w:t>AD-120” for changing the direction of the transmission line in a range from 30° to 60°</w:t>
      </w:r>
    </w:p>
    <w:p w14:paraId="21BBACCE" w14:textId="77777777" w:rsidR="00047DC6" w:rsidRPr="0068236B" w:rsidRDefault="00047DC6" w:rsidP="008E77D3">
      <w:pPr>
        <w:pStyle w:val="ListBullet2"/>
        <w:numPr>
          <w:ilvl w:val="1"/>
          <w:numId w:val="48"/>
        </w:numPr>
        <w:spacing w:before="0" w:after="60" w:line="240" w:lineRule="auto"/>
        <w:ind w:left="1134" w:hanging="708"/>
        <w:contextualSpacing w:val="0"/>
        <w:rPr>
          <w:sz w:val="20"/>
        </w:rPr>
      </w:pPr>
      <w:r w:rsidRPr="0068236B">
        <w:rPr>
          <w:sz w:val="20"/>
        </w:rPr>
        <w:t>Type “</w:t>
      </w:r>
      <w:r w:rsidRPr="0068236B">
        <w:rPr>
          <w:rFonts w:cs="Tahoma"/>
          <w:sz w:val="20"/>
        </w:rPr>
        <w:t>AD-150”</w:t>
      </w:r>
      <w:r w:rsidRPr="0068236B">
        <w:rPr>
          <w:sz w:val="20"/>
        </w:rPr>
        <w:t xml:space="preserve"> </w:t>
      </w:r>
      <w:r w:rsidRPr="0068236B">
        <w:rPr>
          <w:rFonts w:cs="Tahoma"/>
          <w:sz w:val="20"/>
        </w:rPr>
        <w:t>for changing the direction of the transmission line in a range from 1° to 30°</w:t>
      </w:r>
    </w:p>
    <w:p w14:paraId="37E10FF6" w14:textId="77777777" w:rsidR="00047DC6" w:rsidRPr="0068236B" w:rsidRDefault="00047DC6" w:rsidP="00264B7B">
      <w:pPr>
        <w:pStyle w:val="ListBullet2"/>
        <w:ind w:left="1134" w:hanging="708"/>
        <w:rPr>
          <w:sz w:val="20"/>
        </w:rPr>
      </w:pPr>
      <w:r w:rsidRPr="0068236B">
        <w:rPr>
          <w:sz w:val="20"/>
        </w:rPr>
        <w:t>Suspension towers</w:t>
      </w:r>
    </w:p>
    <w:p w14:paraId="502E21E3" w14:textId="77777777" w:rsidR="00047DC6" w:rsidRPr="0068236B" w:rsidRDefault="00047DC6" w:rsidP="008E77D3">
      <w:pPr>
        <w:pStyle w:val="ListBullet2"/>
        <w:numPr>
          <w:ilvl w:val="1"/>
          <w:numId w:val="48"/>
        </w:numPr>
        <w:spacing w:before="0" w:after="60" w:line="240" w:lineRule="auto"/>
        <w:ind w:left="1134" w:hanging="708"/>
        <w:contextualSpacing w:val="0"/>
        <w:rPr>
          <w:sz w:val="20"/>
        </w:rPr>
      </w:pPr>
      <w:r w:rsidRPr="0068236B">
        <w:rPr>
          <w:sz w:val="20"/>
        </w:rPr>
        <w:t>Type “SD” for towers used for different wind and weight spans depending on the terrain cond</w:t>
      </w:r>
      <w:r w:rsidRPr="0068236B">
        <w:rPr>
          <w:sz w:val="20"/>
        </w:rPr>
        <w:t>i</w:t>
      </w:r>
      <w:r w:rsidRPr="0068236B">
        <w:rPr>
          <w:sz w:val="20"/>
        </w:rPr>
        <w:t xml:space="preserve">tions. </w:t>
      </w:r>
    </w:p>
    <w:p w14:paraId="14D6F349" w14:textId="00C4B748" w:rsidR="00047DC6" w:rsidRPr="0068236B" w:rsidRDefault="00047DC6" w:rsidP="00047DC6">
      <w:pPr>
        <w:autoSpaceDE w:val="0"/>
        <w:autoSpaceDN w:val="0"/>
        <w:adjustRightInd w:val="0"/>
        <w:rPr>
          <w:rFonts w:cs="Arial"/>
          <w:sz w:val="20"/>
          <w:szCs w:val="20"/>
        </w:rPr>
      </w:pPr>
      <w:r w:rsidRPr="0068236B">
        <w:rPr>
          <w:rFonts w:cs="Arial"/>
          <w:sz w:val="20"/>
          <w:szCs w:val="20"/>
        </w:rPr>
        <w:lastRenderedPageBreak/>
        <w:t>The number of towers and their type as well as the proposed position of each individual tower within the proposed corridor will be identified and confirmed during the upcoming Project reference development sta</w:t>
      </w:r>
      <w:r w:rsidRPr="0068236B">
        <w:rPr>
          <w:rFonts w:cs="Arial"/>
          <w:sz w:val="20"/>
          <w:szCs w:val="20"/>
        </w:rPr>
        <w:t>g</w:t>
      </w:r>
      <w:r w:rsidR="003553E2" w:rsidRPr="0068236B">
        <w:rPr>
          <w:rFonts w:cs="Arial"/>
          <w:sz w:val="20"/>
          <w:szCs w:val="20"/>
        </w:rPr>
        <w:t>es (P</w:t>
      </w:r>
      <w:r w:rsidRPr="0068236B">
        <w:rPr>
          <w:rFonts w:cs="Arial"/>
          <w:sz w:val="20"/>
          <w:szCs w:val="20"/>
        </w:rPr>
        <w:t xml:space="preserve">reliminary </w:t>
      </w:r>
      <w:r w:rsidR="003553E2" w:rsidRPr="0068236B">
        <w:rPr>
          <w:rFonts w:cs="Arial"/>
          <w:sz w:val="20"/>
          <w:szCs w:val="20"/>
        </w:rPr>
        <w:t>Design and Detailed D</w:t>
      </w:r>
      <w:r w:rsidRPr="0068236B">
        <w:rPr>
          <w:rFonts w:cs="Arial"/>
          <w:sz w:val="20"/>
          <w:szCs w:val="20"/>
        </w:rPr>
        <w:t xml:space="preserve">esign) in line with the relevant Macedonian legislation. </w:t>
      </w:r>
    </w:p>
    <w:p w14:paraId="153FE7A0" w14:textId="77777777" w:rsidR="00047DC6" w:rsidRPr="0068236B" w:rsidRDefault="00047DC6" w:rsidP="00047DC6">
      <w:pPr>
        <w:pStyle w:val="BodyText"/>
        <w:spacing w:before="120" w:after="120"/>
        <w:ind w:left="0"/>
        <w:jc w:val="both"/>
        <w:rPr>
          <w:rFonts w:ascii="Tahoma" w:hAnsi="Tahoma" w:cs="Tahoma"/>
          <w:sz w:val="20"/>
          <w:szCs w:val="22"/>
        </w:rPr>
      </w:pPr>
      <w:r w:rsidRPr="0068236B">
        <w:rPr>
          <w:rFonts w:ascii="Tahoma" w:hAnsi="Tahoma" w:cs="Tahoma"/>
          <w:sz w:val="20"/>
          <w:szCs w:val="22"/>
        </w:rPr>
        <w:t>The number of conductors and their disposition on each tower type is two circuits with one conductor per phase and one protective wire at the top of the tower.</w:t>
      </w:r>
    </w:p>
    <w:p w14:paraId="4FA5B021" w14:textId="2C86FA23" w:rsidR="00047DC6" w:rsidRPr="0068236B" w:rsidRDefault="00047DC6" w:rsidP="00047DC6">
      <w:pPr>
        <w:rPr>
          <w:rFonts w:cs="Tahoma"/>
          <w:sz w:val="20"/>
          <w:szCs w:val="20"/>
        </w:rPr>
      </w:pPr>
      <w:r w:rsidRPr="0068236B">
        <w:rPr>
          <w:rFonts w:cs="Tahoma"/>
          <w:sz w:val="20"/>
        </w:rPr>
        <w:t>The maximal footprint area for a tower is approximately up to 1</w:t>
      </w:r>
      <w:r w:rsidR="00264B7B" w:rsidRPr="0068236B">
        <w:rPr>
          <w:rFonts w:cs="Tahoma"/>
          <w:sz w:val="20"/>
        </w:rPr>
        <w:t>50</w:t>
      </w:r>
      <w:r w:rsidRPr="0068236B">
        <w:rPr>
          <w:rFonts w:cs="Tahoma"/>
          <w:sz w:val="20"/>
        </w:rPr>
        <w:t xml:space="preserve"> m</w:t>
      </w:r>
      <w:r w:rsidRPr="0068236B">
        <w:rPr>
          <w:rFonts w:cs="Tahoma"/>
          <w:sz w:val="20"/>
          <w:vertAlign w:val="superscript"/>
        </w:rPr>
        <w:t>2</w:t>
      </w:r>
      <w:r w:rsidRPr="0068236B">
        <w:rPr>
          <w:rFonts w:cs="Tahoma"/>
          <w:sz w:val="20"/>
          <w:szCs w:val="20"/>
        </w:rPr>
        <w:t>. This land area will need to be perm</w:t>
      </w:r>
      <w:r w:rsidRPr="0068236B">
        <w:rPr>
          <w:rFonts w:cs="Tahoma"/>
          <w:sz w:val="20"/>
          <w:szCs w:val="20"/>
        </w:rPr>
        <w:t>a</w:t>
      </w:r>
      <w:r w:rsidRPr="0068236B">
        <w:rPr>
          <w:rFonts w:cs="Tahoma"/>
          <w:sz w:val="20"/>
          <w:szCs w:val="20"/>
        </w:rPr>
        <w:t>nently acquired in order ensure safe operations and maintenance of the transmission line.</w:t>
      </w:r>
    </w:p>
    <w:p w14:paraId="2262B503" w14:textId="77777777" w:rsidR="00047DC6" w:rsidRPr="0068236B" w:rsidRDefault="00047DC6" w:rsidP="00047DC6">
      <w:pPr>
        <w:pStyle w:val="BodyText"/>
        <w:spacing w:before="120" w:after="120"/>
        <w:ind w:left="0"/>
        <w:jc w:val="both"/>
        <w:rPr>
          <w:rFonts w:ascii="Tahoma" w:hAnsi="Tahoma" w:cs="Tahoma"/>
          <w:sz w:val="20"/>
          <w:szCs w:val="22"/>
        </w:rPr>
      </w:pPr>
      <w:r w:rsidRPr="0068236B">
        <w:rPr>
          <w:rFonts w:ascii="Tahoma" w:hAnsi="Tahoma" w:cs="Tahoma"/>
          <w:sz w:val="20"/>
          <w:szCs w:val="22"/>
        </w:rPr>
        <w:t>Each tower will have four legs and single foundation per leg, i.e. four foundations for each tower. The fou</w:t>
      </w:r>
      <w:r w:rsidRPr="0068236B">
        <w:rPr>
          <w:rFonts w:ascii="Tahoma" w:hAnsi="Tahoma" w:cs="Tahoma"/>
          <w:sz w:val="20"/>
          <w:szCs w:val="22"/>
        </w:rPr>
        <w:t>n</w:t>
      </w:r>
      <w:r w:rsidRPr="0068236B">
        <w:rPr>
          <w:rFonts w:ascii="Tahoma" w:hAnsi="Tahoma" w:cs="Tahoma"/>
          <w:sz w:val="20"/>
          <w:szCs w:val="22"/>
        </w:rPr>
        <w:t>dations will be designed with reinforced concrete blocks with a type of concrete suitable to the specific bea</w:t>
      </w:r>
      <w:r w:rsidRPr="0068236B">
        <w:rPr>
          <w:rFonts w:ascii="Tahoma" w:hAnsi="Tahoma" w:cs="Tahoma"/>
          <w:sz w:val="20"/>
          <w:szCs w:val="22"/>
        </w:rPr>
        <w:t>r</w:t>
      </w:r>
      <w:r w:rsidRPr="0068236B">
        <w:rPr>
          <w:rFonts w:ascii="Tahoma" w:hAnsi="Tahoma" w:cs="Tahoma"/>
          <w:sz w:val="20"/>
          <w:szCs w:val="22"/>
        </w:rPr>
        <w:t>ing capacity of the soil, obtained from the respective site-specific geo-technical investigation.</w:t>
      </w:r>
    </w:p>
    <w:p w14:paraId="3FC6F175" w14:textId="77777777" w:rsidR="00047DC6" w:rsidRPr="0068236B" w:rsidRDefault="00047DC6" w:rsidP="00047DC6">
      <w:pPr>
        <w:pStyle w:val="ListBullet"/>
        <w:jc w:val="left"/>
        <w:rPr>
          <w:rFonts w:cs="Tahoma"/>
          <w:sz w:val="20"/>
        </w:rPr>
      </w:pPr>
      <w:r w:rsidRPr="0068236B">
        <w:rPr>
          <w:rFonts w:cs="Tahoma"/>
          <w:sz w:val="20"/>
        </w:rPr>
        <w:t>Phase Conductors</w:t>
      </w:r>
    </w:p>
    <w:p w14:paraId="4E29E647" w14:textId="4AD28314" w:rsidR="00047DC6" w:rsidRPr="0068236B" w:rsidRDefault="00047DC6" w:rsidP="00047DC6">
      <w:pPr>
        <w:pStyle w:val="BodyText2"/>
        <w:spacing w:before="120" w:line="276" w:lineRule="auto"/>
        <w:jc w:val="both"/>
        <w:rPr>
          <w:rFonts w:ascii="Tahoma" w:hAnsi="Tahoma" w:cs="Tahoma"/>
          <w:sz w:val="20"/>
          <w:szCs w:val="20"/>
        </w:rPr>
      </w:pPr>
      <w:r w:rsidRPr="0068236B">
        <w:rPr>
          <w:rFonts w:ascii="Tahoma" w:hAnsi="Tahoma" w:cs="Tahoma"/>
          <w:sz w:val="20"/>
          <w:szCs w:val="20"/>
        </w:rPr>
        <w:t>The conductors are attached to the cross-arms at OHL towers by insulator strings, which, in the case of su</w:t>
      </w:r>
      <w:r w:rsidRPr="0068236B">
        <w:rPr>
          <w:rFonts w:ascii="Tahoma" w:hAnsi="Tahoma" w:cs="Tahoma"/>
          <w:sz w:val="20"/>
          <w:szCs w:val="20"/>
        </w:rPr>
        <w:t>s</w:t>
      </w:r>
      <w:r w:rsidRPr="0068236B">
        <w:rPr>
          <w:rFonts w:ascii="Tahoma" w:hAnsi="Tahoma" w:cs="Tahoma"/>
          <w:sz w:val="20"/>
          <w:szCs w:val="20"/>
        </w:rPr>
        <w:t xml:space="preserve">pension towers, hang vertically below the cross-arms. At angle towers the conductors are again attached to the cross arms by insulators but in this case the insulators are in line with the conductors. </w:t>
      </w:r>
      <w:r w:rsidR="00DD1068" w:rsidRPr="0068236B">
        <w:rPr>
          <w:rFonts w:ascii="Tahoma" w:hAnsi="Tahoma" w:cs="Tahoma"/>
          <w:sz w:val="20"/>
          <w:szCs w:val="22"/>
        </w:rPr>
        <w:t xml:space="preserve">The designed </w:t>
      </w:r>
      <w:r w:rsidR="00DD1068" w:rsidRPr="0068236B">
        <w:rPr>
          <w:rFonts w:ascii="Tahoma" w:hAnsi="Tahoma" w:cs="Tahoma"/>
          <w:sz w:val="20"/>
          <w:szCs w:val="20"/>
        </w:rPr>
        <w:t xml:space="preserve">distance between the closest conductors (in vertical plane) is 3.65 metres). </w:t>
      </w:r>
      <w:r w:rsidRPr="0068236B">
        <w:rPr>
          <w:rFonts w:ascii="Tahoma" w:hAnsi="Tahoma" w:cs="Tahoma"/>
          <w:sz w:val="20"/>
          <w:szCs w:val="20"/>
        </w:rPr>
        <w:t>Conductors for transmission lines are typically manufactured from aluminium with steel core. For the phase conductors for this 110 kV tran</w:t>
      </w:r>
      <w:r w:rsidRPr="0068236B">
        <w:rPr>
          <w:rFonts w:ascii="Tahoma" w:hAnsi="Tahoma" w:cs="Tahoma"/>
          <w:sz w:val="20"/>
          <w:szCs w:val="20"/>
        </w:rPr>
        <w:t>s</w:t>
      </w:r>
      <w:r w:rsidRPr="0068236B">
        <w:rPr>
          <w:rFonts w:ascii="Tahoma" w:hAnsi="Tahoma" w:cs="Tahoma"/>
          <w:sz w:val="20"/>
          <w:szCs w:val="20"/>
        </w:rPr>
        <w:t xml:space="preserve">mission line, pursuant to the current concept in Macedonia, </w:t>
      </w:r>
      <w:r w:rsidR="00264B7B" w:rsidRPr="0068236B">
        <w:rPr>
          <w:rFonts w:ascii="Tahoma" w:hAnsi="Tahoma" w:cs="Tahoma"/>
          <w:sz w:val="20"/>
          <w:szCs w:val="20"/>
        </w:rPr>
        <w:t>ACSR</w:t>
      </w:r>
      <w:r w:rsidRPr="0068236B">
        <w:rPr>
          <w:rFonts w:ascii="Tahoma" w:hAnsi="Tahoma" w:cs="Tahoma"/>
          <w:sz w:val="20"/>
          <w:szCs w:val="20"/>
        </w:rPr>
        <w:t xml:space="preserve"> conductors will be used with a normal cross section of 240/40 mm</w:t>
      </w:r>
      <w:r w:rsidRPr="0068236B">
        <w:rPr>
          <w:rFonts w:ascii="Tahoma" w:hAnsi="Tahoma" w:cs="Tahoma"/>
          <w:sz w:val="20"/>
          <w:szCs w:val="20"/>
          <w:vertAlign w:val="superscript"/>
        </w:rPr>
        <w:t>2</w:t>
      </w:r>
      <w:r w:rsidRPr="0068236B">
        <w:rPr>
          <w:rFonts w:ascii="Tahoma" w:hAnsi="Tahoma" w:cs="Tahoma"/>
          <w:sz w:val="20"/>
          <w:szCs w:val="20"/>
        </w:rPr>
        <w:t xml:space="preserve">. </w:t>
      </w:r>
    </w:p>
    <w:p w14:paraId="3874044A" w14:textId="77777777" w:rsidR="00047DC6" w:rsidRPr="0068236B" w:rsidRDefault="00047DC6" w:rsidP="00047DC6">
      <w:pPr>
        <w:pStyle w:val="ListBullet"/>
        <w:jc w:val="left"/>
        <w:rPr>
          <w:rFonts w:cs="Tahoma"/>
          <w:sz w:val="20"/>
        </w:rPr>
      </w:pPr>
      <w:r w:rsidRPr="0068236B">
        <w:rPr>
          <w:rFonts w:cs="Tahoma"/>
          <w:sz w:val="20"/>
        </w:rPr>
        <w:t>Insulators</w:t>
      </w:r>
    </w:p>
    <w:p w14:paraId="04D751E6" w14:textId="48BA21A2" w:rsidR="00047DC6" w:rsidRPr="0068236B" w:rsidRDefault="00047DC6" w:rsidP="00264B7B">
      <w:pPr>
        <w:pStyle w:val="BodyText2"/>
        <w:spacing w:before="120" w:line="276" w:lineRule="auto"/>
        <w:jc w:val="both"/>
        <w:rPr>
          <w:rFonts w:ascii="Tahoma" w:hAnsi="Tahoma" w:cs="Tahoma"/>
          <w:sz w:val="20"/>
          <w:szCs w:val="20"/>
        </w:rPr>
      </w:pPr>
      <w:r w:rsidRPr="0068236B">
        <w:rPr>
          <w:rFonts w:ascii="Tahoma" w:hAnsi="Tahoma" w:cs="Tahoma"/>
          <w:sz w:val="20"/>
          <w:szCs w:val="20"/>
        </w:rPr>
        <w:t>The transmission line will be connected to the grid with a directly grounded neutral point and nominal ligh</w:t>
      </w:r>
      <w:r w:rsidRPr="0068236B">
        <w:rPr>
          <w:rFonts w:ascii="Tahoma" w:hAnsi="Tahoma" w:cs="Tahoma"/>
          <w:sz w:val="20"/>
          <w:szCs w:val="20"/>
        </w:rPr>
        <w:t>t</w:t>
      </w:r>
      <w:r w:rsidRPr="0068236B">
        <w:rPr>
          <w:rFonts w:ascii="Tahoma" w:hAnsi="Tahoma" w:cs="Tahoma"/>
          <w:sz w:val="20"/>
          <w:szCs w:val="20"/>
        </w:rPr>
        <w:t xml:space="preserve">ning </w:t>
      </w:r>
      <w:r w:rsidR="005E6643" w:rsidRPr="0068236B">
        <w:rPr>
          <w:rFonts w:ascii="Tahoma" w:hAnsi="Tahoma" w:cs="Tahoma"/>
          <w:sz w:val="20"/>
          <w:szCs w:val="20"/>
        </w:rPr>
        <w:t>impulse withstands</w:t>
      </w:r>
      <w:r w:rsidRPr="0068236B">
        <w:rPr>
          <w:rFonts w:ascii="Tahoma" w:hAnsi="Tahoma" w:cs="Tahoma"/>
          <w:sz w:val="20"/>
          <w:szCs w:val="20"/>
        </w:rPr>
        <w:t xml:space="preserve"> voltage of 550 kV</w:t>
      </w:r>
      <w:r w:rsidRPr="00A40352">
        <w:rPr>
          <w:rFonts w:ascii="Tahoma" w:hAnsi="Tahoma" w:cs="Tahoma"/>
          <w:sz w:val="20"/>
          <w:szCs w:val="20"/>
        </w:rPr>
        <w:t>.</w:t>
      </w:r>
      <w:r w:rsidR="00A40352" w:rsidRPr="00A40352">
        <w:rPr>
          <w:rFonts w:ascii="Tahoma" w:hAnsi="Tahoma" w:cs="Tahoma"/>
          <w:sz w:val="20"/>
          <w:szCs w:val="20"/>
        </w:rPr>
        <w:t xml:space="preserve"> </w:t>
      </w:r>
      <w:r w:rsidRPr="00A40352">
        <w:rPr>
          <w:rFonts w:ascii="Tahoma" w:hAnsi="Tahoma" w:cs="Tahoma"/>
          <w:sz w:val="20"/>
          <w:szCs w:val="20"/>
        </w:rPr>
        <w:t>The insulator that is to be used will be of a type approved for such transmission lines and appropriate assembling procedures will be carried out for the various types of insulator chains. Insulators are typ</w:t>
      </w:r>
      <w:r w:rsidR="00264B7B" w:rsidRPr="00A40352">
        <w:rPr>
          <w:rFonts w:ascii="Tahoma" w:hAnsi="Tahoma" w:cs="Tahoma"/>
          <w:sz w:val="20"/>
          <w:szCs w:val="20"/>
        </w:rPr>
        <w:t>ically made of toughened glass.</w:t>
      </w:r>
      <w:r w:rsidR="00A40352" w:rsidRPr="00A40352">
        <w:rPr>
          <w:rFonts w:ascii="Tahoma" w:hAnsi="Tahoma" w:cs="Tahoma"/>
          <w:sz w:val="20"/>
          <w:szCs w:val="20"/>
        </w:rPr>
        <w:t xml:space="preserve"> </w:t>
      </w:r>
      <w:r w:rsidR="00A40352">
        <w:rPr>
          <w:rFonts w:ascii="Tahoma" w:hAnsi="Tahoma" w:cs="Tahoma"/>
          <w:sz w:val="20"/>
          <w:szCs w:val="20"/>
        </w:rPr>
        <w:t>As noted, f</w:t>
      </w:r>
      <w:r w:rsidR="00A40352" w:rsidRPr="00A40352">
        <w:rPr>
          <w:rFonts w:ascii="Tahoma" w:hAnsi="Tahoma" w:cs="Tahoma"/>
          <w:sz w:val="20"/>
        </w:rPr>
        <w:t xml:space="preserve">or 110 kV lines, </w:t>
      </w:r>
      <w:r w:rsidR="00A40352" w:rsidRPr="00A40352">
        <w:rPr>
          <w:rFonts w:ascii="Tahoma" w:hAnsi="Tahoma" w:cs="Tahoma"/>
          <w:sz w:val="20"/>
          <w:szCs w:val="20"/>
        </w:rPr>
        <w:t>MEPSO design practice uses an insulator chain with a length of 1800 mm.</w:t>
      </w:r>
    </w:p>
    <w:p w14:paraId="536D89CB" w14:textId="77777777" w:rsidR="00047DC6" w:rsidRPr="0068236B" w:rsidRDefault="00047DC6" w:rsidP="00047DC6">
      <w:pPr>
        <w:pStyle w:val="ListBullet"/>
        <w:jc w:val="left"/>
        <w:rPr>
          <w:rFonts w:cs="Tahoma"/>
          <w:sz w:val="20"/>
        </w:rPr>
      </w:pPr>
      <w:r w:rsidRPr="0068236B">
        <w:rPr>
          <w:rFonts w:cs="Tahoma"/>
          <w:sz w:val="20"/>
        </w:rPr>
        <w:t>Earthing</w:t>
      </w:r>
    </w:p>
    <w:p w14:paraId="2C4C1527" w14:textId="4B432F8E" w:rsidR="00047DC6" w:rsidRPr="0068236B" w:rsidRDefault="005B3561" w:rsidP="00047DC6">
      <w:pPr>
        <w:pStyle w:val="BodyText2"/>
        <w:spacing w:before="120" w:line="276" w:lineRule="auto"/>
        <w:jc w:val="both"/>
        <w:rPr>
          <w:rFonts w:ascii="Tahoma" w:hAnsi="Tahoma" w:cs="Tahoma"/>
          <w:sz w:val="20"/>
          <w:szCs w:val="20"/>
        </w:rPr>
      </w:pPr>
      <w:r w:rsidRPr="0068236B">
        <w:rPr>
          <w:rFonts w:ascii="Tahoma" w:hAnsi="Tahoma" w:cs="Tahoma"/>
          <w:sz w:val="20"/>
          <w:szCs w:val="20"/>
        </w:rPr>
        <w:t xml:space="preserve">Earthing of the towers will be completed with one ring around each tower foundation and additional ring </w:t>
      </w:r>
      <w:r w:rsidRPr="0068236B">
        <w:rPr>
          <w:rFonts w:ascii="Tahoma" w:hAnsi="Tahoma" w:cs="Tahoma"/>
          <w:sz w:val="20"/>
          <w:szCs w:val="22"/>
        </w:rPr>
        <w:t xml:space="preserve">made of hot dip galvanized Fe bar conductor </w:t>
      </w:r>
      <w:r w:rsidRPr="0068236B">
        <w:rPr>
          <w:rFonts w:cs="Arial"/>
          <w:sz w:val="20"/>
          <w:szCs w:val="22"/>
        </w:rPr>
        <w:t>Ø</w:t>
      </w:r>
      <w:r w:rsidRPr="0068236B">
        <w:rPr>
          <w:rFonts w:ascii="Tahoma" w:hAnsi="Tahoma" w:cs="Tahoma"/>
          <w:sz w:val="20"/>
          <w:szCs w:val="22"/>
        </w:rPr>
        <w:t>10mm</w:t>
      </w:r>
      <w:r w:rsidRPr="0068236B">
        <w:rPr>
          <w:rFonts w:ascii="Tahoma" w:hAnsi="Tahoma" w:cs="Tahoma"/>
          <w:sz w:val="20"/>
          <w:szCs w:val="20"/>
        </w:rPr>
        <w:t xml:space="preserve"> is laid around the entire tower structure, roughly 1 metre away from existing rings and at depth of 0.8 to 1.0 metre. These rings are connected between them and to the tower steel structure. In cases where earthing needs to be reinforced (e.g. for types of soil with lower conductivity), reinforcement is done by adding two extensions from FeZn wires or FeZn tapes to exis</w:t>
      </w:r>
      <w:r w:rsidRPr="0068236B">
        <w:rPr>
          <w:rFonts w:ascii="Tahoma" w:hAnsi="Tahoma" w:cs="Tahoma"/>
          <w:sz w:val="20"/>
          <w:szCs w:val="20"/>
        </w:rPr>
        <w:t>t</w:t>
      </w:r>
      <w:r w:rsidRPr="0068236B">
        <w:rPr>
          <w:rFonts w:ascii="Tahoma" w:hAnsi="Tahoma" w:cs="Tahoma"/>
          <w:sz w:val="20"/>
          <w:szCs w:val="20"/>
        </w:rPr>
        <w:t>ing rings on each tower foundation.</w:t>
      </w:r>
    </w:p>
    <w:p w14:paraId="7DD43BED" w14:textId="77777777" w:rsidR="00047DC6" w:rsidRPr="0068236B" w:rsidRDefault="00047DC6" w:rsidP="00047DC6">
      <w:pPr>
        <w:pStyle w:val="ListBullet"/>
        <w:jc w:val="left"/>
        <w:rPr>
          <w:rFonts w:cs="Tahoma"/>
          <w:sz w:val="20"/>
        </w:rPr>
      </w:pPr>
      <w:r w:rsidRPr="0068236B">
        <w:rPr>
          <w:rFonts w:cs="Tahoma"/>
          <w:sz w:val="20"/>
        </w:rPr>
        <w:t>Protective Wires</w:t>
      </w:r>
    </w:p>
    <w:p w14:paraId="520BED3B" w14:textId="77777777" w:rsidR="00047DC6" w:rsidRPr="0068236B" w:rsidRDefault="00047DC6" w:rsidP="00047DC6">
      <w:pPr>
        <w:rPr>
          <w:rFonts w:cs="Tahoma"/>
          <w:sz w:val="20"/>
          <w:szCs w:val="20"/>
        </w:rPr>
      </w:pPr>
      <w:r w:rsidRPr="0068236B">
        <w:rPr>
          <w:rFonts w:cs="Tahoma"/>
          <w:sz w:val="20"/>
          <w:szCs w:val="20"/>
        </w:rPr>
        <w:t>One ground wire will be strung above the towers arms at the tower peak for protection against lightning strikes.</w:t>
      </w:r>
    </w:p>
    <w:p w14:paraId="0EF63C2A" w14:textId="594FB876" w:rsidR="00363191" w:rsidRPr="0068236B" w:rsidRDefault="00363191" w:rsidP="00363191">
      <w:pPr>
        <w:pStyle w:val="Heading3"/>
      </w:pPr>
      <w:bookmarkStart w:id="79" w:name="_Toc112852204"/>
      <w:r w:rsidRPr="0068236B">
        <w:t xml:space="preserve">Project </w:t>
      </w:r>
      <w:r w:rsidR="009F7C7B" w:rsidRPr="0068236B">
        <w:t>Construction</w:t>
      </w:r>
      <w:bookmarkEnd w:id="79"/>
    </w:p>
    <w:p w14:paraId="6D9191CD" w14:textId="77777777" w:rsidR="00873DED" w:rsidRPr="0068236B" w:rsidRDefault="00873DED" w:rsidP="00873DED">
      <w:pPr>
        <w:pStyle w:val="Heading4"/>
      </w:pPr>
      <w:bookmarkStart w:id="80" w:name="_Toc93085835"/>
      <w:r w:rsidRPr="0068236B">
        <w:t>Further Planning and Construction Period</w:t>
      </w:r>
      <w:bookmarkEnd w:id="80"/>
    </w:p>
    <w:p w14:paraId="049358A4" w14:textId="7299AB46" w:rsidR="00873DED" w:rsidRPr="0068236B" w:rsidRDefault="00873DED" w:rsidP="00873DED">
      <w:pPr>
        <w:rPr>
          <w:rFonts w:cs="Tahoma"/>
          <w:sz w:val="20"/>
          <w:szCs w:val="20"/>
        </w:rPr>
      </w:pPr>
      <w:r w:rsidRPr="0068236B">
        <w:rPr>
          <w:rFonts w:cs="Tahoma"/>
          <w:sz w:val="20"/>
          <w:szCs w:val="20"/>
        </w:rPr>
        <w:t xml:space="preserve">According to the present Project’s implementation </w:t>
      </w:r>
      <w:r w:rsidR="000313C4" w:rsidRPr="0068236B">
        <w:rPr>
          <w:rFonts w:cs="Tahoma"/>
          <w:sz w:val="20"/>
          <w:szCs w:val="20"/>
        </w:rPr>
        <w:t xml:space="preserve">indicative </w:t>
      </w:r>
      <w:r w:rsidRPr="0068236B">
        <w:rPr>
          <w:rFonts w:cs="Tahoma"/>
          <w:sz w:val="20"/>
          <w:szCs w:val="20"/>
        </w:rPr>
        <w:t>schedule, the following further development stages are foreseen:</w:t>
      </w:r>
    </w:p>
    <w:p w14:paraId="23BC4619" w14:textId="5A10FF2B" w:rsidR="00873DED" w:rsidRPr="0068236B" w:rsidRDefault="00873DED" w:rsidP="00873DED">
      <w:pPr>
        <w:pStyle w:val="ListBullet"/>
        <w:ind w:left="709" w:hanging="283"/>
        <w:jc w:val="left"/>
        <w:rPr>
          <w:sz w:val="20"/>
          <w:szCs w:val="20"/>
        </w:rPr>
      </w:pPr>
      <w:r w:rsidRPr="0068236B">
        <w:rPr>
          <w:sz w:val="20"/>
          <w:szCs w:val="20"/>
        </w:rPr>
        <w:t xml:space="preserve">Year </w:t>
      </w:r>
      <w:r w:rsidR="000313C4" w:rsidRPr="0068236B">
        <w:rPr>
          <w:sz w:val="20"/>
          <w:szCs w:val="20"/>
        </w:rPr>
        <w:t xml:space="preserve">2022 - </w:t>
      </w:r>
      <w:r w:rsidR="00610C90" w:rsidRPr="0068236B">
        <w:rPr>
          <w:sz w:val="20"/>
          <w:szCs w:val="20"/>
        </w:rPr>
        <w:t>202</w:t>
      </w:r>
      <w:r w:rsidR="00610C90" w:rsidRPr="0068236B">
        <w:rPr>
          <w:sz w:val="20"/>
          <w:szCs w:val="20"/>
          <w:lang w:val="mk-MK"/>
        </w:rPr>
        <w:t>4</w:t>
      </w:r>
      <w:r w:rsidRPr="0068236B">
        <w:rPr>
          <w:sz w:val="20"/>
          <w:szCs w:val="20"/>
        </w:rPr>
        <w:t xml:space="preserve"> - completion of the </w:t>
      </w:r>
      <w:r w:rsidR="000313C4" w:rsidRPr="0068236B">
        <w:rPr>
          <w:sz w:val="20"/>
          <w:szCs w:val="20"/>
        </w:rPr>
        <w:t xml:space="preserve">next </w:t>
      </w:r>
      <w:r w:rsidRPr="0068236B">
        <w:rPr>
          <w:sz w:val="20"/>
          <w:szCs w:val="20"/>
        </w:rPr>
        <w:t>Project’s technical design (</w:t>
      </w:r>
      <w:r w:rsidR="000313C4" w:rsidRPr="0068236B">
        <w:rPr>
          <w:sz w:val="20"/>
          <w:szCs w:val="20"/>
        </w:rPr>
        <w:t>Preliminary</w:t>
      </w:r>
      <w:r w:rsidRPr="0068236B">
        <w:rPr>
          <w:sz w:val="20"/>
          <w:szCs w:val="20"/>
        </w:rPr>
        <w:t xml:space="preserve"> Design)</w:t>
      </w:r>
      <w:r w:rsidR="000313C4" w:rsidRPr="0068236B">
        <w:rPr>
          <w:sz w:val="20"/>
          <w:szCs w:val="20"/>
        </w:rPr>
        <w:t xml:space="preserve"> as well as accompanied technical documents and land acquisition documentation, including preparation of te</w:t>
      </w:r>
      <w:r w:rsidR="000313C4" w:rsidRPr="0068236B">
        <w:rPr>
          <w:sz w:val="20"/>
          <w:szCs w:val="20"/>
        </w:rPr>
        <w:t>n</w:t>
      </w:r>
      <w:r w:rsidR="000313C4" w:rsidRPr="0068236B">
        <w:rPr>
          <w:sz w:val="20"/>
          <w:szCs w:val="20"/>
        </w:rPr>
        <w:t>der dossier / procurement documents for selection of Contractor(s) and selection of Contractor(s)</w:t>
      </w:r>
    </w:p>
    <w:p w14:paraId="2E7C4697" w14:textId="4683D9A2" w:rsidR="00873DED" w:rsidRPr="0068236B" w:rsidRDefault="00873DED" w:rsidP="00873DED">
      <w:pPr>
        <w:pStyle w:val="ListBullet"/>
        <w:ind w:left="709" w:hanging="283"/>
        <w:jc w:val="left"/>
        <w:rPr>
          <w:sz w:val="20"/>
          <w:szCs w:val="20"/>
        </w:rPr>
      </w:pPr>
      <w:r w:rsidRPr="0068236B">
        <w:rPr>
          <w:sz w:val="20"/>
          <w:szCs w:val="20"/>
        </w:rPr>
        <w:lastRenderedPageBreak/>
        <w:t xml:space="preserve">Year </w:t>
      </w:r>
      <w:r w:rsidR="000313C4" w:rsidRPr="0068236B">
        <w:rPr>
          <w:sz w:val="20"/>
          <w:szCs w:val="20"/>
        </w:rPr>
        <w:t>202</w:t>
      </w:r>
      <w:r w:rsidR="00610C90" w:rsidRPr="0068236B">
        <w:rPr>
          <w:sz w:val="20"/>
          <w:szCs w:val="20"/>
          <w:lang w:val="mk-MK"/>
        </w:rPr>
        <w:t>5</w:t>
      </w:r>
      <w:r w:rsidRPr="0068236B">
        <w:rPr>
          <w:sz w:val="20"/>
          <w:szCs w:val="20"/>
        </w:rPr>
        <w:t xml:space="preserve"> – 202</w:t>
      </w:r>
      <w:r w:rsidR="00610C90" w:rsidRPr="0068236B">
        <w:rPr>
          <w:sz w:val="20"/>
          <w:szCs w:val="20"/>
          <w:lang w:val="mk-MK"/>
        </w:rPr>
        <w:t>7</w:t>
      </w:r>
      <w:r w:rsidRPr="0068236B">
        <w:rPr>
          <w:sz w:val="20"/>
          <w:szCs w:val="20"/>
        </w:rPr>
        <w:t xml:space="preserve"> </w:t>
      </w:r>
      <w:r w:rsidR="000313C4" w:rsidRPr="0068236B">
        <w:rPr>
          <w:sz w:val="20"/>
          <w:szCs w:val="20"/>
        </w:rPr>
        <w:t>–</w:t>
      </w:r>
      <w:r w:rsidRPr="0068236B">
        <w:rPr>
          <w:sz w:val="20"/>
          <w:szCs w:val="20"/>
        </w:rPr>
        <w:t xml:space="preserve"> </w:t>
      </w:r>
      <w:r w:rsidR="000313C4" w:rsidRPr="0068236B">
        <w:rPr>
          <w:sz w:val="20"/>
          <w:szCs w:val="20"/>
        </w:rPr>
        <w:t>completion of the final Project’s technical design (Detailed Design) by the Co</w:t>
      </w:r>
      <w:r w:rsidR="000313C4" w:rsidRPr="0068236B">
        <w:rPr>
          <w:sz w:val="20"/>
          <w:szCs w:val="20"/>
        </w:rPr>
        <w:t>n</w:t>
      </w:r>
      <w:r w:rsidR="000313C4" w:rsidRPr="0068236B">
        <w:rPr>
          <w:sz w:val="20"/>
          <w:szCs w:val="20"/>
        </w:rPr>
        <w:t xml:space="preserve">tractor(s), </w:t>
      </w:r>
      <w:r w:rsidRPr="0068236B">
        <w:rPr>
          <w:sz w:val="20"/>
          <w:szCs w:val="20"/>
        </w:rPr>
        <w:t>obtaining of construction permit</w:t>
      </w:r>
      <w:r w:rsidR="000313C4" w:rsidRPr="0068236B">
        <w:rPr>
          <w:sz w:val="20"/>
          <w:szCs w:val="20"/>
        </w:rPr>
        <w:t xml:space="preserve"> and construction of the Project</w:t>
      </w:r>
      <w:r w:rsidR="00610C90" w:rsidRPr="0068236B">
        <w:rPr>
          <w:sz w:val="20"/>
          <w:szCs w:val="20"/>
          <w:lang w:val="mk-MK"/>
        </w:rPr>
        <w:t xml:space="preserve">, </w:t>
      </w:r>
      <w:r w:rsidR="00610C90" w:rsidRPr="0068236B">
        <w:rPr>
          <w:sz w:val="20"/>
          <w:szCs w:val="20"/>
          <w:lang w:val="en-US"/>
        </w:rPr>
        <w:t>including testing and commissioning, as follows</w:t>
      </w:r>
      <w:r w:rsidR="00E37329" w:rsidRPr="0068236B">
        <w:rPr>
          <w:sz w:val="20"/>
          <w:szCs w:val="20"/>
          <w:lang w:val="en-US"/>
        </w:rPr>
        <w:t>:</w:t>
      </w:r>
    </w:p>
    <w:p w14:paraId="34E007A1" w14:textId="77777777" w:rsidR="00E37329" w:rsidRPr="0068236B" w:rsidRDefault="00E37329" w:rsidP="00E37329">
      <w:pPr>
        <w:pStyle w:val="ListBullet2"/>
        <w:rPr>
          <w:sz w:val="20"/>
          <w:szCs w:val="20"/>
        </w:rPr>
      </w:pPr>
      <w:r w:rsidRPr="0068236B">
        <w:rPr>
          <w:sz w:val="20"/>
          <w:szCs w:val="20"/>
        </w:rPr>
        <w:t>Supply of equipment (Q4/2024 – Q4/2025, in total 15 months)</w:t>
      </w:r>
    </w:p>
    <w:p w14:paraId="11917572" w14:textId="77777777" w:rsidR="00E37329" w:rsidRPr="0068236B" w:rsidRDefault="00E37329" w:rsidP="00E37329">
      <w:pPr>
        <w:pStyle w:val="ListBullet2"/>
        <w:rPr>
          <w:sz w:val="20"/>
          <w:szCs w:val="20"/>
        </w:rPr>
      </w:pPr>
      <w:r w:rsidRPr="0068236B">
        <w:rPr>
          <w:sz w:val="20"/>
          <w:szCs w:val="20"/>
        </w:rPr>
        <w:t>Civil works, installation works, etc. (Q/2024 – Q3/2027, in total 36 months)</w:t>
      </w:r>
    </w:p>
    <w:p w14:paraId="4E014E18" w14:textId="481AA50E" w:rsidR="00E37329" w:rsidRPr="0068236B" w:rsidRDefault="00E37329" w:rsidP="00E37329">
      <w:pPr>
        <w:pStyle w:val="ListBullet2"/>
      </w:pPr>
      <w:r w:rsidRPr="0068236B">
        <w:rPr>
          <w:sz w:val="20"/>
          <w:szCs w:val="20"/>
        </w:rPr>
        <w:t>Tests and commissioning (Q1/2027 – Q4/2027, in total 12 months).</w:t>
      </w:r>
    </w:p>
    <w:p w14:paraId="6619B7B8" w14:textId="0E99A878" w:rsidR="000313C4" w:rsidRPr="0068236B" w:rsidRDefault="00873DED" w:rsidP="00E37329">
      <w:pPr>
        <w:autoSpaceDE w:val="0"/>
        <w:autoSpaceDN w:val="0"/>
        <w:adjustRightInd w:val="0"/>
        <w:rPr>
          <w:rFonts w:cs="Tahoma"/>
          <w:sz w:val="20"/>
          <w:szCs w:val="20"/>
          <w:lang w:eastAsia="en-US"/>
        </w:rPr>
      </w:pPr>
      <w:r w:rsidRPr="0068236B">
        <w:rPr>
          <w:rFonts w:cs="Tahoma"/>
          <w:sz w:val="20"/>
          <w:szCs w:val="20"/>
          <w:lang w:eastAsia="en-US"/>
        </w:rPr>
        <w:t xml:space="preserve">Hence, the actual construction period for the Project is anticipated to be up to </w:t>
      </w:r>
      <w:r w:rsidR="00C45F50" w:rsidRPr="0068236B">
        <w:rPr>
          <w:rFonts w:cs="Tahoma"/>
          <w:sz w:val="20"/>
          <w:szCs w:val="20"/>
          <w:lang w:eastAsia="en-US"/>
        </w:rPr>
        <w:t>two</w:t>
      </w:r>
      <w:r w:rsidRPr="0068236B">
        <w:rPr>
          <w:rFonts w:cs="Tahoma"/>
          <w:sz w:val="20"/>
          <w:szCs w:val="20"/>
          <w:lang w:eastAsia="en-US"/>
        </w:rPr>
        <w:t xml:space="preserve"> years from the start of the works, including the necessary dismantling works at the existing 110 kV overhead line. The construction period in any particular location along the transmission lines would be in the order of several days to weeks, while the construction of the new 400/110 kV substation will be continuous process at the substation’s co</w:t>
      </w:r>
      <w:r w:rsidRPr="0068236B">
        <w:rPr>
          <w:rFonts w:cs="Tahoma"/>
          <w:sz w:val="20"/>
          <w:szCs w:val="20"/>
          <w:lang w:eastAsia="en-US"/>
        </w:rPr>
        <w:t>n</w:t>
      </w:r>
      <w:bookmarkStart w:id="81" w:name="_Toc93085836"/>
      <w:r w:rsidR="00E37329" w:rsidRPr="0068236B">
        <w:rPr>
          <w:rFonts w:cs="Tahoma"/>
          <w:sz w:val="20"/>
          <w:szCs w:val="20"/>
          <w:lang w:eastAsia="en-US"/>
        </w:rPr>
        <w:t>struction site.</w:t>
      </w:r>
    </w:p>
    <w:p w14:paraId="30012E3F" w14:textId="5B91092C" w:rsidR="00873DED" w:rsidRPr="0068236B" w:rsidRDefault="00873DED" w:rsidP="00873DED">
      <w:pPr>
        <w:pStyle w:val="Heading4"/>
      </w:pPr>
      <w:r w:rsidRPr="0068236B">
        <w:t>Access for Construction</w:t>
      </w:r>
      <w:bookmarkEnd w:id="81"/>
    </w:p>
    <w:p w14:paraId="6FB31AD3" w14:textId="00DB2D3D" w:rsidR="00873DED" w:rsidRPr="0068236B" w:rsidRDefault="00873DED" w:rsidP="00873DED">
      <w:pPr>
        <w:pStyle w:val="ListBullet"/>
        <w:spacing w:before="120" w:after="120"/>
        <w:ind w:left="709" w:hanging="283"/>
        <w:jc w:val="left"/>
        <w:rPr>
          <w:sz w:val="20"/>
          <w:szCs w:val="20"/>
        </w:rPr>
      </w:pPr>
      <w:r w:rsidRPr="0068236B">
        <w:rPr>
          <w:sz w:val="20"/>
          <w:szCs w:val="20"/>
        </w:rPr>
        <w:t>Road Access and Construction Traffic</w:t>
      </w:r>
    </w:p>
    <w:p w14:paraId="3857FF01" w14:textId="77777777" w:rsidR="00873DED" w:rsidRPr="0068236B" w:rsidRDefault="00873DED" w:rsidP="00873DED">
      <w:pPr>
        <w:autoSpaceDE w:val="0"/>
        <w:autoSpaceDN w:val="0"/>
        <w:adjustRightInd w:val="0"/>
        <w:rPr>
          <w:rFonts w:cs="Tahoma"/>
          <w:sz w:val="20"/>
          <w:szCs w:val="20"/>
        </w:rPr>
      </w:pPr>
      <w:r w:rsidRPr="0068236B">
        <w:rPr>
          <w:rFonts w:cs="Tahoma"/>
          <w:sz w:val="20"/>
          <w:szCs w:val="20"/>
        </w:rPr>
        <w:t>Access to the works will be gained wherever feasible from the existing main road network. The use of ce</w:t>
      </w:r>
      <w:r w:rsidRPr="0068236B">
        <w:rPr>
          <w:rFonts w:cs="Tahoma"/>
          <w:sz w:val="20"/>
          <w:szCs w:val="20"/>
        </w:rPr>
        <w:t>r</w:t>
      </w:r>
      <w:r w:rsidRPr="0068236B">
        <w:rPr>
          <w:rFonts w:cs="Tahoma"/>
          <w:sz w:val="20"/>
          <w:szCs w:val="20"/>
        </w:rPr>
        <w:t>tain unclassified roads will also be required. Roads which may be used for construction purposes will be identified prior to the construction by the Contractor, once appointed.</w:t>
      </w:r>
    </w:p>
    <w:p w14:paraId="22DE9438" w14:textId="74C871ED" w:rsidR="00873DED" w:rsidRPr="0068236B" w:rsidRDefault="00873DED" w:rsidP="00873DED">
      <w:pPr>
        <w:autoSpaceDE w:val="0"/>
        <w:autoSpaceDN w:val="0"/>
        <w:adjustRightInd w:val="0"/>
        <w:rPr>
          <w:rFonts w:cs="Tahoma"/>
          <w:sz w:val="20"/>
          <w:szCs w:val="20"/>
          <w:lang w:eastAsia="en-US"/>
        </w:rPr>
      </w:pPr>
      <w:r w:rsidRPr="0068236B">
        <w:rPr>
          <w:rFonts w:cs="Tahoma"/>
          <w:sz w:val="20"/>
          <w:szCs w:val="20"/>
        </w:rPr>
        <w:t>Where new access roads are needed, their type would depend on a variety of factors - s</w:t>
      </w:r>
      <w:r w:rsidRPr="0068236B">
        <w:rPr>
          <w:rFonts w:cs="Tahoma"/>
          <w:sz w:val="20"/>
          <w:szCs w:val="20"/>
          <w:lang w:eastAsia="en-US"/>
        </w:rPr>
        <w:t>ensitivity of the location, the type of land use and the ground conditions. The choice of road type and design would be gui</w:t>
      </w:r>
      <w:r w:rsidRPr="0068236B">
        <w:rPr>
          <w:rFonts w:cs="Tahoma"/>
          <w:sz w:val="20"/>
          <w:szCs w:val="20"/>
          <w:lang w:eastAsia="en-US"/>
        </w:rPr>
        <w:t>d</w:t>
      </w:r>
      <w:r w:rsidRPr="0068236B">
        <w:rPr>
          <w:rFonts w:cs="Tahoma"/>
          <w:sz w:val="20"/>
          <w:szCs w:val="20"/>
          <w:lang w:eastAsia="en-US"/>
        </w:rPr>
        <w:t>ed by the principles set out below. Each individual road would be designed by the Contractor and approved by MEPSO and competent authorities.</w:t>
      </w:r>
      <w:r w:rsidR="00562E86" w:rsidRPr="0068236B">
        <w:rPr>
          <w:rFonts w:cs="Tahoma"/>
          <w:sz w:val="20"/>
          <w:szCs w:val="20"/>
          <w:lang w:eastAsia="en-US"/>
        </w:rPr>
        <w:t xml:space="preserve"> </w:t>
      </w:r>
      <w:r w:rsidR="00CB7C0D" w:rsidRPr="0068236B">
        <w:rPr>
          <w:rFonts w:cs="Tahoma"/>
          <w:sz w:val="20"/>
          <w:szCs w:val="20"/>
          <w:lang w:val="en-US"/>
        </w:rPr>
        <w:t xml:space="preserve">Therefore, </w:t>
      </w:r>
      <w:r w:rsidR="00CB7C0D" w:rsidRPr="0068236B">
        <w:rPr>
          <w:rFonts w:cs="Tahoma"/>
          <w:sz w:val="20"/>
          <w:szCs w:val="20"/>
        </w:rPr>
        <w:t xml:space="preserve">no </w:t>
      </w:r>
      <w:r w:rsidR="00CB7C0D" w:rsidRPr="0068236B">
        <w:rPr>
          <w:rFonts w:cs="Tahoma"/>
          <w:sz w:val="20"/>
          <w:szCs w:val="20"/>
          <w:lang w:val="en-US"/>
        </w:rPr>
        <w:t xml:space="preserve">particular </w:t>
      </w:r>
      <w:r w:rsidR="00CB7C0D" w:rsidRPr="0068236B">
        <w:rPr>
          <w:rFonts w:cs="Tahoma"/>
          <w:sz w:val="20"/>
          <w:szCs w:val="20"/>
        </w:rPr>
        <w:t xml:space="preserve">information is available at the moment </w:t>
      </w:r>
      <w:r w:rsidR="00CB7C0D" w:rsidRPr="0068236B">
        <w:rPr>
          <w:rFonts w:cs="Tahoma"/>
          <w:sz w:val="20"/>
          <w:szCs w:val="20"/>
          <w:lang w:val="en-US"/>
        </w:rPr>
        <w:t xml:space="preserve">for the new access roads </w:t>
      </w:r>
      <w:r w:rsidR="00CB7C0D" w:rsidRPr="0068236B">
        <w:rPr>
          <w:rFonts w:cs="Tahoma"/>
          <w:sz w:val="20"/>
          <w:szCs w:val="20"/>
        </w:rPr>
        <w:t xml:space="preserve">and would emerge </w:t>
      </w:r>
      <w:r w:rsidR="00CB7C0D" w:rsidRPr="0068236B">
        <w:rPr>
          <w:rFonts w:cs="Tahoma"/>
          <w:sz w:val="20"/>
          <w:szCs w:val="20"/>
          <w:lang w:eastAsia="en-US"/>
        </w:rPr>
        <w:t>in the course of the future development stages of the Project (Prelim</w:t>
      </w:r>
      <w:r w:rsidR="00CB7C0D" w:rsidRPr="0068236B">
        <w:rPr>
          <w:rFonts w:cs="Tahoma"/>
          <w:sz w:val="20"/>
          <w:szCs w:val="20"/>
          <w:lang w:eastAsia="en-US"/>
        </w:rPr>
        <w:t>i</w:t>
      </w:r>
      <w:r w:rsidR="00CB7C0D" w:rsidRPr="0068236B">
        <w:rPr>
          <w:rFonts w:cs="Tahoma"/>
          <w:sz w:val="20"/>
          <w:szCs w:val="20"/>
          <w:lang w:eastAsia="en-US"/>
        </w:rPr>
        <w:t>nary Design and Detailed Design)</w:t>
      </w:r>
    </w:p>
    <w:p w14:paraId="39D10A1B" w14:textId="1E7A0196" w:rsidR="00873DED" w:rsidRPr="0068236B" w:rsidRDefault="00873DED" w:rsidP="00873DED">
      <w:pPr>
        <w:pStyle w:val="ListBullet"/>
        <w:spacing w:before="120" w:after="120"/>
        <w:ind w:left="709" w:hanging="283"/>
        <w:jc w:val="left"/>
        <w:rPr>
          <w:sz w:val="20"/>
          <w:szCs w:val="20"/>
        </w:rPr>
      </w:pPr>
      <w:r w:rsidRPr="0068236B">
        <w:rPr>
          <w:sz w:val="20"/>
          <w:szCs w:val="20"/>
        </w:rPr>
        <w:t>Need for Access Roads</w:t>
      </w:r>
    </w:p>
    <w:p w14:paraId="54446310" w14:textId="77777777" w:rsidR="00873DED" w:rsidRPr="0068236B" w:rsidRDefault="00873DED" w:rsidP="00873DED">
      <w:pPr>
        <w:autoSpaceDE w:val="0"/>
        <w:autoSpaceDN w:val="0"/>
        <w:adjustRightInd w:val="0"/>
        <w:rPr>
          <w:rFonts w:cs="Tahoma"/>
          <w:sz w:val="20"/>
          <w:szCs w:val="20"/>
        </w:rPr>
      </w:pPr>
      <w:r w:rsidRPr="0068236B">
        <w:rPr>
          <w:rFonts w:cs="Tahoma"/>
          <w:sz w:val="20"/>
          <w:szCs w:val="20"/>
        </w:rPr>
        <w:t>The Project represents a combination of:</w:t>
      </w:r>
    </w:p>
    <w:p w14:paraId="5E99365A" w14:textId="77777777" w:rsidR="00873DED" w:rsidRPr="0068236B" w:rsidRDefault="00873DED" w:rsidP="00873DED">
      <w:pPr>
        <w:pStyle w:val="ListBullet2"/>
        <w:contextualSpacing w:val="0"/>
        <w:rPr>
          <w:rFonts w:cs="Tahoma"/>
          <w:sz w:val="20"/>
          <w:szCs w:val="20"/>
        </w:rPr>
      </w:pPr>
      <w:r w:rsidRPr="0068236B">
        <w:rPr>
          <w:rFonts w:cs="Tahoma"/>
          <w:sz w:val="20"/>
          <w:szCs w:val="20"/>
        </w:rPr>
        <w:t xml:space="preserve">Construction of newly introduced structures in the Project area - </w:t>
      </w:r>
      <w:r w:rsidRPr="0068236B">
        <w:rPr>
          <w:sz w:val="20"/>
          <w:szCs w:val="20"/>
        </w:rPr>
        <w:t>new 400/110 kV SS M</w:t>
      </w:r>
      <w:r w:rsidRPr="0068236B">
        <w:rPr>
          <w:sz w:val="20"/>
          <w:szCs w:val="20"/>
        </w:rPr>
        <w:t>i</w:t>
      </w:r>
      <w:r w:rsidRPr="0068236B">
        <w:rPr>
          <w:sz w:val="20"/>
          <w:szCs w:val="20"/>
        </w:rPr>
        <w:t>letkovo and new 110 kV connectors with the existing 110 kV transmission grid in the r</w:t>
      </w:r>
      <w:r w:rsidRPr="0068236B">
        <w:rPr>
          <w:sz w:val="20"/>
          <w:szCs w:val="20"/>
        </w:rPr>
        <w:t>e</w:t>
      </w:r>
      <w:r w:rsidRPr="0068236B">
        <w:rPr>
          <w:sz w:val="20"/>
          <w:szCs w:val="20"/>
        </w:rPr>
        <w:t>gion.</w:t>
      </w:r>
    </w:p>
    <w:p w14:paraId="36C6F6DC" w14:textId="403BD5A8" w:rsidR="00873DED" w:rsidRPr="0068236B" w:rsidRDefault="00873DED" w:rsidP="00873DED">
      <w:pPr>
        <w:pStyle w:val="ListBullet2"/>
        <w:contextualSpacing w:val="0"/>
        <w:rPr>
          <w:sz w:val="20"/>
          <w:szCs w:val="20"/>
        </w:rPr>
      </w:pPr>
      <w:r w:rsidRPr="0068236B">
        <w:rPr>
          <w:sz w:val="20"/>
          <w:szCs w:val="20"/>
        </w:rPr>
        <w:t>Reconstruction of existing structure in the Project area</w:t>
      </w:r>
      <w:r w:rsidR="00562E86" w:rsidRPr="0068236B">
        <w:rPr>
          <w:sz w:val="20"/>
          <w:szCs w:val="20"/>
        </w:rPr>
        <w:t xml:space="preserve"> </w:t>
      </w:r>
      <w:r w:rsidRPr="0068236B">
        <w:rPr>
          <w:sz w:val="20"/>
          <w:szCs w:val="20"/>
        </w:rPr>
        <w:t xml:space="preserve">- replacement of conductors of the existing 110 kV OHL from SS Valandovo to SS ‘EVP’ Miletkovo </w:t>
      </w:r>
    </w:p>
    <w:p w14:paraId="09F91970" w14:textId="77777777" w:rsidR="00873DED" w:rsidRPr="0068236B" w:rsidRDefault="00873DED" w:rsidP="00873DED">
      <w:pPr>
        <w:pStyle w:val="NumberedParagraph"/>
        <w:ind w:left="567" w:hanging="567"/>
        <w:rPr>
          <w:sz w:val="20"/>
          <w:szCs w:val="20"/>
        </w:rPr>
      </w:pPr>
      <w:r w:rsidRPr="0068236B">
        <w:rPr>
          <w:sz w:val="20"/>
          <w:szCs w:val="20"/>
        </w:rPr>
        <w:t>The need for access roads for the Project is described below.</w:t>
      </w:r>
    </w:p>
    <w:p w14:paraId="3451840D" w14:textId="2320878E" w:rsidR="00873DED" w:rsidRPr="0068236B" w:rsidRDefault="00873DED" w:rsidP="00D24CEF">
      <w:pPr>
        <w:pStyle w:val="ListBullet2"/>
        <w:numPr>
          <w:ilvl w:val="0"/>
          <w:numId w:val="89"/>
        </w:numPr>
        <w:ind w:left="567" w:hanging="141"/>
        <w:contextualSpacing w:val="0"/>
        <w:rPr>
          <w:sz w:val="20"/>
          <w:szCs w:val="20"/>
          <w:lang w:eastAsia="en-US"/>
        </w:rPr>
      </w:pPr>
      <w:r w:rsidRPr="0068236B">
        <w:rPr>
          <w:sz w:val="20"/>
          <w:szCs w:val="20"/>
          <w:lang w:eastAsia="en-US"/>
        </w:rPr>
        <w:t>New structures</w:t>
      </w:r>
      <w:r w:rsidR="00562E86" w:rsidRPr="0068236B">
        <w:rPr>
          <w:sz w:val="20"/>
          <w:szCs w:val="20"/>
          <w:lang w:eastAsia="en-US"/>
        </w:rPr>
        <w:t xml:space="preserve"> </w:t>
      </w:r>
      <w:r w:rsidRPr="0068236B">
        <w:rPr>
          <w:sz w:val="20"/>
          <w:szCs w:val="20"/>
          <w:lang w:eastAsia="en-US"/>
        </w:rPr>
        <w:t>- 400/110 kV substation and associated 110 kV connectors</w:t>
      </w:r>
      <w:r w:rsidRPr="0068236B">
        <w:rPr>
          <w:rStyle w:val="FootnoteReference"/>
          <w:rFonts w:cs="Tahoma"/>
          <w:sz w:val="20"/>
          <w:szCs w:val="20"/>
          <w:lang w:eastAsia="en-US"/>
        </w:rPr>
        <w:footnoteReference w:id="40"/>
      </w:r>
    </w:p>
    <w:p w14:paraId="3643C090" w14:textId="77777777" w:rsidR="00873DED" w:rsidRPr="0068236B" w:rsidRDefault="00873DED" w:rsidP="00873DED">
      <w:pPr>
        <w:autoSpaceDE w:val="0"/>
        <w:autoSpaceDN w:val="0"/>
        <w:adjustRightInd w:val="0"/>
        <w:rPr>
          <w:rFonts w:cs="Tahoma"/>
          <w:sz w:val="20"/>
          <w:szCs w:val="20"/>
        </w:rPr>
      </w:pPr>
      <w:r w:rsidRPr="0068236B">
        <w:rPr>
          <w:rFonts w:cs="Tahoma"/>
          <w:sz w:val="20"/>
          <w:szCs w:val="20"/>
        </w:rPr>
        <w:t xml:space="preserve">Temporary or permanent roads capable of taking a heavy crane (e.g. 100 tonne crane) and other heavy machinery and vehicles are required for the construction of the substation and each tower of the new transmission lines. Gravel roads to all angle towers sites are preferred, i.e. where winching equipment will be used. </w:t>
      </w:r>
    </w:p>
    <w:p w14:paraId="603F25FC" w14:textId="77777777" w:rsidR="00873DED" w:rsidRPr="0068236B" w:rsidRDefault="00873DED" w:rsidP="00873DED">
      <w:pPr>
        <w:autoSpaceDE w:val="0"/>
        <w:autoSpaceDN w:val="0"/>
        <w:adjustRightInd w:val="0"/>
        <w:rPr>
          <w:sz w:val="20"/>
          <w:szCs w:val="20"/>
        </w:rPr>
      </w:pPr>
      <w:r w:rsidRPr="0068236B">
        <w:rPr>
          <w:rFonts w:cs="Tahoma"/>
          <w:sz w:val="20"/>
          <w:szCs w:val="20"/>
        </w:rPr>
        <w:t xml:space="preserve">There are no ecologically sensitive sites (e.g. watercourses, wetlands, etc.) or otherwise sensitive land uses (e.g. agricultural land, forest / woodland) at wider surrounding around the substation site. Therefore no </w:t>
      </w:r>
      <w:r w:rsidRPr="0068236B">
        <w:rPr>
          <w:sz w:val="20"/>
          <w:szCs w:val="20"/>
        </w:rPr>
        <w:lastRenderedPageBreak/>
        <w:t>environmental or social sensitivities or constraints have been identified in regard to these access needs for this element of the Project.</w:t>
      </w:r>
    </w:p>
    <w:p w14:paraId="71A10DEF" w14:textId="77777777" w:rsidR="00873DED" w:rsidRPr="0068236B" w:rsidRDefault="00873DED" w:rsidP="00873DED">
      <w:pPr>
        <w:autoSpaceDE w:val="0"/>
        <w:autoSpaceDN w:val="0"/>
        <w:adjustRightInd w:val="0"/>
        <w:rPr>
          <w:sz w:val="20"/>
          <w:szCs w:val="20"/>
        </w:rPr>
      </w:pPr>
      <w:r w:rsidRPr="0068236B">
        <w:rPr>
          <w:sz w:val="20"/>
          <w:szCs w:val="20"/>
        </w:rPr>
        <w:t>The alignments of the 110 kV connectors associated with the new 400/110 kV substation cross an area with dominant agricultural land use forms. Therefore, particular access principles will be applied in this area as described below.</w:t>
      </w:r>
    </w:p>
    <w:p w14:paraId="4AA07E6A" w14:textId="77777777" w:rsidR="00873DED" w:rsidRPr="0068236B" w:rsidRDefault="00873DED" w:rsidP="00873DED">
      <w:pPr>
        <w:autoSpaceDE w:val="0"/>
        <w:autoSpaceDN w:val="0"/>
        <w:adjustRightInd w:val="0"/>
        <w:rPr>
          <w:rFonts w:cs="Tahoma"/>
          <w:sz w:val="20"/>
          <w:szCs w:val="20"/>
          <w:lang w:eastAsia="en-US"/>
        </w:rPr>
      </w:pPr>
      <w:r w:rsidRPr="0068236B">
        <w:rPr>
          <w:rFonts w:cs="Tahoma"/>
          <w:sz w:val="20"/>
          <w:szCs w:val="20"/>
          <w:lang w:eastAsia="en-US"/>
        </w:rPr>
        <w:t>Access would also be required for maintenance. On average, according to the internal procedures of MEPSO, a routine maintenance visit and inspection to each tower is undertaken approximately every six months. Other visits might be required if there are line faults.</w:t>
      </w:r>
    </w:p>
    <w:p w14:paraId="0A1E7444" w14:textId="57EECB28" w:rsidR="00873DED" w:rsidRPr="0068236B" w:rsidRDefault="00873DED" w:rsidP="00D24CEF">
      <w:pPr>
        <w:pStyle w:val="ListBullet"/>
        <w:numPr>
          <w:ilvl w:val="0"/>
          <w:numId w:val="89"/>
        </w:numPr>
        <w:ind w:left="567" w:hanging="141"/>
        <w:jc w:val="left"/>
        <w:rPr>
          <w:rFonts w:cs="Tahoma"/>
          <w:sz w:val="20"/>
          <w:szCs w:val="20"/>
          <w:lang w:eastAsia="en-US"/>
        </w:rPr>
      </w:pPr>
      <w:r w:rsidRPr="0068236B">
        <w:rPr>
          <w:rFonts w:cs="Tahoma"/>
          <w:sz w:val="20"/>
          <w:szCs w:val="20"/>
          <w:lang w:eastAsia="en-US"/>
        </w:rPr>
        <w:t>Existing structure</w:t>
      </w:r>
      <w:r w:rsidR="00562E86" w:rsidRPr="0068236B">
        <w:rPr>
          <w:rFonts w:cs="Tahoma"/>
          <w:sz w:val="20"/>
          <w:szCs w:val="20"/>
          <w:lang w:eastAsia="en-US"/>
        </w:rPr>
        <w:t xml:space="preserve"> </w:t>
      </w:r>
      <w:r w:rsidRPr="0068236B">
        <w:rPr>
          <w:rFonts w:cs="Tahoma"/>
          <w:sz w:val="20"/>
          <w:szCs w:val="20"/>
          <w:lang w:eastAsia="en-US"/>
        </w:rPr>
        <w:t>- 110 kV OHL from Valandovo to ‘EVP’ SS Miletkovo</w:t>
      </w:r>
    </w:p>
    <w:p w14:paraId="4D5EFA51" w14:textId="364FBF09" w:rsidR="00873DED" w:rsidRPr="0068236B" w:rsidRDefault="00873DED" w:rsidP="00873DED">
      <w:pPr>
        <w:rPr>
          <w:sz w:val="20"/>
          <w:szCs w:val="20"/>
        </w:rPr>
      </w:pPr>
      <w:r w:rsidRPr="0068236B">
        <w:rPr>
          <w:sz w:val="20"/>
          <w:szCs w:val="20"/>
        </w:rPr>
        <w:t xml:space="preserve">The reconstruction of the line includes its modification by dismantling of the existing obsolete conductors and the associated insulator strings and the earth wire, followed with </w:t>
      </w:r>
      <w:r w:rsidR="00B96DFD" w:rsidRPr="0068236B">
        <w:rPr>
          <w:sz w:val="20"/>
          <w:szCs w:val="20"/>
        </w:rPr>
        <w:t>installation</w:t>
      </w:r>
      <w:r w:rsidRPr="0068236B">
        <w:rPr>
          <w:sz w:val="20"/>
          <w:szCs w:val="20"/>
        </w:rPr>
        <w:t xml:space="preserve"> of new conductors with higher capacity, by using the existing OHL towers. Therefore, for the purposes of this reconstruction, the existing towers will remain in use during the operational life of the reconstructed line and no new towers will be constructed. </w:t>
      </w:r>
    </w:p>
    <w:p w14:paraId="4FB5D64F" w14:textId="77777777" w:rsidR="00873DED" w:rsidRPr="0068236B" w:rsidRDefault="00873DED" w:rsidP="00873DED">
      <w:pPr>
        <w:rPr>
          <w:sz w:val="20"/>
          <w:szCs w:val="20"/>
        </w:rPr>
      </w:pPr>
      <w:r w:rsidRPr="0068236B">
        <w:rPr>
          <w:sz w:val="20"/>
          <w:szCs w:val="20"/>
        </w:rPr>
        <w:t>There are existing access roads to each of the existing OHL towers and, based on the RoW rules, these are regularly used by MEPSO for the on-going maintenance of the existing line. In general, due to the flat topo</w:t>
      </w:r>
      <w:r w:rsidRPr="0068236B">
        <w:rPr>
          <w:sz w:val="20"/>
          <w:szCs w:val="20"/>
        </w:rPr>
        <w:t>g</w:t>
      </w:r>
      <w:r w:rsidRPr="0068236B">
        <w:rPr>
          <w:sz w:val="20"/>
          <w:szCs w:val="20"/>
        </w:rPr>
        <w:t>raphy in the Project area, the main access road providing access to the line follows its alignment at close proximity, with short branching tracks to particular tower sites. This main road is also regularly used by the local population for access to the agricultural land in the wider area.</w:t>
      </w:r>
    </w:p>
    <w:p w14:paraId="0DEB6939" w14:textId="0AEE34EF" w:rsidR="00873DED" w:rsidRPr="0068236B" w:rsidRDefault="00873DED" w:rsidP="00873DED">
      <w:pPr>
        <w:rPr>
          <w:sz w:val="20"/>
          <w:szCs w:val="20"/>
        </w:rPr>
      </w:pPr>
      <w:r w:rsidRPr="0068236B">
        <w:rPr>
          <w:sz w:val="20"/>
          <w:szCs w:val="20"/>
        </w:rPr>
        <w:t>No significant environmental or social sensitivities have been identified in regard to these</w:t>
      </w:r>
      <w:r w:rsidR="002C6259" w:rsidRPr="0068236B">
        <w:rPr>
          <w:sz w:val="20"/>
          <w:szCs w:val="20"/>
        </w:rPr>
        <w:t xml:space="preserve"> existing</w:t>
      </w:r>
      <w:r w:rsidRPr="0068236B">
        <w:rPr>
          <w:sz w:val="20"/>
          <w:szCs w:val="20"/>
        </w:rPr>
        <w:t xml:space="preserve"> access roads during the E&amp;S assessment.</w:t>
      </w:r>
    </w:p>
    <w:p w14:paraId="0393792C" w14:textId="14A8675D" w:rsidR="00EB1C5F" w:rsidRPr="0068236B" w:rsidRDefault="00EB1C5F" w:rsidP="00EB1C5F">
      <w:pPr>
        <w:pStyle w:val="ListBullet"/>
        <w:spacing w:before="120" w:after="120"/>
        <w:ind w:left="709" w:hanging="283"/>
        <w:jc w:val="left"/>
        <w:rPr>
          <w:sz w:val="20"/>
          <w:szCs w:val="20"/>
        </w:rPr>
      </w:pPr>
      <w:r w:rsidRPr="0068236B">
        <w:rPr>
          <w:sz w:val="20"/>
          <w:szCs w:val="20"/>
        </w:rPr>
        <w:t>Road Design and Construction</w:t>
      </w:r>
    </w:p>
    <w:p w14:paraId="29B8DAFD" w14:textId="77777777" w:rsidR="00873DED" w:rsidRPr="0068236B" w:rsidRDefault="00873DED" w:rsidP="00873DED">
      <w:pPr>
        <w:pStyle w:val="NumberedParagraph"/>
        <w:rPr>
          <w:rFonts w:cs="Tahoma"/>
          <w:sz w:val="20"/>
          <w:szCs w:val="20"/>
        </w:rPr>
      </w:pPr>
      <w:r w:rsidRPr="0068236B">
        <w:rPr>
          <w:rFonts w:cs="Tahoma"/>
          <w:sz w:val="20"/>
          <w:szCs w:val="20"/>
          <w:lang w:eastAsia="en-US"/>
        </w:rPr>
        <w:t>In principle, there are several types of roads that can be used to facilitate access to tower locations in order to construct and maintain the transmission line. The type of road that will be used will depend on a variety of factors including the topography, sensitivity of the location, the type of land use and the ground cond</w:t>
      </w:r>
      <w:r w:rsidRPr="0068236B">
        <w:rPr>
          <w:rFonts w:cs="Tahoma"/>
          <w:sz w:val="20"/>
          <w:szCs w:val="20"/>
          <w:lang w:eastAsia="en-US"/>
        </w:rPr>
        <w:t>i</w:t>
      </w:r>
      <w:r w:rsidRPr="0068236B">
        <w:rPr>
          <w:rFonts w:cs="Tahoma"/>
          <w:sz w:val="20"/>
          <w:szCs w:val="20"/>
          <w:lang w:eastAsia="en-US"/>
        </w:rPr>
        <w:t xml:space="preserve">tions. The details of road design and construction will be </w:t>
      </w:r>
      <w:r w:rsidRPr="0068236B">
        <w:rPr>
          <w:sz w:val="20"/>
          <w:szCs w:val="20"/>
        </w:rPr>
        <w:t>defined by the Contractor, once appointed.</w:t>
      </w:r>
    </w:p>
    <w:p w14:paraId="33B5F5E6" w14:textId="77777777" w:rsidR="00873DED" w:rsidRPr="0068236B" w:rsidRDefault="00873DED" w:rsidP="00873DED">
      <w:pPr>
        <w:autoSpaceDE w:val="0"/>
        <w:autoSpaceDN w:val="0"/>
        <w:adjustRightInd w:val="0"/>
        <w:rPr>
          <w:rFonts w:cs="Tahoma"/>
          <w:sz w:val="20"/>
          <w:szCs w:val="20"/>
          <w:lang w:eastAsia="en-US"/>
        </w:rPr>
      </w:pPr>
      <w:r w:rsidRPr="0068236B">
        <w:rPr>
          <w:rFonts w:cs="Tahoma"/>
          <w:sz w:val="20"/>
          <w:szCs w:val="20"/>
          <w:lang w:eastAsia="en-US"/>
        </w:rPr>
        <w:t>The choice of which type of road is used will be guided by the principles set out below in this Section.</w:t>
      </w:r>
    </w:p>
    <w:p w14:paraId="072D2CC6" w14:textId="030EB3EF" w:rsidR="00EB1C5F" w:rsidRPr="0068236B" w:rsidRDefault="00EB1C5F" w:rsidP="00EB1C5F">
      <w:pPr>
        <w:pStyle w:val="ListBullet"/>
        <w:spacing w:before="120" w:after="120"/>
        <w:ind w:left="709" w:hanging="283"/>
        <w:jc w:val="left"/>
        <w:rPr>
          <w:sz w:val="20"/>
          <w:szCs w:val="20"/>
        </w:rPr>
      </w:pPr>
      <w:r w:rsidRPr="0068236B">
        <w:rPr>
          <w:sz w:val="20"/>
          <w:szCs w:val="20"/>
        </w:rPr>
        <w:t>General Access Roads Routing Strategy and Design Principles</w:t>
      </w:r>
    </w:p>
    <w:p w14:paraId="3CEE1468" w14:textId="77777777" w:rsidR="00873DED" w:rsidRPr="0068236B" w:rsidRDefault="00873DED" w:rsidP="00873DED">
      <w:pPr>
        <w:autoSpaceDE w:val="0"/>
        <w:autoSpaceDN w:val="0"/>
        <w:adjustRightInd w:val="0"/>
        <w:jc w:val="left"/>
        <w:rPr>
          <w:rFonts w:cs="Tahoma"/>
          <w:sz w:val="20"/>
          <w:szCs w:val="20"/>
          <w:lang w:eastAsia="en-US"/>
        </w:rPr>
      </w:pPr>
      <w:r w:rsidRPr="0068236B">
        <w:rPr>
          <w:rFonts w:cs="Tahoma"/>
          <w:sz w:val="20"/>
          <w:szCs w:val="20"/>
          <w:lang w:eastAsia="en-US"/>
        </w:rPr>
        <w:t>This access strategy has been developed to guide further decisions relating to access to construction sites of the Project. The aim of the strategy is to ensure a consistent approach to defining safe access to the subst</w:t>
      </w:r>
      <w:r w:rsidRPr="0068236B">
        <w:rPr>
          <w:rFonts w:cs="Tahoma"/>
          <w:sz w:val="20"/>
          <w:szCs w:val="20"/>
          <w:lang w:eastAsia="en-US"/>
        </w:rPr>
        <w:t>a</w:t>
      </w:r>
      <w:r w:rsidRPr="0068236B">
        <w:rPr>
          <w:rFonts w:cs="Tahoma"/>
          <w:sz w:val="20"/>
          <w:szCs w:val="20"/>
          <w:lang w:eastAsia="en-US"/>
        </w:rPr>
        <w:t>tion site and along the new transmission lines. Overall objectives of this approach are:</w:t>
      </w:r>
    </w:p>
    <w:p w14:paraId="1491A8C2" w14:textId="77777777" w:rsidR="00873DED" w:rsidRPr="0068236B" w:rsidRDefault="00873DED" w:rsidP="00D24CEF">
      <w:pPr>
        <w:pStyle w:val="ListBullet"/>
        <w:numPr>
          <w:ilvl w:val="0"/>
          <w:numId w:val="90"/>
        </w:numPr>
        <w:jc w:val="left"/>
        <w:rPr>
          <w:rFonts w:cs="Tahoma"/>
          <w:sz w:val="20"/>
          <w:szCs w:val="20"/>
          <w:lang w:eastAsia="en-US"/>
        </w:rPr>
      </w:pPr>
      <w:r w:rsidRPr="0068236B">
        <w:rPr>
          <w:rFonts w:cs="Tahoma"/>
          <w:sz w:val="20"/>
          <w:szCs w:val="20"/>
          <w:lang w:eastAsia="en-US"/>
        </w:rPr>
        <w:t>To define access routes which minimise intrusion upon and disturbance of local communities.</w:t>
      </w:r>
    </w:p>
    <w:p w14:paraId="3303DF30" w14:textId="77777777" w:rsidR="00873DED" w:rsidRPr="0068236B" w:rsidRDefault="00873DED" w:rsidP="00D24CEF">
      <w:pPr>
        <w:pStyle w:val="ListBullet"/>
        <w:numPr>
          <w:ilvl w:val="0"/>
          <w:numId w:val="90"/>
        </w:numPr>
        <w:jc w:val="left"/>
        <w:rPr>
          <w:rFonts w:cs="Tahoma"/>
          <w:sz w:val="20"/>
          <w:szCs w:val="20"/>
          <w:lang w:eastAsia="en-US"/>
        </w:rPr>
      </w:pPr>
      <w:r w:rsidRPr="0068236B">
        <w:rPr>
          <w:rFonts w:cs="Tahoma"/>
          <w:sz w:val="20"/>
          <w:szCs w:val="20"/>
          <w:lang w:eastAsia="en-US"/>
        </w:rPr>
        <w:t>To cause least disturbance to current land use and land management practices (e.g. agricultural a</w:t>
      </w:r>
      <w:r w:rsidRPr="0068236B">
        <w:rPr>
          <w:rFonts w:cs="Tahoma"/>
          <w:sz w:val="20"/>
          <w:szCs w:val="20"/>
          <w:lang w:eastAsia="en-US"/>
        </w:rPr>
        <w:t>r</w:t>
      </w:r>
      <w:r w:rsidRPr="0068236B">
        <w:rPr>
          <w:rFonts w:cs="Tahoma"/>
          <w:sz w:val="20"/>
          <w:szCs w:val="20"/>
          <w:lang w:eastAsia="en-US"/>
        </w:rPr>
        <w:t>eas).</w:t>
      </w:r>
    </w:p>
    <w:p w14:paraId="3695FD92" w14:textId="324E0D7A" w:rsidR="00873DED" w:rsidRPr="0068236B" w:rsidRDefault="00873DED" w:rsidP="00D24CEF">
      <w:pPr>
        <w:pStyle w:val="ListBullet"/>
        <w:numPr>
          <w:ilvl w:val="0"/>
          <w:numId w:val="90"/>
        </w:numPr>
        <w:jc w:val="left"/>
        <w:rPr>
          <w:rFonts w:cs="Tahoma"/>
          <w:sz w:val="20"/>
          <w:szCs w:val="20"/>
          <w:lang w:eastAsia="en-US"/>
        </w:rPr>
      </w:pPr>
      <w:r w:rsidRPr="0068236B">
        <w:rPr>
          <w:rFonts w:cs="Tahoma"/>
          <w:sz w:val="20"/>
          <w:szCs w:val="20"/>
          <w:lang w:eastAsia="en-US"/>
        </w:rPr>
        <w:t xml:space="preserve">To cause least disturbance to and minimise impacts upon sensitive areas (e.g. natural </w:t>
      </w:r>
      <w:r w:rsidR="00EB1C5F" w:rsidRPr="0068236B">
        <w:rPr>
          <w:rFonts w:cs="Tahoma"/>
          <w:sz w:val="20"/>
          <w:szCs w:val="20"/>
          <w:lang w:eastAsia="en-US"/>
        </w:rPr>
        <w:t xml:space="preserve">or cultural </w:t>
      </w:r>
      <w:r w:rsidRPr="0068236B">
        <w:rPr>
          <w:rFonts w:cs="Tahoma"/>
          <w:sz w:val="20"/>
          <w:szCs w:val="20"/>
          <w:lang w:eastAsia="en-US"/>
        </w:rPr>
        <w:t>heritage</w:t>
      </w:r>
      <w:r w:rsidR="00EB1C5F" w:rsidRPr="0068236B">
        <w:rPr>
          <w:rFonts w:cs="Tahoma"/>
          <w:sz w:val="20"/>
          <w:szCs w:val="20"/>
          <w:lang w:eastAsia="en-US"/>
        </w:rPr>
        <w:t xml:space="preserve"> (if relevant)</w:t>
      </w:r>
      <w:r w:rsidRPr="0068236B">
        <w:rPr>
          <w:rFonts w:cs="Tahoma"/>
          <w:sz w:val="20"/>
          <w:szCs w:val="20"/>
          <w:lang w:eastAsia="en-US"/>
        </w:rPr>
        <w:t xml:space="preserve">, watercourses, </w:t>
      </w:r>
      <w:r w:rsidR="00EB1C5F" w:rsidRPr="0068236B">
        <w:rPr>
          <w:rFonts w:cs="Tahoma"/>
          <w:sz w:val="20"/>
          <w:szCs w:val="20"/>
          <w:lang w:eastAsia="en-US"/>
        </w:rPr>
        <w:t>forests, etc.</w:t>
      </w:r>
      <w:r w:rsidRPr="0068236B">
        <w:rPr>
          <w:rFonts w:cs="Tahoma"/>
          <w:sz w:val="20"/>
          <w:szCs w:val="20"/>
          <w:lang w:eastAsia="en-US"/>
        </w:rPr>
        <w:t>).</w:t>
      </w:r>
    </w:p>
    <w:p w14:paraId="332D884E" w14:textId="77777777" w:rsidR="00873DED" w:rsidRPr="0068236B" w:rsidRDefault="00873DED" w:rsidP="00873DED">
      <w:pPr>
        <w:autoSpaceDE w:val="0"/>
        <w:autoSpaceDN w:val="0"/>
        <w:adjustRightInd w:val="0"/>
        <w:rPr>
          <w:rFonts w:cs="Tahoma"/>
          <w:sz w:val="20"/>
          <w:szCs w:val="20"/>
        </w:rPr>
      </w:pPr>
      <w:r w:rsidRPr="0068236B">
        <w:rPr>
          <w:rFonts w:cs="Tahoma"/>
          <w:sz w:val="20"/>
          <w:szCs w:val="20"/>
        </w:rPr>
        <w:t>A combination of access options will need to be considered by the appointed Contractor including making best use of existing roads as well as new temporary and permanent tracks to allow access to construction sites with the least environmental and social impact. In general terms, the following principles will be used to define the new temporary and permanent access tracks:</w:t>
      </w:r>
    </w:p>
    <w:p w14:paraId="74D2F000" w14:textId="77777777" w:rsidR="00873DED" w:rsidRPr="0068236B" w:rsidRDefault="00873DED" w:rsidP="00EB1C5F">
      <w:pPr>
        <w:pStyle w:val="ListBullet2"/>
        <w:rPr>
          <w:sz w:val="20"/>
          <w:szCs w:val="20"/>
        </w:rPr>
      </w:pPr>
      <w:r w:rsidRPr="0068236B">
        <w:rPr>
          <w:sz w:val="20"/>
          <w:szCs w:val="20"/>
          <w:lang w:eastAsia="en-US"/>
        </w:rPr>
        <w:t>A temporary or permanent access will be installed to each new tower position.</w:t>
      </w:r>
    </w:p>
    <w:p w14:paraId="5B4E1DC5" w14:textId="77777777" w:rsidR="00873DED" w:rsidRPr="0068236B" w:rsidRDefault="00873DED" w:rsidP="00EB1C5F">
      <w:pPr>
        <w:pStyle w:val="ListBullet2"/>
        <w:rPr>
          <w:sz w:val="20"/>
          <w:szCs w:val="20"/>
        </w:rPr>
      </w:pPr>
      <w:r w:rsidRPr="0068236B">
        <w:rPr>
          <w:sz w:val="20"/>
          <w:szCs w:val="20"/>
        </w:rPr>
        <w:t xml:space="preserve">Best use will be made of existing road network - bridges, roads and tracks. </w:t>
      </w:r>
    </w:p>
    <w:p w14:paraId="5ED8EC73" w14:textId="77777777" w:rsidR="00873DED" w:rsidRPr="0068236B" w:rsidRDefault="00873DED" w:rsidP="00EB1C5F">
      <w:pPr>
        <w:pStyle w:val="ListBullet2"/>
        <w:rPr>
          <w:sz w:val="20"/>
          <w:szCs w:val="20"/>
        </w:rPr>
      </w:pPr>
      <w:r w:rsidRPr="0068236B">
        <w:rPr>
          <w:sz w:val="20"/>
          <w:szCs w:val="20"/>
          <w:lang w:eastAsia="en-US"/>
        </w:rPr>
        <w:t>Access for excavators would be required to every new tower.</w:t>
      </w:r>
    </w:p>
    <w:p w14:paraId="42F3E878" w14:textId="77777777" w:rsidR="00873DED" w:rsidRPr="0068236B" w:rsidRDefault="00873DED" w:rsidP="00EB1C5F">
      <w:pPr>
        <w:pStyle w:val="ListBullet2"/>
        <w:rPr>
          <w:sz w:val="20"/>
          <w:szCs w:val="20"/>
        </w:rPr>
      </w:pPr>
      <w:r w:rsidRPr="0068236B">
        <w:rPr>
          <w:sz w:val="20"/>
          <w:szCs w:val="20"/>
        </w:rPr>
        <w:t>Use of private accesses to residential properties will be avoided wherever possible for saf</w:t>
      </w:r>
      <w:r w:rsidRPr="0068236B">
        <w:rPr>
          <w:sz w:val="20"/>
          <w:szCs w:val="20"/>
        </w:rPr>
        <w:t>e</w:t>
      </w:r>
      <w:r w:rsidRPr="0068236B">
        <w:rPr>
          <w:sz w:val="20"/>
          <w:szCs w:val="20"/>
        </w:rPr>
        <w:t>ty and intrusion reasons. Where this is unavoidable access arrangements will be agreed with the landowner.</w:t>
      </w:r>
    </w:p>
    <w:p w14:paraId="222A24A1" w14:textId="77777777" w:rsidR="00873DED" w:rsidRPr="0068236B" w:rsidRDefault="00873DED" w:rsidP="00EB1C5F">
      <w:pPr>
        <w:pStyle w:val="ListBullet2"/>
        <w:rPr>
          <w:sz w:val="20"/>
          <w:szCs w:val="20"/>
        </w:rPr>
      </w:pPr>
      <w:r w:rsidRPr="0068236B">
        <w:rPr>
          <w:sz w:val="20"/>
          <w:szCs w:val="20"/>
        </w:rPr>
        <w:lastRenderedPageBreak/>
        <w:t>Permanent roads to angle towers are preferred because these will assist future operational and maintenance activities.</w:t>
      </w:r>
    </w:p>
    <w:p w14:paraId="45CBF095" w14:textId="77777777" w:rsidR="00873DED" w:rsidRPr="0068236B" w:rsidRDefault="00873DED" w:rsidP="00EB1C5F">
      <w:pPr>
        <w:pStyle w:val="ListBullet2"/>
        <w:rPr>
          <w:sz w:val="20"/>
          <w:szCs w:val="20"/>
        </w:rPr>
      </w:pPr>
      <w:r w:rsidRPr="0068236B">
        <w:rPr>
          <w:sz w:val="20"/>
          <w:szCs w:val="20"/>
          <w:lang w:eastAsia="en-US"/>
        </w:rPr>
        <w:t>Permanent road will be avoided in all areas where there is existing road (e.g. within 1.0 km of the Project) which allows access to the Project via branching connection track. Similarly, roads would not be permanent where there are existing public roads in close proximity to the Project (within 1.0 km).</w:t>
      </w:r>
    </w:p>
    <w:p w14:paraId="3BD95188" w14:textId="77777777" w:rsidR="00873DED" w:rsidRPr="0068236B" w:rsidRDefault="00873DED" w:rsidP="00EB1C5F">
      <w:pPr>
        <w:pStyle w:val="ListBullet2"/>
        <w:rPr>
          <w:sz w:val="20"/>
          <w:szCs w:val="20"/>
        </w:rPr>
      </w:pPr>
      <w:r w:rsidRPr="0068236B">
        <w:rPr>
          <w:sz w:val="20"/>
          <w:szCs w:val="20"/>
        </w:rPr>
        <w:t>Longer length of temporary routes will be used where use of public roads could cause m</w:t>
      </w:r>
      <w:r w:rsidRPr="0068236B">
        <w:rPr>
          <w:sz w:val="20"/>
          <w:szCs w:val="20"/>
        </w:rPr>
        <w:t>a</w:t>
      </w:r>
      <w:r w:rsidRPr="0068236B">
        <w:rPr>
          <w:sz w:val="20"/>
          <w:szCs w:val="20"/>
        </w:rPr>
        <w:t>jor nuisance to the public and local population within settlements or various properties along the transport routes.</w:t>
      </w:r>
    </w:p>
    <w:p w14:paraId="1B199A3C" w14:textId="77777777" w:rsidR="00873DED" w:rsidRPr="0068236B" w:rsidRDefault="00873DED" w:rsidP="00EB1C5F">
      <w:pPr>
        <w:pStyle w:val="ListBullet2"/>
        <w:rPr>
          <w:sz w:val="20"/>
          <w:szCs w:val="20"/>
        </w:rPr>
      </w:pPr>
      <w:r w:rsidRPr="0068236B">
        <w:rPr>
          <w:sz w:val="20"/>
          <w:szCs w:val="20"/>
          <w:lang w:eastAsia="en-US"/>
        </w:rPr>
        <w:t>General future maintenance activities would make the best use of existing roads as far as possible and reduce the need for temporary road to the minimum necessary for safe a</w:t>
      </w:r>
      <w:r w:rsidRPr="0068236B">
        <w:rPr>
          <w:sz w:val="20"/>
          <w:szCs w:val="20"/>
          <w:lang w:eastAsia="en-US"/>
        </w:rPr>
        <w:t>c</w:t>
      </w:r>
      <w:r w:rsidRPr="0068236B">
        <w:rPr>
          <w:sz w:val="20"/>
          <w:szCs w:val="20"/>
          <w:lang w:eastAsia="en-US"/>
        </w:rPr>
        <w:t>cess to the Project. If temporary road is required, it will be built where there are no env</w:t>
      </w:r>
      <w:r w:rsidRPr="0068236B">
        <w:rPr>
          <w:sz w:val="20"/>
          <w:szCs w:val="20"/>
          <w:lang w:eastAsia="en-US"/>
        </w:rPr>
        <w:t>i</w:t>
      </w:r>
      <w:r w:rsidRPr="0068236B">
        <w:rPr>
          <w:sz w:val="20"/>
          <w:szCs w:val="20"/>
          <w:lang w:eastAsia="en-US"/>
        </w:rPr>
        <w:t>ronmental sensitivities (e.g. ecological, hydrological or forestry sensitivities) and will be permitted by competent authorities or responsible management authorities.</w:t>
      </w:r>
    </w:p>
    <w:p w14:paraId="403EC2BE" w14:textId="77777777" w:rsidR="00873DED" w:rsidRPr="0068236B" w:rsidRDefault="00873DED" w:rsidP="00873DED">
      <w:pPr>
        <w:autoSpaceDE w:val="0"/>
        <w:autoSpaceDN w:val="0"/>
        <w:adjustRightInd w:val="0"/>
        <w:rPr>
          <w:rFonts w:cs="Tahoma"/>
          <w:sz w:val="20"/>
          <w:szCs w:val="20"/>
        </w:rPr>
      </w:pPr>
      <w:r w:rsidRPr="0068236B">
        <w:rPr>
          <w:rFonts w:cs="Tahoma"/>
          <w:sz w:val="20"/>
          <w:szCs w:val="20"/>
        </w:rPr>
        <w:t>The following principles will be used to define access routes in agricultural areas which are dominating land cover form in the Project area (see Section 7.1.5):</w:t>
      </w:r>
    </w:p>
    <w:p w14:paraId="42C1CFC9" w14:textId="77777777" w:rsidR="00873DED" w:rsidRPr="0068236B" w:rsidRDefault="00873DED" w:rsidP="00EB1C5F">
      <w:pPr>
        <w:pStyle w:val="ListBullet2"/>
        <w:rPr>
          <w:sz w:val="20"/>
          <w:szCs w:val="20"/>
          <w:lang w:eastAsia="en-US"/>
        </w:rPr>
      </w:pPr>
      <w:r w:rsidRPr="0068236B">
        <w:rPr>
          <w:sz w:val="20"/>
          <w:szCs w:val="20"/>
        </w:rPr>
        <w:t>In agricultural areas it will usually be possible to make the best use of the existing road network and access the construction areas with temporary tracks that branches from an existing road.</w:t>
      </w:r>
    </w:p>
    <w:p w14:paraId="204D26EA" w14:textId="77777777" w:rsidR="00873DED" w:rsidRPr="0068236B" w:rsidRDefault="00873DED" w:rsidP="00EB1C5F">
      <w:pPr>
        <w:pStyle w:val="ListBullet2"/>
        <w:rPr>
          <w:rFonts w:cs="Tahoma"/>
          <w:sz w:val="20"/>
          <w:szCs w:val="20"/>
          <w:lang w:eastAsia="en-US"/>
        </w:rPr>
      </w:pPr>
      <w:r w:rsidRPr="0068236B">
        <w:rPr>
          <w:sz w:val="20"/>
          <w:szCs w:val="20"/>
        </w:rPr>
        <w:t>In agricultural land temporary tracks will be used and the ground restored at the end of construction, unless it has been agreed with the landowner that a permanent road is r</w:t>
      </w:r>
      <w:r w:rsidRPr="0068236B">
        <w:rPr>
          <w:sz w:val="20"/>
          <w:szCs w:val="20"/>
        </w:rPr>
        <w:t>e</w:t>
      </w:r>
      <w:r w:rsidRPr="0068236B">
        <w:rPr>
          <w:sz w:val="20"/>
          <w:szCs w:val="20"/>
        </w:rPr>
        <w:t>quired for general land access.</w:t>
      </w:r>
    </w:p>
    <w:p w14:paraId="4ADAB121" w14:textId="0B7C255D" w:rsidR="00873DED" w:rsidRPr="0068236B" w:rsidRDefault="00873DED" w:rsidP="00EB1C5F">
      <w:pPr>
        <w:pStyle w:val="ListBullet2"/>
        <w:rPr>
          <w:rFonts w:cs="Tahoma"/>
          <w:sz w:val="20"/>
          <w:szCs w:val="20"/>
          <w:lang w:eastAsia="en-US"/>
        </w:rPr>
      </w:pPr>
      <w:r w:rsidRPr="0068236B">
        <w:rPr>
          <w:sz w:val="20"/>
          <w:szCs w:val="20"/>
        </w:rPr>
        <w:t>Time restrictions will be imposed during specific agricultural</w:t>
      </w:r>
      <w:r w:rsidR="00562E86" w:rsidRPr="0068236B">
        <w:rPr>
          <w:sz w:val="20"/>
          <w:szCs w:val="20"/>
        </w:rPr>
        <w:t xml:space="preserve"> </w:t>
      </w:r>
      <w:r w:rsidRPr="0068236B">
        <w:rPr>
          <w:sz w:val="20"/>
          <w:szCs w:val="20"/>
        </w:rPr>
        <w:t>seasons (e.g. planting season, harvesting season)</w:t>
      </w:r>
      <w:r w:rsidRPr="0068236B">
        <w:rPr>
          <w:rFonts w:cs="Tahoma"/>
          <w:sz w:val="20"/>
          <w:szCs w:val="20"/>
          <w:lang w:eastAsia="en-US"/>
        </w:rPr>
        <w:t>.</w:t>
      </w:r>
    </w:p>
    <w:p w14:paraId="42CA1BD3" w14:textId="77777777" w:rsidR="00873DED" w:rsidRPr="0068236B" w:rsidRDefault="00873DED" w:rsidP="00EB1C5F">
      <w:pPr>
        <w:pStyle w:val="ListBullet2"/>
        <w:rPr>
          <w:sz w:val="20"/>
          <w:szCs w:val="20"/>
          <w:lang w:eastAsia="en-US"/>
        </w:rPr>
      </w:pPr>
      <w:r w:rsidRPr="0068236B">
        <w:rPr>
          <w:sz w:val="20"/>
          <w:szCs w:val="20"/>
          <w:lang w:eastAsia="en-US"/>
        </w:rPr>
        <w:t>Headlands of fields (field margins) will be used wherever possible to limit intrusion into a</w:t>
      </w:r>
      <w:r w:rsidRPr="0068236B">
        <w:rPr>
          <w:sz w:val="20"/>
          <w:szCs w:val="20"/>
          <w:lang w:eastAsia="en-US"/>
        </w:rPr>
        <w:t>g</w:t>
      </w:r>
      <w:r w:rsidRPr="0068236B">
        <w:rPr>
          <w:sz w:val="20"/>
          <w:szCs w:val="20"/>
          <w:lang w:eastAsia="en-US"/>
        </w:rPr>
        <w:t>ricultural land.</w:t>
      </w:r>
    </w:p>
    <w:p w14:paraId="5E9A4983" w14:textId="77777777" w:rsidR="00873DED" w:rsidRPr="0068236B" w:rsidRDefault="00873DED" w:rsidP="00EB1C5F">
      <w:pPr>
        <w:pStyle w:val="ListBullet2"/>
        <w:rPr>
          <w:sz w:val="20"/>
          <w:szCs w:val="20"/>
          <w:lang w:eastAsia="en-US"/>
        </w:rPr>
      </w:pPr>
      <w:r w:rsidRPr="0068236B">
        <w:rPr>
          <w:sz w:val="20"/>
          <w:szCs w:val="20"/>
          <w:lang w:eastAsia="en-US"/>
        </w:rPr>
        <w:t>Any field drains affected by construction of roads would be reinstated.</w:t>
      </w:r>
    </w:p>
    <w:p w14:paraId="60031AF4" w14:textId="6600E761" w:rsidR="00873DED" w:rsidRPr="0068236B" w:rsidRDefault="00873DED" w:rsidP="00873DED">
      <w:pPr>
        <w:autoSpaceDE w:val="0"/>
        <w:autoSpaceDN w:val="0"/>
        <w:adjustRightInd w:val="0"/>
        <w:rPr>
          <w:rFonts w:cs="Tahoma"/>
          <w:sz w:val="20"/>
          <w:szCs w:val="20"/>
        </w:rPr>
      </w:pPr>
      <w:r w:rsidRPr="0068236B">
        <w:rPr>
          <w:rFonts w:cs="Tahoma"/>
          <w:sz w:val="20"/>
          <w:szCs w:val="20"/>
        </w:rPr>
        <w:t>The following principles will be used to define access routes in proximity to watercourses:</w:t>
      </w:r>
    </w:p>
    <w:p w14:paraId="722DDFD9" w14:textId="77777777" w:rsidR="00873DED" w:rsidRPr="0068236B" w:rsidRDefault="00873DED" w:rsidP="00EB1C5F">
      <w:pPr>
        <w:pStyle w:val="ListBullet2"/>
        <w:rPr>
          <w:sz w:val="20"/>
          <w:szCs w:val="20"/>
        </w:rPr>
      </w:pPr>
      <w:r w:rsidRPr="0068236B">
        <w:rPr>
          <w:sz w:val="20"/>
          <w:szCs w:val="20"/>
        </w:rPr>
        <w:t xml:space="preserve">Crossing of watercourses with vehicles will be forbidden. </w:t>
      </w:r>
    </w:p>
    <w:p w14:paraId="64F18689" w14:textId="77777777" w:rsidR="00873DED" w:rsidRPr="0068236B" w:rsidRDefault="00873DED" w:rsidP="00EB1C5F">
      <w:pPr>
        <w:pStyle w:val="ListBullet2"/>
        <w:rPr>
          <w:sz w:val="20"/>
          <w:szCs w:val="20"/>
        </w:rPr>
      </w:pPr>
      <w:r w:rsidRPr="0068236B">
        <w:rPr>
          <w:sz w:val="20"/>
          <w:szCs w:val="20"/>
        </w:rPr>
        <w:t>Smaller watercourse crossing may use small pre-cast concrete culverts.</w:t>
      </w:r>
    </w:p>
    <w:p w14:paraId="20C3159B" w14:textId="77777777" w:rsidR="00873DED" w:rsidRPr="0068236B" w:rsidRDefault="00873DED" w:rsidP="00EB1C5F">
      <w:pPr>
        <w:pStyle w:val="ListBullet2"/>
        <w:rPr>
          <w:sz w:val="20"/>
          <w:szCs w:val="20"/>
        </w:rPr>
      </w:pPr>
      <w:r w:rsidRPr="0068236B">
        <w:rPr>
          <w:sz w:val="20"/>
          <w:szCs w:val="20"/>
        </w:rPr>
        <w:t>There will be no unnecessary tracking by construction vehicles near rivers and watercour</w:t>
      </w:r>
      <w:r w:rsidRPr="0068236B">
        <w:rPr>
          <w:sz w:val="20"/>
          <w:szCs w:val="20"/>
        </w:rPr>
        <w:t>s</w:t>
      </w:r>
      <w:r w:rsidRPr="0068236B">
        <w:rPr>
          <w:sz w:val="20"/>
          <w:szCs w:val="20"/>
        </w:rPr>
        <w:t>es.</w:t>
      </w:r>
    </w:p>
    <w:p w14:paraId="77209AFF" w14:textId="77777777" w:rsidR="00873DED" w:rsidRPr="0068236B" w:rsidRDefault="00873DED" w:rsidP="00873DED">
      <w:pPr>
        <w:pStyle w:val="ListBullet"/>
        <w:numPr>
          <w:ilvl w:val="0"/>
          <w:numId w:val="0"/>
        </w:numPr>
        <w:spacing w:before="120" w:after="120"/>
        <w:rPr>
          <w:rFonts w:cs="Tahoma"/>
          <w:sz w:val="20"/>
          <w:szCs w:val="20"/>
        </w:rPr>
      </w:pPr>
      <w:r w:rsidRPr="0068236B">
        <w:rPr>
          <w:rFonts w:cs="Tahoma"/>
          <w:sz w:val="20"/>
          <w:szCs w:val="20"/>
        </w:rPr>
        <w:t>The forests and woodlands occupy insignificant portion of the Project area (see Section 7.1.5) and therefore it is very unlikely these sensitive areas would be significantly affected for providing access to the Project sites. Still. The following key principles will be used in forests / woodlands, if necessary:</w:t>
      </w:r>
    </w:p>
    <w:p w14:paraId="38E7119D" w14:textId="77777777" w:rsidR="00873DED" w:rsidRPr="0068236B" w:rsidRDefault="00873DED" w:rsidP="00EB1C5F">
      <w:pPr>
        <w:pStyle w:val="ListBullet2"/>
        <w:rPr>
          <w:sz w:val="20"/>
          <w:szCs w:val="20"/>
        </w:rPr>
      </w:pPr>
      <w:r w:rsidRPr="0068236B">
        <w:rPr>
          <w:sz w:val="20"/>
          <w:szCs w:val="20"/>
        </w:rPr>
        <w:t>All access roads within forest areas will be designed to minimise the loss of trees.</w:t>
      </w:r>
    </w:p>
    <w:p w14:paraId="139B79F2" w14:textId="77777777" w:rsidR="00873DED" w:rsidRPr="0068236B" w:rsidRDefault="00873DED" w:rsidP="00EB1C5F">
      <w:pPr>
        <w:pStyle w:val="ListBullet2"/>
        <w:rPr>
          <w:sz w:val="20"/>
          <w:szCs w:val="20"/>
        </w:rPr>
      </w:pPr>
      <w:r w:rsidRPr="0068236B">
        <w:rPr>
          <w:sz w:val="20"/>
          <w:szCs w:val="20"/>
        </w:rPr>
        <w:t>Existing roads will be used in forest areas where possible.</w:t>
      </w:r>
    </w:p>
    <w:p w14:paraId="4EA1FE72" w14:textId="77777777" w:rsidR="00873DED" w:rsidRPr="0068236B" w:rsidRDefault="00873DED" w:rsidP="00EB1C5F">
      <w:pPr>
        <w:pStyle w:val="ListBullet2"/>
      </w:pPr>
      <w:r w:rsidRPr="0068236B">
        <w:rPr>
          <w:sz w:val="20"/>
          <w:szCs w:val="20"/>
        </w:rPr>
        <w:t>Roads can be permanent in forest areas, if required, where there are no ecological, hydr</w:t>
      </w:r>
      <w:r w:rsidRPr="0068236B">
        <w:rPr>
          <w:sz w:val="20"/>
          <w:szCs w:val="20"/>
        </w:rPr>
        <w:t>o</w:t>
      </w:r>
      <w:r w:rsidRPr="0068236B">
        <w:rPr>
          <w:sz w:val="20"/>
          <w:szCs w:val="20"/>
        </w:rPr>
        <w:t>logical or forestry sensitivities. This will be agreed with a competent authority.</w:t>
      </w:r>
    </w:p>
    <w:p w14:paraId="37AB4AD5" w14:textId="77777777" w:rsidR="00873DED" w:rsidRPr="0068236B" w:rsidRDefault="00873DED" w:rsidP="00E803AB">
      <w:pPr>
        <w:pStyle w:val="Heading4"/>
      </w:pPr>
      <w:bookmarkStart w:id="82" w:name="_Toc93085838"/>
      <w:r w:rsidRPr="0068236B">
        <w:t>Typical Methods for Construction</w:t>
      </w:r>
      <w:bookmarkEnd w:id="82"/>
    </w:p>
    <w:p w14:paraId="4162AB0A" w14:textId="77777777" w:rsidR="00873DED" w:rsidRPr="0068236B" w:rsidRDefault="00873DED" w:rsidP="00873DED">
      <w:pPr>
        <w:ind w:firstLine="720"/>
        <w:rPr>
          <w:sz w:val="20"/>
          <w:u w:val="single"/>
        </w:rPr>
      </w:pPr>
      <w:r w:rsidRPr="0068236B">
        <w:rPr>
          <w:sz w:val="20"/>
          <w:u w:val="single"/>
        </w:rPr>
        <w:t>Construction of 400/110 kV Substation Miletkovo</w:t>
      </w:r>
    </w:p>
    <w:p w14:paraId="01487A6D" w14:textId="26BBBABA" w:rsidR="00873DED" w:rsidRPr="0068236B" w:rsidRDefault="00873DED" w:rsidP="00873DED">
      <w:pPr>
        <w:pStyle w:val="BodyText"/>
        <w:spacing w:before="120" w:after="120"/>
        <w:ind w:left="0"/>
        <w:jc w:val="both"/>
        <w:rPr>
          <w:rFonts w:ascii="Tahoma" w:hAnsi="Tahoma" w:cs="Tahoma"/>
          <w:sz w:val="20"/>
          <w:szCs w:val="20"/>
        </w:rPr>
      </w:pPr>
      <w:r w:rsidRPr="0068236B">
        <w:rPr>
          <w:rFonts w:ascii="Tahoma" w:hAnsi="Tahoma" w:cs="Tahoma"/>
          <w:sz w:val="20"/>
          <w:szCs w:val="20"/>
        </w:rPr>
        <w:t>Construction of a typical 400/110 kV substation is an intensive and complex operation.</w:t>
      </w:r>
      <w:r w:rsidR="00C45F50" w:rsidRPr="0068236B">
        <w:rPr>
          <w:rFonts w:ascii="Tahoma" w:hAnsi="Tahoma" w:cs="Tahoma"/>
          <w:sz w:val="20"/>
          <w:szCs w:val="20"/>
        </w:rPr>
        <w:t xml:space="preserve"> </w:t>
      </w:r>
      <w:r w:rsidR="00C45F50" w:rsidRPr="0068236B">
        <w:rPr>
          <w:rFonts w:ascii="Tahoma" w:hAnsi="Tahoma" w:cs="Tahoma"/>
          <w:color w:val="000000" w:themeColor="text1"/>
          <w:sz w:val="20"/>
          <w:szCs w:val="20"/>
        </w:rPr>
        <w:t>Normally, the co</w:t>
      </w:r>
      <w:r w:rsidR="00C45F50" w:rsidRPr="0068236B">
        <w:rPr>
          <w:rFonts w:ascii="Tahoma" w:hAnsi="Tahoma" w:cs="Tahoma"/>
          <w:color w:val="000000" w:themeColor="text1"/>
          <w:sz w:val="20"/>
          <w:szCs w:val="20"/>
        </w:rPr>
        <w:t>n</w:t>
      </w:r>
      <w:r w:rsidR="00C45F50" w:rsidRPr="0068236B">
        <w:rPr>
          <w:rFonts w:ascii="Tahoma" w:hAnsi="Tahoma" w:cs="Tahoma"/>
          <w:color w:val="000000" w:themeColor="text1"/>
          <w:sz w:val="20"/>
          <w:szCs w:val="20"/>
        </w:rPr>
        <w:t>struction works for a substation of the size of the proposed one last around two years.</w:t>
      </w:r>
      <w:r w:rsidRPr="0068236B">
        <w:rPr>
          <w:rFonts w:ascii="Tahoma" w:hAnsi="Tahoma" w:cs="Tahoma"/>
          <w:sz w:val="20"/>
          <w:szCs w:val="20"/>
        </w:rPr>
        <w:t xml:space="preserve"> It requires the coo</w:t>
      </w:r>
      <w:r w:rsidRPr="0068236B">
        <w:rPr>
          <w:rFonts w:ascii="Tahoma" w:hAnsi="Tahoma" w:cs="Tahoma"/>
          <w:sz w:val="20"/>
          <w:szCs w:val="20"/>
        </w:rPr>
        <w:t>r</w:t>
      </w:r>
      <w:r w:rsidRPr="0068236B">
        <w:rPr>
          <w:rFonts w:ascii="Tahoma" w:hAnsi="Tahoma" w:cs="Tahoma"/>
          <w:sz w:val="20"/>
          <w:szCs w:val="20"/>
        </w:rPr>
        <w:t>dination of numerous different supplies, works and activities, and accordingly the coordination of numerous different suppliers and various contractor teams. The first several months period is usually dedicated to ma</w:t>
      </w:r>
      <w:r w:rsidRPr="0068236B">
        <w:rPr>
          <w:rFonts w:ascii="Tahoma" w:hAnsi="Tahoma" w:cs="Tahoma"/>
          <w:sz w:val="20"/>
          <w:szCs w:val="20"/>
        </w:rPr>
        <w:t>k</w:t>
      </w:r>
      <w:r w:rsidRPr="0068236B">
        <w:rPr>
          <w:rFonts w:ascii="Tahoma" w:hAnsi="Tahoma" w:cs="Tahoma"/>
          <w:sz w:val="20"/>
          <w:szCs w:val="20"/>
        </w:rPr>
        <w:t xml:space="preserve">ing preparations for the construction, necessary administrative procedures and setting up site offices, etc. </w:t>
      </w:r>
      <w:r w:rsidRPr="0068236B">
        <w:rPr>
          <w:rFonts w:ascii="Tahoma" w:hAnsi="Tahoma" w:cs="Tahoma"/>
          <w:sz w:val="20"/>
          <w:szCs w:val="20"/>
        </w:rPr>
        <w:lastRenderedPageBreak/>
        <w:t xml:space="preserve">The following site construction works could be split into two main groups: civil works and electro-mechanical works. </w:t>
      </w:r>
    </w:p>
    <w:p w14:paraId="43AEA0CC" w14:textId="77777777" w:rsidR="00E803AB" w:rsidRPr="0068236B" w:rsidRDefault="00E803AB" w:rsidP="00E803AB">
      <w:pPr>
        <w:pStyle w:val="BodyText"/>
        <w:spacing w:before="120" w:after="120"/>
        <w:ind w:left="0"/>
        <w:rPr>
          <w:rFonts w:ascii="Tahoma" w:hAnsi="Tahoma" w:cs="Tahoma"/>
          <w:sz w:val="20"/>
          <w:szCs w:val="20"/>
        </w:rPr>
      </w:pPr>
      <w:r w:rsidRPr="0068236B">
        <w:rPr>
          <w:rFonts w:ascii="Tahoma" w:hAnsi="Tahoma" w:cs="Tahoma"/>
          <w:sz w:val="20"/>
          <w:szCs w:val="20"/>
        </w:rPr>
        <w:t>Civil construction works will comprise:</w:t>
      </w:r>
    </w:p>
    <w:p w14:paraId="1D5B9D56" w14:textId="77777777" w:rsidR="00E803AB" w:rsidRPr="0068236B" w:rsidRDefault="00E803AB" w:rsidP="00E803AB">
      <w:pPr>
        <w:pStyle w:val="ListBullet"/>
        <w:jc w:val="left"/>
        <w:rPr>
          <w:sz w:val="20"/>
          <w:szCs w:val="20"/>
        </w:rPr>
      </w:pPr>
      <w:r w:rsidRPr="0068236B">
        <w:rPr>
          <w:sz w:val="20"/>
          <w:szCs w:val="20"/>
        </w:rPr>
        <w:t>construction work on the access road</w:t>
      </w:r>
    </w:p>
    <w:p w14:paraId="5EAF9CF2" w14:textId="77777777" w:rsidR="00E803AB" w:rsidRPr="0068236B" w:rsidRDefault="00E803AB" w:rsidP="00E803AB">
      <w:pPr>
        <w:pStyle w:val="ListBullet"/>
        <w:jc w:val="left"/>
        <w:rPr>
          <w:sz w:val="20"/>
          <w:szCs w:val="20"/>
        </w:rPr>
      </w:pPr>
      <w:r w:rsidRPr="0068236B">
        <w:rPr>
          <w:sz w:val="20"/>
          <w:szCs w:val="20"/>
        </w:rPr>
        <w:t>earth works (excavation, grading, levelling and drainage), and</w:t>
      </w:r>
    </w:p>
    <w:p w14:paraId="1224CC4E" w14:textId="77777777" w:rsidR="00E803AB" w:rsidRPr="0068236B" w:rsidRDefault="00E803AB" w:rsidP="00E803AB">
      <w:pPr>
        <w:pStyle w:val="ListBullet"/>
        <w:jc w:val="left"/>
        <w:rPr>
          <w:sz w:val="20"/>
          <w:szCs w:val="20"/>
        </w:rPr>
      </w:pPr>
      <w:r w:rsidRPr="0068236B">
        <w:rPr>
          <w:sz w:val="20"/>
          <w:szCs w:val="20"/>
        </w:rPr>
        <w:t>construction works for foundations, buildings (including all building services such as electrical installations, plumbing, heating, air-conditioning, ventilation), fire protection systems and fen</w:t>
      </w:r>
      <w:r w:rsidRPr="0068236B">
        <w:rPr>
          <w:sz w:val="20"/>
          <w:szCs w:val="20"/>
        </w:rPr>
        <w:t>c</w:t>
      </w:r>
      <w:r w:rsidRPr="0068236B">
        <w:rPr>
          <w:sz w:val="20"/>
          <w:szCs w:val="20"/>
        </w:rPr>
        <w:t>ing.</w:t>
      </w:r>
    </w:p>
    <w:p w14:paraId="28BE7E64" w14:textId="77777777" w:rsidR="00E803AB" w:rsidRPr="0068236B" w:rsidRDefault="00E803AB" w:rsidP="00E803AB">
      <w:pPr>
        <w:pStyle w:val="BodyText"/>
        <w:spacing w:before="120" w:after="120"/>
        <w:ind w:left="0"/>
        <w:rPr>
          <w:rFonts w:ascii="Tahoma" w:hAnsi="Tahoma" w:cs="Tahoma"/>
          <w:sz w:val="20"/>
          <w:szCs w:val="20"/>
        </w:rPr>
      </w:pPr>
      <w:r w:rsidRPr="0068236B">
        <w:rPr>
          <w:rFonts w:ascii="Tahoma" w:hAnsi="Tahoma" w:cs="Tahoma"/>
          <w:sz w:val="20"/>
          <w:szCs w:val="20"/>
        </w:rPr>
        <w:t>Electro-mechanical works will comprise:</w:t>
      </w:r>
    </w:p>
    <w:p w14:paraId="2F0382B1" w14:textId="77777777" w:rsidR="00E803AB" w:rsidRPr="0068236B" w:rsidRDefault="00E803AB" w:rsidP="00E803AB">
      <w:pPr>
        <w:pStyle w:val="ListBullet"/>
        <w:jc w:val="left"/>
        <w:rPr>
          <w:sz w:val="20"/>
          <w:szCs w:val="20"/>
        </w:rPr>
      </w:pPr>
      <w:r w:rsidRPr="0068236B">
        <w:rPr>
          <w:sz w:val="20"/>
          <w:szCs w:val="20"/>
        </w:rPr>
        <w:t>earthing arrangements</w:t>
      </w:r>
    </w:p>
    <w:p w14:paraId="34B99B44" w14:textId="77777777" w:rsidR="00E803AB" w:rsidRPr="0068236B" w:rsidRDefault="00E803AB" w:rsidP="00E803AB">
      <w:pPr>
        <w:pStyle w:val="ListBullet"/>
        <w:jc w:val="left"/>
        <w:rPr>
          <w:sz w:val="20"/>
          <w:szCs w:val="20"/>
        </w:rPr>
      </w:pPr>
      <w:r w:rsidRPr="0068236B">
        <w:rPr>
          <w:sz w:val="20"/>
          <w:szCs w:val="20"/>
        </w:rPr>
        <w:t>mounting, installation, testing and commissioning of the main/primary equipment (busbars, transformers and switchgear)</w:t>
      </w:r>
    </w:p>
    <w:p w14:paraId="4F8646CF" w14:textId="77777777" w:rsidR="00E803AB" w:rsidRPr="0068236B" w:rsidRDefault="00E803AB" w:rsidP="00E803AB">
      <w:pPr>
        <w:pStyle w:val="ListBullet"/>
        <w:jc w:val="left"/>
        <w:rPr>
          <w:sz w:val="20"/>
          <w:szCs w:val="20"/>
        </w:rPr>
      </w:pPr>
      <w:r w:rsidRPr="0068236B">
        <w:rPr>
          <w:sz w:val="20"/>
          <w:szCs w:val="20"/>
        </w:rPr>
        <w:t>mounting, installation, testing and commissioning of the secondary equipment (protection, si</w:t>
      </w:r>
      <w:r w:rsidRPr="0068236B">
        <w:rPr>
          <w:sz w:val="20"/>
          <w:szCs w:val="20"/>
        </w:rPr>
        <w:t>g</w:t>
      </w:r>
      <w:r w:rsidRPr="0068236B">
        <w:rPr>
          <w:sz w:val="20"/>
          <w:szCs w:val="20"/>
        </w:rPr>
        <w:t>nalling, telecommunication systems), and</w:t>
      </w:r>
    </w:p>
    <w:p w14:paraId="6D575B7F" w14:textId="68894C96" w:rsidR="00E803AB" w:rsidRPr="0068236B" w:rsidRDefault="00E803AB" w:rsidP="00E803AB">
      <w:pPr>
        <w:pStyle w:val="ListBullet"/>
        <w:jc w:val="left"/>
        <w:rPr>
          <w:sz w:val="20"/>
          <w:szCs w:val="20"/>
        </w:rPr>
      </w:pPr>
      <w:r w:rsidRPr="0068236B">
        <w:rPr>
          <w:sz w:val="20"/>
          <w:szCs w:val="20"/>
        </w:rPr>
        <w:t xml:space="preserve">mounting, installation, testing and commissioning of the auxiliary equipment (LV AC supply, DC supply, mobile generators, monitoring equipment, </w:t>
      </w:r>
      <w:r w:rsidR="005E6643" w:rsidRPr="0068236B">
        <w:rPr>
          <w:sz w:val="20"/>
          <w:szCs w:val="20"/>
        </w:rPr>
        <w:t>etc.</w:t>
      </w:r>
      <w:r w:rsidRPr="0068236B">
        <w:rPr>
          <w:sz w:val="20"/>
          <w:szCs w:val="20"/>
        </w:rPr>
        <w:t>).</w:t>
      </w:r>
    </w:p>
    <w:p w14:paraId="0C24F2DD" w14:textId="77777777" w:rsidR="00873DED" w:rsidRPr="0068236B" w:rsidRDefault="00873DED" w:rsidP="00873DED">
      <w:pPr>
        <w:rPr>
          <w:rFonts w:cs="Tahoma"/>
          <w:sz w:val="20"/>
          <w:szCs w:val="20"/>
        </w:rPr>
      </w:pPr>
      <w:r w:rsidRPr="0068236B">
        <w:rPr>
          <w:rFonts w:cs="Tahoma"/>
          <w:sz w:val="20"/>
          <w:szCs w:val="20"/>
        </w:rPr>
        <w:t>The sequence of works for the new 400/110 kV substation is briefly described below.</w:t>
      </w:r>
    </w:p>
    <w:p w14:paraId="0085C12A" w14:textId="77777777" w:rsidR="00873DED" w:rsidRPr="0068236B" w:rsidRDefault="00873DED" w:rsidP="00873DED">
      <w:pPr>
        <w:rPr>
          <w:rFonts w:cs="Tahoma"/>
          <w:sz w:val="20"/>
          <w:szCs w:val="20"/>
        </w:rPr>
      </w:pPr>
      <w:r w:rsidRPr="0068236B">
        <w:rPr>
          <w:rFonts w:cs="Tahoma"/>
          <w:sz w:val="20"/>
          <w:szCs w:val="20"/>
        </w:rPr>
        <w:t>The necessary excavation and removal of surplus soil at the substation location will ensure that the ground is appropriately levelled and that surface soil layer is removed, in order to install the earthing system for the entire substation and to install the drainage system. The next phase is the fencing and concrete works for the foundations of buildings, equipment portal foundations and transformer gantries. At this point, the su</w:t>
      </w:r>
      <w:r w:rsidRPr="0068236B">
        <w:rPr>
          <w:rFonts w:cs="Tahoma"/>
          <w:sz w:val="20"/>
          <w:szCs w:val="20"/>
        </w:rPr>
        <w:t>p</w:t>
      </w:r>
      <w:r w:rsidRPr="0068236B">
        <w:rPr>
          <w:rFonts w:cs="Tahoma"/>
          <w:sz w:val="20"/>
          <w:szCs w:val="20"/>
        </w:rPr>
        <w:t>ply of the equipment (primary equipment, secondary equipment, busbars, etc.) and outdoor electro-mechanical works would commence, while the civil works continue with the construction of buildings and the associated installation works inside those buildings. The indoor electrical equipment is supplied in the final stage, followed by installation, testing and final commissioning of all electro-mechanical equipment (inclu</w:t>
      </w:r>
      <w:r w:rsidRPr="0068236B">
        <w:rPr>
          <w:rFonts w:cs="Tahoma"/>
          <w:sz w:val="20"/>
          <w:szCs w:val="20"/>
        </w:rPr>
        <w:t>d</w:t>
      </w:r>
      <w:r w:rsidRPr="0068236B">
        <w:rPr>
          <w:rFonts w:cs="Tahoma"/>
          <w:sz w:val="20"/>
          <w:szCs w:val="20"/>
        </w:rPr>
        <w:t>ing control and protection systems, telecommunication facilities, auxiliary supplies, etc.).</w:t>
      </w:r>
    </w:p>
    <w:p w14:paraId="26500732" w14:textId="77777777" w:rsidR="00873DED" w:rsidRPr="0068236B" w:rsidRDefault="00873DED" w:rsidP="00873DED">
      <w:pPr>
        <w:rPr>
          <w:rFonts w:cs="Tahoma"/>
          <w:sz w:val="20"/>
          <w:szCs w:val="20"/>
        </w:rPr>
      </w:pPr>
      <w:r w:rsidRPr="0068236B">
        <w:rPr>
          <w:rFonts w:cs="Tahoma"/>
          <w:sz w:val="20"/>
          <w:szCs w:val="20"/>
        </w:rPr>
        <w:t>Typically, the construction workforce is approximately distributed as 55% for civil workers and 45% for ele</w:t>
      </w:r>
      <w:r w:rsidRPr="0068236B">
        <w:rPr>
          <w:rFonts w:cs="Tahoma"/>
          <w:sz w:val="20"/>
          <w:szCs w:val="20"/>
        </w:rPr>
        <w:t>c</w:t>
      </w:r>
      <w:r w:rsidRPr="0068236B">
        <w:rPr>
          <w:rFonts w:cs="Tahoma"/>
          <w:sz w:val="20"/>
          <w:szCs w:val="20"/>
        </w:rPr>
        <w:t>tro-mechanical workers. The average total number of workers on site (for all profiles of the work force, i.e. engineers, craftsmen and workers) is 45, out of which 25 workers are for civil works and 20 workers are for electro-mechanical works. The maximum number of workers present on site simultaneously occurs during the first half of the second construction year, when a total of 70 workers will be present. The minimum number of workers present on site simultaneously occurs during the second half of the second construction year, when 15 workers will be present.</w:t>
      </w:r>
    </w:p>
    <w:p w14:paraId="6730D46B" w14:textId="77777777" w:rsidR="00873DED" w:rsidRPr="0068236B" w:rsidRDefault="00873DED" w:rsidP="00873DED">
      <w:pPr>
        <w:rPr>
          <w:rFonts w:cs="Tahoma"/>
          <w:sz w:val="20"/>
          <w:szCs w:val="20"/>
        </w:rPr>
      </w:pPr>
      <w:r w:rsidRPr="0068236B">
        <w:rPr>
          <w:rFonts w:cs="Tahoma"/>
          <w:sz w:val="20"/>
          <w:szCs w:val="20"/>
        </w:rPr>
        <w:t>The heavy machinery which will be used for construction on site will consist of bulldozers, excavators, gra</w:t>
      </w:r>
      <w:r w:rsidRPr="0068236B">
        <w:rPr>
          <w:rFonts w:cs="Tahoma"/>
          <w:sz w:val="20"/>
          <w:szCs w:val="20"/>
        </w:rPr>
        <w:t>d</w:t>
      </w:r>
      <w:r w:rsidRPr="0068236B">
        <w:rPr>
          <w:rFonts w:cs="Tahoma"/>
          <w:sz w:val="20"/>
          <w:szCs w:val="20"/>
        </w:rPr>
        <w:t>ers, cranes, road rollers, etc. This machinery will remain on the construction site during the whole constru</w:t>
      </w:r>
      <w:r w:rsidRPr="0068236B">
        <w:rPr>
          <w:rFonts w:cs="Tahoma"/>
          <w:sz w:val="20"/>
          <w:szCs w:val="20"/>
        </w:rPr>
        <w:t>c</w:t>
      </w:r>
      <w:r w:rsidRPr="0068236B">
        <w:rPr>
          <w:rFonts w:cs="Tahoma"/>
          <w:sz w:val="20"/>
          <w:szCs w:val="20"/>
        </w:rPr>
        <w:t>tion period.</w:t>
      </w:r>
    </w:p>
    <w:p w14:paraId="575207B7" w14:textId="32F26069" w:rsidR="00873DED" w:rsidRPr="0068236B" w:rsidRDefault="00873DED" w:rsidP="00873DED">
      <w:pPr>
        <w:rPr>
          <w:rFonts w:cs="Tahoma"/>
          <w:szCs w:val="20"/>
        </w:rPr>
      </w:pPr>
      <w:r w:rsidRPr="0068236B">
        <w:rPr>
          <w:rFonts w:cs="Tahoma"/>
          <w:sz w:val="20"/>
          <w:szCs w:val="20"/>
        </w:rPr>
        <w:t>For transportation purposes, mainly normal (standard) trucks will be used, and only in exceptional case trai</w:t>
      </w:r>
      <w:r w:rsidRPr="0068236B">
        <w:rPr>
          <w:rFonts w:cs="Tahoma"/>
          <w:sz w:val="20"/>
          <w:szCs w:val="20"/>
        </w:rPr>
        <w:t>l</w:t>
      </w:r>
      <w:r w:rsidRPr="0068236B">
        <w:rPr>
          <w:rFonts w:cs="Tahoma"/>
          <w:sz w:val="20"/>
          <w:szCs w:val="20"/>
        </w:rPr>
        <w:t>er trucks will be employed –</w:t>
      </w:r>
      <w:r w:rsidR="00E803AB" w:rsidRPr="0068236B">
        <w:rPr>
          <w:rFonts w:cs="Tahoma"/>
          <w:sz w:val="20"/>
          <w:szCs w:val="20"/>
        </w:rPr>
        <w:t xml:space="preserve"> </w:t>
      </w:r>
      <w:r w:rsidRPr="0068236B">
        <w:rPr>
          <w:rFonts w:cs="Tahoma"/>
          <w:sz w:val="20"/>
          <w:szCs w:val="20"/>
        </w:rPr>
        <w:t>truck loads for the 400/110 kV transformers.</w:t>
      </w:r>
    </w:p>
    <w:p w14:paraId="00FEDCDD" w14:textId="77777777" w:rsidR="00873DED" w:rsidRPr="0068236B" w:rsidRDefault="00873DED" w:rsidP="000E3D00">
      <w:pPr>
        <w:spacing w:after="240"/>
        <w:rPr>
          <w:rFonts w:cs="Tahoma"/>
          <w:sz w:val="18"/>
          <w:szCs w:val="20"/>
        </w:rPr>
      </w:pPr>
      <w:bookmarkStart w:id="83" w:name="_Toc112928862"/>
      <w:r w:rsidRPr="0068236B">
        <w:rPr>
          <w:rFonts w:cs="Arial"/>
          <w:iCs/>
          <w:sz w:val="18"/>
          <w:szCs w:val="20"/>
        </w:rPr>
        <w:lastRenderedPageBreak/>
        <w:t xml:space="preserve">Figure </w:t>
      </w:r>
      <w:r w:rsidRPr="0068236B">
        <w:rPr>
          <w:rFonts w:cs="Arial"/>
          <w:iCs/>
          <w:sz w:val="18"/>
          <w:szCs w:val="20"/>
        </w:rPr>
        <w:fldChar w:fldCharType="begin"/>
      </w:r>
      <w:r w:rsidRPr="0068236B">
        <w:rPr>
          <w:rFonts w:cs="Arial"/>
          <w:iCs/>
          <w:sz w:val="18"/>
          <w:szCs w:val="20"/>
        </w:rPr>
        <w:instrText xml:space="preserve"> STYLEREF 1 \s </w:instrText>
      </w:r>
      <w:r w:rsidRPr="0068236B">
        <w:rPr>
          <w:rFonts w:cs="Arial"/>
          <w:iCs/>
          <w:sz w:val="18"/>
          <w:szCs w:val="20"/>
        </w:rPr>
        <w:fldChar w:fldCharType="separate"/>
      </w:r>
      <w:r w:rsidR="00E502D0" w:rsidRPr="0068236B">
        <w:rPr>
          <w:rFonts w:cs="Arial"/>
          <w:iCs/>
          <w:noProof/>
          <w:sz w:val="18"/>
          <w:szCs w:val="20"/>
        </w:rPr>
        <w:t>2</w:t>
      </w:r>
      <w:r w:rsidRPr="0068236B">
        <w:rPr>
          <w:rFonts w:cs="Arial"/>
          <w:iCs/>
          <w:sz w:val="18"/>
          <w:szCs w:val="20"/>
        </w:rPr>
        <w:fldChar w:fldCharType="end"/>
      </w:r>
      <w:r w:rsidRPr="0068236B">
        <w:rPr>
          <w:rFonts w:cs="Arial"/>
          <w:iCs/>
          <w:sz w:val="18"/>
          <w:szCs w:val="20"/>
        </w:rPr>
        <w:t>.</w:t>
      </w:r>
      <w:r w:rsidRPr="0068236B">
        <w:rPr>
          <w:rFonts w:cs="Arial"/>
          <w:iCs/>
          <w:sz w:val="18"/>
          <w:szCs w:val="20"/>
        </w:rPr>
        <w:fldChar w:fldCharType="begin"/>
      </w:r>
      <w:r w:rsidRPr="0068236B">
        <w:rPr>
          <w:rFonts w:cs="Arial"/>
          <w:iCs/>
          <w:sz w:val="18"/>
          <w:szCs w:val="20"/>
        </w:rPr>
        <w:instrText xml:space="preserve"> SEQ Figure \* ARABIC \s 1 </w:instrText>
      </w:r>
      <w:r w:rsidRPr="0068236B">
        <w:rPr>
          <w:rFonts w:cs="Arial"/>
          <w:iCs/>
          <w:sz w:val="18"/>
          <w:szCs w:val="20"/>
        </w:rPr>
        <w:fldChar w:fldCharType="separate"/>
      </w:r>
      <w:r w:rsidR="00E502D0" w:rsidRPr="0068236B">
        <w:rPr>
          <w:rFonts w:cs="Arial"/>
          <w:iCs/>
          <w:noProof/>
          <w:sz w:val="18"/>
          <w:szCs w:val="20"/>
        </w:rPr>
        <w:t>11</w:t>
      </w:r>
      <w:r w:rsidRPr="0068236B">
        <w:rPr>
          <w:rFonts w:cs="Arial"/>
          <w:iCs/>
          <w:sz w:val="18"/>
          <w:szCs w:val="20"/>
        </w:rPr>
        <w:fldChar w:fldCharType="end"/>
      </w:r>
      <w:r w:rsidRPr="0068236B">
        <w:rPr>
          <w:sz w:val="18"/>
          <w:szCs w:val="20"/>
        </w:rPr>
        <w:t>:</w:t>
      </w:r>
      <w:r w:rsidRPr="0068236B">
        <w:rPr>
          <w:noProof/>
          <w:sz w:val="18"/>
          <w:szCs w:val="20"/>
          <w:lang w:val="mk-MK" w:eastAsia="mk-MK"/>
        </w:rPr>
        <mc:AlternateContent>
          <mc:Choice Requires="wpg">
            <w:drawing>
              <wp:anchor distT="0" distB="0" distL="114300" distR="114300" simplePos="0" relativeHeight="251691017" behindDoc="0" locked="0" layoutInCell="1" allowOverlap="1" wp14:anchorId="12E247E5" wp14:editId="0DECC58E">
                <wp:simplePos x="0" y="0"/>
                <wp:positionH relativeFrom="column">
                  <wp:posOffset>-111760</wp:posOffset>
                </wp:positionH>
                <wp:positionV relativeFrom="paragraph">
                  <wp:posOffset>92075</wp:posOffset>
                </wp:positionV>
                <wp:extent cx="6093460" cy="6972935"/>
                <wp:effectExtent l="0" t="0" r="2540" b="0"/>
                <wp:wrapTopAndBottom/>
                <wp:docPr id="2089" name="Group 20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3460" cy="6972935"/>
                          <a:chOff x="1650" y="2846"/>
                          <a:chExt cx="9596" cy="10981"/>
                        </a:xfrm>
                      </wpg:grpSpPr>
                      <pic:pic xmlns:pic="http://schemas.openxmlformats.org/drawingml/2006/picture">
                        <pic:nvPicPr>
                          <pic:cNvPr id="2090" name="Picture 98"/>
                          <pic:cNvPicPr>
                            <a:picLocks noChangeAspect="1" noChangeArrowheads="1"/>
                          </pic:cNvPicPr>
                        </pic:nvPicPr>
                        <pic:blipFill>
                          <a:blip r:embed="rId51" cstate="email">
                            <a:extLst>
                              <a:ext uri="{28A0092B-C50C-407E-A947-70E740481C1C}">
                                <a14:useLocalDpi xmlns:a14="http://schemas.microsoft.com/office/drawing/2010/main" val="0"/>
                              </a:ext>
                            </a:extLst>
                          </a:blip>
                          <a:srcRect/>
                          <a:stretch>
                            <a:fillRect/>
                          </a:stretch>
                        </pic:blipFill>
                        <pic:spPr bwMode="auto">
                          <a:xfrm>
                            <a:off x="1890" y="2921"/>
                            <a:ext cx="4378" cy="3369"/>
                          </a:xfrm>
                          <a:prstGeom prst="rect">
                            <a:avLst/>
                          </a:prstGeom>
                          <a:noFill/>
                        </pic:spPr>
                      </pic:pic>
                      <pic:pic xmlns:pic="http://schemas.openxmlformats.org/drawingml/2006/picture">
                        <pic:nvPicPr>
                          <pic:cNvPr id="2091" name="Picture 99"/>
                          <pic:cNvPicPr>
                            <a:picLocks noChangeAspect="1" noChangeArrowheads="1"/>
                          </pic:cNvPicPr>
                        </pic:nvPicPr>
                        <pic:blipFill>
                          <a:blip r:embed="rId52" cstate="email">
                            <a:extLst>
                              <a:ext uri="{28A0092B-C50C-407E-A947-70E740481C1C}">
                                <a14:useLocalDpi xmlns:a14="http://schemas.microsoft.com/office/drawing/2010/main" val="0"/>
                              </a:ext>
                            </a:extLst>
                          </a:blip>
                          <a:srcRect/>
                          <a:stretch>
                            <a:fillRect/>
                          </a:stretch>
                        </pic:blipFill>
                        <pic:spPr bwMode="auto">
                          <a:xfrm>
                            <a:off x="6738" y="2846"/>
                            <a:ext cx="3504" cy="3927"/>
                          </a:xfrm>
                          <a:prstGeom prst="rect">
                            <a:avLst/>
                          </a:prstGeom>
                          <a:noFill/>
                        </pic:spPr>
                      </pic:pic>
                      <wpg:grpSp>
                        <wpg:cNvPr id="2092" name="Group 100"/>
                        <wpg:cNvGrpSpPr>
                          <a:grpSpLocks/>
                        </wpg:cNvGrpSpPr>
                        <wpg:grpSpPr bwMode="auto">
                          <a:xfrm>
                            <a:off x="1650" y="6751"/>
                            <a:ext cx="9596" cy="7076"/>
                            <a:chOff x="1650" y="6751"/>
                            <a:chExt cx="9596" cy="7076"/>
                          </a:xfrm>
                        </wpg:grpSpPr>
                        <pic:pic xmlns:pic="http://schemas.openxmlformats.org/drawingml/2006/picture">
                          <pic:nvPicPr>
                            <pic:cNvPr id="2093" name="Picture 101"/>
                            <pic:cNvPicPr>
                              <a:picLocks noChangeAspect="1" noChangeArrowheads="1"/>
                            </pic:cNvPicPr>
                          </pic:nvPicPr>
                          <pic:blipFill>
                            <a:blip r:embed="rId53" cstate="email">
                              <a:extLst>
                                <a:ext uri="{28A0092B-C50C-407E-A947-70E740481C1C}">
                                  <a14:useLocalDpi xmlns:a14="http://schemas.microsoft.com/office/drawing/2010/main" val="0"/>
                                </a:ext>
                              </a:extLst>
                            </a:blip>
                            <a:srcRect/>
                            <a:stretch>
                              <a:fillRect/>
                            </a:stretch>
                          </pic:blipFill>
                          <pic:spPr bwMode="auto">
                            <a:xfrm>
                              <a:off x="1650" y="6751"/>
                              <a:ext cx="4732" cy="3418"/>
                            </a:xfrm>
                            <a:prstGeom prst="rect">
                              <a:avLst/>
                            </a:prstGeom>
                            <a:noFill/>
                          </pic:spPr>
                        </pic:pic>
                        <pic:pic xmlns:pic="http://schemas.openxmlformats.org/drawingml/2006/picture">
                          <pic:nvPicPr>
                            <pic:cNvPr id="2094" name="Picture 102"/>
                            <pic:cNvPicPr>
                              <a:picLocks noChangeAspect="1" noChangeArrowheads="1"/>
                            </pic:cNvPicPr>
                          </pic:nvPicPr>
                          <pic:blipFill>
                            <a:blip r:embed="rId54" cstate="email">
                              <a:extLst>
                                <a:ext uri="{28A0092B-C50C-407E-A947-70E740481C1C}">
                                  <a14:useLocalDpi xmlns:a14="http://schemas.microsoft.com/office/drawing/2010/main" val="0"/>
                                </a:ext>
                              </a:extLst>
                            </a:blip>
                            <a:srcRect/>
                            <a:stretch>
                              <a:fillRect/>
                            </a:stretch>
                          </pic:blipFill>
                          <pic:spPr bwMode="auto">
                            <a:xfrm>
                              <a:off x="6579" y="6886"/>
                              <a:ext cx="4301" cy="3447"/>
                            </a:xfrm>
                            <a:prstGeom prst="rect">
                              <a:avLst/>
                            </a:prstGeom>
                            <a:noFill/>
                          </pic:spPr>
                        </pic:pic>
                        <pic:pic xmlns:pic="http://schemas.openxmlformats.org/drawingml/2006/picture">
                          <pic:nvPicPr>
                            <pic:cNvPr id="2095" name="Picture 103"/>
                            <pic:cNvPicPr>
                              <a:picLocks noChangeAspect="1" noChangeArrowheads="1"/>
                            </pic:cNvPicPr>
                          </pic:nvPicPr>
                          <pic:blipFill>
                            <a:blip r:embed="rId55" cstate="email">
                              <a:extLst>
                                <a:ext uri="{28A0092B-C50C-407E-A947-70E740481C1C}">
                                  <a14:useLocalDpi xmlns:a14="http://schemas.microsoft.com/office/drawing/2010/main" val="0"/>
                                </a:ext>
                              </a:extLst>
                            </a:blip>
                            <a:srcRect/>
                            <a:stretch>
                              <a:fillRect/>
                            </a:stretch>
                          </pic:blipFill>
                          <pic:spPr bwMode="auto">
                            <a:xfrm>
                              <a:off x="1666" y="10455"/>
                              <a:ext cx="4868" cy="3372"/>
                            </a:xfrm>
                            <a:prstGeom prst="rect">
                              <a:avLst/>
                            </a:prstGeom>
                            <a:noFill/>
                          </pic:spPr>
                        </pic:pic>
                        <pic:pic xmlns:pic="http://schemas.openxmlformats.org/drawingml/2006/picture">
                          <pic:nvPicPr>
                            <pic:cNvPr id="2096" name="Picture 104"/>
                            <pic:cNvPicPr>
                              <a:picLocks noChangeAspect="1" noChangeArrowheads="1"/>
                            </pic:cNvPicPr>
                          </pic:nvPicPr>
                          <pic:blipFill>
                            <a:blip r:embed="rId56" cstate="email">
                              <a:extLst>
                                <a:ext uri="{28A0092B-C50C-407E-A947-70E740481C1C}">
                                  <a14:useLocalDpi xmlns:a14="http://schemas.microsoft.com/office/drawing/2010/main" val="0"/>
                                </a:ext>
                              </a:extLst>
                            </a:blip>
                            <a:srcRect/>
                            <a:stretch>
                              <a:fillRect/>
                            </a:stretch>
                          </pic:blipFill>
                          <pic:spPr bwMode="auto">
                            <a:xfrm>
                              <a:off x="6753" y="10913"/>
                              <a:ext cx="4493" cy="2803"/>
                            </a:xfrm>
                            <a:prstGeom prst="rect">
                              <a:avLst/>
                            </a:prstGeom>
                            <a:noFill/>
                          </pic:spPr>
                        </pic:pic>
                      </wpg:grpSp>
                    </wpg:wgp>
                  </a:graphicData>
                </a:graphic>
                <wp14:sizeRelH relativeFrom="page">
                  <wp14:pctWidth>0</wp14:pctWidth>
                </wp14:sizeRelH>
                <wp14:sizeRelV relativeFrom="page">
                  <wp14:pctHeight>0</wp14:pctHeight>
                </wp14:sizeRelV>
              </wp:anchor>
            </w:drawing>
          </mc:Choice>
          <mc:Fallback>
            <w:pict>
              <v:group id="Group 2089" o:spid="_x0000_s1026" style="position:absolute;margin-left:-8.8pt;margin-top:7.25pt;width:479.8pt;height:549.05pt;z-index:251691017" coordorigin="1650,2846" coordsize="9596,10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">
                <v:shape id="Picture 98" o:spid="_x0000_s1027" type="#_x0000_t75" style="position:absolute;left:1890;top:2921;width:4378;height:33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SJVi+AAAA3QAAAA8AAABkcnMvZG93bnJldi54bWxET8uKwjAU3Qv+Q7jC7DSxMKLVKCIqs7U+&#10;cHlprm2xuSlN1Pr3k4Xg8nDei1Vna/Gk1leONYxHCgRx7kzFhYbTcTecgvAB2WDtmDS8ycNq2e8t&#10;MDXuxQd6ZqEQMYR9ihrKEJpUSp+XZNGPXEMcuZtrLYYI20KaFl8x3NYyUWoiLVYcG0psaFNSfs8e&#10;VsP5Qmqfv8dZdfOKEuVmv9ur0fpn0K3nIAJ14Sv+uP+MhkTN4v74Jj4BufwH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JvSJVi+AAAA3QAAAA8AAAAAAAAAAAAAAAAAnwIAAGRy&#10;cy9kb3ducmV2LnhtbFBLBQYAAAAABAAEAPcAAACKAwAAAAA=&#10;">
                  <v:imagedata r:id="rId57" o:title=""/>
                </v:shape>
                <v:shape id="Picture 99" o:spid="_x0000_s1028" type="#_x0000_t75" style="position:absolute;left:6738;top:2846;width:3504;height:39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hQmvFAAAA3QAAAA8AAABkcnMvZG93bnJldi54bWxEj82KwkAQhO+C7zC0sDedJAd1o6OIqLvi&#10;Hvx7gCbTJsFMT8iMmt2n3xEEj0XVV0VN562pxJ0aV1pWEA8iEMSZ1SXnCs6ndX8MwnlkjZVlUvBL&#10;DuazbmeKqbYPPtD96HMRStilqKDwvk6ldFlBBt3A1sTBu9jGoA+yyaVu8BHKTSWTKBpKgyWHhQJr&#10;WhaUXY83oyBJVn8635vN7msbn35GerHKRnulPnrtYgLCU+vf4Rf9rQMXfcbwfBOegJz9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8IUJrxQAAAN0AAAAPAAAAAAAAAAAAAAAA&#10;AJ8CAABkcnMvZG93bnJldi54bWxQSwUGAAAAAAQABAD3AAAAkQMAAAAA&#10;">
                  <v:imagedata r:id="rId58" o:title=""/>
                </v:shape>
                <v:group id="Group 100" o:spid="_x0000_s1029" style="position:absolute;left:1650;top:6751;width:9596;height:7076" coordorigin="1650,6751" coordsize="9596,70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S6GcYAAADdAAAADwAAAGRycy9kb3ducmV2LnhtbESPT2vCQBTE7wW/w/IE&#10;b3WTSItGVxFR6UEK/gHx9sg+k2D2bciuSfz23UKhx2FmfsMsVr2pREuNKy0riMcRCOLM6pJzBZfz&#10;7n0KwnlkjZVlUvAiB6vl4G2BqbYdH6k9+VwECLsUFRTe16mULivIoBvbmjh4d9sY9EE2udQNdgFu&#10;KplE0ac0WHJYKLCmTUHZ4/Q0CvYddutJvG0Pj/vmdTt/fF8PMSk1GvbrOQhPvf8P/7W/tIIkmi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ZLoZxgAAAN0A&#10;AAAPAAAAAAAAAAAAAAAAAKoCAABkcnMvZG93bnJldi54bWxQSwUGAAAAAAQABAD6AAAAnQMAAAAA&#10;">
                  <v:shape id="Picture 101" o:spid="_x0000_s1030" type="#_x0000_t75" style="position:absolute;left:1650;top:6751;width:4732;height:34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dQy3HAAAA3QAAAA8AAABkcnMvZG93bnJldi54bWxEj0FrwkAUhO8F/8PyBG91Y4qlRtdQSouC&#10;VNBKwdsj+0yi2bdpdtX137uFQo/DzHzDzPJgGnGhztWWFYyGCQjiwuqaSwW7r4/HFxDOI2tsLJOC&#10;GznI572HGWbaXnlDl60vRYSwy1BB5X2bSemKigy6oW2Jo3ewnUEfZVdK3eE1wk0j0yR5lgZrjgsV&#10;tvRWUXHano2C5v22mYyP3+MgF6ufnaw/w3rvlRr0w+sUhKfg/8N/7aVWkCaTJ/h9E5+AnN8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adQy3HAAAA3QAAAA8AAAAAAAAAAAAA&#10;AAAAnwIAAGRycy9kb3ducmV2LnhtbFBLBQYAAAAABAAEAPcAAACTAwAAAAA=&#10;">
                    <v:imagedata r:id="rId59" o:title=""/>
                  </v:shape>
                  <v:shape id="Picture 102" o:spid="_x0000_s1031" type="#_x0000_t75" style="position:absolute;left:6579;top:6886;width:4301;height:34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G5YvIAAAA3QAAAA8AAABkcnMvZG93bnJldi54bWxEj09rwkAUxO+FfoflFbzVjVr8k7qKCKLV&#10;g1RDsLdH9pkEs29Ddquxn74rFHocZuY3zHTemkpcqXGlZQW9bgSCOLO65FxBcly9jkE4j6yxskwK&#10;7uRgPnt+mmKs7Y0/6XrwuQgQdjEqKLyvYyldVpBB17U1cfDOtjHog2xyqRu8BbipZD+KhtJgyWGh&#10;wJqWBWWXw7dRMNjZ8ddqNEk/0qHZ/uy3p3ydbJTqvLSLdxCeWv8f/mtvtIJ+NHmDx5vwBOTsF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rBuWLyAAAAN0AAAAPAAAAAAAAAAAA&#10;AAAAAJ8CAABkcnMvZG93bnJldi54bWxQSwUGAAAAAAQABAD3AAAAlAMAAAAA&#10;">
                    <v:imagedata r:id="rId60" o:title=""/>
                  </v:shape>
                  <v:shape id="Picture 103" o:spid="_x0000_s1032" type="#_x0000_t75" style="position:absolute;left:1666;top:10455;width:4868;height:33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wBrzHAAAA3QAAAA8AAABkcnMvZG93bnJldi54bWxEj1trAjEUhN8L/Q/hFPpWswoWuxpFFlql&#10;L6W2Xh4Pm7MXTE6WJLrbf98UhD4OM/MNs1gN1ogr+dA6VjAeZSCIS6dbrhV8f70+zUCEiKzROCYF&#10;PxRgtby/W2CuXc+fdN3FWiQIhxwVNDF2uZShbMhiGLmOOHmV8xZjkr6W2mOf4NbISZY9S4stp4UG&#10;OyoaKs+7i1VQvb8dLt58dOvqtDnte1kczbZQ6vFhWM9BRBrif/jW3moFk+xlCn9v0hOQy1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wwBrzHAAAA3QAAAA8AAAAAAAAAAAAA&#10;AAAAnwIAAGRycy9kb3ducmV2LnhtbFBLBQYAAAAABAAEAPcAAACTAwAAAAA=&#10;">
                    <v:imagedata r:id="rId61" o:title=""/>
                  </v:shape>
                  <v:shape id="Picture 104" o:spid="_x0000_s1033" type="#_x0000_t75" style="position:absolute;left:6753;top:10913;width:4493;height:28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u8wbHAAAA3QAAAA8AAABkcnMvZG93bnJldi54bWxEj0FrwkAUhO+F/oflFbw1mwpqTV2lLSgF&#10;D9LUg8dn9pkNzb6N2dWk/npXEHocZuYbZrbobS3O1PrKsYKXJAVBXDhdcalg+7N8fgXhA7LG2jEp&#10;+CMPi/njwwwz7Tr+pnMeShEh7DNUYEJoMil9YciiT1xDHL2Day2GKNtS6ha7CLe1HKbpWFqsOC4Y&#10;bOjTUPGbn6yCVXfc9JPDZV19nHbG1vl+dPRrpQZP/fsbiEB9+A/f219awTCdjuH2Jj4BOb8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Yu8wbHAAAA3QAAAA8AAAAAAAAAAAAA&#10;AAAAnwIAAGRycy9kb3ducmV2LnhtbFBLBQYAAAAABAAEAPcAAACTAwAAAAA=&#10;">
                    <v:imagedata r:id="rId62" o:title=""/>
                  </v:shape>
                </v:group>
                <w10:wrap type="topAndBottom"/>
              </v:group>
            </w:pict>
          </mc:Fallback>
        </mc:AlternateContent>
      </w:r>
      <w:bookmarkStart w:id="84" w:name="_Toc80181293"/>
      <w:r w:rsidRPr="0068236B">
        <w:rPr>
          <w:rFonts w:cs="Tahoma"/>
          <w:sz w:val="18"/>
          <w:szCs w:val="20"/>
        </w:rPr>
        <w:t xml:space="preserve"> Typical construction of a 400/110 kV substation infrastructure</w:t>
      </w:r>
      <w:bookmarkEnd w:id="83"/>
      <w:bookmarkEnd w:id="84"/>
    </w:p>
    <w:p w14:paraId="5AFA236B" w14:textId="77777777" w:rsidR="00873DED" w:rsidRPr="0068236B" w:rsidRDefault="00873DED" w:rsidP="00873DED">
      <w:pPr>
        <w:ind w:firstLine="720"/>
        <w:rPr>
          <w:sz w:val="20"/>
          <w:szCs w:val="20"/>
          <w:u w:val="single"/>
        </w:rPr>
      </w:pPr>
      <w:r w:rsidRPr="0068236B">
        <w:rPr>
          <w:sz w:val="20"/>
          <w:szCs w:val="20"/>
          <w:u w:val="single"/>
        </w:rPr>
        <w:t>Dismantling and Removal Works of the Existing 110 kV Transmission Line</w:t>
      </w:r>
    </w:p>
    <w:p w14:paraId="492DACE4" w14:textId="77777777" w:rsidR="00873DED" w:rsidRPr="0068236B" w:rsidRDefault="00873DED" w:rsidP="00873DED">
      <w:pPr>
        <w:rPr>
          <w:rFonts w:cs="Tahoma"/>
          <w:sz w:val="20"/>
          <w:szCs w:val="20"/>
        </w:rPr>
      </w:pPr>
      <w:r w:rsidRPr="0068236B">
        <w:rPr>
          <w:rFonts w:cs="Tahoma"/>
          <w:sz w:val="20"/>
          <w:szCs w:val="20"/>
        </w:rPr>
        <w:t xml:space="preserve">The Project includes partial dismantling of the existing 110 kV line from SS Valandovo to ‘EVP’ SS Miletkovo, which is considered as a part of the construction phase of the Project, with an aim </w:t>
      </w:r>
      <w:r w:rsidRPr="0068236B">
        <w:rPr>
          <w:sz w:val="20"/>
          <w:szCs w:val="20"/>
        </w:rPr>
        <w:t>to increase its transfer capacity by replacing the conductors and associate elements (i.e. insulator strings). In addition, the existing earth wire will be removed and replaced with a new one.</w:t>
      </w:r>
    </w:p>
    <w:p w14:paraId="784E8BAE" w14:textId="77777777" w:rsidR="00873DED" w:rsidRPr="0068236B" w:rsidRDefault="00873DED" w:rsidP="00873DED">
      <w:pPr>
        <w:rPr>
          <w:rFonts w:cs="Tahoma"/>
          <w:sz w:val="20"/>
          <w:szCs w:val="20"/>
        </w:rPr>
      </w:pPr>
      <w:r w:rsidRPr="0068236B">
        <w:rPr>
          <w:rFonts w:cs="Tahoma"/>
          <w:sz w:val="20"/>
          <w:szCs w:val="20"/>
        </w:rPr>
        <w:t>Therefore, demolition works will include dismantling works for the obsolete phase conductors, insulator strings and earth wire, and their transport out of the Project area. Potential re-use of these elements will be considered by MEPSO. Another option includes the possibility that these components are offered as recycl</w:t>
      </w:r>
      <w:r w:rsidRPr="0068236B">
        <w:rPr>
          <w:rFonts w:cs="Tahoma"/>
          <w:sz w:val="20"/>
          <w:szCs w:val="20"/>
        </w:rPr>
        <w:t>a</w:t>
      </w:r>
      <w:r w:rsidRPr="0068236B">
        <w:rPr>
          <w:rFonts w:cs="Tahoma"/>
          <w:sz w:val="20"/>
          <w:szCs w:val="20"/>
        </w:rPr>
        <w:t xml:space="preserve">ble waste to authorized waste management companies. </w:t>
      </w:r>
    </w:p>
    <w:p w14:paraId="78517EC7" w14:textId="5CFFAA52" w:rsidR="00873DED" w:rsidRPr="0068236B" w:rsidRDefault="00873DED" w:rsidP="00873DED">
      <w:pPr>
        <w:rPr>
          <w:rFonts w:cs="Tahoma"/>
          <w:sz w:val="20"/>
          <w:szCs w:val="20"/>
        </w:rPr>
      </w:pPr>
      <w:r w:rsidRPr="0068236B">
        <w:rPr>
          <w:rFonts w:cs="Tahoma"/>
          <w:sz w:val="20"/>
          <w:szCs w:val="20"/>
        </w:rPr>
        <w:lastRenderedPageBreak/>
        <w:t>The existing OHL towers will remain operational and no dismantling works in this respect are foreseen.</w:t>
      </w:r>
      <w:r w:rsidR="000E3D00" w:rsidRPr="0068236B">
        <w:rPr>
          <w:rFonts w:cs="Tahoma"/>
          <w:sz w:val="20"/>
          <w:szCs w:val="20"/>
        </w:rPr>
        <w:t xml:space="preserve"> An exception are two existing towers (no.19 and no.20) at the proximity of the ‘EVP’ SS Miletkovo, which will be dismantled and removed, followed by removal of the respective foundations.</w:t>
      </w:r>
    </w:p>
    <w:p w14:paraId="6979A023" w14:textId="77777777" w:rsidR="00873DED" w:rsidRPr="0068236B" w:rsidRDefault="00873DED" w:rsidP="00873DED">
      <w:pPr>
        <w:autoSpaceDE w:val="0"/>
        <w:autoSpaceDN w:val="0"/>
        <w:adjustRightInd w:val="0"/>
        <w:rPr>
          <w:rFonts w:cs="Tahoma"/>
          <w:sz w:val="20"/>
          <w:szCs w:val="20"/>
        </w:rPr>
      </w:pPr>
      <w:r w:rsidRPr="0068236B">
        <w:rPr>
          <w:rFonts w:cs="Tahoma"/>
          <w:sz w:val="20"/>
          <w:szCs w:val="20"/>
          <w:lang w:eastAsia="en-US"/>
        </w:rPr>
        <w:t>Before starting to dismantle the conductors, protection measures consisting of scaffolding and nets will be erected over obstacles such as major roads and other transmission or distribution lines. Dismantling of the conductors will take place only when the protection measures have been put in place. Access will be r</w:t>
      </w:r>
      <w:r w:rsidRPr="0068236B">
        <w:rPr>
          <w:rFonts w:cs="Tahoma"/>
          <w:sz w:val="20"/>
          <w:szCs w:val="20"/>
          <w:lang w:eastAsia="en-US"/>
        </w:rPr>
        <w:t>e</w:t>
      </w:r>
      <w:r w:rsidRPr="0068236B">
        <w:rPr>
          <w:rFonts w:cs="Tahoma"/>
          <w:sz w:val="20"/>
          <w:szCs w:val="20"/>
          <w:lang w:eastAsia="en-US"/>
        </w:rPr>
        <w:t>quired to allow the scaffolding equipment to be delivered to the locations where it is to be erected.</w:t>
      </w:r>
    </w:p>
    <w:p w14:paraId="7A0144B0" w14:textId="77777777" w:rsidR="00873DED" w:rsidRPr="0068236B" w:rsidRDefault="00873DED" w:rsidP="00873DED">
      <w:pPr>
        <w:ind w:firstLine="720"/>
        <w:rPr>
          <w:sz w:val="20"/>
          <w:szCs w:val="20"/>
          <w:u w:val="single"/>
        </w:rPr>
      </w:pPr>
      <w:r w:rsidRPr="0068236B">
        <w:rPr>
          <w:sz w:val="20"/>
          <w:szCs w:val="20"/>
          <w:u w:val="single"/>
        </w:rPr>
        <w:t>Construction of New Transmission Lines</w:t>
      </w:r>
    </w:p>
    <w:p w14:paraId="1DB51C4F" w14:textId="38B1906C" w:rsidR="00873DED" w:rsidRPr="0068236B" w:rsidRDefault="00873DED" w:rsidP="00873DED">
      <w:pPr>
        <w:rPr>
          <w:rFonts w:cs="Tahoma"/>
          <w:sz w:val="20"/>
          <w:szCs w:val="20"/>
        </w:rPr>
      </w:pPr>
      <w:r w:rsidRPr="0068236B">
        <w:rPr>
          <w:rFonts w:cs="Tahoma"/>
          <w:sz w:val="20"/>
          <w:szCs w:val="20"/>
        </w:rPr>
        <w:t>During the construction activities, earth works and concreting works will be carried out for construction of the foundation for the new transmission line towers. Other construction works, construction of steel-lattice towers and installation of electric and protective equipment, including the conductors, insulators, earth</w:t>
      </w:r>
      <w:r w:rsidR="005717BB" w:rsidRPr="0068236B">
        <w:rPr>
          <w:rFonts w:cs="Tahoma"/>
          <w:sz w:val="20"/>
          <w:szCs w:val="20"/>
        </w:rPr>
        <w:t xml:space="preserve"> </w:t>
      </w:r>
      <w:r w:rsidRPr="0068236B">
        <w:rPr>
          <w:rFonts w:cs="Tahoma"/>
          <w:sz w:val="20"/>
          <w:szCs w:val="20"/>
        </w:rPr>
        <w:t>wires, earthing, etc., will mainly be of prefabricated type.</w:t>
      </w:r>
    </w:p>
    <w:p w14:paraId="480BCCA7" w14:textId="77777777" w:rsidR="00873DED" w:rsidRPr="0068236B" w:rsidRDefault="00873DED" w:rsidP="00873DED">
      <w:pPr>
        <w:rPr>
          <w:rFonts w:cs="Tahoma"/>
          <w:sz w:val="20"/>
          <w:szCs w:val="20"/>
        </w:rPr>
      </w:pPr>
      <w:r w:rsidRPr="0068236B">
        <w:rPr>
          <w:rFonts w:cs="Tahoma"/>
          <w:sz w:val="20"/>
          <w:szCs w:val="20"/>
        </w:rPr>
        <w:t>The upcoming detailed design of elements of the steel-lattice towers will be in compliance with the requir</w:t>
      </w:r>
      <w:r w:rsidRPr="0068236B">
        <w:rPr>
          <w:rFonts w:cs="Tahoma"/>
          <w:sz w:val="20"/>
          <w:szCs w:val="20"/>
        </w:rPr>
        <w:t>e</w:t>
      </w:r>
      <w:r w:rsidRPr="0068236B">
        <w:rPr>
          <w:rFonts w:cs="Tahoma"/>
          <w:sz w:val="20"/>
          <w:szCs w:val="20"/>
        </w:rPr>
        <w:t>ments incorporated in the Macedonian technical standards, i.e. the regulations setting the technical princ</w:t>
      </w:r>
      <w:r w:rsidRPr="0068236B">
        <w:rPr>
          <w:rFonts w:cs="Tahoma"/>
          <w:sz w:val="20"/>
          <w:szCs w:val="20"/>
        </w:rPr>
        <w:t>i</w:t>
      </w:r>
      <w:r w:rsidRPr="0068236B">
        <w:rPr>
          <w:rFonts w:cs="Tahoma"/>
          <w:sz w:val="20"/>
          <w:szCs w:val="20"/>
        </w:rPr>
        <w:t>ples for construction of overhead power lines with nominal voltages of 1 kV to 400 kV</w:t>
      </w:r>
      <w:r w:rsidRPr="0068236B">
        <w:rPr>
          <w:rStyle w:val="FootnoteReference"/>
          <w:rFonts w:cs="Tahoma"/>
          <w:sz w:val="20"/>
          <w:szCs w:val="20"/>
        </w:rPr>
        <w:footnoteReference w:id="41"/>
      </w:r>
      <w:r w:rsidRPr="0068236B">
        <w:rPr>
          <w:rFonts w:cs="Tahoma"/>
          <w:sz w:val="20"/>
          <w:szCs w:val="20"/>
        </w:rPr>
        <w:t xml:space="preserve">, as well as other Macedonian and international standards, for the issues the basic regulations does not cover. The design will also include undertaking engineering and design measures for corrosion protection. </w:t>
      </w:r>
    </w:p>
    <w:p w14:paraId="07B7073A" w14:textId="77777777" w:rsidR="00873DED" w:rsidRPr="0068236B" w:rsidRDefault="00873DED" w:rsidP="00873DED">
      <w:pPr>
        <w:autoSpaceDE w:val="0"/>
        <w:autoSpaceDN w:val="0"/>
        <w:adjustRightInd w:val="0"/>
        <w:rPr>
          <w:rFonts w:cs="Tahoma"/>
          <w:sz w:val="20"/>
          <w:szCs w:val="20"/>
        </w:rPr>
      </w:pPr>
      <w:r w:rsidRPr="0068236B">
        <w:rPr>
          <w:rFonts w:cs="Tahoma"/>
          <w:sz w:val="20"/>
          <w:szCs w:val="20"/>
        </w:rPr>
        <w:t xml:space="preserve">The first stage in the construction of the new transmission lines, after construction of access tracks, is to construct the foundation for each tower. Respective geological surveys are to be carried out </w:t>
      </w:r>
      <w:r w:rsidRPr="0068236B">
        <w:rPr>
          <w:rFonts w:cs="Tahoma"/>
          <w:sz w:val="20"/>
          <w:szCs w:val="20"/>
          <w:lang w:eastAsia="en-US"/>
        </w:rPr>
        <w:t xml:space="preserve">in the course of the future development stages of the Project (Preliminary Design and Detailed Design) </w:t>
      </w:r>
      <w:r w:rsidRPr="0068236B">
        <w:rPr>
          <w:rFonts w:cs="Tahoma"/>
          <w:sz w:val="20"/>
          <w:szCs w:val="20"/>
        </w:rPr>
        <w:t xml:space="preserve">to gain information on the baseline conditions along the OHL alignments, as well as the detailed geo-technical investigation is to be carried out to further support the </w:t>
      </w:r>
      <w:r w:rsidRPr="0068236B">
        <w:rPr>
          <w:rFonts w:cs="Arial"/>
          <w:sz w:val="20"/>
          <w:szCs w:val="20"/>
        </w:rPr>
        <w:t>Project’s technical design to</w:t>
      </w:r>
      <w:r w:rsidRPr="0068236B">
        <w:rPr>
          <w:rFonts w:cs="Tahoma"/>
          <w:sz w:val="20"/>
          <w:szCs w:val="20"/>
        </w:rPr>
        <w:t xml:space="preserve"> indicate if special foundation types will be required. The standard foundations of pyramid type will be used. Typically, excavations will be undertaken for each leg on the tower. The dimensions of the excavation will vary depending on the tower type to be constructed. A typical leg excavation would be 16 m</w:t>
      </w:r>
      <w:r w:rsidRPr="0068236B">
        <w:rPr>
          <w:rFonts w:cs="Tahoma"/>
          <w:sz w:val="20"/>
          <w:szCs w:val="20"/>
          <w:vertAlign w:val="superscript"/>
        </w:rPr>
        <w:t xml:space="preserve">2 </w:t>
      </w:r>
      <w:r w:rsidRPr="0068236B">
        <w:rPr>
          <w:rFonts w:cs="Tahoma"/>
          <w:sz w:val="20"/>
          <w:szCs w:val="20"/>
        </w:rPr>
        <w:t>for the suspension towers, increasing up to and over 25 m</w:t>
      </w:r>
      <w:r w:rsidRPr="0068236B">
        <w:rPr>
          <w:rFonts w:cs="Tahoma"/>
          <w:sz w:val="20"/>
          <w:szCs w:val="20"/>
          <w:vertAlign w:val="superscript"/>
        </w:rPr>
        <w:t xml:space="preserve">2 </w:t>
      </w:r>
      <w:r w:rsidRPr="0068236B">
        <w:rPr>
          <w:rFonts w:cs="Tahoma"/>
          <w:sz w:val="20"/>
          <w:szCs w:val="20"/>
        </w:rPr>
        <w:t>for the angle towers. Once the excavations are formed, the tower leg will then be fixed in accordance with the foundation design using suitable formwork and it will then be concreted. If access allows, concrete would be delivered direct to the tower position by a ready-mix concrete truck. Alternatively, the truck would have to stop at a predetermined point where the concrete would be loaded into a tracked dumper, which could then track to the tower position. After the required time to allow the concrete to partially cure, the formwork would be removed, and the excavation backfilled using the original materials and compacted. Any surplus material would be removed from site and disposed of in accordance with the site waste management plan.</w:t>
      </w:r>
    </w:p>
    <w:p w14:paraId="139CE668" w14:textId="77777777" w:rsidR="00873DED" w:rsidRPr="0068236B" w:rsidRDefault="00873DED" w:rsidP="00873DED">
      <w:pPr>
        <w:rPr>
          <w:rFonts w:cs="Tahoma"/>
          <w:sz w:val="20"/>
          <w:szCs w:val="20"/>
        </w:rPr>
      </w:pPr>
      <w:r w:rsidRPr="0068236B">
        <w:rPr>
          <w:rFonts w:cs="Tahoma"/>
          <w:sz w:val="20"/>
          <w:szCs w:val="20"/>
        </w:rPr>
        <w:t>Tower sub-structures (segments of the steel lattice) will be pre-assembled in suitable project bases and transported in pieces to the lay-down areas. These segments will be then assembled on site to construct final tower structure. Erection of the tower segments will be completed by a mobile construction crane. For locations with difficult or restrictions on access, pre-assembled pieces will be smaller and accordingly an increase in number. Area for each OHL lay-down area is around 100 x 50 m. The assembly process is such that materials for a number of towers are brought on site (compound area), tower sub-structure are asse</w:t>
      </w:r>
      <w:r w:rsidRPr="0068236B">
        <w:rPr>
          <w:rFonts w:cs="Tahoma"/>
          <w:sz w:val="20"/>
          <w:szCs w:val="20"/>
        </w:rPr>
        <w:t>m</w:t>
      </w:r>
      <w:r w:rsidRPr="0068236B">
        <w:rPr>
          <w:rFonts w:cs="Tahoma"/>
          <w:sz w:val="20"/>
          <w:szCs w:val="20"/>
        </w:rPr>
        <w:t>bled and transported to construction site (proposed tower location). Average use of a single lay-down area is around two weeks.</w:t>
      </w:r>
    </w:p>
    <w:p w14:paraId="053FEF50" w14:textId="77777777" w:rsidR="00873DED" w:rsidRPr="0068236B" w:rsidRDefault="00873DED" w:rsidP="00873DED">
      <w:pPr>
        <w:rPr>
          <w:rFonts w:eastAsia="Calibri" w:cs="Tahoma"/>
          <w:sz w:val="20"/>
          <w:szCs w:val="20"/>
        </w:rPr>
      </w:pPr>
      <w:r w:rsidRPr="0068236B">
        <w:rPr>
          <w:rFonts w:eastAsia="Calibri" w:cs="Tahoma"/>
          <w:sz w:val="20"/>
          <w:szCs w:val="20"/>
        </w:rPr>
        <w:t>The typical footprint for each of the towers is given in the Section 2.4.2. For construction purposes, the working area at each tower will be around 1,000 m</w:t>
      </w:r>
      <w:r w:rsidRPr="0068236B">
        <w:rPr>
          <w:rFonts w:eastAsia="Calibri" w:cs="Tahoma"/>
          <w:sz w:val="20"/>
          <w:szCs w:val="20"/>
          <w:vertAlign w:val="superscript"/>
        </w:rPr>
        <w:t>2</w:t>
      </w:r>
      <w:r w:rsidRPr="0068236B">
        <w:rPr>
          <w:rFonts w:eastAsia="Calibri" w:cs="Tahoma"/>
          <w:sz w:val="20"/>
          <w:szCs w:val="20"/>
        </w:rPr>
        <w:t>, up to 2,500 m</w:t>
      </w:r>
      <w:r w:rsidRPr="0068236B">
        <w:rPr>
          <w:rFonts w:eastAsia="Calibri" w:cs="Tahoma"/>
          <w:sz w:val="20"/>
          <w:szCs w:val="20"/>
          <w:vertAlign w:val="superscript"/>
        </w:rPr>
        <w:t>2</w:t>
      </w:r>
      <w:r w:rsidRPr="0068236B">
        <w:rPr>
          <w:rFonts w:eastAsia="Calibri" w:cs="Tahoma"/>
          <w:sz w:val="20"/>
          <w:szCs w:val="20"/>
        </w:rPr>
        <w:t xml:space="preserve"> for angle towers and approximately 6,000 m</w:t>
      </w:r>
      <w:r w:rsidRPr="0068236B">
        <w:rPr>
          <w:rFonts w:eastAsia="Calibri" w:cs="Tahoma"/>
          <w:sz w:val="20"/>
          <w:szCs w:val="20"/>
          <w:vertAlign w:val="superscript"/>
        </w:rPr>
        <w:t>2</w:t>
      </w:r>
      <w:r w:rsidRPr="0068236B">
        <w:rPr>
          <w:rFonts w:eastAsia="Calibri" w:cs="Tahoma"/>
          <w:sz w:val="20"/>
          <w:szCs w:val="20"/>
        </w:rPr>
        <w:t xml:space="preserve"> for winch sites which will be used for pulling the conductors into place between towers. After co</w:t>
      </w:r>
      <w:r w:rsidRPr="0068236B">
        <w:rPr>
          <w:rFonts w:eastAsia="Calibri" w:cs="Tahoma"/>
          <w:sz w:val="20"/>
          <w:szCs w:val="20"/>
        </w:rPr>
        <w:t>m</w:t>
      </w:r>
      <w:r w:rsidRPr="0068236B">
        <w:rPr>
          <w:rFonts w:eastAsia="Calibri" w:cs="Tahoma"/>
          <w:sz w:val="20"/>
          <w:szCs w:val="20"/>
        </w:rPr>
        <w:t xml:space="preserve">pletion of the construction works, the remainder of the working area will be restored and put back to its </w:t>
      </w:r>
      <w:r w:rsidRPr="0068236B">
        <w:rPr>
          <w:rFonts w:eastAsia="Calibri" w:cs="Tahoma"/>
          <w:sz w:val="20"/>
          <w:szCs w:val="20"/>
        </w:rPr>
        <w:lastRenderedPageBreak/>
        <w:t>original condition. Any previous forms of agricultural activities or other land use type can continue after co</w:t>
      </w:r>
      <w:r w:rsidRPr="0068236B">
        <w:rPr>
          <w:rFonts w:eastAsia="Calibri" w:cs="Tahoma"/>
          <w:sz w:val="20"/>
          <w:szCs w:val="20"/>
        </w:rPr>
        <w:t>n</w:t>
      </w:r>
      <w:r w:rsidRPr="0068236B">
        <w:rPr>
          <w:rFonts w:eastAsia="Calibri" w:cs="Tahoma"/>
          <w:sz w:val="20"/>
          <w:szCs w:val="20"/>
        </w:rPr>
        <w:t>struction of the transmission lines and during its operational stage, subject to height restrictions for passing under overhead lines.</w:t>
      </w:r>
    </w:p>
    <w:p w14:paraId="00CC8724" w14:textId="77777777" w:rsidR="00873DED" w:rsidRPr="0068236B" w:rsidRDefault="00873DED" w:rsidP="00873DED">
      <w:pPr>
        <w:rPr>
          <w:sz w:val="20"/>
          <w:szCs w:val="20"/>
        </w:rPr>
      </w:pPr>
      <w:r w:rsidRPr="0068236B">
        <w:rPr>
          <w:rFonts w:cs="Tahoma"/>
          <w:sz w:val="20"/>
          <w:szCs w:val="20"/>
        </w:rPr>
        <w:t>Conductors will be strung using specialist pulling and breaking/tensioning machines. When a sufficient nu</w:t>
      </w:r>
      <w:r w:rsidRPr="0068236B">
        <w:rPr>
          <w:rFonts w:cs="Tahoma"/>
          <w:sz w:val="20"/>
          <w:szCs w:val="20"/>
        </w:rPr>
        <w:t>m</w:t>
      </w:r>
      <w:r w:rsidRPr="0068236B">
        <w:rPr>
          <w:rFonts w:cs="Tahoma"/>
          <w:sz w:val="20"/>
          <w:szCs w:val="20"/>
        </w:rPr>
        <w:t>ber of sequential sections are complete with all towers erected, stringing of conductor can commence. In</w:t>
      </w:r>
      <w:r w:rsidRPr="0068236B">
        <w:rPr>
          <w:rFonts w:cs="Tahoma"/>
          <w:sz w:val="20"/>
          <w:szCs w:val="20"/>
        </w:rPr>
        <w:t>i</w:t>
      </w:r>
      <w:r w:rsidRPr="0068236B">
        <w:rPr>
          <w:rFonts w:cs="Tahoma"/>
          <w:sz w:val="20"/>
          <w:szCs w:val="20"/>
        </w:rPr>
        <w:t>tially, the insulators and other equipment necessary for stringing the conductors will be taken to site along the identified access route. The puller will be positioned and set up at one end of the section, with the te</w:t>
      </w:r>
      <w:r w:rsidRPr="0068236B">
        <w:rPr>
          <w:rFonts w:cs="Tahoma"/>
          <w:sz w:val="20"/>
          <w:szCs w:val="20"/>
        </w:rPr>
        <w:t>n</w:t>
      </w:r>
      <w:r w:rsidRPr="0068236B">
        <w:rPr>
          <w:rFonts w:cs="Tahoma"/>
          <w:sz w:val="20"/>
          <w:szCs w:val="20"/>
        </w:rPr>
        <w:t>sioner set up similarly at the other end of the section. A pilot wire will be then strung through the section between the puller and tensioner. It will be placed on the suspension and tension towers and connected around the puller and tensioner at either end. Using the winch to pull the pilot wires, the conductor will be drawn through the section, under constant tension using the tensioner, allowing the conductor to be co</w:t>
      </w:r>
      <w:r w:rsidRPr="0068236B">
        <w:rPr>
          <w:rFonts w:cs="Tahoma"/>
          <w:sz w:val="20"/>
          <w:szCs w:val="20"/>
        </w:rPr>
        <w:t>n</w:t>
      </w:r>
      <w:r w:rsidRPr="0068236B">
        <w:rPr>
          <w:rFonts w:cs="Tahoma"/>
          <w:sz w:val="20"/>
          <w:szCs w:val="20"/>
        </w:rPr>
        <w:t xml:space="preserve">trolled without touching the ground. This would avoid damage to the conductor and underlying ground. Where the conductor needs to be strung over obstacles such as roads or lower voltage lines, protection in the form of scaffolding will have to be erected prior to the commencement of stringing. </w:t>
      </w:r>
      <w:r w:rsidRPr="0068236B">
        <w:rPr>
          <w:sz w:val="20"/>
          <w:szCs w:val="20"/>
        </w:rPr>
        <w:t>For road crossing, temporary road closures or the use of workers (flagmen) to direct traffic may also be used.</w:t>
      </w:r>
    </w:p>
    <w:p w14:paraId="41691099" w14:textId="77777777" w:rsidR="00873DED" w:rsidRPr="0068236B" w:rsidRDefault="00873DED" w:rsidP="00873DED">
      <w:pPr>
        <w:rPr>
          <w:rFonts w:cs="Tahoma"/>
          <w:sz w:val="20"/>
          <w:szCs w:val="20"/>
        </w:rPr>
      </w:pPr>
      <w:r w:rsidRPr="0068236B">
        <w:rPr>
          <w:rFonts w:cs="Tahoma"/>
          <w:sz w:val="20"/>
          <w:szCs w:val="20"/>
        </w:rPr>
        <w:t>The average duration of a tower construction, consists of:</w:t>
      </w:r>
    </w:p>
    <w:p w14:paraId="76AE90FA" w14:textId="77777777" w:rsidR="00873DED" w:rsidRPr="0068236B" w:rsidRDefault="00873DED" w:rsidP="00D24CEF">
      <w:pPr>
        <w:pStyle w:val="ListParagraph"/>
        <w:numPr>
          <w:ilvl w:val="0"/>
          <w:numId w:val="88"/>
        </w:numPr>
        <w:spacing w:before="0" w:after="60"/>
        <w:ind w:left="1077" w:hanging="510"/>
        <w:contextualSpacing w:val="0"/>
        <w:jc w:val="left"/>
        <w:rPr>
          <w:rFonts w:cs="Tahoma"/>
          <w:sz w:val="20"/>
          <w:szCs w:val="20"/>
        </w:rPr>
      </w:pPr>
      <w:r w:rsidRPr="0068236B">
        <w:rPr>
          <w:rFonts w:cs="Tahoma"/>
          <w:sz w:val="20"/>
          <w:szCs w:val="20"/>
        </w:rPr>
        <w:t>Time for preparation of foundations (excavation and concrete works). Average time for co</w:t>
      </w:r>
      <w:r w:rsidRPr="0068236B">
        <w:rPr>
          <w:rFonts w:cs="Tahoma"/>
          <w:sz w:val="20"/>
          <w:szCs w:val="20"/>
        </w:rPr>
        <w:t>n</w:t>
      </w:r>
      <w:r w:rsidRPr="0068236B">
        <w:rPr>
          <w:rFonts w:cs="Tahoma"/>
          <w:sz w:val="20"/>
          <w:szCs w:val="20"/>
        </w:rPr>
        <w:t>struction of foundations for a single tower is two days, i.e. for four foundations, is one tower per day for excavation and one tower per day for concrete works. The time for concrete works i</w:t>
      </w:r>
      <w:r w:rsidRPr="0068236B">
        <w:rPr>
          <w:rFonts w:cs="Tahoma"/>
          <w:sz w:val="20"/>
          <w:szCs w:val="20"/>
        </w:rPr>
        <w:t>n</w:t>
      </w:r>
      <w:r w:rsidRPr="0068236B">
        <w:rPr>
          <w:rFonts w:cs="Tahoma"/>
          <w:sz w:val="20"/>
          <w:szCs w:val="20"/>
        </w:rPr>
        <w:t xml:space="preserve">cludes half a day for preparation of reinforcement and half a day for concrete works. </w:t>
      </w:r>
    </w:p>
    <w:p w14:paraId="21FCB27F" w14:textId="77777777" w:rsidR="00873DED" w:rsidRPr="0068236B" w:rsidRDefault="00873DED" w:rsidP="00D24CEF">
      <w:pPr>
        <w:pStyle w:val="ListParagraph"/>
        <w:numPr>
          <w:ilvl w:val="0"/>
          <w:numId w:val="88"/>
        </w:numPr>
        <w:spacing w:before="0" w:after="60"/>
        <w:ind w:left="1077" w:hanging="510"/>
        <w:contextualSpacing w:val="0"/>
        <w:jc w:val="left"/>
        <w:rPr>
          <w:rFonts w:cs="Tahoma"/>
          <w:sz w:val="20"/>
          <w:szCs w:val="20"/>
        </w:rPr>
      </w:pPr>
      <w:r w:rsidRPr="0068236B">
        <w:rPr>
          <w:rFonts w:cs="Tahoma"/>
          <w:sz w:val="20"/>
          <w:szCs w:val="20"/>
        </w:rPr>
        <w:t>Time for construction of tower (assembly and erection). Average time for construction of a si</w:t>
      </w:r>
      <w:r w:rsidRPr="0068236B">
        <w:rPr>
          <w:rFonts w:cs="Tahoma"/>
          <w:sz w:val="20"/>
          <w:szCs w:val="20"/>
        </w:rPr>
        <w:t>n</w:t>
      </w:r>
      <w:r w:rsidRPr="0068236B">
        <w:rPr>
          <w:rFonts w:cs="Tahoma"/>
          <w:sz w:val="20"/>
          <w:szCs w:val="20"/>
        </w:rPr>
        <w:t xml:space="preserve">gle tower is 2 towers per day. </w:t>
      </w:r>
    </w:p>
    <w:p w14:paraId="7658665C" w14:textId="77777777" w:rsidR="00873DED" w:rsidRPr="0068236B" w:rsidRDefault="00873DED" w:rsidP="00D24CEF">
      <w:pPr>
        <w:pStyle w:val="ListParagraph"/>
        <w:numPr>
          <w:ilvl w:val="0"/>
          <w:numId w:val="88"/>
        </w:numPr>
        <w:spacing w:before="0" w:after="60"/>
        <w:ind w:left="1077" w:hanging="510"/>
        <w:contextualSpacing w:val="0"/>
        <w:jc w:val="left"/>
        <w:rPr>
          <w:rFonts w:cs="Tahoma"/>
          <w:sz w:val="20"/>
          <w:szCs w:val="20"/>
        </w:rPr>
      </w:pPr>
      <w:r w:rsidRPr="0068236B">
        <w:rPr>
          <w:rFonts w:cs="Tahoma"/>
          <w:sz w:val="20"/>
          <w:szCs w:val="20"/>
        </w:rPr>
        <w:t>Time for mounting electrical equipment. Average time for mounting electrical equipment is a</w:t>
      </w:r>
      <w:r w:rsidRPr="0068236B">
        <w:rPr>
          <w:rFonts w:cs="Tahoma"/>
          <w:sz w:val="20"/>
          <w:szCs w:val="20"/>
        </w:rPr>
        <w:t>p</w:t>
      </w:r>
      <w:r w:rsidRPr="0068236B">
        <w:rPr>
          <w:rFonts w:cs="Tahoma"/>
          <w:sz w:val="20"/>
          <w:szCs w:val="20"/>
        </w:rPr>
        <w:t>proximately 2 towers per day.</w:t>
      </w:r>
    </w:p>
    <w:p w14:paraId="385BC86A" w14:textId="77777777" w:rsidR="00873DED" w:rsidRPr="0068236B" w:rsidRDefault="00873DED" w:rsidP="00873DED">
      <w:pPr>
        <w:tabs>
          <w:tab w:val="num" w:pos="567"/>
        </w:tabs>
        <w:rPr>
          <w:rFonts w:cs="Tahoma"/>
          <w:sz w:val="20"/>
          <w:szCs w:val="20"/>
        </w:rPr>
      </w:pPr>
      <w:r w:rsidRPr="0068236B">
        <w:rPr>
          <w:rFonts w:cs="Tahoma"/>
          <w:sz w:val="20"/>
          <w:szCs w:val="20"/>
        </w:rPr>
        <w:t>As a result of all above, the average total construction time per tower including the preparatory works could be estimated on 8 days, and consists of: 2 days for preparatory works; 2 days for construction of found</w:t>
      </w:r>
      <w:r w:rsidRPr="0068236B">
        <w:rPr>
          <w:rFonts w:cs="Tahoma"/>
          <w:sz w:val="20"/>
          <w:szCs w:val="20"/>
        </w:rPr>
        <w:t>a</w:t>
      </w:r>
      <w:r w:rsidRPr="0068236B">
        <w:rPr>
          <w:rFonts w:cs="Tahoma"/>
          <w:sz w:val="20"/>
          <w:szCs w:val="20"/>
        </w:rPr>
        <w:t>tions; 2 days for erection of a tower; and 2 days for electromechanical works. However, this time can vary depending on the contractor’s capabilities – the type and amount of the construction equipment and alloca</w:t>
      </w:r>
      <w:r w:rsidRPr="0068236B">
        <w:rPr>
          <w:rFonts w:cs="Tahoma"/>
          <w:sz w:val="20"/>
          <w:szCs w:val="20"/>
        </w:rPr>
        <w:t>t</w:t>
      </w:r>
      <w:r w:rsidRPr="0068236B">
        <w:rPr>
          <w:rFonts w:cs="Tahoma"/>
          <w:sz w:val="20"/>
          <w:szCs w:val="20"/>
        </w:rPr>
        <w:t>ed staff / crews as well as on the topography and geological conditions.</w:t>
      </w:r>
    </w:p>
    <w:p w14:paraId="3424610D" w14:textId="77777777" w:rsidR="00873DED" w:rsidRPr="0068236B" w:rsidRDefault="00873DED" w:rsidP="00873DED">
      <w:pPr>
        <w:rPr>
          <w:rFonts w:eastAsia="Calibri" w:cs="Tahoma"/>
          <w:sz w:val="20"/>
          <w:szCs w:val="20"/>
        </w:rPr>
      </w:pPr>
      <w:r w:rsidRPr="0068236B">
        <w:rPr>
          <w:rFonts w:eastAsia="Calibri" w:cs="Tahoma"/>
          <w:sz w:val="20"/>
          <w:szCs w:val="20"/>
        </w:rPr>
        <w:t>Based on information available from other transmission line developments of similar size, average number of truckloads per tower is 12, i.e.:</w:t>
      </w:r>
    </w:p>
    <w:p w14:paraId="28907AE6" w14:textId="77777777" w:rsidR="00E803AB" w:rsidRPr="0068236B" w:rsidRDefault="00E803AB" w:rsidP="00E803AB">
      <w:pPr>
        <w:pStyle w:val="ListBullet"/>
        <w:ind w:left="714" w:hanging="357"/>
        <w:rPr>
          <w:rFonts w:cs="Tahoma"/>
          <w:sz w:val="20"/>
          <w:szCs w:val="20"/>
        </w:rPr>
      </w:pPr>
      <w:bookmarkStart w:id="85" w:name="_Toc93085839"/>
      <w:r w:rsidRPr="0068236B">
        <w:rPr>
          <w:rFonts w:eastAsia="Calibri" w:cs="Tahoma"/>
          <w:sz w:val="20"/>
          <w:szCs w:val="20"/>
        </w:rPr>
        <w:t>3 truckloads for ready mix concrete (mixers);</w:t>
      </w:r>
    </w:p>
    <w:p w14:paraId="49C7898B" w14:textId="77777777" w:rsidR="00E803AB" w:rsidRPr="0068236B" w:rsidRDefault="00E803AB" w:rsidP="00E803AB">
      <w:pPr>
        <w:pStyle w:val="ListBullet"/>
        <w:ind w:left="714" w:hanging="357"/>
        <w:rPr>
          <w:rFonts w:cs="Tahoma"/>
          <w:sz w:val="20"/>
          <w:szCs w:val="20"/>
        </w:rPr>
      </w:pPr>
      <w:r w:rsidRPr="0068236B">
        <w:rPr>
          <w:rFonts w:eastAsia="Calibri" w:cs="Tahoma"/>
          <w:sz w:val="20"/>
          <w:szCs w:val="20"/>
        </w:rPr>
        <w:t>5 truckloads for tower structure</w:t>
      </w:r>
    </w:p>
    <w:p w14:paraId="06F477FC" w14:textId="77777777" w:rsidR="00E803AB" w:rsidRPr="0068236B" w:rsidRDefault="00E803AB" w:rsidP="00E803AB">
      <w:pPr>
        <w:pStyle w:val="ListBullet"/>
        <w:ind w:left="714" w:hanging="357"/>
        <w:rPr>
          <w:rFonts w:cs="Tahoma"/>
          <w:sz w:val="20"/>
          <w:szCs w:val="20"/>
        </w:rPr>
      </w:pPr>
      <w:r w:rsidRPr="0068236B">
        <w:rPr>
          <w:rFonts w:eastAsia="Calibri" w:cs="Tahoma"/>
          <w:sz w:val="20"/>
          <w:szCs w:val="20"/>
        </w:rPr>
        <w:t>2 truckloads for equipment, tools, materials, etc.</w:t>
      </w:r>
    </w:p>
    <w:p w14:paraId="6BABB3E5" w14:textId="77777777" w:rsidR="00E803AB" w:rsidRPr="0068236B" w:rsidRDefault="00E803AB" w:rsidP="00E803AB">
      <w:pPr>
        <w:pStyle w:val="ListBullet"/>
        <w:ind w:left="714" w:hanging="357"/>
        <w:rPr>
          <w:rFonts w:cs="Tahoma"/>
          <w:sz w:val="20"/>
          <w:szCs w:val="20"/>
        </w:rPr>
      </w:pPr>
      <w:r w:rsidRPr="0068236B">
        <w:rPr>
          <w:rFonts w:eastAsia="Calibri" w:cs="Tahoma"/>
          <w:sz w:val="20"/>
          <w:szCs w:val="20"/>
        </w:rPr>
        <w:t>2 truckloads for electrical equipment (except for the conductor which is transported in large drums with special heavy vehicles).</w:t>
      </w:r>
    </w:p>
    <w:p w14:paraId="26EF2169" w14:textId="77777777" w:rsidR="00873DED" w:rsidRPr="0068236B" w:rsidRDefault="00873DED" w:rsidP="00F42E3A">
      <w:pPr>
        <w:pStyle w:val="Heading4"/>
      </w:pPr>
      <w:r w:rsidRPr="0068236B">
        <w:t>Construction Workforce and Accommodation</w:t>
      </w:r>
      <w:bookmarkEnd w:id="85"/>
    </w:p>
    <w:p w14:paraId="3EE16E58" w14:textId="77777777" w:rsidR="00873DED" w:rsidRPr="0068236B" w:rsidRDefault="00873DED" w:rsidP="00873DED">
      <w:pPr>
        <w:rPr>
          <w:sz w:val="20"/>
          <w:szCs w:val="20"/>
        </w:rPr>
      </w:pPr>
      <w:r w:rsidRPr="0068236B">
        <w:rPr>
          <w:sz w:val="20"/>
          <w:szCs w:val="20"/>
        </w:rPr>
        <w:t xml:space="preserve">During the construction phase, the Project will generate temporary employment opportunities, comprising skilled, semi-skilled and unskilled jobs. The construction workers will be organised in several crews working in parallel, moving along the transmission lineс. </w:t>
      </w:r>
    </w:p>
    <w:p w14:paraId="6952FE75" w14:textId="77777777" w:rsidR="00873DED" w:rsidRPr="0068236B" w:rsidRDefault="00873DED" w:rsidP="00873DED">
      <w:pPr>
        <w:rPr>
          <w:sz w:val="20"/>
          <w:szCs w:val="20"/>
        </w:rPr>
      </w:pPr>
      <w:r w:rsidRPr="0068236B">
        <w:rPr>
          <w:sz w:val="20"/>
          <w:szCs w:val="20"/>
        </w:rPr>
        <w:t>Part of the workforce is expected to come from outside the Project area, both from within Macedonia and from other countries. The Contractor will need to develop an accommodation strategy which would be based on the following approach for housing the construction workforce:</w:t>
      </w:r>
    </w:p>
    <w:p w14:paraId="6F0C6A5B" w14:textId="77777777" w:rsidR="00F42E3A" w:rsidRPr="0068236B" w:rsidRDefault="00F42E3A" w:rsidP="00F42E3A">
      <w:pPr>
        <w:pStyle w:val="ListBullet"/>
        <w:jc w:val="left"/>
        <w:rPr>
          <w:sz w:val="20"/>
          <w:szCs w:val="20"/>
        </w:rPr>
      </w:pPr>
      <w:r w:rsidRPr="0068236B">
        <w:rPr>
          <w:sz w:val="20"/>
          <w:szCs w:val="20"/>
        </w:rPr>
        <w:t>Using available accommodation in larger settlements where temporary accommodation is good in a form of hotels, guesthouses, or houses/apartments for rent.</w:t>
      </w:r>
    </w:p>
    <w:p w14:paraId="4A5904D1" w14:textId="77777777" w:rsidR="00F42E3A" w:rsidRPr="0068236B" w:rsidRDefault="00F42E3A" w:rsidP="00F42E3A">
      <w:pPr>
        <w:pStyle w:val="ListBullet"/>
        <w:jc w:val="left"/>
        <w:rPr>
          <w:sz w:val="20"/>
          <w:szCs w:val="20"/>
        </w:rPr>
      </w:pPr>
      <w:r w:rsidRPr="0068236B">
        <w:rPr>
          <w:sz w:val="20"/>
          <w:szCs w:val="20"/>
        </w:rPr>
        <w:lastRenderedPageBreak/>
        <w:t>If may also be possible to use local accommodation in smaller villages but the Contractor would need to undertake an assessment of the available accommodation and the impact of the wor</w:t>
      </w:r>
      <w:r w:rsidRPr="0068236B">
        <w:rPr>
          <w:sz w:val="20"/>
          <w:szCs w:val="20"/>
        </w:rPr>
        <w:t>k</w:t>
      </w:r>
      <w:r w:rsidRPr="0068236B">
        <w:rPr>
          <w:sz w:val="20"/>
          <w:szCs w:val="20"/>
        </w:rPr>
        <w:t>force using this local accommodation. This may be possible for small number of workers.</w:t>
      </w:r>
    </w:p>
    <w:p w14:paraId="0CE54EFF" w14:textId="77777777" w:rsidR="00873DED" w:rsidRPr="0068236B" w:rsidRDefault="00873DED" w:rsidP="00873DED">
      <w:pPr>
        <w:rPr>
          <w:rFonts w:cs="Tahoma"/>
          <w:sz w:val="20"/>
          <w:szCs w:val="20"/>
        </w:rPr>
      </w:pPr>
      <w:r w:rsidRPr="0068236B">
        <w:rPr>
          <w:sz w:val="20"/>
          <w:szCs w:val="20"/>
        </w:rPr>
        <w:t>In all cases the accommodation used must meet the IFI requirements on workforce accommodation</w:t>
      </w:r>
      <w:r w:rsidRPr="0068236B">
        <w:rPr>
          <w:rStyle w:val="FootnoteReference"/>
          <w:sz w:val="20"/>
          <w:szCs w:val="20"/>
        </w:rPr>
        <w:footnoteReference w:id="42"/>
      </w:r>
      <w:r w:rsidRPr="0068236B">
        <w:rPr>
          <w:sz w:val="20"/>
          <w:szCs w:val="20"/>
        </w:rPr>
        <w:t>.</w:t>
      </w:r>
    </w:p>
    <w:p w14:paraId="29901754" w14:textId="77777777" w:rsidR="00873DED" w:rsidRPr="0068236B" w:rsidRDefault="00873DED" w:rsidP="00764660">
      <w:pPr>
        <w:pStyle w:val="Heading4"/>
      </w:pPr>
      <w:bookmarkStart w:id="86" w:name="_Toc93085841"/>
      <w:r w:rsidRPr="0068236B">
        <w:t>Phasing of the Construction</w:t>
      </w:r>
      <w:bookmarkEnd w:id="86"/>
    </w:p>
    <w:p w14:paraId="17DBB0AF" w14:textId="77777777" w:rsidR="00873DED" w:rsidRPr="0068236B" w:rsidRDefault="00873DED" w:rsidP="00873DED">
      <w:pPr>
        <w:autoSpaceDE w:val="0"/>
        <w:autoSpaceDN w:val="0"/>
        <w:adjustRightInd w:val="0"/>
        <w:rPr>
          <w:rFonts w:cs="Arial"/>
          <w:sz w:val="20"/>
          <w:szCs w:val="20"/>
        </w:rPr>
      </w:pPr>
      <w:r w:rsidRPr="0068236B">
        <w:rPr>
          <w:rFonts w:cs="Arial"/>
          <w:sz w:val="20"/>
          <w:szCs w:val="20"/>
        </w:rPr>
        <w:t>The construction programme will be developed following detailed site investigations and engineering su</w:t>
      </w:r>
      <w:r w:rsidRPr="0068236B">
        <w:rPr>
          <w:rFonts w:cs="Arial"/>
          <w:sz w:val="20"/>
          <w:szCs w:val="20"/>
        </w:rPr>
        <w:t>r</w:t>
      </w:r>
      <w:r w:rsidRPr="0068236B">
        <w:rPr>
          <w:rFonts w:cs="Arial"/>
          <w:sz w:val="20"/>
          <w:szCs w:val="20"/>
        </w:rPr>
        <w:t>veys. It is likely that the Contractor will construct the Project in several areas at any time. Works would be programmed to be cost effective and safe whilst taking account required environmental and social mitigation measures as committed in this assessment. The detailed work programme will need to be included in the construction documents and discussed with all relevant stakeholders prior to work commencement.</w:t>
      </w:r>
    </w:p>
    <w:p w14:paraId="7C83253E" w14:textId="77777777" w:rsidR="00873DED" w:rsidRPr="0068236B" w:rsidRDefault="00873DED" w:rsidP="00764660">
      <w:pPr>
        <w:pStyle w:val="Heading3"/>
      </w:pPr>
      <w:bookmarkStart w:id="87" w:name="_Toc93085842"/>
      <w:bookmarkStart w:id="88" w:name="_Toc112852205"/>
      <w:r w:rsidRPr="0068236B">
        <w:t>Commencement of Operation</w:t>
      </w:r>
      <w:bookmarkEnd w:id="87"/>
      <w:bookmarkEnd w:id="88"/>
    </w:p>
    <w:p w14:paraId="4E38C431" w14:textId="77777777" w:rsidR="00873DED" w:rsidRPr="0068236B" w:rsidRDefault="00873DED" w:rsidP="00873DED">
      <w:pPr>
        <w:autoSpaceDE w:val="0"/>
        <w:autoSpaceDN w:val="0"/>
        <w:adjustRightInd w:val="0"/>
        <w:rPr>
          <w:rFonts w:cs="Arial"/>
          <w:sz w:val="20"/>
          <w:szCs w:val="20"/>
        </w:rPr>
      </w:pPr>
      <w:r w:rsidRPr="0068236B">
        <w:rPr>
          <w:rFonts w:cs="Arial"/>
          <w:sz w:val="20"/>
          <w:szCs w:val="20"/>
        </w:rPr>
        <w:t>The commencement of operations will include assessment of parameters and performance of equipment installed and the degree of its conformity with technical specifications. Testing, typically in a period of 2 months from the day of energising the substation and transmission lines, will be performed of the operability of the different components with the aim of ensuring safe and secure operation of the new transmission lines and substation equipment, including its conformity with requirements for environmental protection.</w:t>
      </w:r>
    </w:p>
    <w:p w14:paraId="01D30190" w14:textId="77777777" w:rsidR="00873DED" w:rsidRPr="0068236B" w:rsidRDefault="00873DED" w:rsidP="00764660">
      <w:pPr>
        <w:pStyle w:val="Heading3"/>
      </w:pPr>
      <w:bookmarkStart w:id="89" w:name="_Toc93085843"/>
      <w:bookmarkStart w:id="90" w:name="_Toc112852206"/>
      <w:r w:rsidRPr="0068236B">
        <w:t>Operation and Maintenance of the Project</w:t>
      </w:r>
      <w:bookmarkEnd w:id="89"/>
      <w:bookmarkEnd w:id="90"/>
    </w:p>
    <w:p w14:paraId="16EF9D26" w14:textId="77777777" w:rsidR="00873DED" w:rsidRPr="0068236B" w:rsidRDefault="00873DED" w:rsidP="00873DED">
      <w:pPr>
        <w:pStyle w:val="NumberedParagraph"/>
        <w:rPr>
          <w:rFonts w:cs="Tahoma"/>
          <w:sz w:val="20"/>
          <w:szCs w:val="20"/>
        </w:rPr>
      </w:pPr>
      <w:r w:rsidRPr="0068236B">
        <w:rPr>
          <w:rFonts w:cs="Tahoma"/>
          <w:sz w:val="20"/>
          <w:szCs w:val="20"/>
        </w:rPr>
        <w:t>The Project is designed for continued operability (24 hours per day, 7 days per week) depending on the regime and parameters of the national and regional power transmission grid.</w:t>
      </w:r>
    </w:p>
    <w:p w14:paraId="016C7841" w14:textId="77777777" w:rsidR="00873DED" w:rsidRPr="0068236B" w:rsidRDefault="00873DED" w:rsidP="00873DED">
      <w:pPr>
        <w:pStyle w:val="yiv1566806162msonormal"/>
        <w:spacing w:before="120" w:beforeAutospacing="0" w:after="120" w:afterAutospacing="0"/>
        <w:jc w:val="both"/>
        <w:rPr>
          <w:rFonts w:ascii="Tahoma" w:hAnsi="Tahoma" w:cs="Tahoma"/>
          <w:sz w:val="20"/>
          <w:szCs w:val="20"/>
          <w:lang w:val="en-GB"/>
        </w:rPr>
      </w:pPr>
      <w:r w:rsidRPr="0068236B">
        <w:rPr>
          <w:rFonts w:ascii="Tahoma" w:hAnsi="Tahoma" w:cs="Tahoma"/>
          <w:sz w:val="20"/>
          <w:szCs w:val="20"/>
          <w:lang w:val="en-GB"/>
        </w:rPr>
        <w:t>Maintenance of the Project – the substation and transmission lines - will be carried out by MEPSO and will be implemented in compliance with the national legislative requirements on technical standards for operation and maintenance of electro-energy systems. Detailed maintenance activities will be set out in the MEPSO’s maintenance plans. These activities may include substation and lines inspection, tower painting, future u</w:t>
      </w:r>
      <w:r w:rsidRPr="0068236B">
        <w:rPr>
          <w:rFonts w:ascii="Tahoma" w:hAnsi="Tahoma" w:cs="Tahoma"/>
          <w:sz w:val="20"/>
          <w:szCs w:val="20"/>
          <w:lang w:val="en-GB"/>
        </w:rPr>
        <w:t>p</w:t>
      </w:r>
      <w:r w:rsidRPr="0068236B">
        <w:rPr>
          <w:rFonts w:ascii="Tahoma" w:hAnsi="Tahoma" w:cs="Tahoma"/>
          <w:sz w:val="20"/>
          <w:szCs w:val="20"/>
          <w:lang w:val="en-GB"/>
        </w:rPr>
        <w:t>grading, etc. In addition, operation and maintenance of the Project need to compliant with the requirements of the International Finance Corporation relevant guidelines</w:t>
      </w:r>
      <w:r w:rsidRPr="0068236B">
        <w:rPr>
          <w:rStyle w:val="FootnoteReference"/>
          <w:rFonts w:ascii="Tahoma" w:hAnsi="Tahoma" w:cs="Tahoma"/>
          <w:sz w:val="20"/>
          <w:szCs w:val="20"/>
          <w:lang w:val="en-GB"/>
        </w:rPr>
        <w:footnoteReference w:id="43"/>
      </w:r>
      <w:r w:rsidRPr="0068236B">
        <w:rPr>
          <w:rFonts w:ascii="Tahoma" w:hAnsi="Tahoma" w:cs="Tahoma"/>
          <w:sz w:val="20"/>
          <w:szCs w:val="20"/>
          <w:lang w:val="en-GB"/>
        </w:rPr>
        <w:t>.</w:t>
      </w:r>
    </w:p>
    <w:p w14:paraId="394DF7A2" w14:textId="77777777" w:rsidR="00873DED" w:rsidRPr="0068236B" w:rsidRDefault="00873DED" w:rsidP="00894E49">
      <w:pPr>
        <w:ind w:firstLine="720"/>
        <w:rPr>
          <w:sz w:val="20"/>
          <w:szCs w:val="20"/>
          <w:u w:val="single"/>
        </w:rPr>
      </w:pPr>
      <w:r w:rsidRPr="0068236B">
        <w:rPr>
          <w:sz w:val="20"/>
          <w:szCs w:val="20"/>
          <w:u w:val="single"/>
        </w:rPr>
        <w:t>400/110 kV Substation Miletkovo</w:t>
      </w:r>
    </w:p>
    <w:p w14:paraId="7D98F34F" w14:textId="5C6F061B" w:rsidR="008E6EC3" w:rsidRPr="0068236B" w:rsidRDefault="008E6EC3" w:rsidP="00894E49">
      <w:pPr>
        <w:rPr>
          <w:sz w:val="20"/>
          <w:szCs w:val="20"/>
        </w:rPr>
      </w:pPr>
      <w:r w:rsidRPr="0068236B">
        <w:rPr>
          <w:sz w:val="20"/>
          <w:szCs w:val="20"/>
        </w:rPr>
        <w:t xml:space="preserve">Guarantee of the entire built-in substation equipment in duration of 61 months </w:t>
      </w:r>
      <w:r w:rsidR="005E6643" w:rsidRPr="0068236B">
        <w:rPr>
          <w:sz w:val="20"/>
          <w:szCs w:val="20"/>
        </w:rPr>
        <w:t>and</w:t>
      </w:r>
      <w:r w:rsidRPr="0068236B">
        <w:rPr>
          <w:sz w:val="20"/>
          <w:szCs w:val="20"/>
        </w:rPr>
        <w:t xml:space="preserve"> 67 months from the day of its installation, examination and commissioning </w:t>
      </w:r>
      <w:r w:rsidR="00894E49" w:rsidRPr="0068236B">
        <w:rPr>
          <w:sz w:val="20"/>
          <w:szCs w:val="20"/>
        </w:rPr>
        <w:t>is</w:t>
      </w:r>
      <w:r w:rsidRPr="0068236B">
        <w:rPr>
          <w:sz w:val="20"/>
          <w:szCs w:val="20"/>
        </w:rPr>
        <w:t xml:space="preserve"> to be provided to MEPSO by the Contractor(s), for the 110 kV and 400 kV substation bays, respectively.</w:t>
      </w:r>
    </w:p>
    <w:p w14:paraId="3EA3E253" w14:textId="0BB9954B" w:rsidR="008E6EC3" w:rsidRPr="0068236B" w:rsidRDefault="008E6EC3" w:rsidP="00894E49">
      <w:pPr>
        <w:rPr>
          <w:sz w:val="20"/>
          <w:szCs w:val="20"/>
        </w:rPr>
      </w:pPr>
      <w:r w:rsidRPr="0068236B">
        <w:rPr>
          <w:sz w:val="20"/>
          <w:szCs w:val="20"/>
        </w:rPr>
        <w:t xml:space="preserve">The substation technical equipment will be subject to technical inspection and periodic inspections in </w:t>
      </w:r>
      <w:r w:rsidR="005E6643" w:rsidRPr="0068236B">
        <w:rPr>
          <w:sz w:val="20"/>
          <w:szCs w:val="20"/>
        </w:rPr>
        <w:t>compl</w:t>
      </w:r>
      <w:r w:rsidR="005E6643" w:rsidRPr="0068236B">
        <w:rPr>
          <w:sz w:val="20"/>
          <w:szCs w:val="20"/>
        </w:rPr>
        <w:t>i</w:t>
      </w:r>
      <w:r w:rsidR="005E6643" w:rsidRPr="0068236B">
        <w:rPr>
          <w:sz w:val="20"/>
          <w:szCs w:val="20"/>
        </w:rPr>
        <w:t>ance</w:t>
      </w:r>
      <w:r w:rsidRPr="0068236B">
        <w:rPr>
          <w:sz w:val="20"/>
          <w:szCs w:val="20"/>
        </w:rPr>
        <w:t xml:space="preserve"> with MEPSO’s operational and maintenance rules. These rules prescribe the activities and timing of technical inspections and periodic examinations, the manner and procedure of performing technical inspe</w:t>
      </w:r>
      <w:r w:rsidRPr="0068236B">
        <w:rPr>
          <w:sz w:val="20"/>
          <w:szCs w:val="20"/>
        </w:rPr>
        <w:t>c</w:t>
      </w:r>
      <w:r w:rsidRPr="0068236B">
        <w:rPr>
          <w:sz w:val="20"/>
          <w:szCs w:val="20"/>
        </w:rPr>
        <w:t>tion and periodic examinations, closer conditions to be met during these inspections. They also prescribe the type of documentation that accompanies the technical equipment during commissioning and use.</w:t>
      </w:r>
    </w:p>
    <w:p w14:paraId="2614ECAC" w14:textId="79996971" w:rsidR="00894E49" w:rsidRPr="0068236B" w:rsidRDefault="008E6EC3" w:rsidP="00894E49">
      <w:pPr>
        <w:rPr>
          <w:sz w:val="20"/>
          <w:szCs w:val="20"/>
        </w:rPr>
      </w:pPr>
      <w:r w:rsidRPr="0068236B">
        <w:rPr>
          <w:sz w:val="20"/>
          <w:szCs w:val="20"/>
        </w:rPr>
        <w:t>The supplied equipment during the entire use should satisfy all safety requirements defined by standards and technical specifications according to which it is produced, the technical regulations adopted by the co</w:t>
      </w:r>
      <w:r w:rsidRPr="0068236B">
        <w:rPr>
          <w:sz w:val="20"/>
          <w:szCs w:val="20"/>
        </w:rPr>
        <w:t>m</w:t>
      </w:r>
      <w:r w:rsidRPr="0068236B">
        <w:rPr>
          <w:sz w:val="20"/>
          <w:szCs w:val="20"/>
        </w:rPr>
        <w:t>petent authorities</w:t>
      </w:r>
      <w:r w:rsidR="00894E49" w:rsidRPr="0068236B">
        <w:rPr>
          <w:sz w:val="20"/>
          <w:szCs w:val="20"/>
        </w:rPr>
        <w:t xml:space="preserve"> or determined by the </w:t>
      </w:r>
      <w:r w:rsidRPr="0068236B">
        <w:rPr>
          <w:sz w:val="20"/>
          <w:szCs w:val="20"/>
        </w:rPr>
        <w:t xml:space="preserve">national </w:t>
      </w:r>
      <w:r w:rsidR="00894E49" w:rsidRPr="0068236B">
        <w:rPr>
          <w:sz w:val="20"/>
          <w:szCs w:val="20"/>
        </w:rPr>
        <w:t xml:space="preserve">and international safety </w:t>
      </w:r>
      <w:r w:rsidRPr="0068236B">
        <w:rPr>
          <w:sz w:val="20"/>
          <w:szCs w:val="20"/>
        </w:rPr>
        <w:t>standards</w:t>
      </w:r>
      <w:r w:rsidR="00894E49" w:rsidRPr="0068236B">
        <w:rPr>
          <w:sz w:val="20"/>
          <w:szCs w:val="20"/>
        </w:rPr>
        <w:t>.</w:t>
      </w:r>
    </w:p>
    <w:p w14:paraId="4DE255DF" w14:textId="77777777" w:rsidR="00873DED" w:rsidRPr="0068236B" w:rsidRDefault="00873DED" w:rsidP="00873DED">
      <w:pPr>
        <w:ind w:firstLine="720"/>
        <w:rPr>
          <w:sz w:val="20"/>
          <w:szCs w:val="20"/>
          <w:u w:val="single"/>
        </w:rPr>
      </w:pPr>
      <w:r w:rsidRPr="0068236B">
        <w:rPr>
          <w:sz w:val="20"/>
          <w:szCs w:val="20"/>
          <w:u w:val="single"/>
        </w:rPr>
        <w:lastRenderedPageBreak/>
        <w:t>Transmission Lines</w:t>
      </w:r>
    </w:p>
    <w:p w14:paraId="7F052E17" w14:textId="77777777" w:rsidR="00873DED" w:rsidRPr="0068236B" w:rsidRDefault="00873DED" w:rsidP="00873DED">
      <w:pPr>
        <w:rPr>
          <w:rFonts w:cs="Tahoma"/>
          <w:sz w:val="20"/>
          <w:szCs w:val="20"/>
        </w:rPr>
      </w:pPr>
      <w:r w:rsidRPr="0068236B">
        <w:rPr>
          <w:rFonts w:cs="Tahoma"/>
          <w:sz w:val="20"/>
          <w:szCs w:val="20"/>
        </w:rPr>
        <w:t>From the beginning of operations, the transmission lines will be operated remotely by MEPSO, without the continuous presence of personnel.</w:t>
      </w:r>
    </w:p>
    <w:p w14:paraId="04C61FA5" w14:textId="77777777" w:rsidR="00873DED" w:rsidRPr="0068236B" w:rsidRDefault="00873DED" w:rsidP="00873DED">
      <w:pPr>
        <w:pStyle w:val="BodyTextIndent"/>
        <w:tabs>
          <w:tab w:val="left" w:pos="0"/>
        </w:tabs>
        <w:spacing w:before="120" w:after="120"/>
        <w:ind w:left="0"/>
        <w:rPr>
          <w:rFonts w:cs="Tahoma"/>
          <w:sz w:val="20"/>
          <w:szCs w:val="20"/>
        </w:rPr>
      </w:pPr>
      <w:r w:rsidRPr="0068236B">
        <w:rPr>
          <w:rFonts w:cs="Tahoma"/>
          <w:sz w:val="20"/>
          <w:szCs w:val="20"/>
        </w:rPr>
        <w:t>In general, maintenance works include regular maintenance (visual inspections and routine annual maint</w:t>
      </w:r>
      <w:r w:rsidRPr="0068236B">
        <w:rPr>
          <w:rFonts w:cs="Tahoma"/>
          <w:sz w:val="20"/>
          <w:szCs w:val="20"/>
        </w:rPr>
        <w:t>e</w:t>
      </w:r>
      <w:r w:rsidRPr="0068236B">
        <w:rPr>
          <w:rFonts w:cs="Tahoma"/>
          <w:sz w:val="20"/>
          <w:szCs w:val="20"/>
        </w:rPr>
        <w:t>nance works) and overhauls (detailed examination and elimination of possible faults).</w:t>
      </w:r>
    </w:p>
    <w:p w14:paraId="13E822A9" w14:textId="27E729A8" w:rsidR="00D63E13" w:rsidRPr="0068236B" w:rsidRDefault="00873DED" w:rsidP="00873DED">
      <w:pPr>
        <w:pStyle w:val="yiv1566806162msonormal"/>
        <w:spacing w:before="120" w:beforeAutospacing="0" w:after="120" w:afterAutospacing="0"/>
        <w:jc w:val="both"/>
        <w:rPr>
          <w:rFonts w:ascii="Tahoma" w:hAnsi="Tahoma" w:cs="Tahoma"/>
          <w:sz w:val="20"/>
          <w:szCs w:val="20"/>
          <w:lang w:val="en-GB"/>
        </w:rPr>
      </w:pPr>
      <w:r w:rsidRPr="0068236B">
        <w:rPr>
          <w:rFonts w:ascii="Tahoma" w:hAnsi="Tahoma" w:cs="Tahoma"/>
          <w:sz w:val="20"/>
          <w:szCs w:val="20"/>
          <w:lang w:val="en-GB"/>
        </w:rPr>
        <w:t>Visual inspection</w:t>
      </w:r>
      <w:r w:rsidR="00D63E13" w:rsidRPr="0068236B">
        <w:rPr>
          <w:rFonts w:ascii="Tahoma" w:hAnsi="Tahoma" w:cs="Tahoma"/>
          <w:sz w:val="20"/>
          <w:szCs w:val="20"/>
          <w:lang w:val="en-GB"/>
        </w:rPr>
        <w:t xml:space="preserve"> will be conducted twice a year, including the access roads.</w:t>
      </w:r>
      <w:r w:rsidRPr="0068236B">
        <w:rPr>
          <w:rFonts w:ascii="Tahoma" w:hAnsi="Tahoma" w:cs="Tahoma"/>
          <w:sz w:val="20"/>
          <w:szCs w:val="20"/>
          <w:lang w:val="en-GB"/>
        </w:rPr>
        <w:t xml:space="preserve"> </w:t>
      </w:r>
      <w:r w:rsidR="00DE1518" w:rsidRPr="0068236B">
        <w:rPr>
          <w:rFonts w:ascii="Tahoma" w:hAnsi="Tahoma" w:cs="Tahoma"/>
          <w:sz w:val="20"/>
          <w:szCs w:val="20"/>
          <w:lang w:val="en-GB"/>
        </w:rPr>
        <w:t xml:space="preserve">Four wheel drive vehicles and small trucks will be used for that purpose. </w:t>
      </w:r>
      <w:r w:rsidRPr="0068236B">
        <w:rPr>
          <w:rFonts w:ascii="Tahoma" w:hAnsi="Tahoma" w:cs="Tahoma"/>
          <w:sz w:val="20"/>
          <w:szCs w:val="20"/>
          <w:lang w:val="en-GB"/>
        </w:rPr>
        <w:t xml:space="preserve">The inspection would identify if there are any visible faults or signs of wear and would also indicate if changes in plant or tree growth, or development, had occurred which might risk infringing safety clearances. </w:t>
      </w:r>
    </w:p>
    <w:p w14:paraId="4C086436" w14:textId="21352C6C" w:rsidR="00D63E13" w:rsidRPr="0068236B" w:rsidRDefault="00D63E13" w:rsidP="00873DED">
      <w:pPr>
        <w:pStyle w:val="yiv1566806162msonormal"/>
        <w:spacing w:before="120" w:beforeAutospacing="0" w:after="120" w:afterAutospacing="0"/>
        <w:jc w:val="both"/>
        <w:rPr>
          <w:rFonts w:ascii="Tahoma" w:hAnsi="Tahoma" w:cs="Tahoma"/>
          <w:sz w:val="20"/>
          <w:szCs w:val="20"/>
          <w:lang w:val="en-GB"/>
        </w:rPr>
      </w:pPr>
      <w:r w:rsidRPr="0068236B">
        <w:rPr>
          <w:rFonts w:ascii="Tahoma" w:hAnsi="Tahoma" w:cs="Tahoma"/>
          <w:sz w:val="20"/>
          <w:szCs w:val="20"/>
          <w:lang w:val="en-GB"/>
        </w:rPr>
        <w:t xml:space="preserve">The scope of these regular </w:t>
      </w:r>
      <w:r w:rsidR="00DE1518" w:rsidRPr="0068236B">
        <w:rPr>
          <w:rFonts w:ascii="Tahoma" w:hAnsi="Tahoma" w:cs="Tahoma"/>
          <w:sz w:val="20"/>
          <w:szCs w:val="20"/>
          <w:lang w:val="en-GB"/>
        </w:rPr>
        <w:t xml:space="preserve">visual </w:t>
      </w:r>
      <w:r w:rsidRPr="0068236B">
        <w:rPr>
          <w:rFonts w:ascii="Tahoma" w:hAnsi="Tahoma" w:cs="Tahoma"/>
          <w:sz w:val="20"/>
          <w:szCs w:val="20"/>
          <w:lang w:val="en-GB"/>
        </w:rPr>
        <w:t>inspections includes the following key issues:</w:t>
      </w:r>
    </w:p>
    <w:p w14:paraId="31EAF6D0" w14:textId="5E2BEC60" w:rsidR="00D63E13" w:rsidRPr="0068236B" w:rsidRDefault="00D63E13" w:rsidP="00DE1518">
      <w:pPr>
        <w:pStyle w:val="ListBullet"/>
        <w:rPr>
          <w:sz w:val="20"/>
          <w:szCs w:val="20"/>
        </w:rPr>
      </w:pPr>
      <w:r w:rsidRPr="0068236B">
        <w:rPr>
          <w:sz w:val="20"/>
          <w:szCs w:val="20"/>
        </w:rPr>
        <w:t>Inspection of each OHL tower and its elements – the consoles and the tower top as well as its verticality and stability</w:t>
      </w:r>
    </w:p>
    <w:p w14:paraId="12F3E2A9" w14:textId="661476A4" w:rsidR="00D63E13" w:rsidRPr="0068236B" w:rsidRDefault="00D63E13" w:rsidP="00DE1518">
      <w:pPr>
        <w:pStyle w:val="ListBullet"/>
        <w:rPr>
          <w:sz w:val="20"/>
          <w:szCs w:val="20"/>
        </w:rPr>
      </w:pPr>
      <w:r w:rsidRPr="0068236B">
        <w:rPr>
          <w:sz w:val="20"/>
          <w:szCs w:val="20"/>
        </w:rPr>
        <w:t xml:space="preserve">Inspection of the </w:t>
      </w:r>
      <w:r w:rsidR="005E6643" w:rsidRPr="0068236B">
        <w:rPr>
          <w:sz w:val="20"/>
          <w:szCs w:val="20"/>
        </w:rPr>
        <w:t>fundament</w:t>
      </w:r>
      <w:r w:rsidRPr="0068236B">
        <w:rPr>
          <w:sz w:val="20"/>
          <w:szCs w:val="20"/>
        </w:rPr>
        <w:t xml:space="preserve"> of each OHL tower</w:t>
      </w:r>
    </w:p>
    <w:p w14:paraId="1C0D99EB" w14:textId="6F60D118" w:rsidR="00DE1518" w:rsidRPr="0068236B" w:rsidRDefault="00DE1518" w:rsidP="00DE1518">
      <w:pPr>
        <w:pStyle w:val="ListBullet"/>
        <w:rPr>
          <w:sz w:val="20"/>
          <w:szCs w:val="20"/>
        </w:rPr>
      </w:pPr>
      <w:r w:rsidRPr="0068236B">
        <w:rPr>
          <w:sz w:val="20"/>
          <w:szCs w:val="20"/>
        </w:rPr>
        <w:t xml:space="preserve">Inspection of the earthing of each OHL tower </w:t>
      </w:r>
    </w:p>
    <w:p w14:paraId="71203BBA" w14:textId="16AF141C" w:rsidR="00D63E13" w:rsidRPr="0068236B" w:rsidRDefault="00D63E13" w:rsidP="00DE1518">
      <w:pPr>
        <w:pStyle w:val="ListBullet"/>
        <w:rPr>
          <w:sz w:val="20"/>
          <w:szCs w:val="20"/>
        </w:rPr>
      </w:pPr>
      <w:r w:rsidRPr="0068236B">
        <w:rPr>
          <w:sz w:val="20"/>
          <w:szCs w:val="20"/>
        </w:rPr>
        <w:t>Inspection of the towers’ anti-</w:t>
      </w:r>
      <w:r w:rsidR="00DE1518" w:rsidRPr="0068236B">
        <w:rPr>
          <w:sz w:val="20"/>
          <w:szCs w:val="20"/>
        </w:rPr>
        <w:t>corrosion</w:t>
      </w:r>
      <w:r w:rsidRPr="0068236B">
        <w:rPr>
          <w:sz w:val="20"/>
          <w:szCs w:val="20"/>
        </w:rPr>
        <w:t xml:space="preserve"> protection </w:t>
      </w:r>
    </w:p>
    <w:p w14:paraId="374FDAF9" w14:textId="5342A053" w:rsidR="00DE1518" w:rsidRPr="0068236B" w:rsidRDefault="005E6643" w:rsidP="00DE1518">
      <w:pPr>
        <w:pStyle w:val="ListBullet"/>
        <w:rPr>
          <w:sz w:val="20"/>
          <w:szCs w:val="20"/>
        </w:rPr>
      </w:pPr>
      <w:r w:rsidRPr="0068236B">
        <w:rPr>
          <w:sz w:val="20"/>
          <w:szCs w:val="20"/>
        </w:rPr>
        <w:t>Inspection</w:t>
      </w:r>
      <w:r w:rsidR="00DE1518" w:rsidRPr="0068236B">
        <w:rPr>
          <w:sz w:val="20"/>
          <w:szCs w:val="20"/>
        </w:rPr>
        <w:t xml:space="preserve"> of the signage at each OHL tower</w:t>
      </w:r>
    </w:p>
    <w:p w14:paraId="22CFC114" w14:textId="0BE5FB03" w:rsidR="00DE1518" w:rsidRPr="0068236B" w:rsidRDefault="00DE1518" w:rsidP="00DE1518">
      <w:pPr>
        <w:pStyle w:val="ListBullet"/>
        <w:rPr>
          <w:sz w:val="20"/>
          <w:szCs w:val="20"/>
        </w:rPr>
      </w:pPr>
      <w:r w:rsidRPr="0068236B">
        <w:rPr>
          <w:sz w:val="20"/>
          <w:szCs w:val="20"/>
        </w:rPr>
        <w:t xml:space="preserve">Inspection of the conductors, </w:t>
      </w:r>
      <w:r w:rsidR="005E6643" w:rsidRPr="0068236B">
        <w:rPr>
          <w:sz w:val="20"/>
          <w:szCs w:val="20"/>
        </w:rPr>
        <w:t>earth</w:t>
      </w:r>
      <w:r w:rsidRPr="0068236B">
        <w:rPr>
          <w:sz w:val="20"/>
          <w:szCs w:val="20"/>
        </w:rPr>
        <w:t xml:space="preserve"> wires and insulator chains</w:t>
      </w:r>
    </w:p>
    <w:p w14:paraId="2A461361" w14:textId="3DA5EE5B" w:rsidR="00DE1518" w:rsidRPr="0068236B" w:rsidRDefault="00DE1518" w:rsidP="00DE1518">
      <w:pPr>
        <w:pStyle w:val="ListBullet"/>
        <w:rPr>
          <w:sz w:val="20"/>
          <w:szCs w:val="20"/>
        </w:rPr>
      </w:pPr>
      <w:r w:rsidRPr="0068236B">
        <w:rPr>
          <w:sz w:val="20"/>
          <w:szCs w:val="20"/>
        </w:rPr>
        <w:t>Inspection of the clearance corridor</w:t>
      </w:r>
      <w:r w:rsidR="00E25C90" w:rsidRPr="0068236B">
        <w:rPr>
          <w:sz w:val="20"/>
          <w:szCs w:val="20"/>
        </w:rPr>
        <w:t>s</w:t>
      </w:r>
      <w:r w:rsidRPr="0068236B">
        <w:rPr>
          <w:sz w:val="20"/>
          <w:szCs w:val="20"/>
        </w:rPr>
        <w:t xml:space="preserve"> and the status of the clearances vs vegetation</w:t>
      </w:r>
      <w:r w:rsidR="00E25C90" w:rsidRPr="0068236B">
        <w:rPr>
          <w:sz w:val="20"/>
          <w:szCs w:val="20"/>
        </w:rPr>
        <w:t>. The clea</w:t>
      </w:r>
      <w:r w:rsidR="00E25C90" w:rsidRPr="0068236B">
        <w:rPr>
          <w:sz w:val="20"/>
          <w:szCs w:val="20"/>
        </w:rPr>
        <w:t>r</w:t>
      </w:r>
      <w:r w:rsidR="00E25C90" w:rsidRPr="0068236B">
        <w:rPr>
          <w:sz w:val="20"/>
          <w:szCs w:val="20"/>
        </w:rPr>
        <w:t>ance corridors will require monitoring to ensure the necessary safety clearances are maintained. Maintenance of the corridors would be undertaking using manual cutting to minimise the intr</w:t>
      </w:r>
      <w:r w:rsidR="00E25C90" w:rsidRPr="0068236B">
        <w:rPr>
          <w:sz w:val="20"/>
          <w:szCs w:val="20"/>
        </w:rPr>
        <w:t>u</w:t>
      </w:r>
      <w:r w:rsidR="00E25C90" w:rsidRPr="0068236B">
        <w:rPr>
          <w:sz w:val="20"/>
          <w:szCs w:val="20"/>
        </w:rPr>
        <w:t>sion into the vegetated corridor.</w:t>
      </w:r>
    </w:p>
    <w:p w14:paraId="3FB8B703" w14:textId="465C6B8C" w:rsidR="00873DED" w:rsidRPr="0068236B" w:rsidRDefault="00DE1518" w:rsidP="00873DED">
      <w:pPr>
        <w:pStyle w:val="yiv1566806162msonormal"/>
        <w:spacing w:before="120" w:beforeAutospacing="0" w:after="120" w:afterAutospacing="0"/>
        <w:jc w:val="both"/>
        <w:rPr>
          <w:rFonts w:ascii="Tahoma" w:hAnsi="Tahoma" w:cs="Tahoma"/>
          <w:sz w:val="20"/>
          <w:szCs w:val="20"/>
          <w:lang w:val="en-GB"/>
        </w:rPr>
      </w:pPr>
      <w:r w:rsidRPr="0068236B">
        <w:rPr>
          <w:rFonts w:ascii="Tahoma" w:hAnsi="Tahoma" w:cs="Tahoma"/>
          <w:sz w:val="20"/>
          <w:szCs w:val="20"/>
          <w:lang w:val="en-GB"/>
        </w:rPr>
        <w:t>These i</w:t>
      </w:r>
      <w:r w:rsidR="00873DED" w:rsidRPr="0068236B">
        <w:rPr>
          <w:rFonts w:ascii="Tahoma" w:hAnsi="Tahoma" w:cs="Tahoma"/>
          <w:sz w:val="20"/>
          <w:szCs w:val="20"/>
          <w:lang w:val="en-GB"/>
        </w:rPr>
        <w:t>nspections would also confirm when refurbishment is required and may be followed by certain actions in individual sections, such as:</w:t>
      </w:r>
    </w:p>
    <w:p w14:paraId="45DB69CA" w14:textId="22A51A31" w:rsidR="009673A3" w:rsidRPr="0068236B" w:rsidRDefault="009673A3" w:rsidP="009673A3">
      <w:pPr>
        <w:pStyle w:val="ListBullet"/>
        <w:rPr>
          <w:sz w:val="20"/>
          <w:szCs w:val="20"/>
        </w:rPr>
      </w:pPr>
      <w:r w:rsidRPr="0068236B">
        <w:rPr>
          <w:sz w:val="20"/>
          <w:szCs w:val="20"/>
        </w:rPr>
        <w:t xml:space="preserve">Replacement of conductors and </w:t>
      </w:r>
      <w:r w:rsidR="005E6643" w:rsidRPr="0068236B">
        <w:rPr>
          <w:sz w:val="20"/>
          <w:szCs w:val="20"/>
        </w:rPr>
        <w:t>earth wire</w:t>
      </w:r>
      <w:r w:rsidRPr="0068236B">
        <w:rPr>
          <w:sz w:val="20"/>
          <w:szCs w:val="20"/>
        </w:rPr>
        <w:t>;</w:t>
      </w:r>
    </w:p>
    <w:p w14:paraId="0D763E88" w14:textId="77777777" w:rsidR="009673A3" w:rsidRPr="0068236B" w:rsidRDefault="009673A3" w:rsidP="009673A3">
      <w:pPr>
        <w:pStyle w:val="ListBullet"/>
        <w:rPr>
          <w:sz w:val="20"/>
          <w:szCs w:val="20"/>
        </w:rPr>
      </w:pPr>
      <w:r w:rsidRPr="0068236B">
        <w:rPr>
          <w:sz w:val="20"/>
          <w:szCs w:val="20"/>
        </w:rPr>
        <w:t xml:space="preserve">Replacement of insulators and steelwork that holds the conductors and insulators in place; </w:t>
      </w:r>
    </w:p>
    <w:p w14:paraId="0C499A36" w14:textId="77777777" w:rsidR="009673A3" w:rsidRPr="0068236B" w:rsidRDefault="009673A3" w:rsidP="009673A3">
      <w:pPr>
        <w:pStyle w:val="ListBullet"/>
        <w:rPr>
          <w:sz w:val="20"/>
          <w:szCs w:val="20"/>
        </w:rPr>
      </w:pPr>
      <w:r w:rsidRPr="0068236B">
        <w:rPr>
          <w:sz w:val="20"/>
          <w:szCs w:val="20"/>
        </w:rPr>
        <w:t>Painting or replacing the tower steelwork; and</w:t>
      </w:r>
    </w:p>
    <w:p w14:paraId="7EADC2EF" w14:textId="77777777" w:rsidR="009673A3" w:rsidRPr="0068236B" w:rsidRDefault="009673A3" w:rsidP="009673A3">
      <w:pPr>
        <w:pStyle w:val="ListBullet"/>
        <w:rPr>
          <w:sz w:val="20"/>
          <w:szCs w:val="20"/>
        </w:rPr>
      </w:pPr>
      <w:r w:rsidRPr="0068236B">
        <w:rPr>
          <w:sz w:val="20"/>
          <w:szCs w:val="20"/>
        </w:rPr>
        <w:t>Replacement of tower furniture (anti-climbing devices, colour identification plates, danger of death notices, number plates).</w:t>
      </w:r>
    </w:p>
    <w:p w14:paraId="73C6DBE7" w14:textId="6ED2F23B" w:rsidR="00873DED" w:rsidRPr="0068236B" w:rsidRDefault="00873DED" w:rsidP="00873DED">
      <w:pPr>
        <w:pStyle w:val="yiv1566806162msonormal"/>
        <w:spacing w:before="120" w:beforeAutospacing="0" w:after="120" w:afterAutospacing="0"/>
        <w:jc w:val="both"/>
        <w:rPr>
          <w:rFonts w:ascii="Tahoma" w:hAnsi="Tahoma" w:cs="Tahoma"/>
          <w:sz w:val="20"/>
          <w:szCs w:val="20"/>
          <w:lang w:val="en-GB"/>
        </w:rPr>
      </w:pPr>
      <w:r w:rsidRPr="0068236B">
        <w:rPr>
          <w:rFonts w:ascii="Tahoma" w:hAnsi="Tahoma" w:cs="Tahoma"/>
          <w:sz w:val="20"/>
          <w:szCs w:val="20"/>
          <w:lang w:val="en-GB"/>
        </w:rPr>
        <w:t xml:space="preserve">Overhauls are completed once in </w:t>
      </w:r>
      <w:r w:rsidR="00DE1518" w:rsidRPr="0068236B">
        <w:rPr>
          <w:rFonts w:ascii="Tahoma" w:hAnsi="Tahoma" w:cs="Tahoma"/>
          <w:sz w:val="20"/>
          <w:szCs w:val="20"/>
          <w:lang w:val="en-GB"/>
        </w:rPr>
        <w:t>two</w:t>
      </w:r>
      <w:r w:rsidRPr="0068236B">
        <w:rPr>
          <w:rFonts w:ascii="Tahoma" w:hAnsi="Tahoma" w:cs="Tahoma"/>
          <w:sz w:val="20"/>
          <w:szCs w:val="20"/>
          <w:lang w:val="en-GB"/>
        </w:rPr>
        <w:t xml:space="preserve"> to five years. These may require use of tracks and heavy tractors. Overhauls include physical inspection of each tower and removal of all registered faults on the towers and electrical equipment (short circuits, ground faults, earth</w:t>
      </w:r>
      <w:r w:rsidR="005717BB" w:rsidRPr="0068236B">
        <w:rPr>
          <w:rFonts w:ascii="Tahoma" w:hAnsi="Tahoma" w:cs="Tahoma"/>
          <w:sz w:val="20"/>
          <w:szCs w:val="20"/>
          <w:lang w:val="en-GB"/>
        </w:rPr>
        <w:t xml:space="preserve"> </w:t>
      </w:r>
      <w:r w:rsidR="00DE1518" w:rsidRPr="0068236B">
        <w:rPr>
          <w:rFonts w:ascii="Tahoma" w:hAnsi="Tahoma" w:cs="Tahoma"/>
          <w:sz w:val="20"/>
          <w:szCs w:val="20"/>
          <w:lang w:val="en-GB"/>
        </w:rPr>
        <w:t>wire damages, etc.), including:</w:t>
      </w:r>
    </w:p>
    <w:p w14:paraId="0605544F" w14:textId="31B6BB08" w:rsidR="00DE1518" w:rsidRPr="0068236B" w:rsidRDefault="00DE1518" w:rsidP="00DE1518">
      <w:pPr>
        <w:pStyle w:val="ListBullet"/>
        <w:jc w:val="left"/>
        <w:rPr>
          <w:sz w:val="20"/>
          <w:szCs w:val="20"/>
        </w:rPr>
      </w:pPr>
      <w:r w:rsidRPr="0068236B">
        <w:rPr>
          <w:sz w:val="20"/>
          <w:szCs w:val="20"/>
        </w:rPr>
        <w:t>Check of the whole anti-corrosion protection system, each two years. If necessary, samples are to be taken for further investigation.</w:t>
      </w:r>
    </w:p>
    <w:p w14:paraId="5F8B97C4" w14:textId="1721B293" w:rsidR="00DE1518" w:rsidRPr="0068236B" w:rsidRDefault="00DE1518" w:rsidP="00E25C90">
      <w:pPr>
        <w:pStyle w:val="ListBullet"/>
        <w:jc w:val="left"/>
        <w:rPr>
          <w:sz w:val="20"/>
          <w:szCs w:val="20"/>
        </w:rPr>
      </w:pPr>
      <w:r w:rsidRPr="0068236B">
        <w:rPr>
          <w:sz w:val="20"/>
          <w:szCs w:val="20"/>
        </w:rPr>
        <w:t>Check of the earthing of the OHL towers, each five years. This also includes a measurement of the ground resistance.</w:t>
      </w:r>
    </w:p>
    <w:p w14:paraId="56CDB48E" w14:textId="05573126" w:rsidR="00DE1518" w:rsidRPr="0068236B" w:rsidRDefault="00DE1518" w:rsidP="00E25C90">
      <w:pPr>
        <w:pStyle w:val="ListBullet"/>
        <w:jc w:val="left"/>
        <w:rPr>
          <w:sz w:val="20"/>
          <w:szCs w:val="20"/>
        </w:rPr>
      </w:pPr>
      <w:r w:rsidRPr="0068236B">
        <w:rPr>
          <w:sz w:val="20"/>
          <w:szCs w:val="20"/>
        </w:rPr>
        <w:t xml:space="preserve">Cleaning around the foundations of the </w:t>
      </w:r>
      <w:r w:rsidR="00E25C90" w:rsidRPr="0068236B">
        <w:rPr>
          <w:sz w:val="20"/>
          <w:szCs w:val="20"/>
        </w:rPr>
        <w:t>towers, each five years. This also includes repairing works, if necessary, such as cracks, concrete deterioration problems, etc.</w:t>
      </w:r>
    </w:p>
    <w:p w14:paraId="7D053FFD" w14:textId="256E85BF" w:rsidR="00E25C90" w:rsidRPr="0068236B" w:rsidRDefault="00E25C90" w:rsidP="00E25C90">
      <w:pPr>
        <w:pStyle w:val="ListBullet"/>
        <w:jc w:val="left"/>
        <w:rPr>
          <w:sz w:val="20"/>
          <w:szCs w:val="20"/>
        </w:rPr>
      </w:pPr>
      <w:r w:rsidRPr="0068236B">
        <w:rPr>
          <w:sz w:val="20"/>
          <w:szCs w:val="20"/>
        </w:rPr>
        <w:t>Check of the screw connections, each five years.</w:t>
      </w:r>
    </w:p>
    <w:p w14:paraId="210DB1E6" w14:textId="094128DE" w:rsidR="00E25C90" w:rsidRPr="0068236B" w:rsidRDefault="00E25C90" w:rsidP="00E25C90">
      <w:pPr>
        <w:pStyle w:val="ListBullet"/>
        <w:jc w:val="left"/>
        <w:rPr>
          <w:sz w:val="20"/>
          <w:szCs w:val="20"/>
        </w:rPr>
      </w:pPr>
      <w:r w:rsidRPr="0068236B">
        <w:rPr>
          <w:sz w:val="20"/>
          <w:szCs w:val="20"/>
        </w:rPr>
        <w:t>Check of the power bridges, each five years.</w:t>
      </w:r>
    </w:p>
    <w:p w14:paraId="2EEF2029" w14:textId="6689B4EE" w:rsidR="00873DED" w:rsidRPr="0068236B" w:rsidRDefault="00E25C90" w:rsidP="00873DED">
      <w:pPr>
        <w:pStyle w:val="ListBullet"/>
        <w:jc w:val="left"/>
        <w:rPr>
          <w:sz w:val="20"/>
          <w:szCs w:val="20"/>
        </w:rPr>
      </w:pPr>
      <w:r w:rsidRPr="0068236B">
        <w:rPr>
          <w:sz w:val="20"/>
          <w:szCs w:val="20"/>
        </w:rPr>
        <w:t>Sampling of the built-in equipment (e.g. samples of the steel construction, insulators, condu</w:t>
      </w:r>
      <w:r w:rsidRPr="0068236B">
        <w:rPr>
          <w:sz w:val="20"/>
          <w:szCs w:val="20"/>
        </w:rPr>
        <w:t>c</w:t>
      </w:r>
      <w:r w:rsidRPr="0068236B">
        <w:rPr>
          <w:sz w:val="20"/>
          <w:szCs w:val="20"/>
        </w:rPr>
        <w:t>tors and wires) in order to examine their operational quality and characteristics so that appr</w:t>
      </w:r>
      <w:r w:rsidRPr="0068236B">
        <w:rPr>
          <w:sz w:val="20"/>
          <w:szCs w:val="20"/>
        </w:rPr>
        <w:t>o</w:t>
      </w:r>
      <w:r w:rsidRPr="0068236B">
        <w:rPr>
          <w:sz w:val="20"/>
          <w:szCs w:val="20"/>
        </w:rPr>
        <w:t>priate corrective measures can be planned and taken, if necessary.</w:t>
      </w:r>
    </w:p>
    <w:p w14:paraId="037A4E22" w14:textId="77777777" w:rsidR="00873DED" w:rsidRPr="0068236B" w:rsidRDefault="00873DED" w:rsidP="00764660">
      <w:pPr>
        <w:pStyle w:val="Heading3"/>
      </w:pPr>
      <w:bookmarkStart w:id="91" w:name="_Toc93085844"/>
      <w:bookmarkStart w:id="92" w:name="_Toc112852207"/>
      <w:r w:rsidRPr="0068236B">
        <w:lastRenderedPageBreak/>
        <w:t>Decommissioning of the Project</w:t>
      </w:r>
      <w:bookmarkEnd w:id="91"/>
      <w:bookmarkEnd w:id="92"/>
    </w:p>
    <w:p w14:paraId="4E6B7FD9" w14:textId="28D9FCCF" w:rsidR="005717BB" w:rsidRPr="0068236B" w:rsidRDefault="00873DED" w:rsidP="00873DED">
      <w:pPr>
        <w:rPr>
          <w:sz w:val="20"/>
          <w:szCs w:val="20"/>
        </w:rPr>
      </w:pPr>
      <w:r w:rsidRPr="0068236B">
        <w:rPr>
          <w:sz w:val="20"/>
          <w:szCs w:val="20"/>
        </w:rPr>
        <w:t xml:space="preserve">The </w:t>
      </w:r>
      <w:r w:rsidR="00764660" w:rsidRPr="0068236B">
        <w:rPr>
          <w:sz w:val="20"/>
          <w:szCs w:val="20"/>
        </w:rPr>
        <w:t xml:space="preserve">substation and </w:t>
      </w:r>
      <w:r w:rsidRPr="0068236B">
        <w:rPr>
          <w:sz w:val="20"/>
          <w:szCs w:val="20"/>
        </w:rPr>
        <w:t xml:space="preserve">transmission lines will be made up of a variety of materials, from concrete and steel for the foundations, steelwork for the tower and aluminium/steel for the conductors. All these materials have an expected lifespan, which varies depending on how the </w:t>
      </w:r>
      <w:r w:rsidR="005717BB" w:rsidRPr="0068236B">
        <w:rPr>
          <w:sz w:val="20"/>
          <w:szCs w:val="20"/>
        </w:rPr>
        <w:t xml:space="preserve">Project is </w:t>
      </w:r>
      <w:r w:rsidRPr="0068236B">
        <w:rPr>
          <w:sz w:val="20"/>
          <w:szCs w:val="20"/>
        </w:rPr>
        <w:t xml:space="preserve">used and where </w:t>
      </w:r>
      <w:r w:rsidR="005717BB" w:rsidRPr="0068236B">
        <w:rPr>
          <w:sz w:val="20"/>
          <w:szCs w:val="20"/>
        </w:rPr>
        <w:t xml:space="preserve">it is </w:t>
      </w:r>
      <w:r w:rsidRPr="0068236B">
        <w:rPr>
          <w:sz w:val="20"/>
          <w:szCs w:val="20"/>
        </w:rPr>
        <w:t>located.</w:t>
      </w:r>
    </w:p>
    <w:p w14:paraId="06142222" w14:textId="2FE97974" w:rsidR="00873DED" w:rsidRPr="0068236B" w:rsidRDefault="00873DED" w:rsidP="00873DED">
      <w:pPr>
        <w:rPr>
          <w:sz w:val="20"/>
          <w:szCs w:val="20"/>
        </w:rPr>
      </w:pPr>
      <w:r w:rsidRPr="0068236B">
        <w:rPr>
          <w:sz w:val="20"/>
          <w:szCs w:val="20"/>
        </w:rPr>
        <w:t xml:space="preserve">In general, the transmission </w:t>
      </w:r>
      <w:r w:rsidR="005717BB" w:rsidRPr="0068236B">
        <w:rPr>
          <w:sz w:val="20"/>
          <w:szCs w:val="20"/>
        </w:rPr>
        <w:t xml:space="preserve">infrastructure and facilities </w:t>
      </w:r>
      <w:r w:rsidRPr="0068236B">
        <w:rPr>
          <w:sz w:val="20"/>
          <w:szCs w:val="20"/>
        </w:rPr>
        <w:t>have a typical design life expectancy of approximat</w:t>
      </w:r>
      <w:r w:rsidRPr="0068236B">
        <w:rPr>
          <w:sz w:val="20"/>
          <w:szCs w:val="20"/>
        </w:rPr>
        <w:t>e</w:t>
      </w:r>
      <w:r w:rsidRPr="0068236B">
        <w:rPr>
          <w:sz w:val="20"/>
          <w:szCs w:val="20"/>
        </w:rPr>
        <w:t>ly 80 years. After construction, the components of the Project would become an integral part of the Maced</w:t>
      </w:r>
      <w:r w:rsidRPr="0068236B">
        <w:rPr>
          <w:sz w:val="20"/>
          <w:szCs w:val="20"/>
        </w:rPr>
        <w:t>o</w:t>
      </w:r>
      <w:r w:rsidRPr="0068236B">
        <w:rPr>
          <w:sz w:val="20"/>
          <w:szCs w:val="20"/>
        </w:rPr>
        <w:t xml:space="preserve">nian transmission network. As such the lifespan of the </w:t>
      </w:r>
      <w:r w:rsidR="005717BB" w:rsidRPr="0068236B">
        <w:rPr>
          <w:sz w:val="20"/>
          <w:szCs w:val="20"/>
        </w:rPr>
        <w:t>Project’s elements</w:t>
      </w:r>
      <w:r w:rsidRPr="0068236B">
        <w:rPr>
          <w:sz w:val="20"/>
          <w:szCs w:val="20"/>
        </w:rPr>
        <w:t xml:space="preserve"> may be longer than the anticipated 80 years, depending on their condition, refurbishment and the future transmission network requirements. If the </w:t>
      </w:r>
      <w:r w:rsidR="005717BB" w:rsidRPr="0068236B">
        <w:rPr>
          <w:sz w:val="20"/>
          <w:szCs w:val="20"/>
        </w:rPr>
        <w:t>Project is</w:t>
      </w:r>
      <w:r w:rsidRPr="0068236B">
        <w:rPr>
          <w:sz w:val="20"/>
          <w:szCs w:val="20"/>
        </w:rPr>
        <w:t xml:space="preserve"> no longer required as part of the Macedonian network of electricity transmission, </w:t>
      </w:r>
      <w:r w:rsidR="005717BB" w:rsidRPr="0068236B">
        <w:rPr>
          <w:sz w:val="20"/>
          <w:szCs w:val="20"/>
        </w:rPr>
        <w:t>it</w:t>
      </w:r>
      <w:r w:rsidRPr="0068236B">
        <w:rPr>
          <w:sz w:val="20"/>
          <w:szCs w:val="20"/>
        </w:rPr>
        <w:t xml:space="preserve"> may be </w:t>
      </w:r>
      <w:r w:rsidRPr="0068236B">
        <w:rPr>
          <w:rFonts w:cs="Tahoma"/>
          <w:sz w:val="20"/>
          <w:szCs w:val="20"/>
        </w:rPr>
        <w:t>dismantled and removed</w:t>
      </w:r>
      <w:r w:rsidRPr="0068236B">
        <w:rPr>
          <w:sz w:val="20"/>
          <w:szCs w:val="20"/>
        </w:rPr>
        <w:t>. If at this point, or any other point in the future a decision is made to decommi</w:t>
      </w:r>
      <w:r w:rsidRPr="0068236B">
        <w:rPr>
          <w:sz w:val="20"/>
          <w:szCs w:val="20"/>
        </w:rPr>
        <w:t>s</w:t>
      </w:r>
      <w:r w:rsidRPr="0068236B">
        <w:rPr>
          <w:sz w:val="20"/>
          <w:szCs w:val="20"/>
        </w:rPr>
        <w:t xml:space="preserve">sion the </w:t>
      </w:r>
      <w:r w:rsidR="005717BB" w:rsidRPr="0068236B">
        <w:rPr>
          <w:sz w:val="20"/>
          <w:szCs w:val="20"/>
        </w:rPr>
        <w:t>Project</w:t>
      </w:r>
      <w:r w:rsidRPr="0068236B">
        <w:rPr>
          <w:sz w:val="20"/>
          <w:szCs w:val="20"/>
        </w:rPr>
        <w:t>, work would be undertaken</w:t>
      </w:r>
      <w:r w:rsidRPr="0068236B">
        <w:rPr>
          <w:rFonts w:cs="Tahoma"/>
          <w:sz w:val="20"/>
          <w:szCs w:val="20"/>
        </w:rPr>
        <w:t xml:space="preserve"> in accordance with the regulations and guidelines as well as the relevant statutory process applicable at that time</w:t>
      </w:r>
    </w:p>
    <w:p w14:paraId="4D6E132B" w14:textId="21951930" w:rsidR="00873DED" w:rsidRPr="0068236B" w:rsidRDefault="00873DED" w:rsidP="00873DED">
      <w:pPr>
        <w:rPr>
          <w:sz w:val="20"/>
          <w:szCs w:val="20"/>
        </w:rPr>
      </w:pPr>
      <w:r w:rsidRPr="0068236B">
        <w:rPr>
          <w:sz w:val="20"/>
          <w:szCs w:val="20"/>
        </w:rPr>
        <w:t xml:space="preserve">Upon removal, much of the </w:t>
      </w:r>
      <w:r w:rsidR="005717BB" w:rsidRPr="0068236B">
        <w:rPr>
          <w:sz w:val="20"/>
          <w:szCs w:val="20"/>
        </w:rPr>
        <w:t xml:space="preserve">equipment and </w:t>
      </w:r>
      <w:r w:rsidRPr="0068236B">
        <w:rPr>
          <w:sz w:val="20"/>
          <w:szCs w:val="20"/>
        </w:rPr>
        <w:t xml:space="preserve">material would be suitable for recycling. </w:t>
      </w:r>
      <w:r w:rsidR="005717BB" w:rsidRPr="0068236B">
        <w:rPr>
          <w:sz w:val="20"/>
          <w:szCs w:val="20"/>
        </w:rPr>
        <w:t xml:space="preserve">Substation equipment would be dismantled and removed. </w:t>
      </w:r>
      <w:r w:rsidRPr="0068236B">
        <w:rPr>
          <w:sz w:val="20"/>
          <w:szCs w:val="20"/>
        </w:rPr>
        <w:t>Fittings, such as dampers and spacers, would be removed from the co</w:t>
      </w:r>
      <w:r w:rsidRPr="0068236B">
        <w:rPr>
          <w:sz w:val="20"/>
          <w:szCs w:val="20"/>
        </w:rPr>
        <w:t>n</w:t>
      </w:r>
      <w:r w:rsidRPr="0068236B">
        <w:rPr>
          <w:sz w:val="20"/>
          <w:szCs w:val="20"/>
        </w:rPr>
        <w:t>ductors. The conductors would be cut into manageable lengths or would be winched onto drums in a reverse process to that described for construction. The fittings would be removed from the towers and lowered to the ground. The tower</w:t>
      </w:r>
      <w:r w:rsidR="005717BB" w:rsidRPr="0068236B">
        <w:rPr>
          <w:sz w:val="20"/>
          <w:szCs w:val="20"/>
        </w:rPr>
        <w:t>s</w:t>
      </w:r>
      <w:r w:rsidRPr="0068236B">
        <w:rPr>
          <w:sz w:val="20"/>
          <w:szCs w:val="20"/>
        </w:rPr>
        <w:t xml:space="preserve"> may be dismantled by crane, with sections cut and lowered to the ground for further dismantling and removal from site. Depending on the space available, it may be possible to cut the tower legs and then pull the tower to the ground using a tractor. The tower can then be cut into sections on the ground. Unless there is a compelling need for removal of all the foundations, to avoid ground disturbance steel work may be removed to ground level with subsurface elements left in situ.</w:t>
      </w:r>
    </w:p>
    <w:p w14:paraId="7CCEDA84" w14:textId="77777777" w:rsidR="00047DC6" w:rsidRPr="0068236B" w:rsidRDefault="00047DC6" w:rsidP="00E92CF4">
      <w:pPr>
        <w:rPr>
          <w:sz w:val="20"/>
        </w:rPr>
      </w:pPr>
    </w:p>
    <w:p w14:paraId="769F07ED" w14:textId="77777777" w:rsidR="00AE4716" w:rsidRPr="0068236B" w:rsidRDefault="00AE4716">
      <w:pPr>
        <w:spacing w:before="0" w:after="0" w:line="240" w:lineRule="auto"/>
        <w:jc w:val="left"/>
        <w:rPr>
          <w:rFonts w:ascii="Tahoma Bold" w:hAnsi="Tahoma Bold"/>
          <w:b/>
          <w:color w:val="44697D"/>
          <w:sz w:val="32"/>
          <w:szCs w:val="32"/>
          <w:u w:color="00B050"/>
        </w:rPr>
      </w:pPr>
      <w:bookmarkStart w:id="93" w:name="_Toc71559736"/>
      <w:bookmarkEnd w:id="66"/>
      <w:bookmarkEnd w:id="67"/>
    </w:p>
    <w:p w14:paraId="4DFFFAD8" w14:textId="64270043" w:rsidR="0061653B" w:rsidRPr="0068236B" w:rsidRDefault="00080590" w:rsidP="00E44ED8">
      <w:pPr>
        <w:pStyle w:val="Heading1"/>
      </w:pPr>
      <w:r w:rsidRPr="0068236B">
        <w:br w:type="column"/>
      </w:r>
      <w:bookmarkStart w:id="94" w:name="_Toc112852208"/>
      <w:r w:rsidR="00001293" w:rsidRPr="0068236B">
        <w:lastRenderedPageBreak/>
        <w:t>Project Option</w:t>
      </w:r>
      <w:bookmarkEnd w:id="93"/>
      <w:r w:rsidR="005A0298" w:rsidRPr="0068236B">
        <w:t>s</w:t>
      </w:r>
      <w:bookmarkEnd w:id="94"/>
    </w:p>
    <w:p w14:paraId="70471219" w14:textId="77777777" w:rsidR="00015E66" w:rsidRPr="0068236B" w:rsidRDefault="00001293" w:rsidP="00001293">
      <w:pPr>
        <w:pStyle w:val="Heading2"/>
        <w:spacing w:before="480" w:after="240"/>
        <w:ind w:left="1077"/>
      </w:pPr>
      <w:bookmarkStart w:id="95" w:name="_Toc450494969"/>
      <w:bookmarkStart w:id="96" w:name="_Toc450223070"/>
      <w:bookmarkStart w:id="97" w:name="_Toc48829039"/>
      <w:bookmarkStart w:id="98" w:name="_Toc71559737"/>
      <w:bookmarkStart w:id="99" w:name="_Toc112852209"/>
      <w:bookmarkEnd w:id="95"/>
      <w:bookmarkEnd w:id="96"/>
      <w:r w:rsidRPr="0068236B">
        <w:t>Identification and Assessment of Options</w:t>
      </w:r>
      <w:bookmarkEnd w:id="97"/>
      <w:bookmarkEnd w:id="98"/>
      <w:bookmarkEnd w:id="99"/>
    </w:p>
    <w:p w14:paraId="718E3CEB" w14:textId="77777777" w:rsidR="00001293" w:rsidRPr="0068236B" w:rsidRDefault="00001293" w:rsidP="00001293">
      <w:pPr>
        <w:pStyle w:val="Heading3"/>
      </w:pPr>
      <w:bookmarkStart w:id="100" w:name="_Toc48829040"/>
      <w:bookmarkStart w:id="101" w:name="_Toc71559738"/>
      <w:bookmarkStart w:id="102" w:name="_Toc112852210"/>
      <w:r w:rsidRPr="0068236B">
        <w:t>Methodological Approach</w:t>
      </w:r>
      <w:bookmarkEnd w:id="100"/>
      <w:bookmarkEnd w:id="101"/>
      <w:bookmarkEnd w:id="102"/>
    </w:p>
    <w:p w14:paraId="12ED719D" w14:textId="51D3FD1E" w:rsidR="00A855B1" w:rsidRPr="0068236B" w:rsidRDefault="00A855B1" w:rsidP="00A855B1">
      <w:pPr>
        <w:pStyle w:val="NumberedParagraph"/>
        <w:rPr>
          <w:rFonts w:cs="Tahoma"/>
          <w:sz w:val="20"/>
          <w:szCs w:val="20"/>
        </w:rPr>
      </w:pPr>
      <w:r w:rsidRPr="0068236B">
        <w:rPr>
          <w:sz w:val="20"/>
        </w:rPr>
        <w:t xml:space="preserve">The process of </w:t>
      </w:r>
      <w:r w:rsidR="002A0343" w:rsidRPr="0068236B">
        <w:rPr>
          <w:sz w:val="20"/>
        </w:rPr>
        <w:t xml:space="preserve">Project </w:t>
      </w:r>
      <w:r w:rsidRPr="0068236B">
        <w:rPr>
          <w:sz w:val="20"/>
        </w:rPr>
        <w:t>options identificatio</w:t>
      </w:r>
      <w:r w:rsidRPr="0068236B">
        <w:rPr>
          <w:sz w:val="20"/>
          <w:szCs w:val="20"/>
        </w:rPr>
        <w:t xml:space="preserve">n/assessment and selection of preferred </w:t>
      </w:r>
      <w:r w:rsidR="002A0343" w:rsidRPr="0068236B">
        <w:rPr>
          <w:sz w:val="20"/>
          <w:szCs w:val="20"/>
        </w:rPr>
        <w:t xml:space="preserve">Project </w:t>
      </w:r>
      <w:r w:rsidRPr="0068236B">
        <w:rPr>
          <w:sz w:val="20"/>
          <w:szCs w:val="20"/>
        </w:rPr>
        <w:t>option was ca</w:t>
      </w:r>
      <w:r w:rsidRPr="0068236B">
        <w:rPr>
          <w:sz w:val="20"/>
          <w:szCs w:val="20"/>
        </w:rPr>
        <w:t>r</w:t>
      </w:r>
      <w:r w:rsidRPr="0068236B">
        <w:rPr>
          <w:sz w:val="20"/>
          <w:szCs w:val="20"/>
        </w:rPr>
        <w:t xml:space="preserve">ried out for the wider </w:t>
      </w:r>
      <w:r w:rsidRPr="0068236B">
        <w:rPr>
          <w:rFonts w:cs="Tahoma"/>
          <w:sz w:val="20"/>
          <w:szCs w:val="20"/>
        </w:rPr>
        <w:t>development scheme as a whole</w:t>
      </w:r>
      <w:r w:rsidRPr="0068236B">
        <w:rPr>
          <w:rStyle w:val="FootnoteReference"/>
          <w:rFonts w:cs="Tahoma"/>
          <w:sz w:val="20"/>
          <w:szCs w:val="20"/>
        </w:rPr>
        <w:footnoteReference w:id="44"/>
      </w:r>
      <w:r w:rsidRPr="0068236B">
        <w:rPr>
          <w:rFonts w:cs="Tahoma"/>
          <w:sz w:val="20"/>
          <w:szCs w:val="20"/>
        </w:rPr>
        <w:t xml:space="preserve">. </w:t>
      </w:r>
    </w:p>
    <w:p w14:paraId="78C3FCAD" w14:textId="76584878" w:rsidR="00001293" w:rsidRPr="0068236B" w:rsidRDefault="00001293" w:rsidP="00001293">
      <w:pPr>
        <w:pStyle w:val="NumberedParagraph"/>
        <w:rPr>
          <w:sz w:val="20"/>
        </w:rPr>
      </w:pPr>
      <w:r w:rsidRPr="0068236B">
        <w:rPr>
          <w:sz w:val="20"/>
        </w:rPr>
        <w:t xml:space="preserve">The general approach for the identification of the </w:t>
      </w:r>
      <w:r w:rsidR="00602291" w:rsidRPr="0068236B">
        <w:rPr>
          <w:sz w:val="20"/>
        </w:rPr>
        <w:t xml:space="preserve">development </w:t>
      </w:r>
      <w:r w:rsidRPr="0068236B">
        <w:rPr>
          <w:sz w:val="20"/>
        </w:rPr>
        <w:t xml:space="preserve">options </w:t>
      </w:r>
      <w:r w:rsidR="0051631A" w:rsidRPr="0068236B">
        <w:rPr>
          <w:sz w:val="20"/>
        </w:rPr>
        <w:t xml:space="preserve">and alternatives </w:t>
      </w:r>
      <w:r w:rsidR="00A855B1" w:rsidRPr="0068236B">
        <w:rPr>
          <w:sz w:val="20"/>
        </w:rPr>
        <w:t>for this</w:t>
      </w:r>
      <w:r w:rsidR="003B1CAC" w:rsidRPr="0068236B">
        <w:rPr>
          <w:sz w:val="20"/>
        </w:rPr>
        <w:t xml:space="preserve"> Project</w:t>
      </w:r>
      <w:r w:rsidR="00A855B1" w:rsidRPr="0068236B">
        <w:rPr>
          <w:sz w:val="20"/>
        </w:rPr>
        <w:t xml:space="preserve"> </w:t>
      </w:r>
      <w:r w:rsidR="00A855B1" w:rsidRPr="0068236B">
        <w:rPr>
          <w:rFonts w:cs="Tahoma"/>
          <w:sz w:val="20"/>
        </w:rPr>
        <w:t>- New 400/110 kV Substation Miletkovo with Connection to the existing 400 kV and 110 kV Transmission Ne</w:t>
      </w:r>
      <w:r w:rsidR="00A855B1" w:rsidRPr="0068236B">
        <w:rPr>
          <w:rFonts w:cs="Tahoma"/>
          <w:sz w:val="20"/>
        </w:rPr>
        <w:t>t</w:t>
      </w:r>
      <w:r w:rsidR="00A855B1" w:rsidRPr="0068236B">
        <w:rPr>
          <w:rFonts w:cs="Tahoma"/>
          <w:sz w:val="20"/>
        </w:rPr>
        <w:t>work</w:t>
      </w:r>
      <w:r w:rsidR="00A855B1" w:rsidRPr="0068236B">
        <w:rPr>
          <w:sz w:val="20"/>
        </w:rPr>
        <w:t xml:space="preserve">, </w:t>
      </w:r>
      <w:r w:rsidRPr="0068236B">
        <w:rPr>
          <w:sz w:val="20"/>
        </w:rPr>
        <w:t>was to identify and optimise the lo</w:t>
      </w:r>
      <w:r w:rsidR="00A87796" w:rsidRPr="0068236B">
        <w:rPr>
          <w:sz w:val="20"/>
        </w:rPr>
        <w:t>cation of the new 400/110 kV substation</w:t>
      </w:r>
      <w:r w:rsidR="00FD58C3" w:rsidRPr="0068236B">
        <w:rPr>
          <w:sz w:val="20"/>
        </w:rPr>
        <w:t xml:space="preserve"> </w:t>
      </w:r>
      <w:r w:rsidRPr="0068236B">
        <w:rPr>
          <w:sz w:val="20"/>
        </w:rPr>
        <w:t>and to identify and elab</w:t>
      </w:r>
      <w:r w:rsidRPr="0068236B">
        <w:rPr>
          <w:sz w:val="20"/>
        </w:rPr>
        <w:t>o</w:t>
      </w:r>
      <w:r w:rsidRPr="0068236B">
        <w:rPr>
          <w:sz w:val="20"/>
        </w:rPr>
        <w:t>rate the feasi</w:t>
      </w:r>
      <w:r w:rsidRPr="0068236B">
        <w:rPr>
          <w:rFonts w:cs="Tahoma"/>
          <w:sz w:val="20"/>
        </w:rPr>
        <w:t>ble alignments for the 400 kV OHL corridor from the new substation to the connection point in the SS Dubrovo in the municipality of Negotino</w:t>
      </w:r>
      <w:r w:rsidRPr="0068236B">
        <w:rPr>
          <w:sz w:val="20"/>
        </w:rPr>
        <w:t>, in order to proceed to a more detailed and updated compa</w:t>
      </w:r>
      <w:r w:rsidRPr="0068236B">
        <w:rPr>
          <w:sz w:val="20"/>
        </w:rPr>
        <w:t>r</w:t>
      </w:r>
      <w:r w:rsidRPr="0068236B">
        <w:rPr>
          <w:sz w:val="20"/>
        </w:rPr>
        <w:t>ison and scoring of the variants.</w:t>
      </w:r>
      <w:r w:rsidR="00466E43" w:rsidRPr="0068236B">
        <w:rPr>
          <w:sz w:val="20"/>
        </w:rPr>
        <w:t xml:space="preserve"> In addition, options and alternatives for connection of the new substation with the 110 kV transmission </w:t>
      </w:r>
      <w:r w:rsidR="00FD58C3" w:rsidRPr="0068236B">
        <w:rPr>
          <w:sz w:val="20"/>
        </w:rPr>
        <w:t>network</w:t>
      </w:r>
      <w:r w:rsidR="00466E43" w:rsidRPr="0068236B">
        <w:rPr>
          <w:sz w:val="20"/>
        </w:rPr>
        <w:t xml:space="preserve"> </w:t>
      </w:r>
      <w:r w:rsidR="00A87796" w:rsidRPr="0068236B">
        <w:rPr>
          <w:sz w:val="20"/>
        </w:rPr>
        <w:t>in the region were identified and assessed.</w:t>
      </w:r>
    </w:p>
    <w:p w14:paraId="46C0B44C" w14:textId="77777777" w:rsidR="00001293" w:rsidRPr="0068236B" w:rsidRDefault="00001293" w:rsidP="00001293">
      <w:pPr>
        <w:pStyle w:val="NumberedParagraph"/>
        <w:rPr>
          <w:sz w:val="20"/>
        </w:rPr>
      </w:pPr>
      <w:r w:rsidRPr="0068236B">
        <w:rPr>
          <w:rFonts w:cs="Tahoma"/>
          <w:sz w:val="20"/>
          <w:szCs w:val="20"/>
        </w:rPr>
        <w:t xml:space="preserve">For the </w:t>
      </w:r>
      <w:r w:rsidRPr="0068236B">
        <w:rPr>
          <w:rFonts w:cs="Tahoma"/>
          <w:bCs/>
          <w:sz w:val="20"/>
          <w:szCs w:val="20"/>
        </w:rPr>
        <w:t>identification and development of the Project</w:t>
      </w:r>
      <w:r w:rsidR="0051631A" w:rsidRPr="0068236B">
        <w:rPr>
          <w:rFonts w:cs="Tahoma"/>
          <w:bCs/>
          <w:sz w:val="20"/>
          <w:szCs w:val="20"/>
        </w:rPr>
        <w:t xml:space="preserve"> options and </w:t>
      </w:r>
      <w:r w:rsidRPr="0068236B">
        <w:rPr>
          <w:rFonts w:cs="Tahoma"/>
          <w:bCs/>
          <w:sz w:val="20"/>
          <w:szCs w:val="20"/>
        </w:rPr>
        <w:t>alternatives</w:t>
      </w:r>
      <w:r w:rsidRPr="0068236B">
        <w:rPr>
          <w:rFonts w:cs="Tahoma"/>
          <w:sz w:val="20"/>
          <w:szCs w:val="20"/>
        </w:rPr>
        <w:t xml:space="preserve">, the following key </w:t>
      </w:r>
      <w:r w:rsidRPr="0068236B">
        <w:rPr>
          <w:rFonts w:cs="Tahoma"/>
          <w:bCs/>
          <w:sz w:val="20"/>
          <w:szCs w:val="20"/>
        </w:rPr>
        <w:t>design a</w:t>
      </w:r>
      <w:r w:rsidRPr="0068236B">
        <w:rPr>
          <w:rFonts w:cs="Tahoma"/>
          <w:bCs/>
          <w:sz w:val="20"/>
          <w:szCs w:val="20"/>
        </w:rPr>
        <w:t>s</w:t>
      </w:r>
      <w:r w:rsidRPr="0068236B">
        <w:rPr>
          <w:rFonts w:cs="Tahoma"/>
          <w:bCs/>
          <w:sz w:val="20"/>
          <w:szCs w:val="20"/>
        </w:rPr>
        <w:t>pects</w:t>
      </w:r>
      <w:r w:rsidRPr="0068236B">
        <w:rPr>
          <w:rFonts w:cs="Tahoma"/>
          <w:sz w:val="20"/>
          <w:szCs w:val="20"/>
        </w:rPr>
        <w:t xml:space="preserve"> were considered:</w:t>
      </w:r>
    </w:p>
    <w:p w14:paraId="69D19C93" w14:textId="77777777" w:rsidR="00001293" w:rsidRPr="0068236B" w:rsidRDefault="00001293" w:rsidP="00D24CEF">
      <w:pPr>
        <w:pStyle w:val="ListBullet"/>
        <w:numPr>
          <w:ilvl w:val="0"/>
          <w:numId w:val="91"/>
        </w:numPr>
        <w:jc w:val="left"/>
        <w:rPr>
          <w:rFonts w:eastAsia="Calibri"/>
          <w:sz w:val="20"/>
        </w:rPr>
      </w:pPr>
      <w:r w:rsidRPr="0068236B">
        <w:rPr>
          <w:sz w:val="20"/>
        </w:rPr>
        <w:t>Broader country-</w:t>
      </w:r>
      <w:r w:rsidRPr="0068236B">
        <w:rPr>
          <w:rFonts w:eastAsia="Calibri"/>
          <w:sz w:val="20"/>
        </w:rPr>
        <w:t>specific integration and development policies, strategies and plans within the European, regional and national context;</w:t>
      </w:r>
    </w:p>
    <w:p w14:paraId="2970B2DB" w14:textId="77777777" w:rsidR="00001293" w:rsidRPr="0068236B" w:rsidRDefault="00001293" w:rsidP="00D24CEF">
      <w:pPr>
        <w:pStyle w:val="ListBullet"/>
        <w:numPr>
          <w:ilvl w:val="0"/>
          <w:numId w:val="91"/>
        </w:numPr>
        <w:jc w:val="left"/>
        <w:rPr>
          <w:rFonts w:eastAsia="Calibri"/>
          <w:sz w:val="20"/>
        </w:rPr>
      </w:pPr>
      <w:r w:rsidRPr="0068236B">
        <w:rPr>
          <w:rFonts w:eastAsia="Calibri"/>
          <w:sz w:val="20"/>
        </w:rPr>
        <w:t>Spatial development</w:t>
      </w:r>
      <w:r w:rsidR="0051631A" w:rsidRPr="0068236B">
        <w:rPr>
          <w:rFonts w:eastAsia="Calibri"/>
          <w:sz w:val="20"/>
        </w:rPr>
        <w:t xml:space="preserve"> and urban</w:t>
      </w:r>
      <w:r w:rsidRPr="0068236B">
        <w:rPr>
          <w:rFonts w:eastAsia="Calibri"/>
          <w:sz w:val="20"/>
        </w:rPr>
        <w:t xml:space="preserve"> plans;</w:t>
      </w:r>
    </w:p>
    <w:p w14:paraId="638A5446" w14:textId="77777777" w:rsidR="00001293" w:rsidRPr="0068236B" w:rsidRDefault="00001293" w:rsidP="00D24CEF">
      <w:pPr>
        <w:pStyle w:val="ListBullet"/>
        <w:numPr>
          <w:ilvl w:val="0"/>
          <w:numId w:val="91"/>
        </w:numPr>
        <w:jc w:val="left"/>
        <w:rPr>
          <w:rFonts w:eastAsia="Calibri"/>
          <w:sz w:val="20"/>
        </w:rPr>
      </w:pPr>
      <w:r w:rsidRPr="0068236B">
        <w:rPr>
          <w:rFonts w:eastAsia="Calibri"/>
          <w:sz w:val="20"/>
        </w:rPr>
        <w:t>Sectoral master plans and strategies in the electricity transmission sector;</w:t>
      </w:r>
    </w:p>
    <w:p w14:paraId="4CCFDDAA" w14:textId="77777777" w:rsidR="00001293" w:rsidRPr="0068236B" w:rsidRDefault="00001293" w:rsidP="00D24CEF">
      <w:pPr>
        <w:pStyle w:val="ListBullet"/>
        <w:numPr>
          <w:ilvl w:val="0"/>
          <w:numId w:val="91"/>
        </w:numPr>
        <w:jc w:val="left"/>
        <w:rPr>
          <w:rFonts w:eastAsia="Calibri"/>
          <w:sz w:val="20"/>
        </w:rPr>
      </w:pPr>
      <w:r w:rsidRPr="0068236B">
        <w:rPr>
          <w:rFonts w:eastAsia="Calibri"/>
          <w:sz w:val="20"/>
        </w:rPr>
        <w:t>Previous studies and/or designs relevant for the Project history;</w:t>
      </w:r>
    </w:p>
    <w:p w14:paraId="5D77B399" w14:textId="77777777" w:rsidR="00001293" w:rsidRPr="0068236B" w:rsidRDefault="00001293" w:rsidP="00D24CEF">
      <w:pPr>
        <w:pStyle w:val="ListBullet"/>
        <w:numPr>
          <w:ilvl w:val="0"/>
          <w:numId w:val="91"/>
        </w:numPr>
        <w:jc w:val="left"/>
        <w:rPr>
          <w:sz w:val="20"/>
        </w:rPr>
      </w:pPr>
      <w:r w:rsidRPr="0068236B">
        <w:rPr>
          <w:rFonts w:eastAsia="Calibri"/>
          <w:sz w:val="20"/>
        </w:rPr>
        <w:t>Current technical</w:t>
      </w:r>
      <w:r w:rsidRPr="0068236B">
        <w:rPr>
          <w:sz w:val="20"/>
        </w:rPr>
        <w:t xml:space="preserve"> standards and other legislative requirements.</w:t>
      </w:r>
    </w:p>
    <w:p w14:paraId="5431E38D" w14:textId="77777777" w:rsidR="00001293" w:rsidRPr="0068236B" w:rsidRDefault="00001293" w:rsidP="00001293">
      <w:pPr>
        <w:pStyle w:val="ListBullet"/>
        <w:numPr>
          <w:ilvl w:val="0"/>
          <w:numId w:val="0"/>
        </w:numPr>
        <w:spacing w:before="120"/>
        <w:rPr>
          <w:sz w:val="20"/>
        </w:rPr>
      </w:pPr>
      <w:r w:rsidRPr="0068236B">
        <w:rPr>
          <w:sz w:val="20"/>
        </w:rPr>
        <w:t xml:space="preserve">In parallel, the identification and development exercise of the Project </w:t>
      </w:r>
      <w:r w:rsidR="0051631A" w:rsidRPr="0068236B">
        <w:rPr>
          <w:sz w:val="20"/>
        </w:rPr>
        <w:t xml:space="preserve">options and </w:t>
      </w:r>
      <w:r w:rsidRPr="0068236B">
        <w:rPr>
          <w:sz w:val="20"/>
        </w:rPr>
        <w:t xml:space="preserve">alternatives was supported by an </w:t>
      </w:r>
      <w:r w:rsidRPr="0068236B">
        <w:rPr>
          <w:bCs/>
          <w:sz w:val="20"/>
        </w:rPr>
        <w:t>environmental and social (E&amp;S) assessment</w:t>
      </w:r>
      <w:r w:rsidRPr="0068236B">
        <w:rPr>
          <w:sz w:val="20"/>
        </w:rPr>
        <w:t>. The E&amp;S process identified potential E&amp;S effects of each of the identified alternatives which steered the selection of the preferred Project option from an E&amp;S pe</w:t>
      </w:r>
      <w:r w:rsidRPr="0068236B">
        <w:rPr>
          <w:sz w:val="20"/>
        </w:rPr>
        <w:t>r</w:t>
      </w:r>
      <w:r w:rsidRPr="0068236B">
        <w:rPr>
          <w:sz w:val="20"/>
        </w:rPr>
        <w:t xml:space="preserve">spective. </w:t>
      </w:r>
    </w:p>
    <w:p w14:paraId="18F37270" w14:textId="77777777" w:rsidR="00001293" w:rsidRPr="0068236B" w:rsidRDefault="00001293" w:rsidP="00001293">
      <w:pPr>
        <w:rPr>
          <w:sz w:val="20"/>
        </w:rPr>
      </w:pPr>
      <w:r w:rsidRPr="0068236B">
        <w:rPr>
          <w:sz w:val="20"/>
        </w:rPr>
        <w:t>In that respect, the approach was based on the following actions:</w:t>
      </w:r>
    </w:p>
    <w:p w14:paraId="4E7A00D6" w14:textId="77777777" w:rsidR="00001293" w:rsidRPr="0068236B" w:rsidRDefault="00001293" w:rsidP="00D24CEF">
      <w:pPr>
        <w:pStyle w:val="ListBullet"/>
        <w:numPr>
          <w:ilvl w:val="0"/>
          <w:numId w:val="92"/>
        </w:numPr>
        <w:jc w:val="left"/>
        <w:rPr>
          <w:rFonts w:eastAsia="Calibri"/>
          <w:sz w:val="20"/>
        </w:rPr>
      </w:pPr>
      <w:r w:rsidRPr="0068236B">
        <w:rPr>
          <w:rFonts w:eastAsia="Calibri"/>
          <w:sz w:val="20"/>
        </w:rPr>
        <w:t>Review of available planning and project related documentation (e.g. strategies and develo</w:t>
      </w:r>
      <w:r w:rsidRPr="0068236B">
        <w:rPr>
          <w:rFonts w:eastAsia="Calibri"/>
          <w:sz w:val="20"/>
        </w:rPr>
        <w:t>p</w:t>
      </w:r>
      <w:r w:rsidRPr="0068236B">
        <w:rPr>
          <w:rFonts w:eastAsia="Calibri"/>
          <w:sz w:val="20"/>
        </w:rPr>
        <w:t>ment plans and programmes, studies and reports, E&amp;S monitoring data);</w:t>
      </w:r>
    </w:p>
    <w:p w14:paraId="397EFCE4" w14:textId="77777777" w:rsidR="00001293" w:rsidRPr="0068236B" w:rsidRDefault="00001293" w:rsidP="00D24CEF">
      <w:pPr>
        <w:pStyle w:val="ListBullet"/>
        <w:numPr>
          <w:ilvl w:val="0"/>
          <w:numId w:val="92"/>
        </w:numPr>
        <w:jc w:val="left"/>
        <w:rPr>
          <w:rFonts w:eastAsia="Calibri"/>
          <w:sz w:val="20"/>
        </w:rPr>
      </w:pPr>
      <w:r w:rsidRPr="0068236B">
        <w:rPr>
          <w:rFonts w:eastAsia="Calibri"/>
          <w:sz w:val="20"/>
        </w:rPr>
        <w:t xml:space="preserve">Review of relevant national and EU environmental regulations as well as </w:t>
      </w:r>
      <w:r w:rsidR="0051631A" w:rsidRPr="0068236B">
        <w:rPr>
          <w:rFonts w:eastAsia="Calibri"/>
          <w:sz w:val="20"/>
        </w:rPr>
        <w:t xml:space="preserve">the Environmental and Social Policy (ESP) </w:t>
      </w:r>
      <w:r w:rsidRPr="0068236B">
        <w:rPr>
          <w:rFonts w:eastAsia="Calibri"/>
          <w:sz w:val="20"/>
        </w:rPr>
        <w:t>document (2019)</w:t>
      </w:r>
      <w:r w:rsidRPr="0068236B">
        <w:rPr>
          <w:rStyle w:val="FootnoteReference"/>
          <w:rFonts w:eastAsia="Calibri"/>
          <w:sz w:val="20"/>
        </w:rPr>
        <w:footnoteReference w:id="45"/>
      </w:r>
      <w:r w:rsidR="0051631A" w:rsidRPr="0068236B">
        <w:rPr>
          <w:rFonts w:eastAsia="Calibri"/>
          <w:sz w:val="20"/>
        </w:rPr>
        <w:t xml:space="preserve"> of the European Bank for Reconstruction and Develo</w:t>
      </w:r>
      <w:r w:rsidR="0051631A" w:rsidRPr="0068236B">
        <w:rPr>
          <w:rFonts w:eastAsia="Calibri"/>
          <w:sz w:val="20"/>
        </w:rPr>
        <w:t>p</w:t>
      </w:r>
      <w:r w:rsidR="0051631A" w:rsidRPr="0068236B">
        <w:rPr>
          <w:rFonts w:eastAsia="Calibri"/>
          <w:sz w:val="20"/>
        </w:rPr>
        <w:t>ment (EBRD)</w:t>
      </w:r>
      <w:r w:rsidRPr="0068236B">
        <w:rPr>
          <w:rFonts w:eastAsia="Calibri"/>
          <w:sz w:val="20"/>
        </w:rPr>
        <w:t>;</w:t>
      </w:r>
    </w:p>
    <w:p w14:paraId="57B886ED" w14:textId="77777777" w:rsidR="00001293" w:rsidRPr="0068236B" w:rsidRDefault="00001293" w:rsidP="00D24CEF">
      <w:pPr>
        <w:pStyle w:val="ListBullet"/>
        <w:numPr>
          <w:ilvl w:val="0"/>
          <w:numId w:val="92"/>
        </w:numPr>
        <w:jc w:val="left"/>
        <w:rPr>
          <w:rFonts w:eastAsia="Calibri"/>
          <w:sz w:val="20"/>
        </w:rPr>
      </w:pPr>
      <w:r w:rsidRPr="0068236B">
        <w:rPr>
          <w:rFonts w:eastAsia="Calibri"/>
          <w:sz w:val="20"/>
        </w:rPr>
        <w:t xml:space="preserve">Identification and mapping of existing high-level E&amp;S constraints – sensitive and/or “no go” zones in the area where the Project is to be implemented (see </w:t>
      </w:r>
      <w:r w:rsidR="007B4267" w:rsidRPr="0068236B">
        <w:rPr>
          <w:rFonts w:eastAsia="Calibri"/>
          <w:sz w:val="20"/>
        </w:rPr>
        <w:t>Annex 2</w:t>
      </w:r>
      <w:r w:rsidRPr="0068236B">
        <w:rPr>
          <w:rFonts w:eastAsia="Calibri"/>
          <w:sz w:val="20"/>
        </w:rPr>
        <w:t>);</w:t>
      </w:r>
    </w:p>
    <w:p w14:paraId="5D1D129B" w14:textId="77777777" w:rsidR="00001293" w:rsidRPr="0068236B" w:rsidRDefault="00001293" w:rsidP="00D24CEF">
      <w:pPr>
        <w:pStyle w:val="ListBullet"/>
        <w:numPr>
          <w:ilvl w:val="0"/>
          <w:numId w:val="93"/>
        </w:numPr>
        <w:jc w:val="left"/>
        <w:rPr>
          <w:rFonts w:eastAsia="Calibri"/>
          <w:sz w:val="20"/>
        </w:rPr>
      </w:pPr>
      <w:r w:rsidRPr="0068236B">
        <w:rPr>
          <w:rFonts w:eastAsia="Calibri"/>
          <w:sz w:val="20"/>
        </w:rPr>
        <w:lastRenderedPageBreak/>
        <w:t xml:space="preserve">Focused site visits and field surveys carried out in </w:t>
      </w:r>
      <w:r w:rsidR="00711ABA" w:rsidRPr="0068236B">
        <w:rPr>
          <w:rFonts w:eastAsia="Calibri"/>
          <w:sz w:val="20"/>
        </w:rPr>
        <w:t>May and August 2021</w:t>
      </w:r>
      <w:r w:rsidRPr="0068236B">
        <w:rPr>
          <w:rFonts w:eastAsia="Calibri"/>
          <w:sz w:val="20"/>
        </w:rPr>
        <w:t xml:space="preserve"> to obtain the key bas</w:t>
      </w:r>
      <w:r w:rsidRPr="0068236B">
        <w:rPr>
          <w:rFonts w:eastAsia="Calibri"/>
          <w:sz w:val="20"/>
        </w:rPr>
        <w:t>e</w:t>
      </w:r>
      <w:r w:rsidRPr="0068236B">
        <w:rPr>
          <w:rFonts w:eastAsia="Calibri"/>
          <w:sz w:val="20"/>
        </w:rPr>
        <w:t>line environmental data for relevant topics and sensitivities (e.g. biodiversity and nature conse</w:t>
      </w:r>
      <w:r w:rsidRPr="0068236B">
        <w:rPr>
          <w:rFonts w:eastAsia="Calibri"/>
          <w:sz w:val="20"/>
        </w:rPr>
        <w:t>r</w:t>
      </w:r>
      <w:r w:rsidRPr="0068236B">
        <w:rPr>
          <w:rFonts w:eastAsia="Calibri"/>
          <w:sz w:val="20"/>
        </w:rPr>
        <w:t>vation, landscape character and visual context) as well as the key baseline social data and se</w:t>
      </w:r>
      <w:r w:rsidRPr="0068236B">
        <w:rPr>
          <w:rFonts w:eastAsia="Calibri"/>
          <w:sz w:val="20"/>
        </w:rPr>
        <w:t>n</w:t>
      </w:r>
      <w:r w:rsidRPr="0068236B">
        <w:rPr>
          <w:rFonts w:eastAsia="Calibri"/>
          <w:sz w:val="20"/>
        </w:rPr>
        <w:t>sitivities (e.g. settlements pattern, material assets, land use, cultural heritage);</w:t>
      </w:r>
    </w:p>
    <w:p w14:paraId="3F5F9C5A" w14:textId="77777777" w:rsidR="00001293" w:rsidRPr="0068236B" w:rsidRDefault="00001293" w:rsidP="00D24CEF">
      <w:pPr>
        <w:pStyle w:val="ListBullet"/>
        <w:numPr>
          <w:ilvl w:val="0"/>
          <w:numId w:val="93"/>
        </w:numPr>
        <w:jc w:val="left"/>
        <w:rPr>
          <w:sz w:val="20"/>
        </w:rPr>
      </w:pPr>
      <w:r w:rsidRPr="0068236B">
        <w:rPr>
          <w:rFonts w:eastAsia="Calibri"/>
          <w:sz w:val="20"/>
        </w:rPr>
        <w:t>Description</w:t>
      </w:r>
      <w:r w:rsidRPr="0068236B">
        <w:rPr>
          <w:sz w:val="20"/>
        </w:rPr>
        <w:t xml:space="preserve"> of the identified </w:t>
      </w:r>
      <w:r w:rsidR="00711ABA" w:rsidRPr="0068236B">
        <w:rPr>
          <w:sz w:val="20"/>
        </w:rPr>
        <w:t xml:space="preserve">SS locations and </w:t>
      </w:r>
      <w:r w:rsidRPr="0068236B">
        <w:rPr>
          <w:sz w:val="20"/>
        </w:rPr>
        <w:t>OHL alignment variants and their E&amp;</w:t>
      </w:r>
      <w:r w:rsidR="003D4896" w:rsidRPr="0068236B">
        <w:rPr>
          <w:sz w:val="20"/>
        </w:rPr>
        <w:t>S constraints and opportunities.</w:t>
      </w:r>
    </w:p>
    <w:p w14:paraId="51FDEC94" w14:textId="77777777" w:rsidR="00001293" w:rsidRPr="0068236B" w:rsidRDefault="00711ABA" w:rsidP="00001293">
      <w:pPr>
        <w:autoSpaceDE w:val="0"/>
        <w:autoSpaceDN w:val="0"/>
        <w:adjustRightInd w:val="0"/>
        <w:rPr>
          <w:rFonts w:cs="Arial"/>
          <w:sz w:val="20"/>
          <w:szCs w:val="20"/>
        </w:rPr>
      </w:pPr>
      <w:r w:rsidRPr="0068236B">
        <w:rPr>
          <w:rFonts w:cs="Arial"/>
          <w:sz w:val="20"/>
          <w:szCs w:val="20"/>
        </w:rPr>
        <w:t xml:space="preserve">The ultimate objective of this </w:t>
      </w:r>
      <w:r w:rsidR="00001293" w:rsidRPr="0068236B">
        <w:rPr>
          <w:rFonts w:cs="Arial"/>
          <w:sz w:val="20"/>
          <w:szCs w:val="20"/>
        </w:rPr>
        <w:t xml:space="preserve">exercise was to identify alternative </w:t>
      </w:r>
      <w:r w:rsidRPr="0068236B">
        <w:rPr>
          <w:rFonts w:cs="Arial"/>
          <w:sz w:val="20"/>
          <w:szCs w:val="20"/>
        </w:rPr>
        <w:t xml:space="preserve">SS locations and </w:t>
      </w:r>
      <w:r w:rsidR="00001293" w:rsidRPr="0068236B">
        <w:rPr>
          <w:rFonts w:cs="Arial"/>
          <w:sz w:val="20"/>
          <w:szCs w:val="20"/>
        </w:rPr>
        <w:t xml:space="preserve">OHL variants and, through a process of </w:t>
      </w:r>
      <w:r w:rsidRPr="0068236B">
        <w:rPr>
          <w:rFonts w:cs="Arial"/>
          <w:sz w:val="20"/>
          <w:szCs w:val="20"/>
        </w:rPr>
        <w:t>holistic</w:t>
      </w:r>
      <w:r w:rsidR="00001293" w:rsidRPr="0068236B">
        <w:rPr>
          <w:rFonts w:cs="Arial"/>
          <w:sz w:val="20"/>
          <w:szCs w:val="20"/>
        </w:rPr>
        <w:t xml:space="preserve"> appraisal via a multi-criteria assessment (MCA) from various aspects </w:t>
      </w:r>
      <w:r w:rsidR="00001293" w:rsidRPr="0068236B">
        <w:rPr>
          <w:sz w:val="20"/>
        </w:rPr>
        <w:t>– network/market, technical, environmental and social, and economic -</w:t>
      </w:r>
      <w:r w:rsidR="00001293" w:rsidRPr="0068236B">
        <w:rPr>
          <w:rFonts w:cs="Arial"/>
          <w:sz w:val="20"/>
          <w:szCs w:val="20"/>
        </w:rPr>
        <w:t xml:space="preserve"> to recommend and select the preferred </w:t>
      </w:r>
      <w:r w:rsidRPr="0068236B">
        <w:rPr>
          <w:rFonts w:cs="Arial"/>
          <w:sz w:val="20"/>
          <w:szCs w:val="20"/>
        </w:rPr>
        <w:t xml:space="preserve">Project option </w:t>
      </w:r>
      <w:r w:rsidR="00001293" w:rsidRPr="0068236B">
        <w:rPr>
          <w:rFonts w:cs="Arial"/>
          <w:sz w:val="20"/>
          <w:szCs w:val="20"/>
        </w:rPr>
        <w:t xml:space="preserve">to be taken forward for further development (i.e. Conceptual </w:t>
      </w:r>
      <w:r w:rsidRPr="0068236B">
        <w:rPr>
          <w:rFonts w:cs="Arial"/>
          <w:sz w:val="20"/>
          <w:szCs w:val="20"/>
        </w:rPr>
        <w:t>Solution</w:t>
      </w:r>
      <w:r w:rsidR="00001293" w:rsidRPr="0068236B">
        <w:rPr>
          <w:rFonts w:cs="Arial"/>
          <w:sz w:val="20"/>
          <w:szCs w:val="20"/>
        </w:rPr>
        <w:t xml:space="preserve"> and </w:t>
      </w:r>
      <w:r w:rsidRPr="0068236B">
        <w:rPr>
          <w:rFonts w:cs="Arial"/>
          <w:sz w:val="20"/>
          <w:szCs w:val="20"/>
        </w:rPr>
        <w:t>environmental and social appraisal</w:t>
      </w:r>
      <w:r w:rsidR="00001293" w:rsidRPr="0068236B">
        <w:rPr>
          <w:rFonts w:cs="Arial"/>
          <w:sz w:val="20"/>
          <w:szCs w:val="20"/>
        </w:rPr>
        <w:t xml:space="preserve">). </w:t>
      </w:r>
    </w:p>
    <w:p w14:paraId="45B2FA55" w14:textId="0F1BCD53" w:rsidR="00B42538" w:rsidRPr="0068236B" w:rsidRDefault="00B42538" w:rsidP="00B42538">
      <w:pPr>
        <w:pStyle w:val="Heading3"/>
      </w:pPr>
      <w:bookmarkStart w:id="103" w:name="_Toc112852211"/>
      <w:r w:rsidRPr="0068236B">
        <w:t>No Project Option</w:t>
      </w:r>
      <w:bookmarkEnd w:id="103"/>
    </w:p>
    <w:p w14:paraId="2C32B825" w14:textId="77777777" w:rsidR="0007521A" w:rsidRPr="0068236B" w:rsidRDefault="0007521A" w:rsidP="0007521A">
      <w:pPr>
        <w:rPr>
          <w:rFonts w:cs="Tahoma"/>
          <w:sz w:val="20"/>
        </w:rPr>
      </w:pPr>
      <w:bookmarkStart w:id="104" w:name="_Toc71559739"/>
      <w:r w:rsidRPr="0068236B">
        <w:rPr>
          <w:rFonts w:cs="Tahoma"/>
          <w:sz w:val="20"/>
        </w:rPr>
        <w:t>The ‘No Project’ option (‘Do Nothing’) is an alternative involving no development of the proposed Project.</w:t>
      </w:r>
    </w:p>
    <w:p w14:paraId="30CF241B" w14:textId="7D871611" w:rsidR="0007521A" w:rsidRPr="0068236B" w:rsidRDefault="0007521A" w:rsidP="0007521A">
      <w:pPr>
        <w:rPr>
          <w:rFonts w:cs="Tahoma"/>
          <w:sz w:val="20"/>
        </w:rPr>
      </w:pPr>
      <w:r w:rsidRPr="0068236B">
        <w:rPr>
          <w:rFonts w:cs="Tahoma"/>
          <w:sz w:val="20"/>
        </w:rPr>
        <w:t>One of the main strategic pillars identified in the Macedonian Strategy for Energy Development until 2040 [</w:t>
      </w:r>
      <w:r w:rsidR="00466E43" w:rsidRPr="0068236B">
        <w:rPr>
          <w:rFonts w:cs="Tahoma"/>
          <w:sz w:val="20"/>
        </w:rPr>
        <w:t>Ref.14</w:t>
      </w:r>
      <w:r w:rsidRPr="0068236B">
        <w:rPr>
          <w:rFonts w:cs="Tahoma"/>
          <w:sz w:val="20"/>
        </w:rPr>
        <w:t>] (the Strategy) is achieving high level of integration of the national energy system with the intern</w:t>
      </w:r>
      <w:r w:rsidRPr="0068236B">
        <w:rPr>
          <w:rFonts w:cs="Tahoma"/>
          <w:sz w:val="20"/>
        </w:rPr>
        <w:t>a</w:t>
      </w:r>
      <w:r w:rsidRPr="0068236B">
        <w:rPr>
          <w:rFonts w:cs="Tahoma"/>
          <w:sz w:val="20"/>
        </w:rPr>
        <w:t>tional energy markets. In addition, the Strategy foresees a goal for decarbonisation of the Macedonian ene</w:t>
      </w:r>
      <w:r w:rsidRPr="0068236B">
        <w:rPr>
          <w:rFonts w:cs="Tahoma"/>
          <w:sz w:val="20"/>
        </w:rPr>
        <w:t>r</w:t>
      </w:r>
      <w:r w:rsidRPr="0068236B">
        <w:rPr>
          <w:rFonts w:cs="Tahoma"/>
          <w:sz w:val="20"/>
        </w:rPr>
        <w:t xml:space="preserve">gy system, which is to be achieved by a number of strategic goals, including reduction of the greenhouse gas emissions associated with the energy production and increasing the penetration of the renewable energy sources in the overall energy consumption, in a sustainable manner. </w:t>
      </w:r>
    </w:p>
    <w:p w14:paraId="15A8F049" w14:textId="7344B811" w:rsidR="0007521A" w:rsidRPr="0068236B" w:rsidRDefault="0007521A" w:rsidP="0007521A">
      <w:pPr>
        <w:rPr>
          <w:rFonts w:cs="Tahoma"/>
          <w:sz w:val="20"/>
        </w:rPr>
      </w:pPr>
      <w:r w:rsidRPr="0068236B">
        <w:rPr>
          <w:rFonts w:cs="Tahoma"/>
          <w:sz w:val="20"/>
        </w:rPr>
        <w:t>The integration with the international markets is foreseen to be achieved by continuous investments in the transmission and distribution network in order to [</w:t>
      </w:r>
      <w:r w:rsidR="00466E43" w:rsidRPr="0068236B">
        <w:rPr>
          <w:rFonts w:cs="Tahoma"/>
          <w:sz w:val="20"/>
        </w:rPr>
        <w:t>Ref.14</w:t>
      </w:r>
      <w:r w:rsidRPr="0068236B">
        <w:rPr>
          <w:rFonts w:cs="Tahoma"/>
          <w:sz w:val="20"/>
        </w:rPr>
        <w:t>]:</w:t>
      </w:r>
    </w:p>
    <w:p w14:paraId="0D16D725" w14:textId="77777777" w:rsidR="0007521A" w:rsidRPr="0068236B" w:rsidRDefault="0007521A" w:rsidP="00D24CEF">
      <w:pPr>
        <w:pStyle w:val="ListBullet"/>
        <w:numPr>
          <w:ilvl w:val="0"/>
          <w:numId w:val="94"/>
        </w:numPr>
        <w:jc w:val="left"/>
        <w:rPr>
          <w:sz w:val="20"/>
        </w:rPr>
      </w:pPr>
      <w:r w:rsidRPr="0068236B">
        <w:rPr>
          <w:sz w:val="20"/>
        </w:rPr>
        <w:t>greater integration of renewable energy sources or electricity production, especially from wind and solar sources,</w:t>
      </w:r>
    </w:p>
    <w:p w14:paraId="404869E1" w14:textId="77777777" w:rsidR="0007521A" w:rsidRPr="0068236B" w:rsidRDefault="0007521A" w:rsidP="00D24CEF">
      <w:pPr>
        <w:pStyle w:val="ListBullet"/>
        <w:numPr>
          <w:ilvl w:val="0"/>
          <w:numId w:val="94"/>
        </w:numPr>
        <w:jc w:val="left"/>
        <w:rPr>
          <w:sz w:val="20"/>
        </w:rPr>
      </w:pPr>
      <w:r w:rsidRPr="0068236B">
        <w:rPr>
          <w:sz w:val="20"/>
        </w:rPr>
        <w:t>enabling the producer-consumer mechanism ("prosumer"),</w:t>
      </w:r>
    </w:p>
    <w:p w14:paraId="3512A27F" w14:textId="77777777" w:rsidR="0007521A" w:rsidRPr="0068236B" w:rsidRDefault="0007521A" w:rsidP="00D24CEF">
      <w:pPr>
        <w:pStyle w:val="ListBullet"/>
        <w:numPr>
          <w:ilvl w:val="0"/>
          <w:numId w:val="94"/>
        </w:numPr>
        <w:jc w:val="left"/>
        <w:rPr>
          <w:sz w:val="20"/>
        </w:rPr>
      </w:pPr>
      <w:r w:rsidRPr="0068236B">
        <w:rPr>
          <w:sz w:val="20"/>
        </w:rPr>
        <w:t>greater penetration of electric vehicles, and</w:t>
      </w:r>
    </w:p>
    <w:p w14:paraId="26F0C019" w14:textId="77777777" w:rsidR="0007521A" w:rsidRPr="0068236B" w:rsidRDefault="0007521A" w:rsidP="00D24CEF">
      <w:pPr>
        <w:pStyle w:val="ListBullet"/>
        <w:numPr>
          <w:ilvl w:val="0"/>
          <w:numId w:val="94"/>
        </w:numPr>
        <w:jc w:val="left"/>
        <w:rPr>
          <w:sz w:val="20"/>
        </w:rPr>
      </w:pPr>
      <w:r w:rsidRPr="0068236B">
        <w:rPr>
          <w:sz w:val="20"/>
        </w:rPr>
        <w:t>satisfying the increased demand for electricity in the region.</w:t>
      </w:r>
    </w:p>
    <w:p w14:paraId="7D065060" w14:textId="43D70917" w:rsidR="0007521A" w:rsidRPr="0068236B" w:rsidRDefault="0007521A" w:rsidP="0007521A">
      <w:pPr>
        <w:rPr>
          <w:rFonts w:cs="Tahoma"/>
          <w:sz w:val="20"/>
        </w:rPr>
      </w:pPr>
      <w:r w:rsidRPr="0068236B">
        <w:rPr>
          <w:rFonts w:cs="Tahoma"/>
          <w:sz w:val="20"/>
        </w:rPr>
        <w:t>Аccording to the Strategy, the biggest challenge for achieving th</w:t>
      </w:r>
      <w:r w:rsidRPr="0068236B">
        <w:rPr>
          <w:rFonts w:cs="Tahoma"/>
          <w:sz w:val="20"/>
          <w:szCs w:val="20"/>
        </w:rPr>
        <w:t xml:space="preserve">ese goals, including the foreseen increased penetration of the of renewable energy sources, </w:t>
      </w:r>
      <w:r w:rsidRPr="0068236B">
        <w:rPr>
          <w:rFonts w:cs="Tahoma"/>
          <w:sz w:val="20"/>
        </w:rPr>
        <w:t>from the perspective of the national transmission system, will be the strengthening of the existing 110 kV voltage level grid by reconstruction/replacement of 110 kV transmission lines in particular regions. Given the long-term investment plan of MEPSO until 2040, ‘the sy</w:t>
      </w:r>
      <w:r w:rsidRPr="0068236B">
        <w:rPr>
          <w:rFonts w:cs="Tahoma"/>
          <w:sz w:val="20"/>
        </w:rPr>
        <w:t>s</w:t>
      </w:r>
      <w:r w:rsidRPr="0068236B">
        <w:rPr>
          <w:rFonts w:cs="Tahoma"/>
          <w:sz w:val="20"/>
        </w:rPr>
        <w:t>tem needs an investment of 163 million. EUR, of which 87 mil. EUR for a new network and 76 mil. EUR for network revitalization. The largest investments in revitalization of ~ 70% are expected to be in the period 2025-2040, while ~ 98% of investments in a new transmission network should be made by 2030, based on the lowest costs.’ [</w:t>
      </w:r>
      <w:r w:rsidR="00466E43" w:rsidRPr="0068236B">
        <w:rPr>
          <w:rFonts w:cs="Tahoma"/>
          <w:sz w:val="20"/>
        </w:rPr>
        <w:t>Ref.14</w:t>
      </w:r>
      <w:r w:rsidRPr="0068236B">
        <w:rPr>
          <w:rFonts w:cs="Tahoma"/>
          <w:sz w:val="20"/>
        </w:rPr>
        <w:t>].</w:t>
      </w:r>
    </w:p>
    <w:p w14:paraId="76467625" w14:textId="6BFECD66" w:rsidR="0007521A" w:rsidRPr="0068236B" w:rsidRDefault="0007521A" w:rsidP="0007521A">
      <w:pPr>
        <w:rPr>
          <w:rFonts w:cs="Tahoma"/>
          <w:sz w:val="20"/>
        </w:rPr>
      </w:pPr>
      <w:r w:rsidRPr="0068236B">
        <w:rPr>
          <w:rFonts w:cs="Tahoma"/>
          <w:sz w:val="20"/>
        </w:rPr>
        <w:t xml:space="preserve">Therefore, this Project for strengthening the transmission network in Southeast Region of Macedonia is seen as an important step towards fulfilment of the Strategy goals for integration of energy from renewable sources into the national power system, since the most significant investments in this regard are (will be) located mostly in this region of the country (see </w:t>
      </w:r>
      <w:r w:rsidR="00E10AD0" w:rsidRPr="0068236B">
        <w:rPr>
          <w:rFonts w:cs="Tahoma"/>
          <w:sz w:val="20"/>
        </w:rPr>
        <w:t>Figure 1.1</w:t>
      </w:r>
      <w:r w:rsidRPr="0068236B">
        <w:rPr>
          <w:rFonts w:cs="Tahoma"/>
          <w:sz w:val="20"/>
        </w:rPr>
        <w:t>). Beside the key benefit from the Project – to secure reliable integration of the planned renewable sources in the southeast region of the country, which consequently contributes towards reduction in CO</w:t>
      </w:r>
      <w:r w:rsidRPr="0068236B">
        <w:rPr>
          <w:rFonts w:cs="Tahoma"/>
          <w:sz w:val="20"/>
          <w:vertAlign w:val="subscript"/>
        </w:rPr>
        <w:t>2</w:t>
      </w:r>
      <w:r w:rsidRPr="0068236B">
        <w:rPr>
          <w:rFonts w:cs="Tahoma"/>
          <w:sz w:val="20"/>
        </w:rPr>
        <w:t xml:space="preserve"> emissions, the Project will increase the security of supply and will contribute towards increase of the efficiency and capacity of the transmission grid with smart grid solutions.</w:t>
      </w:r>
    </w:p>
    <w:p w14:paraId="082F72A4" w14:textId="77777777" w:rsidR="0007521A" w:rsidRPr="0068236B" w:rsidRDefault="0007521A" w:rsidP="0007521A">
      <w:pPr>
        <w:rPr>
          <w:rFonts w:cs="Tahoma"/>
          <w:sz w:val="20"/>
        </w:rPr>
      </w:pPr>
      <w:r w:rsidRPr="0068236B">
        <w:rPr>
          <w:rFonts w:cs="Tahoma"/>
          <w:sz w:val="20"/>
        </w:rPr>
        <w:t>In terms of fulfillment of the above Macedonian strategic goals, the ‘No Project’ option has no positive a</w:t>
      </w:r>
      <w:r w:rsidRPr="0068236B">
        <w:rPr>
          <w:rFonts w:cs="Tahoma"/>
          <w:sz w:val="20"/>
        </w:rPr>
        <w:t>r</w:t>
      </w:r>
      <w:r w:rsidRPr="0068236B">
        <w:rPr>
          <w:rFonts w:cs="Tahoma"/>
          <w:sz w:val="20"/>
        </w:rPr>
        <w:t xml:space="preserve">gument in its favour, because if the proposed Project is not build, then it would cause a serious problem in the planned national energy sector development and the regional integration of the Macedonian electricity system. Such scenario would also result in serious obstacle in regard to the country’s efforts to meet the </w:t>
      </w:r>
      <w:r w:rsidRPr="0068236B">
        <w:rPr>
          <w:rFonts w:cs="Tahoma"/>
          <w:sz w:val="20"/>
        </w:rPr>
        <w:lastRenderedPageBreak/>
        <w:t>goals of the European Union for the integration of energy from renewable sources into the national power system.</w:t>
      </w:r>
    </w:p>
    <w:p w14:paraId="1F4DA12C" w14:textId="77777777" w:rsidR="0007521A" w:rsidRPr="0068236B" w:rsidRDefault="0007521A" w:rsidP="0007521A">
      <w:pPr>
        <w:rPr>
          <w:rFonts w:cs="Tahoma"/>
          <w:sz w:val="20"/>
        </w:rPr>
      </w:pPr>
      <w:r w:rsidRPr="0068236B">
        <w:rPr>
          <w:rFonts w:cs="Tahoma"/>
          <w:sz w:val="20"/>
        </w:rPr>
        <w:t xml:space="preserve">‘No Project’ option does not involve capital investment costs. However, maintenance costs are higher than for lines within the expected life span because the equipment would become obsolete with an expired useful life. Consequently, the ‘No Project’ option will directly contribute to higher operational costs of the existing out-of-date transmission infrastructure in the Project region, as well as to higher technical losses. It will also decrease security and reliability of the power supply in the Project region. </w:t>
      </w:r>
    </w:p>
    <w:p w14:paraId="002CD32E" w14:textId="77777777" w:rsidR="0007521A" w:rsidRPr="0068236B" w:rsidRDefault="0007521A" w:rsidP="0007521A">
      <w:pPr>
        <w:rPr>
          <w:rFonts w:cs="Tahoma"/>
          <w:sz w:val="20"/>
        </w:rPr>
      </w:pPr>
      <w:r w:rsidRPr="0068236B">
        <w:rPr>
          <w:rFonts w:cs="Tahoma"/>
          <w:sz w:val="20"/>
        </w:rPr>
        <w:t xml:space="preserve">In a wider context, the ‘No Project’ option would limit overall economic development and possibilities for the improvement in the social welfare of the citizens in the Project region and wider context – at country level. </w:t>
      </w:r>
    </w:p>
    <w:p w14:paraId="1569D956" w14:textId="77777777" w:rsidR="00001293" w:rsidRPr="0068236B" w:rsidRDefault="00001293" w:rsidP="00001293">
      <w:pPr>
        <w:pStyle w:val="Heading3"/>
      </w:pPr>
      <w:bookmarkStart w:id="105" w:name="_Toc112852212"/>
      <w:r w:rsidRPr="0068236B">
        <w:t>Identified Options</w:t>
      </w:r>
      <w:bookmarkEnd w:id="104"/>
      <w:bookmarkEnd w:id="105"/>
    </w:p>
    <w:p w14:paraId="18C37D7B" w14:textId="0D13122F" w:rsidR="007F232C" w:rsidRPr="0068236B" w:rsidRDefault="007F232C" w:rsidP="007F232C">
      <w:pPr>
        <w:rPr>
          <w:rFonts w:cs="Tahoma"/>
          <w:sz w:val="20"/>
        </w:rPr>
      </w:pPr>
      <w:r w:rsidRPr="0068236B">
        <w:rPr>
          <w:rFonts w:cs="Tahoma"/>
          <w:sz w:val="20"/>
        </w:rPr>
        <w:t xml:space="preserve">Based on the transmission network topologies defined in the </w:t>
      </w:r>
      <w:r w:rsidR="00517791" w:rsidRPr="0068236B">
        <w:rPr>
          <w:rFonts w:cs="Tahoma"/>
          <w:sz w:val="20"/>
        </w:rPr>
        <w:t xml:space="preserve">Project-related studies, </w:t>
      </w:r>
      <w:r w:rsidRPr="0068236B">
        <w:rPr>
          <w:rFonts w:cs="Tahoma"/>
          <w:sz w:val="20"/>
        </w:rPr>
        <w:t xml:space="preserve">three options </w:t>
      </w:r>
      <w:r w:rsidR="00517791" w:rsidRPr="0068236B">
        <w:rPr>
          <w:rFonts w:cs="Tahoma"/>
          <w:sz w:val="20"/>
        </w:rPr>
        <w:t>have been identified</w:t>
      </w:r>
      <w:r w:rsidRPr="0068236B">
        <w:rPr>
          <w:rFonts w:cs="Tahoma"/>
          <w:sz w:val="20"/>
        </w:rPr>
        <w:t xml:space="preserve"> (including alternative corridors for each option)</w:t>
      </w:r>
      <w:r w:rsidR="00D76FC1" w:rsidRPr="0068236B">
        <w:rPr>
          <w:rFonts w:cs="Tahoma"/>
          <w:sz w:val="20"/>
        </w:rPr>
        <w:t xml:space="preserve"> (Figure below)</w:t>
      </w:r>
      <w:r w:rsidRPr="0068236B">
        <w:rPr>
          <w:rFonts w:cs="Tahoma"/>
          <w:sz w:val="20"/>
        </w:rPr>
        <w:t xml:space="preserve">, in order to make a clearer distinction between different </w:t>
      </w:r>
      <w:r w:rsidR="00517791" w:rsidRPr="0068236B">
        <w:rPr>
          <w:rFonts w:cs="Tahoma"/>
          <w:sz w:val="20"/>
        </w:rPr>
        <w:t xml:space="preserve">network </w:t>
      </w:r>
      <w:r w:rsidRPr="0068236B">
        <w:rPr>
          <w:rFonts w:cs="Tahoma"/>
          <w:sz w:val="20"/>
        </w:rPr>
        <w:t xml:space="preserve">configurations. They are all built </w:t>
      </w:r>
      <w:r w:rsidR="00517791" w:rsidRPr="0068236B">
        <w:rPr>
          <w:rFonts w:cs="Tahoma"/>
          <w:sz w:val="20"/>
        </w:rPr>
        <w:t xml:space="preserve">based </w:t>
      </w:r>
      <w:r w:rsidRPr="0068236B">
        <w:rPr>
          <w:rFonts w:cs="Tahoma"/>
          <w:sz w:val="20"/>
        </w:rPr>
        <w:t xml:space="preserve">on the </w:t>
      </w:r>
      <w:r w:rsidR="00517791" w:rsidRPr="0068236B">
        <w:rPr>
          <w:rFonts w:cs="Tahoma"/>
          <w:sz w:val="20"/>
        </w:rPr>
        <w:t>network topology</w:t>
      </w:r>
      <w:r w:rsidRPr="0068236B">
        <w:rPr>
          <w:rFonts w:cs="Tahoma"/>
          <w:sz w:val="20"/>
        </w:rPr>
        <w:t>, re</w:t>
      </w:r>
      <w:r w:rsidRPr="0068236B">
        <w:rPr>
          <w:rFonts w:cs="Tahoma"/>
          <w:sz w:val="20"/>
        </w:rPr>
        <w:t>p</w:t>
      </w:r>
      <w:r w:rsidRPr="0068236B">
        <w:rPr>
          <w:rFonts w:cs="Tahoma"/>
          <w:sz w:val="20"/>
        </w:rPr>
        <w:t>resent</w:t>
      </w:r>
      <w:r w:rsidR="00517791" w:rsidRPr="0068236B">
        <w:rPr>
          <w:rFonts w:cs="Tahoma"/>
          <w:sz w:val="20"/>
        </w:rPr>
        <w:t>ing</w:t>
      </w:r>
      <w:r w:rsidRPr="0068236B">
        <w:rPr>
          <w:rFonts w:cs="Tahoma"/>
          <w:sz w:val="20"/>
        </w:rPr>
        <w:t xml:space="preserve"> the basic development of the local transmission networks for </w:t>
      </w:r>
      <w:r w:rsidR="00517791" w:rsidRPr="0068236B">
        <w:rPr>
          <w:rFonts w:cs="Tahoma"/>
          <w:sz w:val="20"/>
        </w:rPr>
        <w:t>three referenced years - 2025, 2030 and 2040.</w:t>
      </w:r>
    </w:p>
    <w:p w14:paraId="1EB184DE" w14:textId="77777777" w:rsidR="00517791" w:rsidRPr="0068236B" w:rsidRDefault="00517791" w:rsidP="007F232C">
      <w:pPr>
        <w:rPr>
          <w:rFonts w:cs="Tahoma"/>
          <w:sz w:val="20"/>
        </w:rPr>
      </w:pPr>
      <w:r w:rsidRPr="0068236B">
        <w:rPr>
          <w:rFonts w:cs="Tahoma"/>
          <w:sz w:val="20"/>
        </w:rPr>
        <w:t>The key technical elements of the identified options are as follows:</w:t>
      </w:r>
    </w:p>
    <w:p w14:paraId="1B43006F" w14:textId="77777777" w:rsidR="00517791" w:rsidRPr="0068236B" w:rsidRDefault="00517791" w:rsidP="00D24CEF">
      <w:pPr>
        <w:pStyle w:val="ListParagraph"/>
        <w:numPr>
          <w:ilvl w:val="0"/>
          <w:numId w:val="95"/>
        </w:numPr>
        <w:spacing w:line="240" w:lineRule="auto"/>
        <w:contextualSpacing w:val="0"/>
        <w:jc w:val="left"/>
        <w:rPr>
          <w:rFonts w:cs="Tahoma"/>
          <w:sz w:val="20"/>
        </w:rPr>
      </w:pPr>
      <w:r w:rsidRPr="0068236B">
        <w:rPr>
          <w:rFonts w:cs="Tahoma"/>
          <w:sz w:val="20"/>
        </w:rPr>
        <w:t xml:space="preserve">Project Option 1 </w:t>
      </w:r>
      <w:r w:rsidR="004256F5" w:rsidRPr="0068236B">
        <w:rPr>
          <w:rFonts w:cs="Tahoma"/>
          <w:sz w:val="20"/>
        </w:rPr>
        <w:t xml:space="preserve">- </w:t>
      </w:r>
      <w:r w:rsidR="004256F5" w:rsidRPr="0068236B">
        <w:rPr>
          <w:sz w:val="20"/>
        </w:rPr>
        <w:t>Double Circuit 110 kV OHL Dubrovo – Valandovo</w:t>
      </w:r>
      <w:r w:rsidR="004256F5" w:rsidRPr="0068236B">
        <w:rPr>
          <w:rFonts w:cs="Tahoma"/>
          <w:sz w:val="20"/>
        </w:rPr>
        <w:t xml:space="preserve">, which </w:t>
      </w:r>
      <w:r w:rsidRPr="0068236B">
        <w:rPr>
          <w:rFonts w:cs="Tahoma"/>
          <w:sz w:val="20"/>
        </w:rPr>
        <w:t>includes the following main components:</w:t>
      </w:r>
    </w:p>
    <w:p w14:paraId="7474563F" w14:textId="77777777" w:rsidR="00517791" w:rsidRPr="0068236B" w:rsidRDefault="00517791" w:rsidP="00D24CEF">
      <w:pPr>
        <w:pStyle w:val="ListParagraph"/>
        <w:numPr>
          <w:ilvl w:val="1"/>
          <w:numId w:val="95"/>
        </w:numPr>
        <w:spacing w:line="240" w:lineRule="auto"/>
        <w:contextualSpacing w:val="0"/>
        <w:jc w:val="left"/>
        <w:rPr>
          <w:rFonts w:cs="Tahoma"/>
          <w:sz w:val="20"/>
        </w:rPr>
      </w:pPr>
      <w:r w:rsidRPr="0068236B">
        <w:rPr>
          <w:rFonts w:cs="Tahoma"/>
          <w:sz w:val="20"/>
        </w:rPr>
        <w:t xml:space="preserve">Construction of </w:t>
      </w:r>
      <w:r w:rsidR="00C35306" w:rsidRPr="0068236B">
        <w:rPr>
          <w:rFonts w:cs="Tahoma"/>
          <w:sz w:val="20"/>
        </w:rPr>
        <w:t xml:space="preserve">a </w:t>
      </w:r>
      <w:r w:rsidRPr="0068236B">
        <w:rPr>
          <w:rFonts w:cs="Tahoma"/>
          <w:sz w:val="20"/>
        </w:rPr>
        <w:t>new double circuit 110 kV OHL between Valandovo and Dubrovo</w:t>
      </w:r>
    </w:p>
    <w:p w14:paraId="2E1DAA5F" w14:textId="77777777" w:rsidR="00517791" w:rsidRPr="0068236B" w:rsidRDefault="00517791" w:rsidP="00D24CEF">
      <w:pPr>
        <w:pStyle w:val="ListParagraph"/>
        <w:numPr>
          <w:ilvl w:val="1"/>
          <w:numId w:val="95"/>
        </w:numPr>
        <w:spacing w:line="240" w:lineRule="auto"/>
        <w:contextualSpacing w:val="0"/>
        <w:jc w:val="left"/>
        <w:rPr>
          <w:rFonts w:cs="Tahoma"/>
          <w:sz w:val="20"/>
        </w:rPr>
      </w:pPr>
      <w:r w:rsidRPr="0068236B">
        <w:rPr>
          <w:rFonts w:cs="Tahoma"/>
          <w:sz w:val="20"/>
        </w:rPr>
        <w:t>New 400/110 kV power transformer in the 400/110 kV SS Dubrovo, with respective 110 kV and 400 kV bays</w:t>
      </w:r>
    </w:p>
    <w:p w14:paraId="431DBF2D" w14:textId="3126E619" w:rsidR="00517791" w:rsidRPr="0068236B" w:rsidRDefault="00517791" w:rsidP="00D24CEF">
      <w:pPr>
        <w:pStyle w:val="ListParagraph"/>
        <w:numPr>
          <w:ilvl w:val="1"/>
          <w:numId w:val="95"/>
        </w:numPr>
        <w:spacing w:line="240" w:lineRule="auto"/>
        <w:contextualSpacing w:val="0"/>
        <w:jc w:val="left"/>
        <w:rPr>
          <w:rFonts w:cs="Tahoma"/>
          <w:sz w:val="20"/>
        </w:rPr>
      </w:pPr>
      <w:r w:rsidRPr="0068236B">
        <w:rPr>
          <w:rFonts w:cs="Tahoma"/>
          <w:sz w:val="20"/>
        </w:rPr>
        <w:t xml:space="preserve">Reconstruction of </w:t>
      </w:r>
      <w:r w:rsidR="00C35306" w:rsidRPr="0068236B">
        <w:rPr>
          <w:rFonts w:cs="Tahoma"/>
          <w:sz w:val="20"/>
        </w:rPr>
        <w:t xml:space="preserve">the </w:t>
      </w:r>
      <w:r w:rsidRPr="0068236B">
        <w:rPr>
          <w:rFonts w:cs="Tahoma"/>
          <w:sz w:val="20"/>
        </w:rPr>
        <w:t>existing 110 kV OHL Valandovo – Strumica 2 – Strumica 1</w:t>
      </w:r>
      <w:r w:rsidR="00A87796" w:rsidRPr="0068236B">
        <w:rPr>
          <w:rFonts w:cs="Tahoma"/>
          <w:sz w:val="20"/>
        </w:rPr>
        <w:t xml:space="preserve"> </w:t>
      </w:r>
    </w:p>
    <w:p w14:paraId="673BF1D2" w14:textId="2FF1F7C3" w:rsidR="00517791" w:rsidRPr="0068236B" w:rsidRDefault="00517791" w:rsidP="00D24CEF">
      <w:pPr>
        <w:pStyle w:val="ListParagraph"/>
        <w:numPr>
          <w:ilvl w:val="0"/>
          <w:numId w:val="95"/>
        </w:numPr>
        <w:spacing w:line="240" w:lineRule="auto"/>
        <w:ind w:left="714" w:hanging="357"/>
        <w:contextualSpacing w:val="0"/>
        <w:jc w:val="left"/>
        <w:rPr>
          <w:rFonts w:cs="Tahoma"/>
          <w:sz w:val="20"/>
        </w:rPr>
      </w:pPr>
      <w:r w:rsidRPr="0068236B">
        <w:rPr>
          <w:rFonts w:cs="Tahoma"/>
          <w:sz w:val="20"/>
        </w:rPr>
        <w:t xml:space="preserve">Project Option 2 </w:t>
      </w:r>
      <w:r w:rsidR="004256F5" w:rsidRPr="0068236B">
        <w:rPr>
          <w:rFonts w:cs="Tahoma"/>
          <w:sz w:val="20"/>
        </w:rPr>
        <w:t xml:space="preserve">- </w:t>
      </w:r>
      <w:r w:rsidR="0002199E" w:rsidRPr="0068236B">
        <w:rPr>
          <w:sz w:val="20"/>
        </w:rPr>
        <w:t>New 400/110 kV substation</w:t>
      </w:r>
      <w:r w:rsidR="004256F5" w:rsidRPr="0068236B">
        <w:rPr>
          <w:sz w:val="20"/>
        </w:rPr>
        <w:t xml:space="preserve"> and lead in-out of existing 400 kV OHL</w:t>
      </w:r>
      <w:r w:rsidR="004256F5" w:rsidRPr="0068236B">
        <w:rPr>
          <w:rFonts w:cs="Tahoma"/>
          <w:sz w:val="20"/>
        </w:rPr>
        <w:t xml:space="preserve"> Dubrovo – Thessalonica (GR), </w:t>
      </w:r>
      <w:r w:rsidRPr="0068236B">
        <w:rPr>
          <w:rFonts w:cs="Tahoma"/>
          <w:sz w:val="20"/>
        </w:rPr>
        <w:t>which includes the following main components:</w:t>
      </w:r>
    </w:p>
    <w:p w14:paraId="01B8E247" w14:textId="473AF626" w:rsidR="00517791" w:rsidRPr="0068236B" w:rsidRDefault="00517791" w:rsidP="00D24CEF">
      <w:pPr>
        <w:pStyle w:val="ListParagraph"/>
        <w:numPr>
          <w:ilvl w:val="1"/>
          <w:numId w:val="95"/>
        </w:numPr>
        <w:spacing w:line="240" w:lineRule="auto"/>
        <w:contextualSpacing w:val="0"/>
        <w:jc w:val="left"/>
        <w:rPr>
          <w:rFonts w:cs="Tahoma"/>
          <w:sz w:val="20"/>
        </w:rPr>
      </w:pPr>
      <w:r w:rsidRPr="0068236B">
        <w:rPr>
          <w:rFonts w:cs="Tahoma"/>
          <w:sz w:val="20"/>
        </w:rPr>
        <w:t xml:space="preserve">Construction of </w:t>
      </w:r>
      <w:r w:rsidR="00C35306" w:rsidRPr="0068236B">
        <w:rPr>
          <w:rFonts w:cs="Tahoma"/>
          <w:sz w:val="20"/>
        </w:rPr>
        <w:t xml:space="preserve">a </w:t>
      </w:r>
      <w:r w:rsidR="0002199E" w:rsidRPr="0068236B">
        <w:rPr>
          <w:rFonts w:cs="Tahoma"/>
          <w:sz w:val="20"/>
        </w:rPr>
        <w:t>new 400/110 kV substation</w:t>
      </w:r>
    </w:p>
    <w:p w14:paraId="2CCD813B" w14:textId="667A1BA6" w:rsidR="00517791" w:rsidRPr="0068236B" w:rsidRDefault="00517791" w:rsidP="00D24CEF">
      <w:pPr>
        <w:pStyle w:val="ListParagraph"/>
        <w:numPr>
          <w:ilvl w:val="1"/>
          <w:numId w:val="95"/>
        </w:numPr>
        <w:spacing w:line="240" w:lineRule="auto"/>
        <w:contextualSpacing w:val="0"/>
        <w:jc w:val="left"/>
        <w:rPr>
          <w:rFonts w:cs="Tahoma"/>
          <w:sz w:val="20"/>
        </w:rPr>
      </w:pPr>
      <w:r w:rsidRPr="0068236B">
        <w:rPr>
          <w:rFonts w:cs="Tahoma"/>
          <w:sz w:val="20"/>
        </w:rPr>
        <w:t xml:space="preserve">Connection of the existing 400 kV OHL Dubrovo – Thessalonica (GR) into the new </w:t>
      </w:r>
      <w:r w:rsidR="0002199E" w:rsidRPr="0068236B">
        <w:rPr>
          <w:rFonts w:cs="Tahoma"/>
          <w:sz w:val="20"/>
        </w:rPr>
        <w:t>substation</w:t>
      </w:r>
    </w:p>
    <w:p w14:paraId="62E37A31" w14:textId="77777777" w:rsidR="00517791" w:rsidRPr="0068236B" w:rsidRDefault="00517791" w:rsidP="00D24CEF">
      <w:pPr>
        <w:pStyle w:val="ListParagraph"/>
        <w:numPr>
          <w:ilvl w:val="1"/>
          <w:numId w:val="95"/>
        </w:numPr>
        <w:spacing w:line="240" w:lineRule="auto"/>
        <w:contextualSpacing w:val="0"/>
        <w:jc w:val="left"/>
        <w:rPr>
          <w:rFonts w:cs="Tahoma"/>
          <w:sz w:val="20"/>
        </w:rPr>
      </w:pPr>
      <w:r w:rsidRPr="0068236B">
        <w:rPr>
          <w:rFonts w:cs="Tahoma"/>
          <w:sz w:val="20"/>
        </w:rPr>
        <w:t xml:space="preserve">Reconstruction of </w:t>
      </w:r>
      <w:r w:rsidR="00C35306" w:rsidRPr="0068236B">
        <w:rPr>
          <w:rFonts w:cs="Tahoma"/>
          <w:sz w:val="20"/>
        </w:rPr>
        <w:t xml:space="preserve">the </w:t>
      </w:r>
      <w:r w:rsidRPr="0068236B">
        <w:rPr>
          <w:rFonts w:cs="Tahoma"/>
          <w:sz w:val="20"/>
        </w:rPr>
        <w:t>existing 110 kV OHL Valandovo – Strumica 2 – Strumica 1</w:t>
      </w:r>
    </w:p>
    <w:p w14:paraId="4BD39EC3" w14:textId="247FE056" w:rsidR="00517791" w:rsidRPr="0068236B" w:rsidRDefault="00C35306" w:rsidP="00D24CEF">
      <w:pPr>
        <w:pStyle w:val="ListParagraph"/>
        <w:numPr>
          <w:ilvl w:val="0"/>
          <w:numId w:val="95"/>
        </w:numPr>
        <w:spacing w:line="240" w:lineRule="auto"/>
        <w:ind w:left="714" w:hanging="357"/>
        <w:contextualSpacing w:val="0"/>
        <w:jc w:val="left"/>
        <w:rPr>
          <w:rFonts w:cs="Tahoma"/>
          <w:sz w:val="20"/>
        </w:rPr>
      </w:pPr>
      <w:r w:rsidRPr="0068236B">
        <w:rPr>
          <w:rFonts w:cs="Tahoma"/>
          <w:sz w:val="20"/>
        </w:rPr>
        <w:t xml:space="preserve">Project </w:t>
      </w:r>
      <w:r w:rsidR="00517791" w:rsidRPr="0068236B">
        <w:rPr>
          <w:rFonts w:cs="Tahoma"/>
          <w:sz w:val="20"/>
        </w:rPr>
        <w:t xml:space="preserve">Option 3 </w:t>
      </w:r>
      <w:r w:rsidR="004256F5" w:rsidRPr="0068236B">
        <w:rPr>
          <w:rFonts w:cs="Tahoma"/>
          <w:sz w:val="20"/>
        </w:rPr>
        <w:t xml:space="preserve">– New </w:t>
      </w:r>
      <w:r w:rsidR="0002199E" w:rsidRPr="0068236B">
        <w:rPr>
          <w:sz w:val="20"/>
        </w:rPr>
        <w:t xml:space="preserve">400/110 kV substation </w:t>
      </w:r>
      <w:r w:rsidR="004256F5" w:rsidRPr="0068236B">
        <w:rPr>
          <w:sz w:val="20"/>
        </w:rPr>
        <w:t>with interconnection</w:t>
      </w:r>
      <w:r w:rsidR="004256F5" w:rsidRPr="0068236B">
        <w:rPr>
          <w:rFonts w:cs="Tahoma"/>
          <w:sz w:val="20"/>
        </w:rPr>
        <w:t xml:space="preserve"> (</w:t>
      </w:r>
      <w:r w:rsidR="004256F5" w:rsidRPr="0068236B">
        <w:rPr>
          <w:sz w:val="20"/>
        </w:rPr>
        <w:t xml:space="preserve">new 400 kV OHL Dubrovo – Valandovo – Thessalonica (GR)), </w:t>
      </w:r>
      <w:r w:rsidR="00517791" w:rsidRPr="0068236B">
        <w:rPr>
          <w:rFonts w:cs="Tahoma"/>
          <w:sz w:val="20"/>
        </w:rPr>
        <w:t>which includes the following main components:</w:t>
      </w:r>
    </w:p>
    <w:p w14:paraId="107E8D70" w14:textId="60B2107A" w:rsidR="00517791" w:rsidRPr="0068236B" w:rsidRDefault="00517791" w:rsidP="00D24CEF">
      <w:pPr>
        <w:pStyle w:val="ListParagraph"/>
        <w:numPr>
          <w:ilvl w:val="1"/>
          <w:numId w:val="95"/>
        </w:numPr>
        <w:spacing w:line="240" w:lineRule="auto"/>
        <w:contextualSpacing w:val="0"/>
        <w:jc w:val="left"/>
        <w:rPr>
          <w:rFonts w:cs="Tahoma"/>
          <w:sz w:val="20"/>
        </w:rPr>
      </w:pPr>
      <w:r w:rsidRPr="0068236B">
        <w:rPr>
          <w:rFonts w:cs="Tahoma"/>
          <w:sz w:val="20"/>
        </w:rPr>
        <w:t xml:space="preserve">Construction of </w:t>
      </w:r>
      <w:r w:rsidR="00C35306" w:rsidRPr="0068236B">
        <w:rPr>
          <w:rFonts w:cs="Tahoma"/>
          <w:sz w:val="20"/>
        </w:rPr>
        <w:t xml:space="preserve">a </w:t>
      </w:r>
      <w:r w:rsidRPr="0068236B">
        <w:rPr>
          <w:rFonts w:cs="Tahoma"/>
          <w:sz w:val="20"/>
        </w:rPr>
        <w:t>new</w:t>
      </w:r>
      <w:r w:rsidR="0002199E" w:rsidRPr="0068236B">
        <w:rPr>
          <w:rFonts w:cs="Tahoma"/>
          <w:sz w:val="20"/>
        </w:rPr>
        <w:t xml:space="preserve"> 400/110 kV substation</w:t>
      </w:r>
    </w:p>
    <w:p w14:paraId="321D59DA" w14:textId="77777777" w:rsidR="00C137AE" w:rsidRPr="0068236B" w:rsidRDefault="00517791" w:rsidP="00D24CEF">
      <w:pPr>
        <w:pStyle w:val="ListParagraph"/>
        <w:numPr>
          <w:ilvl w:val="1"/>
          <w:numId w:val="95"/>
        </w:numPr>
        <w:spacing w:line="240" w:lineRule="auto"/>
        <w:contextualSpacing w:val="0"/>
        <w:jc w:val="left"/>
        <w:rPr>
          <w:rFonts w:cs="Tahoma"/>
          <w:sz w:val="20"/>
        </w:rPr>
      </w:pPr>
      <w:r w:rsidRPr="0068236B">
        <w:rPr>
          <w:rFonts w:cs="Tahoma"/>
          <w:sz w:val="20"/>
        </w:rPr>
        <w:t xml:space="preserve">Construction of </w:t>
      </w:r>
      <w:r w:rsidR="00C35306" w:rsidRPr="0068236B">
        <w:rPr>
          <w:rFonts w:cs="Tahoma"/>
          <w:sz w:val="20"/>
        </w:rPr>
        <w:t xml:space="preserve">a </w:t>
      </w:r>
      <w:r w:rsidRPr="0068236B">
        <w:rPr>
          <w:rFonts w:cs="Tahoma"/>
          <w:sz w:val="20"/>
        </w:rPr>
        <w:t xml:space="preserve">new 400 kV OHL Dubrovo – Valandovo – </w:t>
      </w:r>
      <w:r w:rsidR="00C35306" w:rsidRPr="0068236B">
        <w:rPr>
          <w:rFonts w:cs="Tahoma"/>
          <w:sz w:val="20"/>
        </w:rPr>
        <w:t>Thessalonica</w:t>
      </w:r>
      <w:r w:rsidRPr="0068236B">
        <w:rPr>
          <w:rFonts w:cs="Tahoma"/>
          <w:sz w:val="20"/>
        </w:rPr>
        <w:t xml:space="preserve"> (GR)</w:t>
      </w:r>
    </w:p>
    <w:p w14:paraId="6A3C5734" w14:textId="2B0CD9A9" w:rsidR="005C36E0" w:rsidRPr="0068236B" w:rsidRDefault="00517791" w:rsidP="00D24CEF">
      <w:pPr>
        <w:pStyle w:val="ListParagraph"/>
        <w:numPr>
          <w:ilvl w:val="1"/>
          <w:numId w:val="95"/>
        </w:numPr>
        <w:spacing w:line="240" w:lineRule="auto"/>
        <w:ind w:left="1434" w:hanging="357"/>
        <w:contextualSpacing w:val="0"/>
        <w:jc w:val="left"/>
        <w:rPr>
          <w:rFonts w:cs="Tahoma"/>
          <w:sz w:val="20"/>
        </w:rPr>
      </w:pPr>
      <w:r w:rsidRPr="0068236B">
        <w:rPr>
          <w:rFonts w:cs="Tahoma"/>
          <w:sz w:val="20"/>
        </w:rPr>
        <w:t>Reconstruction of existing 110 kV OHLs Valandovo – Strumica 2 – Strumica 1</w:t>
      </w:r>
      <w:bookmarkStart w:id="106" w:name="_Toc71559740"/>
    </w:p>
    <w:p w14:paraId="5C80E26D" w14:textId="7CFFEBC2" w:rsidR="00C137AE" w:rsidRPr="0068236B" w:rsidRDefault="00C137AE" w:rsidP="00032270">
      <w:pPr>
        <w:rPr>
          <w:rFonts w:cs="Tahoma"/>
          <w:sz w:val="20"/>
          <w:szCs w:val="20"/>
        </w:rPr>
      </w:pPr>
      <w:r w:rsidRPr="0068236B">
        <w:rPr>
          <w:rFonts w:cs="Tahoma"/>
          <w:sz w:val="20"/>
          <w:szCs w:val="20"/>
        </w:rPr>
        <w:t>As an element of the wider development scheme for strengthening the transmission network in the Sout</w:t>
      </w:r>
      <w:r w:rsidRPr="0068236B">
        <w:rPr>
          <w:rFonts w:cs="Tahoma"/>
          <w:sz w:val="20"/>
          <w:szCs w:val="20"/>
        </w:rPr>
        <w:t>h</w:t>
      </w:r>
      <w:r w:rsidRPr="0068236B">
        <w:rPr>
          <w:rFonts w:cs="Tahoma"/>
          <w:sz w:val="20"/>
          <w:szCs w:val="20"/>
        </w:rPr>
        <w:t xml:space="preserve">east Region of </w:t>
      </w:r>
      <w:r w:rsidR="00462949" w:rsidRPr="0068236B">
        <w:rPr>
          <w:rFonts w:cs="Tahoma"/>
          <w:sz w:val="20"/>
          <w:szCs w:val="20"/>
        </w:rPr>
        <w:t>Macedonia</w:t>
      </w:r>
      <w:r w:rsidRPr="0068236B">
        <w:rPr>
          <w:rFonts w:cs="Tahoma"/>
          <w:sz w:val="20"/>
          <w:szCs w:val="20"/>
        </w:rPr>
        <w:t>, the</w:t>
      </w:r>
      <w:r w:rsidR="00032270" w:rsidRPr="0068236B">
        <w:rPr>
          <w:rFonts w:cs="Tahoma"/>
          <w:sz w:val="20"/>
          <w:szCs w:val="20"/>
        </w:rPr>
        <w:t xml:space="preserve"> Sub-project 2 -</w:t>
      </w:r>
      <w:r w:rsidRPr="0068236B">
        <w:rPr>
          <w:rFonts w:cs="Tahoma"/>
          <w:sz w:val="20"/>
          <w:szCs w:val="20"/>
        </w:rPr>
        <w:t xml:space="preserve"> Reconstruction of the existing 110 kV OHL Valandovo – Strumica (Component </w:t>
      </w:r>
      <w:r w:rsidR="00032270" w:rsidRPr="0068236B">
        <w:rPr>
          <w:rFonts w:cs="Tahoma"/>
          <w:sz w:val="20"/>
          <w:szCs w:val="20"/>
        </w:rPr>
        <w:t>2</w:t>
      </w:r>
      <w:r w:rsidRPr="0068236B">
        <w:rPr>
          <w:rFonts w:cs="Tahoma"/>
          <w:sz w:val="20"/>
          <w:szCs w:val="20"/>
        </w:rPr>
        <w:t>) was included in each of the identified options. As such, this element was not a comparative factor for the decision-making process for selection of the preferred option and was not taken into the comparative analysis of the identified options</w:t>
      </w:r>
      <w:r w:rsidRPr="0068236B">
        <w:rPr>
          <w:rStyle w:val="FootnoteReference"/>
          <w:rFonts w:cs="Tahoma"/>
          <w:sz w:val="20"/>
          <w:szCs w:val="20"/>
        </w:rPr>
        <w:footnoteReference w:id="46"/>
      </w:r>
      <w:r w:rsidRPr="0068236B">
        <w:rPr>
          <w:rFonts w:cs="Tahoma"/>
          <w:sz w:val="20"/>
          <w:szCs w:val="20"/>
        </w:rPr>
        <w:t xml:space="preserve">. </w:t>
      </w:r>
    </w:p>
    <w:p w14:paraId="577B5666" w14:textId="77777777" w:rsidR="00C137AE" w:rsidRPr="0068236B" w:rsidRDefault="00C137AE" w:rsidP="00032270">
      <w:pPr>
        <w:jc w:val="left"/>
        <w:rPr>
          <w:b/>
          <w:bCs/>
          <w:color w:val="44697D"/>
          <w:sz w:val="20"/>
          <w:szCs w:val="20"/>
        </w:rPr>
        <w:sectPr w:rsidR="00C137AE" w:rsidRPr="0068236B" w:rsidSect="00F56664">
          <w:pgSz w:w="11907" w:h="16840" w:code="9"/>
          <w:pgMar w:top="1134" w:right="1134" w:bottom="1077" w:left="1134" w:header="397" w:footer="397" w:gutter="0"/>
          <w:cols w:space="708"/>
          <w:docGrid w:linePitch="360"/>
        </w:sectPr>
      </w:pPr>
    </w:p>
    <w:p w14:paraId="0DFBDB2E" w14:textId="77777777" w:rsidR="00D76FC1" w:rsidRPr="0068236B" w:rsidRDefault="00D76FC1">
      <w:pPr>
        <w:spacing w:before="0" w:after="0" w:line="240" w:lineRule="auto"/>
        <w:jc w:val="left"/>
        <w:rPr>
          <w:b/>
          <w:bCs/>
          <w:color w:val="44697D"/>
          <w:sz w:val="24"/>
          <w:szCs w:val="28"/>
        </w:rPr>
      </w:pPr>
      <w:r w:rsidRPr="0068236B">
        <w:rPr>
          <w:b/>
          <w:bCs/>
          <w:noProof/>
          <w:color w:val="44697D"/>
          <w:sz w:val="24"/>
          <w:szCs w:val="28"/>
          <w:lang w:val="mk-MK" w:eastAsia="mk-MK"/>
        </w:rPr>
        <w:lastRenderedPageBreak/>
        <w:drawing>
          <wp:inline distT="0" distB="0" distL="0" distR="0" wp14:anchorId="69398DC2" wp14:editId="60003E7D">
            <wp:extent cx="8639175" cy="5762625"/>
            <wp:effectExtent l="19050" t="0" r="9525" b="0"/>
            <wp:docPr id="6" name="Picture 1" descr="C:\Users\Kokan\Documents\IPF Project\IPF 7\Energy\WB21 OHL SS Dubrovo-Strumica, Mkd\18 - ESIA Scoping\work files\20211019 Pregledna za Scoping Report so Site Opc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kan\Documents\IPF Project\IPF 7\Energy\WB21 OHL SS Dubrovo-Strumica, Mkd\18 - ESIA Scoping\work files\20211019 Pregledna za Scoping Report so Site Opcii.jpg"/>
                    <pic:cNvPicPr>
                      <a:picLocks noChangeAspect="1" noChangeArrowheads="1"/>
                    </pic:cNvPicPr>
                  </pic:nvPicPr>
                  <pic:blipFill>
                    <a:blip r:embed="rId63" cstate="email">
                      <a:extLst>
                        <a:ext uri="{28A0092B-C50C-407E-A947-70E740481C1C}">
                          <a14:useLocalDpi xmlns:a14="http://schemas.microsoft.com/office/drawing/2010/main" val="0"/>
                        </a:ext>
                      </a:extLst>
                    </a:blip>
                    <a:srcRect/>
                    <a:stretch>
                      <a:fillRect/>
                    </a:stretch>
                  </pic:blipFill>
                  <pic:spPr bwMode="auto">
                    <a:xfrm>
                      <a:off x="0" y="0"/>
                      <a:ext cx="8639175" cy="5762625"/>
                    </a:xfrm>
                    <a:prstGeom prst="rect">
                      <a:avLst/>
                    </a:prstGeom>
                    <a:noFill/>
                    <a:ln w="9525">
                      <a:noFill/>
                      <a:miter lim="800000"/>
                      <a:headEnd/>
                      <a:tailEnd/>
                    </a:ln>
                  </pic:spPr>
                </pic:pic>
              </a:graphicData>
            </a:graphic>
          </wp:inline>
        </w:drawing>
      </w:r>
    </w:p>
    <w:p w14:paraId="12141C07" w14:textId="77777777" w:rsidR="00D76FC1" w:rsidRPr="0068236B" w:rsidRDefault="00D76FC1" w:rsidP="00D76FC1">
      <w:pPr>
        <w:spacing w:after="60"/>
        <w:jc w:val="left"/>
        <w:rPr>
          <w:sz w:val="18"/>
          <w:szCs w:val="20"/>
        </w:rPr>
      </w:pPr>
      <w:bookmarkStart w:id="107" w:name="_Toc112928863"/>
      <w:r w:rsidRPr="0068236B">
        <w:rPr>
          <w:rFonts w:cs="Arial"/>
          <w:iCs/>
          <w:sz w:val="18"/>
          <w:szCs w:val="20"/>
        </w:rPr>
        <w:t xml:space="preserve">Figure </w:t>
      </w:r>
      <w:r w:rsidR="00377E43" w:rsidRPr="0068236B">
        <w:rPr>
          <w:rFonts w:cs="Arial"/>
          <w:iCs/>
          <w:sz w:val="18"/>
          <w:szCs w:val="20"/>
        </w:rPr>
        <w:fldChar w:fldCharType="begin"/>
      </w:r>
      <w:r w:rsidRPr="0068236B">
        <w:rPr>
          <w:rFonts w:cs="Arial"/>
          <w:iCs/>
          <w:sz w:val="18"/>
          <w:szCs w:val="20"/>
        </w:rPr>
        <w:instrText xml:space="preserve"> STYLEREF 1 \s </w:instrText>
      </w:r>
      <w:r w:rsidR="00377E43" w:rsidRPr="0068236B">
        <w:rPr>
          <w:rFonts w:cs="Arial"/>
          <w:iCs/>
          <w:sz w:val="18"/>
          <w:szCs w:val="20"/>
        </w:rPr>
        <w:fldChar w:fldCharType="separate"/>
      </w:r>
      <w:r w:rsidR="00234EBE" w:rsidRPr="0068236B">
        <w:rPr>
          <w:rFonts w:cs="Arial"/>
          <w:iCs/>
          <w:noProof/>
          <w:sz w:val="18"/>
          <w:szCs w:val="20"/>
        </w:rPr>
        <w:t>3</w:t>
      </w:r>
      <w:r w:rsidR="00377E43" w:rsidRPr="0068236B">
        <w:rPr>
          <w:rFonts w:cs="Arial"/>
          <w:iCs/>
          <w:sz w:val="18"/>
          <w:szCs w:val="20"/>
        </w:rPr>
        <w:fldChar w:fldCharType="end"/>
      </w:r>
      <w:r w:rsidRPr="0068236B">
        <w:rPr>
          <w:rFonts w:cs="Arial"/>
          <w:iCs/>
          <w:sz w:val="18"/>
          <w:szCs w:val="20"/>
        </w:rPr>
        <w:t>.</w:t>
      </w:r>
      <w:r w:rsidR="00377E43" w:rsidRPr="0068236B">
        <w:rPr>
          <w:rFonts w:cs="Arial"/>
          <w:iCs/>
          <w:sz w:val="18"/>
          <w:szCs w:val="20"/>
        </w:rPr>
        <w:fldChar w:fldCharType="begin"/>
      </w:r>
      <w:r w:rsidRPr="0068236B">
        <w:rPr>
          <w:rFonts w:cs="Arial"/>
          <w:iCs/>
          <w:sz w:val="18"/>
          <w:szCs w:val="20"/>
        </w:rPr>
        <w:instrText xml:space="preserve"> SEQ Figure \* ARABIC \s 1 </w:instrText>
      </w:r>
      <w:r w:rsidR="00377E43" w:rsidRPr="0068236B">
        <w:rPr>
          <w:rFonts w:cs="Arial"/>
          <w:iCs/>
          <w:sz w:val="18"/>
          <w:szCs w:val="20"/>
        </w:rPr>
        <w:fldChar w:fldCharType="separate"/>
      </w:r>
      <w:r w:rsidR="00234EBE" w:rsidRPr="0068236B">
        <w:rPr>
          <w:rFonts w:cs="Arial"/>
          <w:iCs/>
          <w:noProof/>
          <w:sz w:val="18"/>
          <w:szCs w:val="20"/>
        </w:rPr>
        <w:t>1</w:t>
      </w:r>
      <w:r w:rsidR="00377E43" w:rsidRPr="0068236B">
        <w:rPr>
          <w:rFonts w:cs="Arial"/>
          <w:iCs/>
          <w:sz w:val="18"/>
          <w:szCs w:val="20"/>
        </w:rPr>
        <w:fldChar w:fldCharType="end"/>
      </w:r>
      <w:r w:rsidRPr="0068236B">
        <w:rPr>
          <w:sz w:val="18"/>
          <w:szCs w:val="20"/>
        </w:rPr>
        <w:t>: Project options and alternatives within Project options</w:t>
      </w:r>
      <w:bookmarkEnd w:id="107"/>
    </w:p>
    <w:p w14:paraId="2883E161" w14:textId="77777777" w:rsidR="00D76FC1" w:rsidRPr="0068236B" w:rsidRDefault="00D76FC1">
      <w:pPr>
        <w:spacing w:before="0" w:after="0" w:line="240" w:lineRule="auto"/>
        <w:jc w:val="left"/>
        <w:rPr>
          <w:b/>
          <w:bCs/>
          <w:color w:val="44697D"/>
          <w:sz w:val="24"/>
          <w:szCs w:val="28"/>
        </w:rPr>
        <w:sectPr w:rsidR="00D76FC1" w:rsidRPr="0068236B" w:rsidSect="00D76FC1">
          <w:pgSz w:w="16840" w:h="11907" w:orient="landscape" w:code="9"/>
          <w:pgMar w:top="1134" w:right="1134" w:bottom="1134" w:left="1077" w:header="397" w:footer="397" w:gutter="0"/>
          <w:cols w:space="708"/>
          <w:docGrid w:linePitch="360"/>
        </w:sectPr>
      </w:pPr>
    </w:p>
    <w:p w14:paraId="666A1FDA" w14:textId="77777777" w:rsidR="00240E6E" w:rsidRPr="0068236B" w:rsidRDefault="00240E6E" w:rsidP="00240E6E">
      <w:pPr>
        <w:pStyle w:val="Heading3"/>
      </w:pPr>
      <w:bookmarkStart w:id="108" w:name="_Toc112852213"/>
      <w:r w:rsidRPr="0068236B">
        <w:lastRenderedPageBreak/>
        <w:t>Description of Options</w:t>
      </w:r>
      <w:bookmarkEnd w:id="106"/>
      <w:bookmarkEnd w:id="108"/>
    </w:p>
    <w:p w14:paraId="1054D154" w14:textId="77777777" w:rsidR="004256F5" w:rsidRPr="0068236B" w:rsidRDefault="004256F5" w:rsidP="008E77D3">
      <w:pPr>
        <w:pStyle w:val="ListParagraph"/>
        <w:numPr>
          <w:ilvl w:val="0"/>
          <w:numId w:val="54"/>
        </w:numPr>
        <w:rPr>
          <w:rFonts w:cs="Tahoma"/>
          <w:sz w:val="20"/>
        </w:rPr>
      </w:pPr>
      <w:r w:rsidRPr="0068236B">
        <w:rPr>
          <w:rFonts w:cs="Tahoma"/>
          <w:sz w:val="20"/>
        </w:rPr>
        <w:t xml:space="preserve">Project Option 1 </w:t>
      </w:r>
      <w:r w:rsidR="00843E7B" w:rsidRPr="0068236B">
        <w:rPr>
          <w:rFonts w:cs="Tahoma"/>
          <w:sz w:val="20"/>
        </w:rPr>
        <w:t>–</w:t>
      </w:r>
      <w:r w:rsidRPr="0068236B">
        <w:rPr>
          <w:rFonts w:cs="Tahoma"/>
          <w:sz w:val="20"/>
        </w:rPr>
        <w:t xml:space="preserve"> </w:t>
      </w:r>
      <w:r w:rsidR="00843E7B" w:rsidRPr="0068236B">
        <w:rPr>
          <w:sz w:val="20"/>
        </w:rPr>
        <w:t>Double-c</w:t>
      </w:r>
      <w:r w:rsidRPr="0068236B">
        <w:rPr>
          <w:sz w:val="20"/>
        </w:rPr>
        <w:t>ircuit 110 kV OHL Dubrovo – Valandovo</w:t>
      </w:r>
    </w:p>
    <w:p w14:paraId="20EF42E8" w14:textId="77777777" w:rsidR="003D4896" w:rsidRPr="0068236B" w:rsidRDefault="003D4896" w:rsidP="00E66CEB">
      <w:pPr>
        <w:rPr>
          <w:rFonts w:cs="Tahoma"/>
          <w:sz w:val="20"/>
        </w:rPr>
      </w:pPr>
      <w:r w:rsidRPr="0068236B">
        <w:rPr>
          <w:rFonts w:cs="Tahoma"/>
          <w:sz w:val="20"/>
        </w:rPr>
        <w:t xml:space="preserve">Due to the high-level environmental constraints identified in the Project region (see Annex </w:t>
      </w:r>
      <w:r w:rsidR="00CC2D79" w:rsidRPr="0068236B">
        <w:rPr>
          <w:rFonts w:cs="Tahoma"/>
          <w:sz w:val="20"/>
        </w:rPr>
        <w:t>2</w:t>
      </w:r>
      <w:r w:rsidRPr="0068236B">
        <w:rPr>
          <w:rFonts w:cs="Tahoma"/>
          <w:sz w:val="20"/>
        </w:rPr>
        <w:t xml:space="preserve">), two routing alternative corridors of the </w:t>
      </w:r>
      <w:r w:rsidR="00E66CEB" w:rsidRPr="0068236B">
        <w:rPr>
          <w:rFonts w:cs="Tahoma"/>
          <w:sz w:val="20"/>
        </w:rPr>
        <w:t xml:space="preserve">2x110 kV </w:t>
      </w:r>
      <w:r w:rsidRPr="0068236B">
        <w:rPr>
          <w:rFonts w:cs="Tahoma"/>
          <w:sz w:val="20"/>
        </w:rPr>
        <w:t xml:space="preserve">OHL alignment were identified </w:t>
      </w:r>
      <w:r w:rsidR="0014272B" w:rsidRPr="0068236B">
        <w:rPr>
          <w:rFonts w:cs="Tahoma"/>
          <w:sz w:val="20"/>
        </w:rPr>
        <w:t xml:space="preserve">and assessed </w:t>
      </w:r>
      <w:r w:rsidRPr="0068236B">
        <w:rPr>
          <w:rFonts w:cs="Tahoma"/>
          <w:sz w:val="20"/>
        </w:rPr>
        <w:t>for this Project option (Figure below):</w:t>
      </w:r>
    </w:p>
    <w:p w14:paraId="15E68B63" w14:textId="77777777" w:rsidR="003D4896" w:rsidRPr="0068236B" w:rsidRDefault="003D4896" w:rsidP="00D24CEF">
      <w:pPr>
        <w:pStyle w:val="ListBullet"/>
        <w:numPr>
          <w:ilvl w:val="0"/>
          <w:numId w:val="96"/>
        </w:numPr>
        <w:spacing w:before="120" w:after="120"/>
        <w:rPr>
          <w:sz w:val="20"/>
        </w:rPr>
      </w:pPr>
      <w:r w:rsidRPr="0068236B">
        <w:rPr>
          <w:rFonts w:eastAsia="Calibri"/>
          <w:sz w:val="20"/>
        </w:rPr>
        <w:t>Alternative 1 – Southern Corridor</w:t>
      </w:r>
    </w:p>
    <w:p w14:paraId="487E04EB" w14:textId="6A0870A0" w:rsidR="00D41D7A" w:rsidRPr="0068236B" w:rsidRDefault="00D41D7A" w:rsidP="009974E8">
      <w:pPr>
        <w:ind w:left="1134"/>
        <w:rPr>
          <w:rFonts w:cs="Tahoma"/>
          <w:sz w:val="20"/>
        </w:rPr>
      </w:pPr>
      <w:r w:rsidRPr="0068236B">
        <w:rPr>
          <w:rFonts w:cs="Tahoma"/>
          <w:sz w:val="20"/>
        </w:rPr>
        <w:t xml:space="preserve">This corridor is generally routed in parallel </w:t>
      </w:r>
      <w:r w:rsidR="00CC2D79" w:rsidRPr="0068236B">
        <w:rPr>
          <w:rFonts w:cs="Tahoma"/>
          <w:sz w:val="20"/>
        </w:rPr>
        <w:t xml:space="preserve">with </w:t>
      </w:r>
      <w:r w:rsidRPr="0068236B">
        <w:rPr>
          <w:rFonts w:cs="Tahoma"/>
          <w:sz w:val="20"/>
        </w:rPr>
        <w:t>the existing 110 kV OHL Dubrovo- Valandovo, at relative distance of approx. 500 m</w:t>
      </w:r>
      <w:r w:rsidR="00CC2D79" w:rsidRPr="0068236B">
        <w:rPr>
          <w:rFonts w:cs="Tahoma"/>
          <w:sz w:val="20"/>
        </w:rPr>
        <w:t xml:space="preserve"> from its </w:t>
      </w:r>
      <w:r w:rsidR="005E6643" w:rsidRPr="0068236B">
        <w:rPr>
          <w:rFonts w:cs="Tahoma"/>
          <w:sz w:val="20"/>
        </w:rPr>
        <w:t>centreline</w:t>
      </w:r>
      <w:r w:rsidR="00CC2D79" w:rsidRPr="0068236B">
        <w:rPr>
          <w:rFonts w:cs="Tahoma"/>
          <w:sz w:val="20"/>
        </w:rPr>
        <w:t xml:space="preserve">, with one particular deviation aiming to </w:t>
      </w:r>
      <w:r w:rsidR="009974E8" w:rsidRPr="0068236B">
        <w:rPr>
          <w:rFonts w:cs="Tahoma"/>
          <w:sz w:val="20"/>
        </w:rPr>
        <w:t>minimise the crossing section with the</w:t>
      </w:r>
      <w:r w:rsidR="00CC2D79" w:rsidRPr="0068236B">
        <w:rPr>
          <w:rFonts w:cs="Tahoma"/>
          <w:sz w:val="20"/>
        </w:rPr>
        <w:t xml:space="preserve"> proposed protected area </w:t>
      </w:r>
      <w:r w:rsidRPr="0068236B">
        <w:rPr>
          <w:rFonts w:cs="Tahoma"/>
          <w:sz w:val="20"/>
        </w:rPr>
        <w:t>Demir Kapija</w:t>
      </w:r>
      <w:r w:rsidR="00CC2D79" w:rsidRPr="0068236B">
        <w:rPr>
          <w:rFonts w:cs="Tahoma"/>
          <w:sz w:val="20"/>
        </w:rPr>
        <w:t xml:space="preserve"> Gorge</w:t>
      </w:r>
      <w:r w:rsidR="00CC2D79" w:rsidRPr="0068236B">
        <w:rPr>
          <w:rStyle w:val="FootnoteReference"/>
          <w:rFonts w:cs="Tahoma"/>
          <w:sz w:val="20"/>
        </w:rPr>
        <w:footnoteReference w:id="47"/>
      </w:r>
      <w:r w:rsidRPr="0068236B">
        <w:rPr>
          <w:rFonts w:cs="Tahoma"/>
          <w:sz w:val="20"/>
        </w:rPr>
        <w:t xml:space="preserve">. </w:t>
      </w:r>
      <w:r w:rsidR="009974E8" w:rsidRPr="0068236B">
        <w:rPr>
          <w:rFonts w:cs="Tahoma"/>
          <w:sz w:val="20"/>
        </w:rPr>
        <w:t>From its starting point – SS Dubrovo – t</w:t>
      </w:r>
      <w:r w:rsidRPr="0068236B">
        <w:rPr>
          <w:rFonts w:cs="Tahoma"/>
          <w:sz w:val="20"/>
        </w:rPr>
        <w:t>h</w:t>
      </w:r>
      <w:r w:rsidR="009974E8" w:rsidRPr="0068236B">
        <w:rPr>
          <w:rFonts w:cs="Tahoma"/>
          <w:sz w:val="20"/>
        </w:rPr>
        <w:t xml:space="preserve">is alternative </w:t>
      </w:r>
      <w:r w:rsidRPr="0068236B">
        <w:rPr>
          <w:rFonts w:cs="Tahoma"/>
          <w:sz w:val="20"/>
        </w:rPr>
        <w:t xml:space="preserve">goes in parallel with the newly foreseen </w:t>
      </w:r>
      <w:r w:rsidR="009974E8" w:rsidRPr="0068236B">
        <w:rPr>
          <w:rFonts w:cs="Tahoma"/>
          <w:sz w:val="20"/>
        </w:rPr>
        <w:t xml:space="preserve">line </w:t>
      </w:r>
      <w:r w:rsidRPr="0068236B">
        <w:rPr>
          <w:rFonts w:cs="Tahoma"/>
          <w:sz w:val="20"/>
        </w:rPr>
        <w:t xml:space="preserve">for the </w:t>
      </w:r>
      <w:r w:rsidR="009974E8" w:rsidRPr="0068236B">
        <w:rPr>
          <w:rFonts w:cs="Tahoma"/>
          <w:sz w:val="20"/>
        </w:rPr>
        <w:t xml:space="preserve">proposed wind park </w:t>
      </w:r>
      <w:r w:rsidRPr="0068236B">
        <w:rPr>
          <w:rFonts w:cs="Tahoma"/>
          <w:sz w:val="20"/>
        </w:rPr>
        <w:t>Dren</w:t>
      </w:r>
      <w:r w:rsidR="006404AD" w:rsidRPr="0068236B">
        <w:rPr>
          <w:rFonts w:cs="Tahoma"/>
          <w:sz w:val="20"/>
        </w:rPr>
        <w:t xml:space="preserve"> (Demir</w:t>
      </w:r>
      <w:r w:rsidR="009974E8" w:rsidRPr="0068236B">
        <w:rPr>
          <w:rFonts w:cs="Tahoma"/>
          <w:sz w:val="20"/>
        </w:rPr>
        <w:t xml:space="preserve"> Kapija area)</w:t>
      </w:r>
      <w:r w:rsidRPr="0068236B">
        <w:rPr>
          <w:rFonts w:cs="Tahoma"/>
          <w:sz w:val="20"/>
        </w:rPr>
        <w:t xml:space="preserve"> and after </w:t>
      </w:r>
      <w:r w:rsidR="009974E8" w:rsidRPr="0068236B">
        <w:rPr>
          <w:rFonts w:cs="Tahoma"/>
          <w:sz w:val="20"/>
        </w:rPr>
        <w:t xml:space="preserve">approx. </w:t>
      </w:r>
      <w:r w:rsidRPr="0068236B">
        <w:rPr>
          <w:rFonts w:cs="Tahoma"/>
          <w:sz w:val="20"/>
        </w:rPr>
        <w:t xml:space="preserve">4 km </w:t>
      </w:r>
      <w:r w:rsidR="009974E8" w:rsidRPr="0068236B">
        <w:rPr>
          <w:rFonts w:cs="Tahoma"/>
          <w:sz w:val="20"/>
        </w:rPr>
        <w:t xml:space="preserve">it crosses </w:t>
      </w:r>
      <w:r w:rsidRPr="0068236B">
        <w:rPr>
          <w:rFonts w:cs="Tahoma"/>
          <w:sz w:val="20"/>
        </w:rPr>
        <w:t>the Vardar</w:t>
      </w:r>
      <w:r w:rsidR="009974E8" w:rsidRPr="0068236B">
        <w:rPr>
          <w:rFonts w:cs="Tahoma"/>
          <w:sz w:val="20"/>
        </w:rPr>
        <w:t xml:space="preserve"> River</w:t>
      </w:r>
      <w:r w:rsidRPr="0068236B">
        <w:rPr>
          <w:rFonts w:cs="Tahoma"/>
          <w:sz w:val="20"/>
        </w:rPr>
        <w:t xml:space="preserve">, continuing </w:t>
      </w:r>
      <w:r w:rsidR="009974E8" w:rsidRPr="0068236B">
        <w:rPr>
          <w:rFonts w:cs="Tahoma"/>
          <w:sz w:val="20"/>
        </w:rPr>
        <w:t>to the</w:t>
      </w:r>
      <w:r w:rsidRPr="0068236B">
        <w:rPr>
          <w:rFonts w:cs="Tahoma"/>
          <w:sz w:val="20"/>
        </w:rPr>
        <w:t xml:space="preserve"> west through a hilly and mountainous terrain</w:t>
      </w:r>
      <w:r w:rsidR="009974E8" w:rsidRPr="0068236B">
        <w:rPr>
          <w:rFonts w:cs="Tahoma"/>
          <w:sz w:val="20"/>
        </w:rPr>
        <w:t>, bypassing the settl</w:t>
      </w:r>
      <w:r w:rsidR="009974E8" w:rsidRPr="0068236B">
        <w:rPr>
          <w:rFonts w:cs="Tahoma"/>
          <w:sz w:val="20"/>
        </w:rPr>
        <w:t>e</w:t>
      </w:r>
      <w:r w:rsidR="009974E8" w:rsidRPr="0068236B">
        <w:rPr>
          <w:rFonts w:cs="Tahoma"/>
          <w:sz w:val="20"/>
        </w:rPr>
        <w:t>ments in the area</w:t>
      </w:r>
      <w:r w:rsidRPr="0068236B">
        <w:rPr>
          <w:rFonts w:cs="Tahoma"/>
          <w:sz w:val="20"/>
        </w:rPr>
        <w:t xml:space="preserve">. </w:t>
      </w:r>
      <w:r w:rsidR="009974E8" w:rsidRPr="0068236B">
        <w:rPr>
          <w:rFonts w:cs="Tahoma"/>
          <w:sz w:val="20"/>
        </w:rPr>
        <w:t xml:space="preserve">In this section, this alternative </w:t>
      </w:r>
      <w:r w:rsidRPr="0068236B">
        <w:rPr>
          <w:rFonts w:cs="Tahoma"/>
          <w:sz w:val="20"/>
        </w:rPr>
        <w:t xml:space="preserve">corridor runs in parallel with the existing </w:t>
      </w:r>
      <w:r w:rsidR="009974E8" w:rsidRPr="0068236B">
        <w:rPr>
          <w:rFonts w:cs="Tahoma"/>
          <w:sz w:val="20"/>
        </w:rPr>
        <w:t>110 kV line to its ending point -</w:t>
      </w:r>
      <w:r w:rsidRPr="0068236B">
        <w:rPr>
          <w:rFonts w:cs="Tahoma"/>
          <w:sz w:val="20"/>
        </w:rPr>
        <w:t xml:space="preserve"> the existing SS 110/35/10 kV Valandovo.</w:t>
      </w:r>
      <w:r w:rsidR="009974E8" w:rsidRPr="0068236B">
        <w:rPr>
          <w:rFonts w:cs="Tahoma"/>
          <w:sz w:val="20"/>
        </w:rPr>
        <w:t xml:space="preserve"> The corridor is with an a</w:t>
      </w:r>
      <w:r w:rsidR="009974E8" w:rsidRPr="0068236B">
        <w:rPr>
          <w:rFonts w:cs="Tahoma"/>
          <w:sz w:val="20"/>
        </w:rPr>
        <w:t>p</w:t>
      </w:r>
      <w:r w:rsidR="009974E8" w:rsidRPr="0068236B">
        <w:rPr>
          <w:rFonts w:cs="Tahoma"/>
          <w:sz w:val="20"/>
        </w:rPr>
        <w:t>proximate length 41 km.</w:t>
      </w:r>
    </w:p>
    <w:p w14:paraId="258F8ECE" w14:textId="77777777" w:rsidR="003D4896" w:rsidRPr="0068236B" w:rsidRDefault="003D4896" w:rsidP="00D24CEF">
      <w:pPr>
        <w:pStyle w:val="ListBullet"/>
        <w:numPr>
          <w:ilvl w:val="0"/>
          <w:numId w:val="96"/>
        </w:numPr>
        <w:jc w:val="left"/>
        <w:rPr>
          <w:sz w:val="20"/>
        </w:rPr>
      </w:pPr>
      <w:r w:rsidRPr="0068236B">
        <w:rPr>
          <w:rFonts w:eastAsia="Calibri"/>
          <w:sz w:val="20"/>
        </w:rPr>
        <w:t>Alternative 2 – Northern Corridor</w:t>
      </w:r>
    </w:p>
    <w:p w14:paraId="0F6629BD" w14:textId="77777777" w:rsidR="00720D69" w:rsidRPr="0068236B" w:rsidRDefault="00720D69" w:rsidP="00365C2C">
      <w:pPr>
        <w:ind w:left="1134"/>
        <w:rPr>
          <w:rFonts w:cs="Tahoma"/>
          <w:sz w:val="20"/>
        </w:rPr>
      </w:pPr>
      <w:r w:rsidRPr="0068236B">
        <w:rPr>
          <w:rFonts w:cs="Tahoma"/>
          <w:sz w:val="20"/>
        </w:rPr>
        <w:t xml:space="preserve">From its starting point – SS Dubrovo – for approx. 9 km, this alternative corridor is routed in parallel with the 400 kV OHL SS Dubrovo – SS Stip at relative distance of approx. 500 m. From this point, the alignment turns to the east to hilly and mountainous terrain until it reaches the highest point of around 1,000 m a.s.l and then it descends towards the ending point – existing SS Valandovo. At around 38 km from the SS Dubrovo, the corridor turns south reaching the SS Valandovo. </w:t>
      </w:r>
      <w:r w:rsidR="00365C2C" w:rsidRPr="0068236B">
        <w:rPr>
          <w:rFonts w:cs="Tahoma"/>
          <w:sz w:val="20"/>
        </w:rPr>
        <w:t xml:space="preserve">The corridor is with an approximate length of 55 km, </w:t>
      </w:r>
      <w:r w:rsidRPr="0068236B">
        <w:rPr>
          <w:rFonts w:cs="Tahoma"/>
          <w:sz w:val="20"/>
        </w:rPr>
        <w:t>14 km longer than the Sout</w:t>
      </w:r>
      <w:r w:rsidRPr="0068236B">
        <w:rPr>
          <w:rFonts w:cs="Tahoma"/>
          <w:sz w:val="20"/>
        </w:rPr>
        <w:t>h</w:t>
      </w:r>
      <w:r w:rsidRPr="0068236B">
        <w:rPr>
          <w:rFonts w:cs="Tahoma"/>
          <w:sz w:val="20"/>
        </w:rPr>
        <w:t xml:space="preserve">ern </w:t>
      </w:r>
      <w:r w:rsidR="00365C2C" w:rsidRPr="0068236B">
        <w:rPr>
          <w:rFonts w:cs="Tahoma"/>
          <w:sz w:val="20"/>
        </w:rPr>
        <w:t>C</w:t>
      </w:r>
      <w:r w:rsidRPr="0068236B">
        <w:rPr>
          <w:rFonts w:cs="Tahoma"/>
          <w:sz w:val="20"/>
        </w:rPr>
        <w:t xml:space="preserve">orridor. </w:t>
      </w:r>
    </w:p>
    <w:p w14:paraId="119BFCEE" w14:textId="77777777" w:rsidR="00466E43" w:rsidRPr="0068236B" w:rsidRDefault="00466E43" w:rsidP="00466E43">
      <w:pPr>
        <w:rPr>
          <w:rFonts w:cs="Tahoma"/>
          <w:sz w:val="20"/>
        </w:rPr>
      </w:pPr>
      <w:r w:rsidRPr="0068236B">
        <w:rPr>
          <w:rFonts w:cs="Tahoma"/>
          <w:sz w:val="20"/>
        </w:rPr>
        <w:t>This option also includes extension of the SS Dubrovo to accommodate the proposed new 2x110 kV line, including a new 400/110 kV power transformer with respective new 400 kV and 110 kV transformer bays, as well as extension of the existing SS Valandovo with new 110 kV bays to accommodate the connection with the new 2x110 kV line and new renewable energy sources planned in the Project region.</w:t>
      </w:r>
    </w:p>
    <w:p w14:paraId="12819E20" w14:textId="77777777" w:rsidR="00466E43" w:rsidRPr="0068236B" w:rsidRDefault="00466E43" w:rsidP="00466E43">
      <w:pPr>
        <w:pStyle w:val="ListBullet"/>
        <w:numPr>
          <w:ilvl w:val="0"/>
          <w:numId w:val="0"/>
        </w:numPr>
        <w:jc w:val="left"/>
        <w:rPr>
          <w:sz w:val="20"/>
        </w:rPr>
      </w:pPr>
    </w:p>
    <w:p w14:paraId="2BB71F9C" w14:textId="77777777" w:rsidR="003D4896" w:rsidRPr="0068236B" w:rsidRDefault="003D4896" w:rsidP="003D4896">
      <w:pPr>
        <w:spacing w:line="240" w:lineRule="auto"/>
        <w:jc w:val="left"/>
        <w:rPr>
          <w:rFonts w:cs="Tahoma"/>
          <w:sz w:val="20"/>
        </w:rPr>
      </w:pPr>
      <w:r w:rsidRPr="0068236B">
        <w:rPr>
          <w:rFonts w:cs="Tahoma"/>
          <w:noProof/>
          <w:sz w:val="20"/>
          <w:lang w:val="mk-MK" w:eastAsia="mk-MK"/>
        </w:rPr>
        <w:lastRenderedPageBreak/>
        <w:drawing>
          <wp:inline distT="0" distB="0" distL="0" distR="0" wp14:anchorId="046A3AA6" wp14:editId="7A58A1BB">
            <wp:extent cx="6120765" cy="3537119"/>
            <wp:effectExtent l="19050" t="0" r="0" b="0"/>
            <wp:docPr id="85"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36" cstate="email">
                      <a:extLst>
                        <a:ext uri="{28A0092B-C50C-407E-A947-70E740481C1C}">
                          <a14:useLocalDpi xmlns:a14="http://schemas.microsoft.com/office/drawing/2010/main" val="0"/>
                        </a:ext>
                      </a:extLst>
                    </a:blip>
                    <a:srcRect/>
                    <a:stretch>
                      <a:fillRect/>
                    </a:stretch>
                  </pic:blipFill>
                  <pic:spPr bwMode="auto">
                    <a:xfrm>
                      <a:off x="0" y="0"/>
                      <a:ext cx="6120765" cy="3537119"/>
                    </a:xfrm>
                    <a:prstGeom prst="rect">
                      <a:avLst/>
                    </a:prstGeom>
                    <a:noFill/>
                    <a:ln>
                      <a:noFill/>
                    </a:ln>
                  </pic:spPr>
                </pic:pic>
              </a:graphicData>
            </a:graphic>
          </wp:inline>
        </w:drawing>
      </w:r>
    </w:p>
    <w:p w14:paraId="2B447904" w14:textId="77777777" w:rsidR="003D4896" w:rsidRPr="0068236B" w:rsidRDefault="003D4896" w:rsidP="007C4710">
      <w:pPr>
        <w:spacing w:after="60"/>
        <w:jc w:val="left"/>
        <w:rPr>
          <w:sz w:val="18"/>
          <w:szCs w:val="20"/>
        </w:rPr>
      </w:pPr>
      <w:bookmarkStart w:id="109" w:name="_Toc112928864"/>
      <w:r w:rsidRPr="0068236B">
        <w:rPr>
          <w:rFonts w:cs="Arial"/>
          <w:iCs/>
          <w:sz w:val="18"/>
          <w:szCs w:val="20"/>
        </w:rPr>
        <w:t xml:space="preserve">Figure </w:t>
      </w:r>
      <w:r w:rsidR="00377E43" w:rsidRPr="0068236B">
        <w:rPr>
          <w:rFonts w:cs="Arial"/>
          <w:iCs/>
          <w:sz w:val="18"/>
          <w:szCs w:val="20"/>
        </w:rPr>
        <w:fldChar w:fldCharType="begin"/>
      </w:r>
      <w:r w:rsidRPr="0068236B">
        <w:rPr>
          <w:rFonts w:cs="Arial"/>
          <w:iCs/>
          <w:sz w:val="18"/>
          <w:szCs w:val="20"/>
        </w:rPr>
        <w:instrText xml:space="preserve"> STYLEREF 1 \s </w:instrText>
      </w:r>
      <w:r w:rsidR="00377E43" w:rsidRPr="0068236B">
        <w:rPr>
          <w:rFonts w:cs="Arial"/>
          <w:iCs/>
          <w:sz w:val="18"/>
          <w:szCs w:val="20"/>
        </w:rPr>
        <w:fldChar w:fldCharType="separate"/>
      </w:r>
      <w:r w:rsidR="00234EBE" w:rsidRPr="0068236B">
        <w:rPr>
          <w:rFonts w:cs="Arial"/>
          <w:iCs/>
          <w:noProof/>
          <w:sz w:val="18"/>
          <w:szCs w:val="20"/>
        </w:rPr>
        <w:t>3</w:t>
      </w:r>
      <w:r w:rsidR="00377E43" w:rsidRPr="0068236B">
        <w:rPr>
          <w:rFonts w:cs="Arial"/>
          <w:iCs/>
          <w:sz w:val="18"/>
          <w:szCs w:val="20"/>
        </w:rPr>
        <w:fldChar w:fldCharType="end"/>
      </w:r>
      <w:r w:rsidRPr="0068236B">
        <w:rPr>
          <w:rFonts w:cs="Arial"/>
          <w:iCs/>
          <w:sz w:val="18"/>
          <w:szCs w:val="20"/>
        </w:rPr>
        <w:t>.</w:t>
      </w:r>
      <w:r w:rsidR="00377E43" w:rsidRPr="0068236B">
        <w:rPr>
          <w:rFonts w:cs="Arial"/>
          <w:iCs/>
          <w:sz w:val="18"/>
          <w:szCs w:val="20"/>
        </w:rPr>
        <w:fldChar w:fldCharType="begin"/>
      </w:r>
      <w:r w:rsidRPr="0068236B">
        <w:rPr>
          <w:rFonts w:cs="Arial"/>
          <w:iCs/>
          <w:sz w:val="18"/>
          <w:szCs w:val="20"/>
        </w:rPr>
        <w:instrText xml:space="preserve"> SEQ Figure \* ARABIC \s 1 </w:instrText>
      </w:r>
      <w:r w:rsidR="00377E43" w:rsidRPr="0068236B">
        <w:rPr>
          <w:rFonts w:cs="Arial"/>
          <w:iCs/>
          <w:sz w:val="18"/>
          <w:szCs w:val="20"/>
        </w:rPr>
        <w:fldChar w:fldCharType="separate"/>
      </w:r>
      <w:r w:rsidR="00234EBE" w:rsidRPr="0068236B">
        <w:rPr>
          <w:rFonts w:cs="Arial"/>
          <w:iCs/>
          <w:noProof/>
          <w:sz w:val="18"/>
          <w:szCs w:val="20"/>
        </w:rPr>
        <w:t>2</w:t>
      </w:r>
      <w:r w:rsidR="00377E43" w:rsidRPr="0068236B">
        <w:rPr>
          <w:rFonts w:cs="Arial"/>
          <w:iCs/>
          <w:sz w:val="18"/>
          <w:szCs w:val="20"/>
        </w:rPr>
        <w:fldChar w:fldCharType="end"/>
      </w:r>
      <w:r w:rsidRPr="0068236B">
        <w:rPr>
          <w:sz w:val="18"/>
          <w:szCs w:val="20"/>
        </w:rPr>
        <w:t>: Project Option 1 –</w:t>
      </w:r>
      <w:r w:rsidR="00D41D7A" w:rsidRPr="0068236B">
        <w:rPr>
          <w:sz w:val="18"/>
          <w:szCs w:val="20"/>
        </w:rPr>
        <w:t xml:space="preserve"> D</w:t>
      </w:r>
      <w:r w:rsidRPr="0068236B">
        <w:rPr>
          <w:sz w:val="18"/>
          <w:szCs w:val="20"/>
        </w:rPr>
        <w:t>ouble circuit 110 kV OHL Dubrovo – Valandovo</w:t>
      </w:r>
      <w:r w:rsidR="00D41D7A" w:rsidRPr="0068236B">
        <w:rPr>
          <w:sz w:val="18"/>
          <w:szCs w:val="20"/>
        </w:rPr>
        <w:t>, alternative corridors</w:t>
      </w:r>
      <w:bookmarkEnd w:id="109"/>
    </w:p>
    <w:p w14:paraId="7CE36405" w14:textId="77777777" w:rsidR="007C4710" w:rsidRPr="0068236B" w:rsidRDefault="007C4710" w:rsidP="007C4710">
      <w:pPr>
        <w:spacing w:before="60" w:after="240"/>
        <w:jc w:val="left"/>
        <w:rPr>
          <w:sz w:val="16"/>
          <w:szCs w:val="18"/>
        </w:rPr>
      </w:pPr>
      <w:r w:rsidRPr="0068236B">
        <w:rPr>
          <w:sz w:val="16"/>
          <w:szCs w:val="18"/>
        </w:rPr>
        <w:t xml:space="preserve">Source: </w:t>
      </w:r>
      <w:r w:rsidRPr="0068236B">
        <w:rPr>
          <w:rFonts w:cs="Tahoma"/>
          <w:sz w:val="16"/>
          <w:szCs w:val="18"/>
        </w:rPr>
        <w:t>WB21-MKD-ENE-03 North Macedonia, Strengthening the Transmission Network in the Southeast Region of North Macedoni</w:t>
      </w:r>
      <w:r w:rsidR="00B818F9" w:rsidRPr="0068236B">
        <w:rPr>
          <w:rFonts w:cs="Tahoma"/>
          <w:sz w:val="16"/>
          <w:szCs w:val="18"/>
        </w:rPr>
        <w:t>a - Component 1</w:t>
      </w:r>
      <w:r w:rsidRPr="0068236B">
        <w:rPr>
          <w:rFonts w:cs="Tahoma"/>
          <w:sz w:val="16"/>
          <w:szCs w:val="18"/>
        </w:rPr>
        <w:t>; Selection of the preferred Option, September 2021 [Ref.4]</w:t>
      </w:r>
    </w:p>
    <w:p w14:paraId="6D54FD10" w14:textId="1B10E5DD" w:rsidR="006511C8" w:rsidRPr="0068236B" w:rsidRDefault="006511C8" w:rsidP="008E77D3">
      <w:pPr>
        <w:pStyle w:val="ListParagraph"/>
        <w:numPr>
          <w:ilvl w:val="0"/>
          <w:numId w:val="54"/>
        </w:numPr>
        <w:rPr>
          <w:rFonts w:cs="Tahoma"/>
          <w:sz w:val="20"/>
        </w:rPr>
      </w:pPr>
      <w:r w:rsidRPr="0068236B">
        <w:rPr>
          <w:rFonts w:cs="Tahoma"/>
          <w:sz w:val="20"/>
        </w:rPr>
        <w:t xml:space="preserve">Project Option 2 - </w:t>
      </w:r>
      <w:r w:rsidR="0002199E" w:rsidRPr="0068236B">
        <w:rPr>
          <w:sz w:val="20"/>
        </w:rPr>
        <w:t xml:space="preserve">New 400/110 kV substation </w:t>
      </w:r>
      <w:r w:rsidRPr="0068236B">
        <w:rPr>
          <w:sz w:val="20"/>
        </w:rPr>
        <w:t>and lead in-out of existing 400 kV OHL</w:t>
      </w:r>
      <w:r w:rsidRPr="0068236B">
        <w:rPr>
          <w:rFonts w:cs="Tahoma"/>
          <w:sz w:val="20"/>
        </w:rPr>
        <w:t xml:space="preserve"> Dubrovo – Thessalonica (GR)</w:t>
      </w:r>
    </w:p>
    <w:p w14:paraId="2DEEE161" w14:textId="77777777" w:rsidR="004256F5" w:rsidRPr="0068236B" w:rsidRDefault="00E66CEB" w:rsidP="00E66CEB">
      <w:pPr>
        <w:rPr>
          <w:sz w:val="20"/>
        </w:rPr>
      </w:pPr>
      <w:r w:rsidRPr="0068236B">
        <w:rPr>
          <w:sz w:val="20"/>
        </w:rPr>
        <w:t>This option includes two alternatives of the location of the proposed new 400/110 kV substation, resulting in different layout of the OHL connectors:</w:t>
      </w:r>
    </w:p>
    <w:p w14:paraId="404916CA" w14:textId="6BD01233" w:rsidR="00E66CEB" w:rsidRPr="0068236B" w:rsidRDefault="00E66CEB" w:rsidP="00D24CEF">
      <w:pPr>
        <w:pStyle w:val="ListBullet"/>
        <w:numPr>
          <w:ilvl w:val="0"/>
          <w:numId w:val="97"/>
        </w:numPr>
        <w:spacing w:before="120" w:after="120"/>
        <w:jc w:val="left"/>
        <w:rPr>
          <w:sz w:val="20"/>
        </w:rPr>
      </w:pPr>
      <w:r w:rsidRPr="0068236B">
        <w:rPr>
          <w:rFonts w:eastAsia="Calibri"/>
          <w:sz w:val="20"/>
        </w:rPr>
        <w:t xml:space="preserve">Alternative 1 – </w:t>
      </w:r>
      <w:r w:rsidR="0014272B" w:rsidRPr="0068236B">
        <w:rPr>
          <w:rFonts w:eastAsia="Calibri"/>
          <w:sz w:val="20"/>
        </w:rPr>
        <w:t>Location 1</w:t>
      </w:r>
      <w:r w:rsidR="00876929" w:rsidRPr="0068236B">
        <w:rPr>
          <w:rFonts w:eastAsia="Calibri"/>
          <w:sz w:val="20"/>
        </w:rPr>
        <w:t xml:space="preserve"> (Valandovo)</w:t>
      </w:r>
      <w:r w:rsidR="0014272B" w:rsidRPr="0068236B">
        <w:rPr>
          <w:rFonts w:eastAsia="Calibri"/>
          <w:sz w:val="20"/>
        </w:rPr>
        <w:t xml:space="preserve"> </w:t>
      </w:r>
      <w:r w:rsidR="0014272B" w:rsidRPr="0068236B">
        <w:rPr>
          <w:rFonts w:eastAsia="Calibri" w:cs="Tahoma"/>
          <w:sz w:val="20"/>
          <w:szCs w:val="24"/>
        </w:rPr>
        <w:t>- adjacent to existing 110/35/10 kV SS Valandovo</w:t>
      </w:r>
    </w:p>
    <w:p w14:paraId="4EFC0C7A" w14:textId="33C87EB8" w:rsidR="003A115A" w:rsidRPr="0068236B" w:rsidRDefault="007C4710" w:rsidP="003A115A">
      <w:pPr>
        <w:rPr>
          <w:sz w:val="20"/>
          <w:lang w:eastAsia="de-DE"/>
        </w:rPr>
      </w:pPr>
      <w:r w:rsidRPr="0068236B">
        <w:rPr>
          <w:rFonts w:cs="Arial"/>
          <w:sz w:val="20"/>
          <w:szCs w:val="20"/>
        </w:rPr>
        <w:t xml:space="preserve">The alternative location 1 for the proposed 400/110 kV </w:t>
      </w:r>
      <w:r w:rsidR="007F5459" w:rsidRPr="0068236B">
        <w:rPr>
          <w:rFonts w:cs="Arial"/>
          <w:sz w:val="20"/>
          <w:szCs w:val="20"/>
        </w:rPr>
        <w:t>substation</w:t>
      </w:r>
      <w:r w:rsidRPr="0068236B">
        <w:rPr>
          <w:rFonts w:cs="Arial"/>
          <w:sz w:val="20"/>
          <w:szCs w:val="20"/>
        </w:rPr>
        <w:t xml:space="preserve">, </w:t>
      </w:r>
      <w:r w:rsidRPr="0068236B">
        <w:rPr>
          <w:rFonts w:cs="Tahoma"/>
          <w:sz w:val="20"/>
          <w:szCs w:val="20"/>
        </w:rPr>
        <w:t>located on the territory of</w:t>
      </w:r>
      <w:r w:rsidR="003A115A" w:rsidRPr="0068236B">
        <w:rPr>
          <w:rFonts w:cs="Tahoma"/>
          <w:sz w:val="20"/>
          <w:szCs w:val="20"/>
        </w:rPr>
        <w:t xml:space="preserve"> the municipal</w:t>
      </w:r>
      <w:r w:rsidR="003A115A" w:rsidRPr="0068236B">
        <w:rPr>
          <w:rFonts w:cs="Tahoma"/>
          <w:sz w:val="20"/>
          <w:szCs w:val="20"/>
        </w:rPr>
        <w:t>i</w:t>
      </w:r>
      <w:r w:rsidR="003A115A" w:rsidRPr="0068236B">
        <w:rPr>
          <w:rFonts w:cs="Tahoma"/>
          <w:sz w:val="20"/>
          <w:szCs w:val="20"/>
        </w:rPr>
        <w:t>ty of Valandovo (</w:t>
      </w:r>
      <w:r w:rsidRPr="0068236B">
        <w:rPr>
          <w:rFonts w:cs="Tahoma"/>
          <w:sz w:val="20"/>
          <w:szCs w:val="20"/>
        </w:rPr>
        <w:t>cadastral area (K.O.) “Valandovo – von grad”</w:t>
      </w:r>
      <w:r w:rsidR="003A115A" w:rsidRPr="0068236B">
        <w:rPr>
          <w:rFonts w:cs="Tahoma"/>
          <w:sz w:val="20"/>
          <w:szCs w:val="20"/>
        </w:rPr>
        <w:t>)</w:t>
      </w:r>
      <w:r w:rsidR="00733ED0" w:rsidRPr="0068236B">
        <w:rPr>
          <w:rFonts w:cs="Tahoma"/>
          <w:sz w:val="20"/>
          <w:szCs w:val="20"/>
        </w:rPr>
        <w:t>,</w:t>
      </w:r>
      <w:r w:rsidRPr="0068236B">
        <w:rPr>
          <w:rFonts w:cs="Tahoma"/>
          <w:sz w:val="20"/>
          <w:szCs w:val="20"/>
        </w:rPr>
        <w:t xml:space="preserve"> </w:t>
      </w:r>
      <w:r w:rsidRPr="0068236B">
        <w:rPr>
          <w:rFonts w:cs="Arial"/>
          <w:sz w:val="20"/>
          <w:szCs w:val="20"/>
        </w:rPr>
        <w:t xml:space="preserve">is adjacent to the existing </w:t>
      </w:r>
      <w:r w:rsidR="006404AD" w:rsidRPr="0068236B">
        <w:rPr>
          <w:rFonts w:cs="Arial"/>
          <w:sz w:val="20"/>
          <w:szCs w:val="20"/>
        </w:rPr>
        <w:t>substation</w:t>
      </w:r>
      <w:r w:rsidRPr="0068236B">
        <w:rPr>
          <w:rFonts w:cs="Arial"/>
          <w:sz w:val="20"/>
          <w:szCs w:val="20"/>
        </w:rPr>
        <w:t xml:space="preserve"> Va</w:t>
      </w:r>
      <w:r w:rsidRPr="0068236B">
        <w:rPr>
          <w:rFonts w:cs="Arial"/>
          <w:sz w:val="20"/>
          <w:szCs w:val="20"/>
        </w:rPr>
        <w:t>l</w:t>
      </w:r>
      <w:r w:rsidRPr="0068236B">
        <w:rPr>
          <w:rFonts w:cs="Arial"/>
          <w:sz w:val="20"/>
          <w:szCs w:val="20"/>
        </w:rPr>
        <w:t xml:space="preserve">andovo. </w:t>
      </w:r>
      <w:r w:rsidRPr="0068236B">
        <w:rPr>
          <w:rFonts w:cs="Tahoma"/>
          <w:sz w:val="20"/>
          <w:szCs w:val="20"/>
        </w:rPr>
        <w:t xml:space="preserve">There are medium and low voltage lines in the immediate vicinity of the existing substation. </w:t>
      </w:r>
      <w:r w:rsidR="007F5459" w:rsidRPr="0068236B">
        <w:rPr>
          <w:rFonts w:cs="Arial"/>
          <w:iCs/>
          <w:sz w:val="20"/>
        </w:rPr>
        <w:t xml:space="preserve">The new substation would include construction of 400 kV and 110 kV switchyards with necessary bays and equipment to support the foreseen operation of the facility (see Section </w:t>
      </w:r>
      <w:r w:rsidR="00E10AD0" w:rsidRPr="0068236B">
        <w:rPr>
          <w:rFonts w:cs="Arial"/>
          <w:iCs/>
          <w:sz w:val="20"/>
        </w:rPr>
        <w:t>2.</w:t>
      </w:r>
      <w:r w:rsidR="006404AD" w:rsidRPr="0068236B">
        <w:rPr>
          <w:rFonts w:cs="Arial"/>
          <w:iCs/>
          <w:sz w:val="20"/>
        </w:rPr>
        <w:t>4</w:t>
      </w:r>
      <w:r w:rsidR="00E10AD0" w:rsidRPr="0068236B">
        <w:rPr>
          <w:rFonts w:cs="Arial"/>
          <w:iCs/>
          <w:sz w:val="20"/>
        </w:rPr>
        <w:t>.2</w:t>
      </w:r>
      <w:r w:rsidR="007F5459" w:rsidRPr="0068236B">
        <w:rPr>
          <w:rFonts w:cs="Arial"/>
          <w:iCs/>
          <w:sz w:val="20"/>
        </w:rPr>
        <w:t>).</w:t>
      </w:r>
      <w:r w:rsidR="003A115A" w:rsidRPr="0068236B">
        <w:rPr>
          <w:rFonts w:cs="Arial"/>
          <w:iCs/>
          <w:sz w:val="20"/>
        </w:rPr>
        <w:t xml:space="preserve"> </w:t>
      </w:r>
      <w:r w:rsidR="003A115A" w:rsidRPr="0068236B">
        <w:rPr>
          <w:sz w:val="20"/>
          <w:lang w:eastAsia="de-DE"/>
        </w:rPr>
        <w:t>Considering the spatial la</w:t>
      </w:r>
      <w:r w:rsidR="003A115A" w:rsidRPr="0068236B">
        <w:rPr>
          <w:sz w:val="20"/>
          <w:lang w:eastAsia="de-DE"/>
        </w:rPr>
        <w:t>y</w:t>
      </w:r>
      <w:r w:rsidR="003A115A" w:rsidRPr="0068236B">
        <w:rPr>
          <w:sz w:val="20"/>
          <w:lang w:eastAsia="de-DE"/>
        </w:rPr>
        <w:t>out of the location there is space for further extension of both the 400 kV and the 110 kV switchyards in the future.</w:t>
      </w:r>
    </w:p>
    <w:p w14:paraId="3677723F" w14:textId="77777777" w:rsidR="0082061F" w:rsidRPr="0068236B" w:rsidRDefault="007F5459" w:rsidP="0082061F">
      <w:pPr>
        <w:rPr>
          <w:sz w:val="20"/>
        </w:rPr>
      </w:pPr>
      <w:r w:rsidRPr="0068236B">
        <w:rPr>
          <w:rFonts w:cs="Tahoma"/>
          <w:sz w:val="20"/>
        </w:rPr>
        <w:t xml:space="preserve">This alternative also includes a new approx. 7.8 km long 400 kV line - </w:t>
      </w:r>
      <w:r w:rsidRPr="0068236B">
        <w:rPr>
          <w:sz w:val="20"/>
        </w:rPr>
        <w:t xml:space="preserve">in-out connection of the proposed substation with the </w:t>
      </w:r>
      <w:r w:rsidRPr="0068236B">
        <w:rPr>
          <w:sz w:val="20"/>
          <w:szCs w:val="24"/>
        </w:rPr>
        <w:t>existing 400 kV OHL Dubrovo – Thessalonica (GR), which would</w:t>
      </w:r>
      <w:r w:rsidRPr="0068236B">
        <w:rPr>
          <w:sz w:val="20"/>
        </w:rPr>
        <w:t xml:space="preserve"> be realized with two sin</w:t>
      </w:r>
      <w:r w:rsidR="0082061F" w:rsidRPr="0068236B">
        <w:rPr>
          <w:sz w:val="20"/>
        </w:rPr>
        <w:t>gle circuit</w:t>
      </w:r>
      <w:r w:rsidRPr="0068236B">
        <w:rPr>
          <w:sz w:val="20"/>
        </w:rPr>
        <w:t xml:space="preserve"> 400</w:t>
      </w:r>
      <w:r w:rsidR="0082061F" w:rsidRPr="0068236B">
        <w:rPr>
          <w:sz w:val="20"/>
        </w:rPr>
        <w:t xml:space="preserve"> </w:t>
      </w:r>
      <w:r w:rsidRPr="0068236B">
        <w:rPr>
          <w:sz w:val="20"/>
        </w:rPr>
        <w:t xml:space="preserve">kV lines (Figure below). </w:t>
      </w:r>
      <w:r w:rsidR="0082061F" w:rsidRPr="0068236B">
        <w:rPr>
          <w:sz w:val="20"/>
        </w:rPr>
        <w:t>From its starting point - the new SS 400/110 kV Valandovo – the corridor of these lines is routed in the south – southwest direction, avoiding the settlements in the area (vi</w:t>
      </w:r>
      <w:r w:rsidR="0082061F" w:rsidRPr="0068236B">
        <w:rPr>
          <w:sz w:val="20"/>
        </w:rPr>
        <w:t>l</w:t>
      </w:r>
      <w:r w:rsidR="0082061F" w:rsidRPr="0068236B">
        <w:rPr>
          <w:sz w:val="20"/>
        </w:rPr>
        <w:t>lages Brajkovci, Balinci and Marvinci) and connecting to the existing 400 kV OHL in proximity to the village Grchiste.</w:t>
      </w:r>
    </w:p>
    <w:p w14:paraId="1F66B122" w14:textId="77777777" w:rsidR="007F5459" w:rsidRPr="0068236B" w:rsidRDefault="007F5459" w:rsidP="007F5459">
      <w:pPr>
        <w:rPr>
          <w:rFonts w:cs="Tahoma"/>
          <w:sz w:val="20"/>
        </w:rPr>
      </w:pPr>
      <w:r w:rsidRPr="0068236B">
        <w:rPr>
          <w:noProof/>
          <w:sz w:val="20"/>
          <w:lang w:val="mk-MK" w:eastAsia="mk-MK"/>
        </w:rPr>
        <w:lastRenderedPageBreak/>
        <w:drawing>
          <wp:inline distT="0" distB="0" distL="0" distR="0" wp14:anchorId="35418250" wp14:editId="2D3108D0">
            <wp:extent cx="6120765" cy="3871025"/>
            <wp:effectExtent l="19050" t="0" r="0" b="0"/>
            <wp:docPr id="83"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37" cstate="email">
                      <a:extLst>
                        <a:ext uri="{28A0092B-C50C-407E-A947-70E740481C1C}">
                          <a14:useLocalDpi xmlns:a14="http://schemas.microsoft.com/office/drawing/2010/main" val="0"/>
                        </a:ext>
                      </a:extLst>
                    </a:blip>
                    <a:srcRect/>
                    <a:stretch>
                      <a:fillRect/>
                    </a:stretch>
                  </pic:blipFill>
                  <pic:spPr bwMode="auto">
                    <a:xfrm>
                      <a:off x="0" y="0"/>
                      <a:ext cx="6120765" cy="3871025"/>
                    </a:xfrm>
                    <a:prstGeom prst="rect">
                      <a:avLst/>
                    </a:prstGeom>
                    <a:noFill/>
                    <a:ln>
                      <a:noFill/>
                    </a:ln>
                  </pic:spPr>
                </pic:pic>
              </a:graphicData>
            </a:graphic>
          </wp:inline>
        </w:drawing>
      </w:r>
    </w:p>
    <w:p w14:paraId="41A61B73" w14:textId="77777777" w:rsidR="0082061F" w:rsidRPr="0068236B" w:rsidRDefault="0082061F" w:rsidP="0082061F">
      <w:pPr>
        <w:spacing w:after="60"/>
        <w:jc w:val="left"/>
        <w:rPr>
          <w:sz w:val="18"/>
          <w:szCs w:val="18"/>
        </w:rPr>
      </w:pPr>
      <w:bookmarkStart w:id="110" w:name="_Toc112928865"/>
      <w:r w:rsidRPr="0068236B">
        <w:rPr>
          <w:rFonts w:cs="Arial"/>
          <w:iCs/>
          <w:sz w:val="18"/>
          <w:szCs w:val="18"/>
        </w:rPr>
        <w:t xml:space="preserve">Figure </w:t>
      </w:r>
      <w:r w:rsidR="00377E43" w:rsidRPr="0068236B">
        <w:rPr>
          <w:rFonts w:cs="Arial"/>
          <w:iCs/>
          <w:sz w:val="18"/>
          <w:szCs w:val="18"/>
        </w:rPr>
        <w:fldChar w:fldCharType="begin"/>
      </w:r>
      <w:r w:rsidRPr="0068236B">
        <w:rPr>
          <w:rFonts w:cs="Arial"/>
          <w:iCs/>
          <w:sz w:val="18"/>
          <w:szCs w:val="18"/>
        </w:rPr>
        <w:instrText xml:space="preserve"> STYLEREF 1 \s </w:instrText>
      </w:r>
      <w:r w:rsidR="00377E43" w:rsidRPr="0068236B">
        <w:rPr>
          <w:rFonts w:cs="Arial"/>
          <w:iCs/>
          <w:sz w:val="18"/>
          <w:szCs w:val="18"/>
        </w:rPr>
        <w:fldChar w:fldCharType="separate"/>
      </w:r>
      <w:r w:rsidR="00234EBE" w:rsidRPr="0068236B">
        <w:rPr>
          <w:rFonts w:cs="Arial"/>
          <w:iCs/>
          <w:noProof/>
          <w:sz w:val="18"/>
          <w:szCs w:val="18"/>
        </w:rPr>
        <w:t>3</w:t>
      </w:r>
      <w:r w:rsidR="00377E43" w:rsidRPr="0068236B">
        <w:rPr>
          <w:rFonts w:cs="Arial"/>
          <w:iCs/>
          <w:sz w:val="18"/>
          <w:szCs w:val="18"/>
        </w:rPr>
        <w:fldChar w:fldCharType="end"/>
      </w:r>
      <w:r w:rsidRPr="0068236B">
        <w:rPr>
          <w:rFonts w:cs="Arial"/>
          <w:iCs/>
          <w:sz w:val="18"/>
          <w:szCs w:val="18"/>
        </w:rPr>
        <w:t>.</w:t>
      </w:r>
      <w:r w:rsidR="00377E43" w:rsidRPr="0068236B">
        <w:rPr>
          <w:rFonts w:cs="Arial"/>
          <w:iCs/>
          <w:sz w:val="18"/>
          <w:szCs w:val="18"/>
        </w:rPr>
        <w:fldChar w:fldCharType="begin"/>
      </w:r>
      <w:r w:rsidRPr="0068236B">
        <w:rPr>
          <w:rFonts w:cs="Arial"/>
          <w:iCs/>
          <w:sz w:val="18"/>
          <w:szCs w:val="18"/>
        </w:rPr>
        <w:instrText xml:space="preserve"> SEQ Figure \* ARABIC \s 1 </w:instrText>
      </w:r>
      <w:r w:rsidR="00377E43" w:rsidRPr="0068236B">
        <w:rPr>
          <w:rFonts w:cs="Arial"/>
          <w:iCs/>
          <w:sz w:val="18"/>
          <w:szCs w:val="18"/>
        </w:rPr>
        <w:fldChar w:fldCharType="separate"/>
      </w:r>
      <w:r w:rsidR="00234EBE" w:rsidRPr="0068236B">
        <w:rPr>
          <w:rFonts w:cs="Arial"/>
          <w:iCs/>
          <w:noProof/>
          <w:sz w:val="18"/>
          <w:szCs w:val="18"/>
        </w:rPr>
        <w:t>3</w:t>
      </w:r>
      <w:r w:rsidR="00377E43" w:rsidRPr="0068236B">
        <w:rPr>
          <w:rFonts w:cs="Arial"/>
          <w:iCs/>
          <w:sz w:val="18"/>
          <w:szCs w:val="18"/>
        </w:rPr>
        <w:fldChar w:fldCharType="end"/>
      </w:r>
      <w:r w:rsidRPr="0068236B">
        <w:rPr>
          <w:sz w:val="18"/>
          <w:szCs w:val="18"/>
        </w:rPr>
        <w:t>: Project Option 2 – New 400/110 kV SS Valandovo and lead in-out of existing 400 kV OHL</w:t>
      </w:r>
      <w:r w:rsidRPr="0068236B">
        <w:rPr>
          <w:rFonts w:cs="Tahoma"/>
          <w:sz w:val="18"/>
          <w:szCs w:val="18"/>
        </w:rPr>
        <w:t xml:space="preserve"> Dubrovo – Thess</w:t>
      </w:r>
      <w:r w:rsidRPr="0068236B">
        <w:rPr>
          <w:rFonts w:cs="Tahoma"/>
          <w:sz w:val="18"/>
          <w:szCs w:val="18"/>
        </w:rPr>
        <w:t>a</w:t>
      </w:r>
      <w:r w:rsidRPr="0068236B">
        <w:rPr>
          <w:rFonts w:cs="Tahoma"/>
          <w:sz w:val="18"/>
          <w:szCs w:val="18"/>
        </w:rPr>
        <w:t>lonica (GR)</w:t>
      </w:r>
      <w:r w:rsidRPr="0068236B">
        <w:rPr>
          <w:sz w:val="18"/>
          <w:szCs w:val="18"/>
        </w:rPr>
        <w:t>, Alternative 1</w:t>
      </w:r>
      <w:bookmarkEnd w:id="110"/>
      <w:r w:rsidRPr="0068236B">
        <w:rPr>
          <w:sz w:val="18"/>
          <w:szCs w:val="18"/>
        </w:rPr>
        <w:t xml:space="preserve"> </w:t>
      </w:r>
    </w:p>
    <w:p w14:paraId="1C77EA2A" w14:textId="77777777" w:rsidR="0082061F" w:rsidRPr="0068236B" w:rsidRDefault="0082061F" w:rsidP="0082061F">
      <w:pPr>
        <w:spacing w:before="60" w:after="240"/>
        <w:jc w:val="left"/>
        <w:rPr>
          <w:sz w:val="16"/>
          <w:szCs w:val="18"/>
        </w:rPr>
      </w:pPr>
      <w:r w:rsidRPr="0068236B">
        <w:rPr>
          <w:sz w:val="16"/>
          <w:szCs w:val="18"/>
        </w:rPr>
        <w:t xml:space="preserve">Source: </w:t>
      </w:r>
      <w:r w:rsidRPr="0068236B">
        <w:rPr>
          <w:rFonts w:cs="Tahoma"/>
          <w:sz w:val="16"/>
          <w:szCs w:val="18"/>
        </w:rPr>
        <w:t>WB21-MKD-ENE-03 North Macedonia, Strengthening the Transmission Network in the Southeast Region of North Macedoni</w:t>
      </w:r>
      <w:r w:rsidR="00B818F9" w:rsidRPr="0068236B">
        <w:rPr>
          <w:rFonts w:cs="Tahoma"/>
          <w:sz w:val="16"/>
          <w:szCs w:val="18"/>
        </w:rPr>
        <w:t>a - Component 1</w:t>
      </w:r>
      <w:r w:rsidRPr="0068236B">
        <w:rPr>
          <w:rFonts w:cs="Tahoma"/>
          <w:sz w:val="16"/>
          <w:szCs w:val="18"/>
        </w:rPr>
        <w:t>; Selection of the preferred Option, September 2021 [Ref.4]</w:t>
      </w:r>
    </w:p>
    <w:p w14:paraId="3F5F0980" w14:textId="5860A007" w:rsidR="0014272B" w:rsidRPr="0068236B" w:rsidRDefault="0014272B" w:rsidP="00D24CEF">
      <w:pPr>
        <w:pStyle w:val="ListBullet"/>
        <w:numPr>
          <w:ilvl w:val="0"/>
          <w:numId w:val="97"/>
        </w:numPr>
        <w:spacing w:before="120" w:after="120"/>
        <w:jc w:val="left"/>
        <w:rPr>
          <w:sz w:val="20"/>
        </w:rPr>
      </w:pPr>
      <w:r w:rsidRPr="0068236B">
        <w:rPr>
          <w:rFonts w:eastAsia="Calibri"/>
          <w:sz w:val="20"/>
        </w:rPr>
        <w:t xml:space="preserve">Alternative 2 – Location 2 </w:t>
      </w:r>
      <w:r w:rsidR="0002199E" w:rsidRPr="0068236B">
        <w:rPr>
          <w:rFonts w:eastAsia="Calibri"/>
          <w:sz w:val="20"/>
        </w:rPr>
        <w:t xml:space="preserve">(Miletkovo) </w:t>
      </w:r>
      <w:r w:rsidRPr="0068236B">
        <w:rPr>
          <w:rFonts w:eastAsia="Calibri" w:cs="Tahoma"/>
          <w:sz w:val="20"/>
          <w:szCs w:val="24"/>
        </w:rPr>
        <w:t xml:space="preserve">- in vicinity to existing </w:t>
      </w:r>
      <w:r w:rsidRPr="0068236B">
        <w:rPr>
          <w:rFonts w:cs="Tahoma"/>
          <w:sz w:val="20"/>
          <w:szCs w:val="24"/>
          <w:lang w:eastAsia="mk-MK"/>
        </w:rPr>
        <w:t xml:space="preserve">110/25 kV SS ‘EVP’ Miletkovo in </w:t>
      </w:r>
      <w:r w:rsidR="00232818" w:rsidRPr="0068236B">
        <w:rPr>
          <w:rFonts w:cs="Tahoma"/>
          <w:sz w:val="20"/>
          <w:szCs w:val="24"/>
          <w:lang w:eastAsia="mk-MK"/>
        </w:rPr>
        <w:t>proximity</w:t>
      </w:r>
      <w:r w:rsidRPr="0068236B">
        <w:rPr>
          <w:rFonts w:cs="Tahoma"/>
          <w:sz w:val="20"/>
          <w:szCs w:val="24"/>
          <w:lang w:eastAsia="mk-MK"/>
        </w:rPr>
        <w:t xml:space="preserve"> of the A1 highway</w:t>
      </w:r>
    </w:p>
    <w:p w14:paraId="3BFC4ED7" w14:textId="291FA0A3" w:rsidR="00C21B3A" w:rsidRPr="0068236B" w:rsidRDefault="0005151C" w:rsidP="00C21B3A">
      <w:pPr>
        <w:rPr>
          <w:sz w:val="20"/>
        </w:rPr>
      </w:pPr>
      <w:r w:rsidRPr="0068236B">
        <w:rPr>
          <w:rFonts w:cs="Arial"/>
          <w:sz w:val="20"/>
          <w:szCs w:val="20"/>
        </w:rPr>
        <w:t xml:space="preserve">The alternative location 2 of the proposed 400/110 kV substation, </w:t>
      </w:r>
      <w:r w:rsidRPr="0068236B">
        <w:rPr>
          <w:sz w:val="20"/>
        </w:rPr>
        <w:t xml:space="preserve">located </w:t>
      </w:r>
      <w:r w:rsidR="0002199E" w:rsidRPr="0068236B">
        <w:rPr>
          <w:sz w:val="20"/>
        </w:rPr>
        <w:t xml:space="preserve">in the area of village Miletkovo, </w:t>
      </w:r>
      <w:r w:rsidRPr="0068236B">
        <w:rPr>
          <w:sz w:val="20"/>
        </w:rPr>
        <w:t>on the territory of the municipality of Gevgelija (cadastral area “Smokvica”)</w:t>
      </w:r>
      <w:r w:rsidR="00733ED0" w:rsidRPr="0068236B">
        <w:rPr>
          <w:sz w:val="20"/>
        </w:rPr>
        <w:t>,</w:t>
      </w:r>
      <w:r w:rsidRPr="0068236B">
        <w:rPr>
          <w:rFonts w:cs="Arial"/>
          <w:sz w:val="20"/>
          <w:szCs w:val="20"/>
        </w:rPr>
        <w:t xml:space="preserve"> is in the vicinity of </w:t>
      </w:r>
      <w:r w:rsidR="00733ED0" w:rsidRPr="0068236B">
        <w:rPr>
          <w:rFonts w:cs="Arial"/>
          <w:sz w:val="20"/>
          <w:szCs w:val="20"/>
        </w:rPr>
        <w:t xml:space="preserve">the </w:t>
      </w:r>
      <w:r w:rsidRPr="0068236B">
        <w:rPr>
          <w:rFonts w:cs="Arial"/>
          <w:sz w:val="20"/>
          <w:szCs w:val="20"/>
        </w:rPr>
        <w:t xml:space="preserve">110/25 kV SS ‘EVP’ Miletkovo, right next to the A1 highway Demir Kapija Smokvica, at around 7.5 km from the existing substation Valandovo. </w:t>
      </w:r>
      <w:r w:rsidRPr="0068236B">
        <w:rPr>
          <w:sz w:val="20"/>
        </w:rPr>
        <w:t>There are no existing surrounding structures or other transmission lines, with an e</w:t>
      </w:r>
      <w:r w:rsidRPr="0068236B">
        <w:rPr>
          <w:sz w:val="20"/>
        </w:rPr>
        <w:t>x</w:t>
      </w:r>
      <w:r w:rsidRPr="0068236B">
        <w:rPr>
          <w:sz w:val="20"/>
        </w:rPr>
        <w:t xml:space="preserve">ception of the existing 400 kV OHL </w:t>
      </w:r>
      <w:r w:rsidRPr="0068236B">
        <w:rPr>
          <w:sz w:val="20"/>
          <w:szCs w:val="24"/>
        </w:rPr>
        <w:t>Dubrovo – Thessalonica (GR), which is to be connected to the new su</w:t>
      </w:r>
      <w:r w:rsidRPr="0068236B">
        <w:rPr>
          <w:sz w:val="20"/>
          <w:szCs w:val="24"/>
        </w:rPr>
        <w:t>b</w:t>
      </w:r>
      <w:r w:rsidRPr="0068236B">
        <w:rPr>
          <w:sz w:val="20"/>
          <w:szCs w:val="24"/>
        </w:rPr>
        <w:t>station via approx. 0.5 km long in-out connector.</w:t>
      </w:r>
      <w:r w:rsidR="00C21B3A" w:rsidRPr="0068236B">
        <w:rPr>
          <w:sz w:val="20"/>
          <w:szCs w:val="24"/>
        </w:rPr>
        <w:t xml:space="preserve"> </w:t>
      </w:r>
      <w:r w:rsidR="00C21B3A" w:rsidRPr="0068236B">
        <w:rPr>
          <w:sz w:val="20"/>
        </w:rPr>
        <w:t xml:space="preserve">This connection would include only minor intervention for dislocation of several existing 400 kV towers to ensure the connection to the new </w:t>
      </w:r>
      <w:r w:rsidR="0002199E" w:rsidRPr="0068236B">
        <w:rPr>
          <w:sz w:val="20"/>
        </w:rPr>
        <w:t>substation (</w:t>
      </w:r>
      <w:r w:rsidR="00C21B3A" w:rsidRPr="0068236B">
        <w:rPr>
          <w:sz w:val="20"/>
        </w:rPr>
        <w:t xml:space="preserve">SS </w:t>
      </w:r>
      <w:r w:rsidR="0002199E" w:rsidRPr="0068236B">
        <w:rPr>
          <w:sz w:val="20"/>
        </w:rPr>
        <w:t>Miletkovo)</w:t>
      </w:r>
      <w:r w:rsidR="00C21B3A" w:rsidRPr="0068236B">
        <w:rPr>
          <w:sz w:val="20"/>
        </w:rPr>
        <w:t>.</w:t>
      </w:r>
    </w:p>
    <w:p w14:paraId="596951B1" w14:textId="77777777" w:rsidR="00733ED0" w:rsidRPr="0068236B" w:rsidRDefault="0005151C" w:rsidP="00733ED0">
      <w:pPr>
        <w:rPr>
          <w:sz w:val="20"/>
        </w:rPr>
      </w:pPr>
      <w:r w:rsidRPr="0068236B">
        <w:rPr>
          <w:sz w:val="20"/>
        </w:rPr>
        <w:t>The conceptual technical solution of the substation is equivalent to the previously described solution with respective differences related to the 110 kV bays which would serve to connect the new 400/110 kV subst</w:t>
      </w:r>
      <w:r w:rsidRPr="0068236B">
        <w:rPr>
          <w:sz w:val="20"/>
        </w:rPr>
        <w:t>a</w:t>
      </w:r>
      <w:r w:rsidRPr="0068236B">
        <w:rPr>
          <w:sz w:val="20"/>
        </w:rPr>
        <w:t>tion with the existing 110 kV network in the Project region.</w:t>
      </w:r>
    </w:p>
    <w:p w14:paraId="386FC6FF" w14:textId="77777777" w:rsidR="00C21B3A" w:rsidRPr="0068236B" w:rsidRDefault="00C21B3A" w:rsidP="00733ED0">
      <w:pPr>
        <w:rPr>
          <w:sz w:val="20"/>
        </w:rPr>
      </w:pPr>
      <w:r w:rsidRPr="0068236B">
        <w:rPr>
          <w:sz w:val="20"/>
        </w:rPr>
        <w:t>The general overview of this alternative is given in the Figure below.</w:t>
      </w:r>
    </w:p>
    <w:p w14:paraId="3331FA5B" w14:textId="0527AA0E" w:rsidR="00C21B3A" w:rsidRPr="0068236B" w:rsidRDefault="0002199E" w:rsidP="00733ED0">
      <w:pPr>
        <w:rPr>
          <w:sz w:val="20"/>
        </w:rPr>
      </w:pPr>
      <w:r w:rsidRPr="0068236B">
        <w:rPr>
          <w:noProof/>
          <w:sz w:val="20"/>
          <w:lang w:val="mk-MK" w:eastAsia="mk-MK"/>
        </w:rPr>
        <w:lastRenderedPageBreak/>
        <mc:AlternateContent>
          <mc:Choice Requires="wps">
            <w:drawing>
              <wp:anchor distT="0" distB="0" distL="114300" distR="114300" simplePos="0" relativeHeight="251673609" behindDoc="0" locked="0" layoutInCell="1" allowOverlap="1" wp14:anchorId="5DB382B9" wp14:editId="68CC83DB">
                <wp:simplePos x="0" y="0"/>
                <wp:positionH relativeFrom="column">
                  <wp:posOffset>3112770</wp:posOffset>
                </wp:positionH>
                <wp:positionV relativeFrom="paragraph">
                  <wp:posOffset>2068830</wp:posOffset>
                </wp:positionV>
                <wp:extent cx="1044000" cy="175260"/>
                <wp:effectExtent l="0" t="0" r="22860" b="15240"/>
                <wp:wrapNone/>
                <wp:docPr id="224" name="Text Box 224"/>
                <wp:cNvGraphicFramePr/>
                <a:graphic xmlns:a="http://schemas.openxmlformats.org/drawingml/2006/main">
                  <a:graphicData uri="http://schemas.microsoft.com/office/word/2010/wordprocessingShape">
                    <wps:wsp>
                      <wps:cNvSpPr txBox="1"/>
                      <wps:spPr>
                        <a:xfrm>
                          <a:off x="0" y="0"/>
                          <a:ext cx="1044000" cy="175260"/>
                        </a:xfrm>
                        <a:prstGeom prst="rect">
                          <a:avLst/>
                        </a:prstGeom>
                        <a:solidFill>
                          <a:schemeClr val="lt1"/>
                        </a:solidFill>
                        <a:ln w="6350">
                          <a:solidFill>
                            <a:srgbClr val="FF0000"/>
                          </a:solidFill>
                        </a:ln>
                        <a:effectLst/>
                      </wps:spPr>
                      <wps:style>
                        <a:lnRef idx="0">
                          <a:schemeClr val="accent1"/>
                        </a:lnRef>
                        <a:fillRef idx="0">
                          <a:schemeClr val="accent1"/>
                        </a:fillRef>
                        <a:effectRef idx="0">
                          <a:schemeClr val="accent1"/>
                        </a:effectRef>
                        <a:fontRef idx="minor">
                          <a:schemeClr val="dk1"/>
                        </a:fontRef>
                      </wps:style>
                      <wps:txbx>
                        <w:txbxContent>
                          <w:p w14:paraId="29A60461" w14:textId="24410DB2" w:rsidR="00AB2D8F" w:rsidRPr="0002199E" w:rsidRDefault="00AB2D8F" w:rsidP="0002199E">
                            <w:pPr>
                              <w:spacing w:before="0" w:after="0" w:line="240" w:lineRule="auto"/>
                              <w:rPr>
                                <w:color w:val="FF0000"/>
                                <w:sz w:val="12"/>
                                <w:szCs w:val="12"/>
                                <w:lang w:val="en-US"/>
                              </w:rPr>
                            </w:pPr>
                            <w:r w:rsidRPr="0002199E">
                              <w:rPr>
                                <w:color w:val="FF0000"/>
                                <w:sz w:val="12"/>
                                <w:szCs w:val="12"/>
                                <w:lang w:val="en-US"/>
                              </w:rPr>
                              <w:t>New 400kV SS Miletkovo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4" o:spid="_x0000_s1045" type="#_x0000_t202" style="position:absolute;left:0;text-align:left;margin-left:245.1pt;margin-top:162.9pt;width:82.2pt;height:13.8pt;z-index:2516736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" fillcolor="white [3201]" strokecolor="red" strokeweight=".5pt">
                <v:textbox>
                  <w:txbxContent>
                    <w:p w14:paraId="29A60461" w14:textId="24410DB2" w:rsidR="00AB2D8F" w:rsidRPr="0002199E" w:rsidRDefault="00AB2D8F" w:rsidP="0002199E">
                      <w:pPr>
                        <w:spacing w:before="0" w:after="0" w:line="240" w:lineRule="auto"/>
                        <w:rPr>
                          <w:color w:val="FF0000"/>
                          <w:sz w:val="12"/>
                          <w:szCs w:val="12"/>
                          <w:lang w:val="en-US"/>
                        </w:rPr>
                      </w:pPr>
                      <w:r w:rsidRPr="0002199E">
                        <w:rPr>
                          <w:color w:val="FF0000"/>
                          <w:sz w:val="12"/>
                          <w:szCs w:val="12"/>
                          <w:lang w:val="en-US"/>
                        </w:rPr>
                        <w:t>New 400kV SS Miletkovo</w:t>
                      </w:r>
                    </w:p>
                  </w:txbxContent>
                </v:textbox>
              </v:shape>
            </w:pict>
          </mc:Fallback>
        </mc:AlternateContent>
      </w:r>
      <w:r w:rsidR="00C64551" w:rsidRPr="0068236B">
        <w:rPr>
          <w:noProof/>
          <w:sz w:val="20"/>
          <w:lang w:eastAsia="en-US"/>
        </w:rPr>
        <w:t>`</w:t>
      </w:r>
      <w:r w:rsidR="00C21B3A" w:rsidRPr="0068236B">
        <w:rPr>
          <w:noProof/>
          <w:sz w:val="20"/>
          <w:lang w:val="mk-MK" w:eastAsia="mk-MK"/>
        </w:rPr>
        <w:drawing>
          <wp:inline distT="0" distB="0" distL="0" distR="0" wp14:anchorId="4D2BCD8E" wp14:editId="400B651A">
            <wp:extent cx="6120765" cy="3529501"/>
            <wp:effectExtent l="0" t="0" r="0" b="0"/>
            <wp:docPr id="80"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38" cstate="email">
                      <a:extLst>
                        <a:ext uri="{28A0092B-C50C-407E-A947-70E740481C1C}">
                          <a14:useLocalDpi xmlns:a14="http://schemas.microsoft.com/office/drawing/2010/main" val="0"/>
                        </a:ext>
                      </a:extLst>
                    </a:blip>
                    <a:srcRect/>
                    <a:stretch>
                      <a:fillRect/>
                    </a:stretch>
                  </pic:blipFill>
                  <pic:spPr bwMode="auto">
                    <a:xfrm>
                      <a:off x="0" y="0"/>
                      <a:ext cx="6120765" cy="3529501"/>
                    </a:xfrm>
                    <a:prstGeom prst="rect">
                      <a:avLst/>
                    </a:prstGeom>
                    <a:noFill/>
                    <a:ln>
                      <a:noFill/>
                    </a:ln>
                  </pic:spPr>
                </pic:pic>
              </a:graphicData>
            </a:graphic>
          </wp:inline>
        </w:drawing>
      </w:r>
    </w:p>
    <w:p w14:paraId="1F5E471B" w14:textId="2B25A0C2" w:rsidR="00C21B3A" w:rsidRPr="0068236B" w:rsidRDefault="00C21B3A" w:rsidP="00C21B3A">
      <w:pPr>
        <w:spacing w:after="60"/>
        <w:jc w:val="left"/>
        <w:rPr>
          <w:sz w:val="18"/>
          <w:szCs w:val="18"/>
        </w:rPr>
      </w:pPr>
      <w:bookmarkStart w:id="111" w:name="_Toc112928866"/>
      <w:r w:rsidRPr="0068236B">
        <w:rPr>
          <w:rFonts w:cs="Arial"/>
          <w:iCs/>
          <w:sz w:val="18"/>
          <w:szCs w:val="18"/>
        </w:rPr>
        <w:t xml:space="preserve">Figure </w:t>
      </w:r>
      <w:r w:rsidR="00377E43" w:rsidRPr="0068236B">
        <w:rPr>
          <w:rFonts w:cs="Arial"/>
          <w:iCs/>
          <w:sz w:val="18"/>
          <w:szCs w:val="18"/>
        </w:rPr>
        <w:fldChar w:fldCharType="begin"/>
      </w:r>
      <w:r w:rsidRPr="0068236B">
        <w:rPr>
          <w:rFonts w:cs="Arial"/>
          <w:iCs/>
          <w:sz w:val="18"/>
          <w:szCs w:val="18"/>
        </w:rPr>
        <w:instrText xml:space="preserve"> STYLEREF 1 \s </w:instrText>
      </w:r>
      <w:r w:rsidR="00377E43" w:rsidRPr="0068236B">
        <w:rPr>
          <w:rFonts w:cs="Arial"/>
          <w:iCs/>
          <w:sz w:val="18"/>
          <w:szCs w:val="18"/>
        </w:rPr>
        <w:fldChar w:fldCharType="separate"/>
      </w:r>
      <w:r w:rsidR="00234EBE" w:rsidRPr="0068236B">
        <w:rPr>
          <w:rFonts w:cs="Arial"/>
          <w:iCs/>
          <w:noProof/>
          <w:sz w:val="18"/>
          <w:szCs w:val="18"/>
        </w:rPr>
        <w:t>3</w:t>
      </w:r>
      <w:r w:rsidR="00377E43" w:rsidRPr="0068236B">
        <w:rPr>
          <w:rFonts w:cs="Arial"/>
          <w:iCs/>
          <w:sz w:val="18"/>
          <w:szCs w:val="18"/>
        </w:rPr>
        <w:fldChar w:fldCharType="end"/>
      </w:r>
      <w:r w:rsidRPr="0068236B">
        <w:rPr>
          <w:rFonts w:cs="Arial"/>
          <w:iCs/>
          <w:sz w:val="18"/>
          <w:szCs w:val="18"/>
        </w:rPr>
        <w:t>.</w:t>
      </w:r>
      <w:r w:rsidR="00377E43" w:rsidRPr="0068236B">
        <w:rPr>
          <w:rFonts w:cs="Arial"/>
          <w:iCs/>
          <w:sz w:val="18"/>
          <w:szCs w:val="18"/>
        </w:rPr>
        <w:fldChar w:fldCharType="begin"/>
      </w:r>
      <w:r w:rsidRPr="0068236B">
        <w:rPr>
          <w:rFonts w:cs="Arial"/>
          <w:iCs/>
          <w:sz w:val="18"/>
          <w:szCs w:val="18"/>
        </w:rPr>
        <w:instrText xml:space="preserve"> SEQ Figure \* ARABIC \s 1 </w:instrText>
      </w:r>
      <w:r w:rsidR="00377E43" w:rsidRPr="0068236B">
        <w:rPr>
          <w:rFonts w:cs="Arial"/>
          <w:iCs/>
          <w:sz w:val="18"/>
          <w:szCs w:val="18"/>
        </w:rPr>
        <w:fldChar w:fldCharType="separate"/>
      </w:r>
      <w:r w:rsidR="00234EBE" w:rsidRPr="0068236B">
        <w:rPr>
          <w:rFonts w:cs="Arial"/>
          <w:iCs/>
          <w:noProof/>
          <w:sz w:val="18"/>
          <w:szCs w:val="18"/>
        </w:rPr>
        <w:t>4</w:t>
      </w:r>
      <w:r w:rsidR="00377E43" w:rsidRPr="0068236B">
        <w:rPr>
          <w:rFonts w:cs="Arial"/>
          <w:iCs/>
          <w:sz w:val="18"/>
          <w:szCs w:val="18"/>
        </w:rPr>
        <w:fldChar w:fldCharType="end"/>
      </w:r>
      <w:r w:rsidRPr="0068236B">
        <w:rPr>
          <w:sz w:val="18"/>
          <w:szCs w:val="18"/>
        </w:rPr>
        <w:t xml:space="preserve">: Project Option 2 – New 400/110 kV SS </w:t>
      </w:r>
      <w:r w:rsidR="0002199E" w:rsidRPr="0068236B">
        <w:rPr>
          <w:sz w:val="18"/>
          <w:szCs w:val="18"/>
        </w:rPr>
        <w:t>Miletkovo</w:t>
      </w:r>
      <w:r w:rsidRPr="0068236B">
        <w:rPr>
          <w:sz w:val="18"/>
          <w:szCs w:val="18"/>
        </w:rPr>
        <w:t xml:space="preserve"> and lead in-out of existing 400 kV OHL</w:t>
      </w:r>
      <w:r w:rsidRPr="0068236B">
        <w:rPr>
          <w:rFonts w:cs="Tahoma"/>
          <w:sz w:val="18"/>
          <w:szCs w:val="18"/>
        </w:rPr>
        <w:t xml:space="preserve"> Dubrovo – Thess</w:t>
      </w:r>
      <w:r w:rsidRPr="0068236B">
        <w:rPr>
          <w:rFonts w:cs="Tahoma"/>
          <w:sz w:val="18"/>
          <w:szCs w:val="18"/>
        </w:rPr>
        <w:t>a</w:t>
      </w:r>
      <w:r w:rsidRPr="0068236B">
        <w:rPr>
          <w:rFonts w:cs="Tahoma"/>
          <w:sz w:val="18"/>
          <w:szCs w:val="18"/>
        </w:rPr>
        <w:t>lonica (GR)</w:t>
      </w:r>
      <w:r w:rsidRPr="0068236B">
        <w:rPr>
          <w:sz w:val="18"/>
          <w:szCs w:val="18"/>
        </w:rPr>
        <w:t>, Alternative 2</w:t>
      </w:r>
      <w:bookmarkEnd w:id="111"/>
      <w:r w:rsidRPr="0068236B">
        <w:rPr>
          <w:sz w:val="18"/>
          <w:szCs w:val="18"/>
        </w:rPr>
        <w:t xml:space="preserve"> </w:t>
      </w:r>
    </w:p>
    <w:p w14:paraId="7EDAACAC" w14:textId="77777777" w:rsidR="00C21B3A" w:rsidRPr="0068236B" w:rsidRDefault="00C21B3A" w:rsidP="00C21B3A">
      <w:pPr>
        <w:spacing w:before="60" w:after="240"/>
        <w:jc w:val="left"/>
        <w:rPr>
          <w:sz w:val="16"/>
          <w:szCs w:val="18"/>
        </w:rPr>
      </w:pPr>
      <w:r w:rsidRPr="0068236B">
        <w:rPr>
          <w:sz w:val="16"/>
          <w:szCs w:val="18"/>
        </w:rPr>
        <w:t xml:space="preserve">Source: </w:t>
      </w:r>
      <w:r w:rsidRPr="0068236B">
        <w:rPr>
          <w:rFonts w:cs="Tahoma"/>
          <w:sz w:val="16"/>
          <w:szCs w:val="18"/>
        </w:rPr>
        <w:t>WB21-MKD-ENE-03 North Macedonia, Strengthening the Transmission Network in the Southeast Region of North Macedoni</w:t>
      </w:r>
      <w:r w:rsidR="00B818F9" w:rsidRPr="0068236B">
        <w:rPr>
          <w:rFonts w:cs="Tahoma"/>
          <w:sz w:val="16"/>
          <w:szCs w:val="18"/>
        </w:rPr>
        <w:t>a - Component 1</w:t>
      </w:r>
      <w:r w:rsidRPr="0068236B">
        <w:rPr>
          <w:rFonts w:cs="Tahoma"/>
          <w:sz w:val="16"/>
          <w:szCs w:val="18"/>
        </w:rPr>
        <w:t>; Selection of the preferred Option, September 2021 [Ref.4]</w:t>
      </w:r>
    </w:p>
    <w:p w14:paraId="261F48D5" w14:textId="77777777" w:rsidR="00C21B3A" w:rsidRPr="0068236B" w:rsidRDefault="00C21B3A" w:rsidP="00C21B3A">
      <w:pPr>
        <w:rPr>
          <w:rFonts w:cs="Tahoma"/>
          <w:sz w:val="20"/>
        </w:rPr>
      </w:pPr>
      <w:r w:rsidRPr="0068236B">
        <w:rPr>
          <w:sz w:val="20"/>
        </w:rPr>
        <w:t>Th</w:t>
      </w:r>
      <w:r w:rsidR="008E25A4" w:rsidRPr="0068236B">
        <w:rPr>
          <w:sz w:val="20"/>
        </w:rPr>
        <w:t xml:space="preserve">e following </w:t>
      </w:r>
      <w:r w:rsidRPr="0068236B">
        <w:rPr>
          <w:rFonts w:cs="Tahoma"/>
          <w:sz w:val="20"/>
        </w:rPr>
        <w:t xml:space="preserve">interventions to provide connection of the new </w:t>
      </w:r>
      <w:r w:rsidR="008E25A4" w:rsidRPr="0068236B">
        <w:rPr>
          <w:rFonts w:cs="Tahoma"/>
          <w:sz w:val="20"/>
        </w:rPr>
        <w:t xml:space="preserve">substation </w:t>
      </w:r>
      <w:r w:rsidRPr="0068236B">
        <w:rPr>
          <w:rFonts w:cs="Tahoma"/>
          <w:sz w:val="20"/>
        </w:rPr>
        <w:t>with the existing 110 kV transmi</w:t>
      </w:r>
      <w:r w:rsidRPr="0068236B">
        <w:rPr>
          <w:rFonts w:cs="Tahoma"/>
          <w:sz w:val="20"/>
        </w:rPr>
        <w:t>s</w:t>
      </w:r>
      <w:r w:rsidRPr="0068236B">
        <w:rPr>
          <w:rFonts w:cs="Tahoma"/>
          <w:sz w:val="20"/>
        </w:rPr>
        <w:t>sion network in the Project region</w:t>
      </w:r>
      <w:r w:rsidR="008E25A4" w:rsidRPr="0068236B">
        <w:rPr>
          <w:rFonts w:cs="Tahoma"/>
          <w:sz w:val="20"/>
        </w:rPr>
        <w:t xml:space="preserve"> are constituent elements of this alternative</w:t>
      </w:r>
      <w:r w:rsidRPr="0068236B">
        <w:rPr>
          <w:rFonts w:cs="Tahoma"/>
          <w:sz w:val="20"/>
        </w:rPr>
        <w:t>:</w:t>
      </w:r>
    </w:p>
    <w:p w14:paraId="1939E115" w14:textId="7394CC10" w:rsidR="008E25A4" w:rsidRPr="0068236B" w:rsidRDefault="00873406" w:rsidP="00D24CEF">
      <w:pPr>
        <w:pStyle w:val="ListBullet2"/>
        <w:numPr>
          <w:ilvl w:val="1"/>
          <w:numId w:val="97"/>
        </w:numPr>
        <w:rPr>
          <w:sz w:val="20"/>
        </w:rPr>
      </w:pPr>
      <w:r w:rsidRPr="0068236B">
        <w:rPr>
          <w:sz w:val="20"/>
          <w:szCs w:val="24"/>
        </w:rPr>
        <w:t>Reconstruction</w:t>
      </w:r>
      <w:r w:rsidR="008E25A4" w:rsidRPr="0068236B">
        <w:rPr>
          <w:sz w:val="20"/>
          <w:szCs w:val="24"/>
        </w:rPr>
        <w:t xml:space="preserve"> of existing </w:t>
      </w:r>
      <w:r w:rsidR="00843E7B" w:rsidRPr="0068236B">
        <w:rPr>
          <w:sz w:val="20"/>
          <w:szCs w:val="24"/>
        </w:rPr>
        <w:t xml:space="preserve">double-circuit </w:t>
      </w:r>
      <w:r w:rsidR="008E25A4" w:rsidRPr="0068236B">
        <w:rPr>
          <w:sz w:val="20"/>
          <w:szCs w:val="24"/>
        </w:rPr>
        <w:t>110 kV OHL from</w:t>
      </w:r>
      <w:r w:rsidR="00876929" w:rsidRPr="0068236B">
        <w:rPr>
          <w:sz w:val="20"/>
          <w:szCs w:val="24"/>
        </w:rPr>
        <w:t xml:space="preserve"> SS</w:t>
      </w:r>
      <w:r w:rsidR="008E25A4" w:rsidRPr="0068236B">
        <w:rPr>
          <w:sz w:val="20"/>
          <w:szCs w:val="24"/>
        </w:rPr>
        <w:t xml:space="preserve"> Valandovo to</w:t>
      </w:r>
      <w:r w:rsidR="00876929" w:rsidRPr="0068236B">
        <w:rPr>
          <w:sz w:val="20"/>
          <w:szCs w:val="24"/>
        </w:rPr>
        <w:t xml:space="preserve"> SS ‘EVP’</w:t>
      </w:r>
      <w:r w:rsidR="008E25A4" w:rsidRPr="0068236B">
        <w:rPr>
          <w:sz w:val="20"/>
          <w:szCs w:val="24"/>
        </w:rPr>
        <w:t xml:space="preserve"> M</w:t>
      </w:r>
      <w:r w:rsidR="008E25A4" w:rsidRPr="0068236B">
        <w:rPr>
          <w:sz w:val="20"/>
          <w:szCs w:val="24"/>
        </w:rPr>
        <w:t>i</w:t>
      </w:r>
      <w:r w:rsidR="008E25A4" w:rsidRPr="0068236B">
        <w:rPr>
          <w:sz w:val="20"/>
          <w:szCs w:val="24"/>
        </w:rPr>
        <w:t xml:space="preserve">letkovo and extension to the new 400/110 kV SS </w:t>
      </w:r>
      <w:r w:rsidR="0002199E" w:rsidRPr="0068236B">
        <w:rPr>
          <w:sz w:val="20"/>
          <w:szCs w:val="24"/>
        </w:rPr>
        <w:t>Miletkovo</w:t>
      </w:r>
      <w:r w:rsidR="008E25A4" w:rsidRPr="0068236B">
        <w:rPr>
          <w:rFonts w:eastAsia="Calibri"/>
          <w:sz w:val="20"/>
        </w:rPr>
        <w:t xml:space="preserve"> </w:t>
      </w:r>
    </w:p>
    <w:p w14:paraId="5C7CA3F7" w14:textId="332F94F5" w:rsidR="008E25A4" w:rsidRPr="0068236B" w:rsidRDefault="008E25A4" w:rsidP="008E25A4">
      <w:pPr>
        <w:rPr>
          <w:sz w:val="20"/>
        </w:rPr>
      </w:pPr>
      <w:r w:rsidRPr="0068236B">
        <w:rPr>
          <w:sz w:val="20"/>
        </w:rPr>
        <w:t xml:space="preserve">This approx. 6.4 km long existing 110 kV line would be reconstructed and extended to connect the new 400/110 kV SS </w:t>
      </w:r>
      <w:r w:rsidR="00876929" w:rsidRPr="0068236B">
        <w:rPr>
          <w:sz w:val="20"/>
        </w:rPr>
        <w:t>Miletkovo</w:t>
      </w:r>
      <w:r w:rsidRPr="0068236B">
        <w:rPr>
          <w:sz w:val="20"/>
        </w:rPr>
        <w:t xml:space="preserve"> with the existing 110/35 kV SS Valandovo. According to the existing technical data (engineering design, longitudinal profiles and the safety clearances of the line), the intervention would i</w:t>
      </w:r>
      <w:r w:rsidRPr="0068236B">
        <w:rPr>
          <w:sz w:val="20"/>
        </w:rPr>
        <w:t>n</w:t>
      </w:r>
      <w:r w:rsidRPr="0068236B">
        <w:rPr>
          <w:sz w:val="20"/>
        </w:rPr>
        <w:t>clude new phase conductors with larger cross-section as well as possible rearrangements of the towers, upgrading the towers with appropriate elements to increase their height and use of a several new towers, where necessary.</w:t>
      </w:r>
    </w:p>
    <w:p w14:paraId="34AB238E" w14:textId="3AAE2C86" w:rsidR="00843E7B" w:rsidRPr="0068236B" w:rsidRDefault="00843E7B" w:rsidP="00D24CEF">
      <w:pPr>
        <w:pStyle w:val="ListBullet2"/>
        <w:numPr>
          <w:ilvl w:val="1"/>
          <w:numId w:val="97"/>
        </w:numPr>
        <w:rPr>
          <w:sz w:val="20"/>
        </w:rPr>
      </w:pPr>
      <w:r w:rsidRPr="0068236B">
        <w:rPr>
          <w:sz w:val="20"/>
          <w:szCs w:val="24"/>
        </w:rPr>
        <w:t xml:space="preserve">Construction of new double-circuit 110 kV from the new </w:t>
      </w:r>
      <w:r w:rsidR="00876929" w:rsidRPr="0068236B">
        <w:rPr>
          <w:sz w:val="20"/>
          <w:szCs w:val="24"/>
        </w:rPr>
        <w:t xml:space="preserve">400/110 kV </w:t>
      </w:r>
      <w:r w:rsidRPr="0068236B">
        <w:rPr>
          <w:sz w:val="20"/>
          <w:szCs w:val="24"/>
        </w:rPr>
        <w:t xml:space="preserve">SS </w:t>
      </w:r>
      <w:r w:rsidR="00876929" w:rsidRPr="0068236B">
        <w:rPr>
          <w:sz w:val="20"/>
          <w:szCs w:val="24"/>
        </w:rPr>
        <w:t>Miletkovo</w:t>
      </w:r>
      <w:r w:rsidRPr="0068236B">
        <w:rPr>
          <w:sz w:val="20"/>
          <w:szCs w:val="24"/>
        </w:rPr>
        <w:t xml:space="preserve"> to exis</w:t>
      </w:r>
      <w:r w:rsidRPr="0068236B">
        <w:rPr>
          <w:sz w:val="20"/>
          <w:szCs w:val="24"/>
        </w:rPr>
        <w:t>t</w:t>
      </w:r>
      <w:r w:rsidRPr="0068236B">
        <w:rPr>
          <w:sz w:val="20"/>
          <w:szCs w:val="24"/>
        </w:rPr>
        <w:t>ing SS</w:t>
      </w:r>
      <w:r w:rsidR="00876929" w:rsidRPr="0068236B">
        <w:rPr>
          <w:sz w:val="20"/>
          <w:szCs w:val="24"/>
        </w:rPr>
        <w:t xml:space="preserve"> ‘EVP’</w:t>
      </w:r>
      <w:r w:rsidRPr="0068236B">
        <w:rPr>
          <w:sz w:val="20"/>
          <w:szCs w:val="24"/>
        </w:rPr>
        <w:t xml:space="preserve"> Miletkovo</w:t>
      </w:r>
    </w:p>
    <w:p w14:paraId="247FDCD9" w14:textId="77777777" w:rsidR="008E25A4" w:rsidRPr="0068236B" w:rsidRDefault="008E25A4" w:rsidP="008E25A4">
      <w:pPr>
        <w:rPr>
          <w:sz w:val="20"/>
        </w:rPr>
      </w:pPr>
      <w:r w:rsidRPr="0068236B">
        <w:rPr>
          <w:sz w:val="20"/>
        </w:rPr>
        <w:t>In addition, a new 2x110 kV line would need to be built from a point in proximity to the SS ‘EVP’ Miletkovo to the new 400/110 kV substation with an approximate length of 1.8 km, in order to complete the conne</w:t>
      </w:r>
      <w:r w:rsidRPr="0068236B">
        <w:rPr>
          <w:sz w:val="20"/>
        </w:rPr>
        <w:t>c</w:t>
      </w:r>
      <w:r w:rsidRPr="0068236B">
        <w:rPr>
          <w:sz w:val="20"/>
        </w:rPr>
        <w:t>tion of new substation with the existing SS Valandovo.</w:t>
      </w:r>
    </w:p>
    <w:p w14:paraId="7CC25A69" w14:textId="6C0ECEBD" w:rsidR="006511C8" w:rsidRPr="0068236B" w:rsidRDefault="006511C8" w:rsidP="008E77D3">
      <w:pPr>
        <w:pStyle w:val="ListParagraph"/>
        <w:numPr>
          <w:ilvl w:val="0"/>
          <w:numId w:val="54"/>
        </w:numPr>
        <w:rPr>
          <w:rFonts w:cs="Tahoma"/>
          <w:sz w:val="20"/>
        </w:rPr>
      </w:pPr>
      <w:r w:rsidRPr="0068236B">
        <w:rPr>
          <w:rFonts w:cs="Tahoma"/>
          <w:sz w:val="20"/>
        </w:rPr>
        <w:t xml:space="preserve">Project Option 3 – New </w:t>
      </w:r>
      <w:r w:rsidRPr="0068236B">
        <w:rPr>
          <w:sz w:val="20"/>
        </w:rPr>
        <w:t>400/110 kV SS Valandovo with interconnection</w:t>
      </w:r>
      <w:r w:rsidRPr="0068236B">
        <w:rPr>
          <w:rFonts w:cs="Tahoma"/>
          <w:sz w:val="20"/>
        </w:rPr>
        <w:t xml:space="preserve"> (</w:t>
      </w:r>
      <w:r w:rsidRPr="0068236B">
        <w:rPr>
          <w:sz w:val="20"/>
        </w:rPr>
        <w:t>new 400 kV OHL Dubrovo – Valandovo – Thessalonica (GR))</w:t>
      </w:r>
    </w:p>
    <w:p w14:paraId="658B5B01" w14:textId="3019107E" w:rsidR="00D43771" w:rsidRPr="0068236B" w:rsidRDefault="00D43771" w:rsidP="00D43771">
      <w:pPr>
        <w:rPr>
          <w:sz w:val="20"/>
        </w:rPr>
      </w:pPr>
      <w:r w:rsidRPr="0068236B">
        <w:rPr>
          <w:sz w:val="20"/>
        </w:rPr>
        <w:t>This option (Figure below)</w:t>
      </w:r>
      <w:r w:rsidR="00562E86" w:rsidRPr="0068236B">
        <w:rPr>
          <w:sz w:val="20"/>
        </w:rPr>
        <w:t xml:space="preserve"> </w:t>
      </w:r>
      <w:r w:rsidRPr="0068236B">
        <w:rPr>
          <w:sz w:val="20"/>
        </w:rPr>
        <w:t xml:space="preserve">includes construction of a new 400/110 kV SS Valandovo adjacent to the existing SS Valandovo, same as the respective element of the Project Option 2, Alternative 1 </w:t>
      </w:r>
      <w:r w:rsidRPr="0068236B">
        <w:rPr>
          <w:sz w:val="20"/>
          <w:lang w:eastAsia="de-DE"/>
        </w:rPr>
        <w:t>as described in the previous sub-</w:t>
      </w:r>
      <w:r w:rsidRPr="0068236B">
        <w:rPr>
          <w:sz w:val="20"/>
        </w:rPr>
        <w:t>section.</w:t>
      </w:r>
    </w:p>
    <w:p w14:paraId="2E2F19B2" w14:textId="77777777" w:rsidR="00D43771" w:rsidRPr="0068236B" w:rsidRDefault="00D43771" w:rsidP="00D43771">
      <w:pPr>
        <w:rPr>
          <w:sz w:val="20"/>
          <w:lang w:eastAsia="de-DE"/>
        </w:rPr>
      </w:pPr>
      <w:r w:rsidRPr="0068236B">
        <w:rPr>
          <w:sz w:val="20"/>
        </w:rPr>
        <w:lastRenderedPageBreak/>
        <w:t xml:space="preserve">In addition, it foresees construction of a new single-circuit 400 kV </w:t>
      </w:r>
      <w:r w:rsidRPr="0068236B">
        <w:rPr>
          <w:sz w:val="20"/>
          <w:szCs w:val="24"/>
        </w:rPr>
        <w:t>OHL Dubrovo – Valandovo – MK/GR bo</w:t>
      </w:r>
      <w:r w:rsidRPr="0068236B">
        <w:rPr>
          <w:sz w:val="20"/>
          <w:szCs w:val="24"/>
        </w:rPr>
        <w:t>r</w:t>
      </w:r>
      <w:r w:rsidRPr="0068236B">
        <w:rPr>
          <w:sz w:val="20"/>
          <w:szCs w:val="24"/>
        </w:rPr>
        <w:t xml:space="preserve">der (further to Thessalonica (GR)), designed with ‘Y’ towers, standardised in the Macedonian transmission system, and </w:t>
      </w:r>
      <w:r w:rsidRPr="0068236B">
        <w:rPr>
          <w:sz w:val="20"/>
          <w:lang w:eastAsia="de-DE"/>
        </w:rPr>
        <w:t>composed of two separate sections:</w:t>
      </w:r>
    </w:p>
    <w:p w14:paraId="52BCC964" w14:textId="77777777" w:rsidR="006511C8" w:rsidRPr="0068236B" w:rsidRDefault="006511C8" w:rsidP="008E77D3">
      <w:pPr>
        <w:pStyle w:val="ListParagraph"/>
        <w:numPr>
          <w:ilvl w:val="0"/>
          <w:numId w:val="55"/>
        </w:numPr>
        <w:rPr>
          <w:sz w:val="20"/>
          <w:lang w:eastAsia="de-DE"/>
        </w:rPr>
      </w:pPr>
      <w:r w:rsidRPr="0068236B">
        <w:rPr>
          <w:sz w:val="20"/>
          <w:lang w:eastAsia="de-DE"/>
        </w:rPr>
        <w:t>Section SS Dubrovo - SS Valandovo</w:t>
      </w:r>
    </w:p>
    <w:p w14:paraId="014EC966" w14:textId="0C7A0A4E" w:rsidR="00D43771" w:rsidRPr="0068236B" w:rsidRDefault="00D43771" w:rsidP="00D43771">
      <w:pPr>
        <w:rPr>
          <w:sz w:val="20"/>
          <w:lang w:eastAsia="de-DE"/>
        </w:rPr>
      </w:pPr>
      <w:r w:rsidRPr="0068236B">
        <w:rPr>
          <w:sz w:val="20"/>
          <w:lang w:eastAsia="de-DE"/>
        </w:rPr>
        <w:t xml:space="preserve">Two alternative corridors were identified in this section. These are identical in geographic context to the OHL routing alternatives identified and assessed in the scope of the Project Option 1 Alternative 1 – Southern Corridor (approx. </w:t>
      </w:r>
      <w:r w:rsidR="009F09B6" w:rsidRPr="0068236B">
        <w:rPr>
          <w:sz w:val="20"/>
          <w:lang w:eastAsia="de-DE"/>
        </w:rPr>
        <w:t>4</w:t>
      </w:r>
      <w:r w:rsidRPr="0068236B">
        <w:rPr>
          <w:sz w:val="20"/>
          <w:lang w:eastAsia="de-DE"/>
        </w:rPr>
        <w:t>1 km long corridor) and Alternative 2 – Northern Corridor (approx. 55 km long corridor).</w:t>
      </w:r>
    </w:p>
    <w:p w14:paraId="73E25CB0" w14:textId="04B1D604" w:rsidR="006511C8" w:rsidRPr="0068236B" w:rsidRDefault="006511C8" w:rsidP="008E77D3">
      <w:pPr>
        <w:pStyle w:val="ListParagraph"/>
        <w:numPr>
          <w:ilvl w:val="0"/>
          <w:numId w:val="55"/>
        </w:numPr>
        <w:rPr>
          <w:sz w:val="20"/>
          <w:lang w:eastAsia="de-DE"/>
        </w:rPr>
      </w:pPr>
      <w:r w:rsidRPr="0068236B">
        <w:rPr>
          <w:sz w:val="20"/>
          <w:lang w:eastAsia="de-DE"/>
        </w:rPr>
        <w:t>Section SS Valandovo - MK/GR border</w:t>
      </w:r>
    </w:p>
    <w:p w14:paraId="44536BD0" w14:textId="77777777" w:rsidR="00D43771" w:rsidRPr="0068236B" w:rsidRDefault="00D43771" w:rsidP="00D43771">
      <w:pPr>
        <w:rPr>
          <w:sz w:val="20"/>
          <w:lang w:eastAsia="de-DE"/>
        </w:rPr>
      </w:pPr>
      <w:r w:rsidRPr="0068236B">
        <w:rPr>
          <w:sz w:val="20"/>
          <w:lang w:eastAsia="de-DE"/>
        </w:rPr>
        <w:t>This section would be approx. 24 km long, with the first segment of approx. 8 km to be built along the same alignment as described in Project Option 2, Alternative 1. The remaining 16 km would be built in parallel with the existing 400 kV OHL SS Dubrovo - MK/GR border.</w:t>
      </w:r>
    </w:p>
    <w:p w14:paraId="4F5BDA83" w14:textId="77777777" w:rsidR="00D43771" w:rsidRPr="0068236B" w:rsidRDefault="00C64551" w:rsidP="00C64551">
      <w:pPr>
        <w:spacing w:after="60"/>
        <w:rPr>
          <w:sz w:val="20"/>
          <w:lang w:eastAsia="de-DE"/>
        </w:rPr>
      </w:pPr>
      <w:r w:rsidRPr="0068236B">
        <w:rPr>
          <w:noProof/>
          <w:sz w:val="20"/>
          <w:lang w:val="mk-MK" w:eastAsia="mk-MK"/>
        </w:rPr>
        <w:drawing>
          <wp:inline distT="0" distB="0" distL="0" distR="0" wp14:anchorId="6B8A3236" wp14:editId="2FB53070">
            <wp:extent cx="6120000" cy="3524507"/>
            <wp:effectExtent l="19050" t="0" r="0" b="0"/>
            <wp:docPr id="5" name="Picture 1" descr="C:\Users\Kokan\Documents\IPF Project\IPF 7\Energy\WB21 OHL SS Dubrovo-Strumica, Mkd\18 - ESIA Scoping\Technical team\Azurirana slika 5.10 - 2 koridori za 400k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kan\Documents\IPF Project\IPF 7\Energy\WB21 OHL SS Dubrovo-Strumica, Mkd\18 - ESIA Scoping\Technical team\Azurirana slika 5.10 - 2 koridori za 400kV.jpg"/>
                    <pic:cNvPicPr>
                      <a:picLocks noChangeAspect="1" noChangeArrowheads="1"/>
                    </pic:cNvPicPr>
                  </pic:nvPicPr>
                  <pic:blipFill>
                    <a:blip r:embed="rId39" cstate="email">
                      <a:extLst>
                        <a:ext uri="{28A0092B-C50C-407E-A947-70E740481C1C}">
                          <a14:useLocalDpi xmlns:a14="http://schemas.microsoft.com/office/drawing/2010/main" val="0"/>
                        </a:ext>
                      </a:extLst>
                    </a:blip>
                    <a:srcRect/>
                    <a:stretch>
                      <a:fillRect/>
                    </a:stretch>
                  </pic:blipFill>
                  <pic:spPr bwMode="auto">
                    <a:xfrm>
                      <a:off x="0" y="0"/>
                      <a:ext cx="6120000" cy="3524507"/>
                    </a:xfrm>
                    <a:prstGeom prst="rect">
                      <a:avLst/>
                    </a:prstGeom>
                    <a:noFill/>
                    <a:ln w="9525">
                      <a:noFill/>
                      <a:miter lim="800000"/>
                      <a:headEnd/>
                      <a:tailEnd/>
                    </a:ln>
                  </pic:spPr>
                </pic:pic>
              </a:graphicData>
            </a:graphic>
          </wp:inline>
        </w:drawing>
      </w:r>
    </w:p>
    <w:p w14:paraId="11DAA62A" w14:textId="77777777" w:rsidR="00185866" w:rsidRPr="0068236B" w:rsidRDefault="00185866" w:rsidP="006404AD">
      <w:pPr>
        <w:spacing w:before="60" w:after="60"/>
        <w:jc w:val="left"/>
        <w:rPr>
          <w:sz w:val="18"/>
          <w:szCs w:val="20"/>
        </w:rPr>
      </w:pPr>
      <w:bookmarkStart w:id="112" w:name="_Toc112928867"/>
      <w:r w:rsidRPr="0068236B">
        <w:rPr>
          <w:rFonts w:cs="Arial"/>
          <w:iCs/>
          <w:sz w:val="18"/>
          <w:szCs w:val="20"/>
        </w:rPr>
        <w:t xml:space="preserve">Figure </w:t>
      </w:r>
      <w:r w:rsidR="00377E43" w:rsidRPr="0068236B">
        <w:rPr>
          <w:rFonts w:cs="Arial"/>
          <w:iCs/>
          <w:sz w:val="18"/>
          <w:szCs w:val="20"/>
        </w:rPr>
        <w:fldChar w:fldCharType="begin"/>
      </w:r>
      <w:r w:rsidRPr="0068236B">
        <w:rPr>
          <w:rFonts w:cs="Arial"/>
          <w:iCs/>
          <w:sz w:val="18"/>
          <w:szCs w:val="20"/>
        </w:rPr>
        <w:instrText xml:space="preserve"> STYLEREF 1 \s </w:instrText>
      </w:r>
      <w:r w:rsidR="00377E43" w:rsidRPr="0068236B">
        <w:rPr>
          <w:rFonts w:cs="Arial"/>
          <w:iCs/>
          <w:sz w:val="18"/>
          <w:szCs w:val="20"/>
        </w:rPr>
        <w:fldChar w:fldCharType="separate"/>
      </w:r>
      <w:r w:rsidR="00234EBE" w:rsidRPr="0068236B">
        <w:rPr>
          <w:rFonts w:cs="Arial"/>
          <w:iCs/>
          <w:noProof/>
          <w:sz w:val="18"/>
          <w:szCs w:val="20"/>
        </w:rPr>
        <w:t>3</w:t>
      </w:r>
      <w:r w:rsidR="00377E43" w:rsidRPr="0068236B">
        <w:rPr>
          <w:rFonts w:cs="Arial"/>
          <w:iCs/>
          <w:sz w:val="18"/>
          <w:szCs w:val="20"/>
        </w:rPr>
        <w:fldChar w:fldCharType="end"/>
      </w:r>
      <w:r w:rsidRPr="0068236B">
        <w:rPr>
          <w:rFonts w:cs="Arial"/>
          <w:iCs/>
          <w:sz w:val="18"/>
          <w:szCs w:val="20"/>
        </w:rPr>
        <w:t>.</w:t>
      </w:r>
      <w:r w:rsidR="00377E43" w:rsidRPr="0068236B">
        <w:rPr>
          <w:rFonts w:cs="Arial"/>
          <w:iCs/>
          <w:sz w:val="18"/>
          <w:szCs w:val="20"/>
        </w:rPr>
        <w:fldChar w:fldCharType="begin"/>
      </w:r>
      <w:r w:rsidRPr="0068236B">
        <w:rPr>
          <w:rFonts w:cs="Arial"/>
          <w:iCs/>
          <w:sz w:val="18"/>
          <w:szCs w:val="20"/>
        </w:rPr>
        <w:instrText xml:space="preserve"> SEQ Figure \* ARABIC \s 1 </w:instrText>
      </w:r>
      <w:r w:rsidR="00377E43" w:rsidRPr="0068236B">
        <w:rPr>
          <w:rFonts w:cs="Arial"/>
          <w:iCs/>
          <w:sz w:val="18"/>
          <w:szCs w:val="20"/>
        </w:rPr>
        <w:fldChar w:fldCharType="separate"/>
      </w:r>
      <w:r w:rsidR="00234EBE" w:rsidRPr="0068236B">
        <w:rPr>
          <w:rFonts w:cs="Arial"/>
          <w:iCs/>
          <w:noProof/>
          <w:sz w:val="18"/>
          <w:szCs w:val="20"/>
        </w:rPr>
        <w:t>5</w:t>
      </w:r>
      <w:r w:rsidR="00377E43" w:rsidRPr="0068236B">
        <w:rPr>
          <w:rFonts w:cs="Arial"/>
          <w:iCs/>
          <w:sz w:val="18"/>
          <w:szCs w:val="20"/>
        </w:rPr>
        <w:fldChar w:fldCharType="end"/>
      </w:r>
      <w:r w:rsidRPr="0068236B">
        <w:rPr>
          <w:sz w:val="18"/>
          <w:szCs w:val="20"/>
        </w:rPr>
        <w:t xml:space="preserve">: Project Option 3 – </w:t>
      </w:r>
      <w:r w:rsidRPr="0068236B">
        <w:rPr>
          <w:rFonts w:cs="Tahoma"/>
          <w:sz w:val="18"/>
          <w:szCs w:val="20"/>
        </w:rPr>
        <w:t xml:space="preserve">New </w:t>
      </w:r>
      <w:r w:rsidRPr="0068236B">
        <w:rPr>
          <w:sz w:val="18"/>
          <w:szCs w:val="20"/>
        </w:rPr>
        <w:t xml:space="preserve">400/110 kV SS Valandovo with </w:t>
      </w:r>
      <w:r w:rsidR="00C64551" w:rsidRPr="0068236B">
        <w:rPr>
          <w:sz w:val="18"/>
          <w:szCs w:val="20"/>
        </w:rPr>
        <w:t xml:space="preserve">400 kV </w:t>
      </w:r>
      <w:r w:rsidRPr="0068236B">
        <w:rPr>
          <w:sz w:val="18"/>
          <w:szCs w:val="20"/>
        </w:rPr>
        <w:t>interconnection</w:t>
      </w:r>
      <w:r w:rsidR="00C64551" w:rsidRPr="0068236B">
        <w:rPr>
          <w:rFonts w:cs="Tahoma"/>
          <w:sz w:val="18"/>
          <w:szCs w:val="20"/>
        </w:rPr>
        <w:t xml:space="preserve"> </w:t>
      </w:r>
      <w:r w:rsidRPr="0068236B">
        <w:rPr>
          <w:rFonts w:cs="Tahoma"/>
          <w:sz w:val="18"/>
          <w:szCs w:val="20"/>
        </w:rPr>
        <w:t>(</w:t>
      </w:r>
      <w:r w:rsidRPr="0068236B">
        <w:rPr>
          <w:sz w:val="18"/>
          <w:szCs w:val="20"/>
        </w:rPr>
        <w:t>Dubrovo – Valandovo – Thessalonica (GR)), alternative corridors</w:t>
      </w:r>
      <w:bookmarkEnd w:id="112"/>
    </w:p>
    <w:p w14:paraId="0C25532E" w14:textId="77777777" w:rsidR="002407AF" w:rsidRPr="0068236B" w:rsidRDefault="00185866" w:rsidP="002407AF">
      <w:pPr>
        <w:spacing w:before="60" w:after="240"/>
        <w:jc w:val="left"/>
        <w:rPr>
          <w:sz w:val="16"/>
          <w:szCs w:val="18"/>
        </w:rPr>
      </w:pPr>
      <w:r w:rsidRPr="0068236B">
        <w:rPr>
          <w:sz w:val="16"/>
          <w:szCs w:val="18"/>
        </w:rPr>
        <w:t xml:space="preserve">Source: </w:t>
      </w:r>
      <w:r w:rsidRPr="0068236B">
        <w:rPr>
          <w:rFonts w:cs="Tahoma"/>
          <w:sz w:val="16"/>
          <w:szCs w:val="18"/>
        </w:rPr>
        <w:t>WB21-MKD-ENE-03 North Macedonia, Strengthening the Transmission Network in the Southeast Region of North Macedoni</w:t>
      </w:r>
      <w:r w:rsidR="00B818F9" w:rsidRPr="0068236B">
        <w:rPr>
          <w:rFonts w:cs="Tahoma"/>
          <w:sz w:val="16"/>
          <w:szCs w:val="18"/>
        </w:rPr>
        <w:t>a - Component 1</w:t>
      </w:r>
      <w:r w:rsidRPr="0068236B">
        <w:rPr>
          <w:rFonts w:cs="Tahoma"/>
          <w:sz w:val="16"/>
          <w:szCs w:val="18"/>
        </w:rPr>
        <w:t>; Selection of the preferred Option, September 2021 [Ref.4]</w:t>
      </w:r>
    </w:p>
    <w:p w14:paraId="0EF4CEDA" w14:textId="77777777" w:rsidR="002407AF" w:rsidRPr="0068236B" w:rsidRDefault="002407AF" w:rsidP="002407AF">
      <w:pPr>
        <w:pStyle w:val="Heading3"/>
      </w:pPr>
      <w:bookmarkStart w:id="113" w:name="_Toc112852214"/>
      <w:r w:rsidRPr="0068236B">
        <w:t>Assessment of Options</w:t>
      </w:r>
      <w:bookmarkEnd w:id="113"/>
    </w:p>
    <w:p w14:paraId="60B02B14" w14:textId="77777777" w:rsidR="00582B7C" w:rsidRPr="0068236B" w:rsidRDefault="00582B7C" w:rsidP="002407AF">
      <w:pPr>
        <w:autoSpaceDE w:val="0"/>
        <w:autoSpaceDN w:val="0"/>
        <w:adjustRightInd w:val="0"/>
        <w:rPr>
          <w:rFonts w:cs="Arial"/>
          <w:sz w:val="20"/>
          <w:szCs w:val="20"/>
        </w:rPr>
      </w:pPr>
      <w:r w:rsidRPr="0068236B">
        <w:rPr>
          <w:rFonts w:cs="Arial"/>
          <w:sz w:val="20"/>
          <w:szCs w:val="20"/>
        </w:rPr>
        <w:t>Each of the identified Project options and alternatives within the options has been preliminary evaluated from multi-criteria perspective, including strategic development aspects (network and marked based a</w:t>
      </w:r>
      <w:r w:rsidRPr="0068236B">
        <w:rPr>
          <w:rFonts w:cs="Arial"/>
          <w:sz w:val="20"/>
          <w:szCs w:val="20"/>
        </w:rPr>
        <w:t>p</w:t>
      </w:r>
      <w:r w:rsidRPr="0068236B">
        <w:rPr>
          <w:rFonts w:cs="Arial"/>
          <w:sz w:val="20"/>
          <w:szCs w:val="20"/>
        </w:rPr>
        <w:t>praisal), technical and engineering criteria, environment and social aspects, as well as economics. The key conclusions of this exercise are given below.</w:t>
      </w:r>
    </w:p>
    <w:p w14:paraId="5C2FF1EA" w14:textId="77777777" w:rsidR="00582B7C" w:rsidRPr="0068236B" w:rsidRDefault="00582B7C" w:rsidP="00582B7C">
      <w:pPr>
        <w:spacing w:before="0" w:after="200"/>
        <w:ind w:left="720" w:firstLine="720"/>
        <w:jc w:val="left"/>
        <w:rPr>
          <w:rFonts w:cs="Arial"/>
          <w:sz w:val="20"/>
          <w:szCs w:val="20"/>
          <w:u w:val="single"/>
        </w:rPr>
      </w:pPr>
      <w:bookmarkStart w:id="114" w:name="_Toc67075935"/>
      <w:r w:rsidRPr="0068236B">
        <w:rPr>
          <w:sz w:val="20"/>
          <w:u w:val="single"/>
          <w:lang w:bidi="en-US"/>
        </w:rPr>
        <w:t>Network and Market Based Assessment</w:t>
      </w:r>
      <w:bookmarkEnd w:id="114"/>
      <w:r w:rsidRPr="0068236B">
        <w:rPr>
          <w:rFonts w:cs="Arial"/>
          <w:sz w:val="20"/>
          <w:szCs w:val="20"/>
          <w:u w:val="single"/>
        </w:rPr>
        <w:t xml:space="preserve"> </w:t>
      </w:r>
    </w:p>
    <w:p w14:paraId="36608902" w14:textId="77777777" w:rsidR="00582B7C" w:rsidRPr="0068236B" w:rsidRDefault="00582B7C" w:rsidP="00582B7C">
      <w:pPr>
        <w:ind w:left="1440" w:firstLine="720"/>
        <w:rPr>
          <w:rFonts w:cs="Arial"/>
          <w:sz w:val="20"/>
          <w:szCs w:val="20"/>
          <w:u w:val="single"/>
        </w:rPr>
      </w:pPr>
      <w:r w:rsidRPr="0068236B">
        <w:rPr>
          <w:rFonts w:cs="Tahoma"/>
          <w:sz w:val="20"/>
        </w:rPr>
        <w:t>Methodology</w:t>
      </w:r>
    </w:p>
    <w:p w14:paraId="3074D3E4" w14:textId="77777777" w:rsidR="00582B7C" w:rsidRPr="0068236B" w:rsidRDefault="00582B7C" w:rsidP="00582B7C">
      <w:pPr>
        <w:spacing w:before="0" w:after="200"/>
        <w:rPr>
          <w:rFonts w:cs="Arial"/>
          <w:sz w:val="20"/>
          <w:szCs w:val="20"/>
        </w:rPr>
      </w:pPr>
      <w:r w:rsidRPr="0068236B">
        <w:rPr>
          <w:sz w:val="20"/>
        </w:rPr>
        <w:t xml:space="preserve">Network and market benefit study has included two set of elements and </w:t>
      </w:r>
      <w:r w:rsidRPr="0068236B">
        <w:rPr>
          <w:rFonts w:cs="Arial"/>
          <w:sz w:val="20"/>
          <w:szCs w:val="20"/>
        </w:rPr>
        <w:t>comprises the calculation of ben</w:t>
      </w:r>
      <w:r w:rsidRPr="0068236B">
        <w:rPr>
          <w:rFonts w:cs="Arial"/>
          <w:sz w:val="20"/>
          <w:szCs w:val="20"/>
        </w:rPr>
        <w:t>e</w:t>
      </w:r>
      <w:r w:rsidRPr="0068236B">
        <w:rPr>
          <w:rFonts w:cs="Arial"/>
          <w:sz w:val="20"/>
          <w:szCs w:val="20"/>
        </w:rPr>
        <w:t xml:space="preserve">fits according to ENTSO-E methodology </w:t>
      </w:r>
      <w:r w:rsidRPr="0068236B">
        <w:rPr>
          <w:rFonts w:cs="Tahoma"/>
          <w:sz w:val="20"/>
          <w:szCs w:val="20"/>
        </w:rPr>
        <w:t>(Figure below)</w:t>
      </w:r>
      <w:r w:rsidRPr="0068236B">
        <w:rPr>
          <w:rFonts w:cs="Arial"/>
          <w:sz w:val="20"/>
          <w:szCs w:val="20"/>
        </w:rPr>
        <w:t>.</w:t>
      </w:r>
      <w:r w:rsidR="00B818F9" w:rsidRPr="0068236B">
        <w:rPr>
          <w:rFonts w:cs="Arial"/>
          <w:sz w:val="20"/>
          <w:szCs w:val="20"/>
        </w:rPr>
        <w:t xml:space="preserve"> </w:t>
      </w:r>
      <w:r w:rsidR="00B818F9" w:rsidRPr="0068236B">
        <w:rPr>
          <w:rFonts w:cs="Tahoma"/>
          <w:sz w:val="20"/>
        </w:rPr>
        <w:t xml:space="preserve">The target years </w:t>
      </w:r>
      <w:r w:rsidR="00B818F9" w:rsidRPr="0068236B">
        <w:rPr>
          <w:rStyle w:val="tlid-translation"/>
          <w:rFonts w:cs="Tahoma"/>
          <w:sz w:val="20"/>
        </w:rPr>
        <w:t>to calculate these benefits were</w:t>
      </w:r>
      <w:r w:rsidR="00B818F9" w:rsidRPr="0068236B">
        <w:rPr>
          <w:rFonts w:cs="Tahoma"/>
          <w:sz w:val="20"/>
        </w:rPr>
        <w:t xml:space="preserve"> 2025, 2030 and 2040.</w:t>
      </w:r>
    </w:p>
    <w:p w14:paraId="0CF19438" w14:textId="77777777" w:rsidR="00582B7C" w:rsidRPr="0068236B" w:rsidRDefault="00B818F9" w:rsidP="00582B7C">
      <w:pPr>
        <w:overflowPunct w:val="0"/>
        <w:autoSpaceDE w:val="0"/>
        <w:autoSpaceDN w:val="0"/>
        <w:adjustRightInd w:val="0"/>
        <w:spacing w:after="0"/>
        <w:textAlignment w:val="baseline"/>
        <w:rPr>
          <w:rFonts w:cs="Tahoma"/>
          <w:iCs/>
          <w:sz w:val="18"/>
          <w:szCs w:val="18"/>
        </w:rPr>
      </w:pPr>
      <w:bookmarkStart w:id="115" w:name="_Toc71559832"/>
      <w:r w:rsidRPr="0068236B">
        <w:rPr>
          <w:rFonts w:cs="Tahoma"/>
          <w:iCs/>
          <w:noProof/>
          <w:sz w:val="18"/>
          <w:szCs w:val="18"/>
          <w:lang w:val="mk-MK" w:eastAsia="mk-MK"/>
        </w:rPr>
        <w:lastRenderedPageBreak/>
        <w:drawing>
          <wp:inline distT="0" distB="0" distL="0" distR="0" wp14:anchorId="5510050A" wp14:editId="629E2DFE">
            <wp:extent cx="5874385" cy="1470025"/>
            <wp:effectExtent l="57150" t="57150" r="50165" b="92075"/>
            <wp:docPr id="898" name="Diagram 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4" r:lo="rId65" r:qs="rId66" r:cs="rId67"/>
              </a:graphicData>
            </a:graphic>
          </wp:inline>
        </w:drawing>
      </w:r>
    </w:p>
    <w:p w14:paraId="2ACFD946" w14:textId="77777777" w:rsidR="00582B7C" w:rsidRPr="0068236B" w:rsidRDefault="00582B7C" w:rsidP="00582B7C">
      <w:pPr>
        <w:overflowPunct w:val="0"/>
        <w:autoSpaceDE w:val="0"/>
        <w:autoSpaceDN w:val="0"/>
        <w:adjustRightInd w:val="0"/>
        <w:spacing w:after="0"/>
        <w:textAlignment w:val="baseline"/>
        <w:rPr>
          <w:rFonts w:cs="Tahoma"/>
          <w:bCs/>
          <w:iCs/>
          <w:sz w:val="18"/>
          <w:szCs w:val="20"/>
        </w:rPr>
      </w:pPr>
      <w:bookmarkStart w:id="116" w:name="_Toc112928868"/>
      <w:r w:rsidRPr="0068236B">
        <w:rPr>
          <w:rFonts w:cs="Tahoma"/>
          <w:iCs/>
          <w:sz w:val="18"/>
          <w:szCs w:val="20"/>
        </w:rPr>
        <w:t xml:space="preserve">Figure </w:t>
      </w:r>
      <w:r w:rsidR="00377E43" w:rsidRPr="0068236B">
        <w:rPr>
          <w:rFonts w:cs="Tahoma"/>
          <w:iCs/>
          <w:sz w:val="18"/>
          <w:szCs w:val="20"/>
        </w:rPr>
        <w:fldChar w:fldCharType="begin"/>
      </w:r>
      <w:r w:rsidRPr="0068236B">
        <w:rPr>
          <w:rFonts w:cs="Tahoma"/>
          <w:iCs/>
          <w:sz w:val="18"/>
          <w:szCs w:val="20"/>
        </w:rPr>
        <w:instrText xml:space="preserve"> STYLEREF 1 \s </w:instrText>
      </w:r>
      <w:r w:rsidR="00377E43" w:rsidRPr="0068236B">
        <w:rPr>
          <w:rFonts w:cs="Tahoma"/>
          <w:iCs/>
          <w:sz w:val="18"/>
          <w:szCs w:val="20"/>
        </w:rPr>
        <w:fldChar w:fldCharType="separate"/>
      </w:r>
      <w:r w:rsidR="00234EBE" w:rsidRPr="0068236B">
        <w:rPr>
          <w:rFonts w:cs="Tahoma"/>
          <w:iCs/>
          <w:noProof/>
          <w:sz w:val="18"/>
          <w:szCs w:val="20"/>
        </w:rPr>
        <w:t>3</w:t>
      </w:r>
      <w:r w:rsidR="00377E43" w:rsidRPr="0068236B">
        <w:rPr>
          <w:rFonts w:cs="Tahoma"/>
          <w:iCs/>
          <w:sz w:val="18"/>
          <w:szCs w:val="20"/>
        </w:rPr>
        <w:fldChar w:fldCharType="end"/>
      </w:r>
      <w:r w:rsidRPr="0068236B">
        <w:rPr>
          <w:rFonts w:cs="Tahoma"/>
          <w:iCs/>
          <w:sz w:val="18"/>
          <w:szCs w:val="20"/>
        </w:rPr>
        <w:t>.</w:t>
      </w:r>
      <w:r w:rsidR="00377E43" w:rsidRPr="0068236B">
        <w:rPr>
          <w:rFonts w:cs="Tahoma"/>
          <w:iCs/>
          <w:sz w:val="18"/>
          <w:szCs w:val="20"/>
        </w:rPr>
        <w:fldChar w:fldCharType="begin"/>
      </w:r>
      <w:r w:rsidRPr="0068236B">
        <w:rPr>
          <w:rFonts w:cs="Tahoma"/>
          <w:iCs/>
          <w:sz w:val="18"/>
          <w:szCs w:val="20"/>
        </w:rPr>
        <w:instrText xml:space="preserve"> SEQ Figure \* ARABIC \s 1 </w:instrText>
      </w:r>
      <w:r w:rsidR="00377E43" w:rsidRPr="0068236B">
        <w:rPr>
          <w:rFonts w:cs="Tahoma"/>
          <w:iCs/>
          <w:sz w:val="18"/>
          <w:szCs w:val="20"/>
        </w:rPr>
        <w:fldChar w:fldCharType="separate"/>
      </w:r>
      <w:r w:rsidR="00234EBE" w:rsidRPr="0068236B">
        <w:rPr>
          <w:rFonts w:cs="Tahoma"/>
          <w:iCs/>
          <w:noProof/>
          <w:sz w:val="18"/>
          <w:szCs w:val="20"/>
        </w:rPr>
        <w:t>6</w:t>
      </w:r>
      <w:r w:rsidR="00377E43" w:rsidRPr="0068236B">
        <w:rPr>
          <w:rFonts w:cs="Tahoma"/>
          <w:iCs/>
          <w:sz w:val="18"/>
          <w:szCs w:val="20"/>
        </w:rPr>
        <w:fldChar w:fldCharType="end"/>
      </w:r>
      <w:r w:rsidR="006E2AC4" w:rsidRPr="0068236B">
        <w:rPr>
          <w:rFonts w:cs="Tahoma"/>
          <w:iCs/>
          <w:sz w:val="18"/>
          <w:szCs w:val="20"/>
        </w:rPr>
        <w:t>:</w:t>
      </w:r>
      <w:r w:rsidRPr="0068236B">
        <w:rPr>
          <w:rFonts w:cs="Tahoma"/>
          <w:iCs/>
          <w:sz w:val="18"/>
          <w:szCs w:val="20"/>
        </w:rPr>
        <w:t xml:space="preserve"> Key b</w:t>
      </w:r>
      <w:r w:rsidRPr="0068236B">
        <w:rPr>
          <w:rFonts w:cs="Tahoma"/>
          <w:bCs/>
          <w:iCs/>
          <w:sz w:val="18"/>
          <w:szCs w:val="20"/>
        </w:rPr>
        <w:t>enefit categories investigated in the network and market based assessment</w:t>
      </w:r>
      <w:bookmarkEnd w:id="115"/>
      <w:bookmarkEnd w:id="116"/>
    </w:p>
    <w:p w14:paraId="02CF1D5D" w14:textId="77777777" w:rsidR="00B818F9" w:rsidRPr="0068236B" w:rsidRDefault="00B818F9" w:rsidP="00B818F9">
      <w:pPr>
        <w:spacing w:before="60" w:after="240"/>
        <w:jc w:val="left"/>
        <w:rPr>
          <w:sz w:val="16"/>
          <w:szCs w:val="18"/>
        </w:rPr>
      </w:pPr>
      <w:r w:rsidRPr="0068236B">
        <w:rPr>
          <w:sz w:val="16"/>
          <w:szCs w:val="18"/>
        </w:rPr>
        <w:t xml:space="preserve">Source: </w:t>
      </w:r>
      <w:r w:rsidRPr="0068236B">
        <w:rPr>
          <w:rFonts w:cs="Tahoma"/>
          <w:sz w:val="16"/>
          <w:szCs w:val="18"/>
        </w:rPr>
        <w:t>WB21-MKD-ENE-03 North Macedonia, Strengthening the Transmission Network in the Southeast Region of North Macedonia - Component 1; Selection of the preferred Option, September 2021 [Ref.4]</w:t>
      </w:r>
    </w:p>
    <w:p w14:paraId="5EA61E79" w14:textId="77777777" w:rsidR="00582B7C" w:rsidRPr="0068236B" w:rsidRDefault="00582B7C" w:rsidP="00582B7C">
      <w:pPr>
        <w:rPr>
          <w:sz w:val="20"/>
        </w:rPr>
      </w:pPr>
      <w:r w:rsidRPr="0068236B">
        <w:rPr>
          <w:rFonts w:cs="Tahoma"/>
          <w:sz w:val="20"/>
        </w:rPr>
        <w:t>In addition, based on the preliminary technical assessment of the Project’s options</w:t>
      </w:r>
      <w:r w:rsidR="00B818F9" w:rsidRPr="0068236B">
        <w:rPr>
          <w:rFonts w:cs="Tahoma"/>
          <w:sz w:val="20"/>
        </w:rPr>
        <w:t xml:space="preserve"> and alternatives within the options</w:t>
      </w:r>
      <w:r w:rsidRPr="0068236B">
        <w:rPr>
          <w:rFonts w:cs="Tahoma"/>
          <w:sz w:val="20"/>
        </w:rPr>
        <w:t>, relevant project costs</w:t>
      </w:r>
      <w:r w:rsidRPr="0068236B">
        <w:rPr>
          <w:rStyle w:val="FootnoteReference"/>
          <w:rFonts w:cs="Tahoma"/>
          <w:sz w:val="20"/>
        </w:rPr>
        <w:footnoteReference w:id="48"/>
      </w:r>
      <w:r w:rsidRPr="0068236B">
        <w:rPr>
          <w:rFonts w:cs="Tahoma"/>
          <w:sz w:val="20"/>
        </w:rPr>
        <w:t xml:space="preserve"> (Figure below) have been provided and the respective </w:t>
      </w:r>
      <w:r w:rsidRPr="0068236B">
        <w:rPr>
          <w:sz w:val="20"/>
        </w:rPr>
        <w:t>economic benefit and cost element, i.e. the benefit/</w:t>
      </w:r>
      <w:r w:rsidR="00034269" w:rsidRPr="0068236B">
        <w:rPr>
          <w:sz w:val="20"/>
        </w:rPr>
        <w:t>cost ratio (Net Present Value - NPV</w:t>
      </w:r>
      <w:r w:rsidRPr="0068236B">
        <w:rPr>
          <w:sz w:val="20"/>
        </w:rPr>
        <w:t xml:space="preserve">) for each identified Project option has been calculated. </w:t>
      </w:r>
    </w:p>
    <w:p w14:paraId="25EBEFD0" w14:textId="77777777" w:rsidR="00582B7C" w:rsidRPr="0068236B" w:rsidRDefault="00582B7C" w:rsidP="00582B7C">
      <w:pPr>
        <w:overflowPunct w:val="0"/>
        <w:autoSpaceDE w:val="0"/>
        <w:autoSpaceDN w:val="0"/>
        <w:adjustRightInd w:val="0"/>
        <w:spacing w:after="0"/>
        <w:textAlignment w:val="baseline"/>
        <w:rPr>
          <w:rFonts w:cs="Tahoma"/>
          <w:iCs/>
          <w:sz w:val="18"/>
          <w:szCs w:val="18"/>
        </w:rPr>
      </w:pPr>
      <w:bookmarkStart w:id="117" w:name="_Toc71559833"/>
      <w:bookmarkStart w:id="118" w:name="_Toc112928869"/>
      <w:r w:rsidRPr="0068236B">
        <w:rPr>
          <w:rFonts w:cs="Tahoma"/>
          <w:iCs/>
          <w:noProof/>
          <w:sz w:val="18"/>
          <w:szCs w:val="18"/>
          <w:lang w:val="mk-MK" w:eastAsia="mk-MK"/>
        </w:rPr>
        <w:drawing>
          <wp:anchor distT="0" distB="0" distL="114300" distR="114300" simplePos="0" relativeHeight="251658242" behindDoc="0" locked="0" layoutInCell="1" allowOverlap="1" wp14:anchorId="69574F8C" wp14:editId="5593ABBD">
            <wp:simplePos x="0" y="0"/>
            <wp:positionH relativeFrom="column">
              <wp:posOffset>13335</wp:posOffset>
            </wp:positionH>
            <wp:positionV relativeFrom="paragraph">
              <wp:posOffset>156210</wp:posOffset>
            </wp:positionV>
            <wp:extent cx="4139565" cy="1079500"/>
            <wp:effectExtent l="19050" t="19050" r="13335" b="25400"/>
            <wp:wrapTopAndBottom/>
            <wp:docPr id="63"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9" cstate="email">
                      <a:extLst>
                        <a:ext uri="{28A0092B-C50C-407E-A947-70E740481C1C}">
                          <a14:useLocalDpi xmlns:a14="http://schemas.microsoft.com/office/drawing/2010/main" val="0"/>
                        </a:ext>
                      </a:extLst>
                    </a:blip>
                    <a:srcRect/>
                    <a:stretch>
                      <a:fillRect/>
                    </a:stretch>
                  </pic:blipFill>
                  <pic:spPr bwMode="auto">
                    <a:xfrm>
                      <a:off x="0" y="0"/>
                      <a:ext cx="4139565" cy="1079500"/>
                    </a:xfrm>
                    <a:prstGeom prst="rect">
                      <a:avLst/>
                    </a:prstGeom>
                    <a:noFill/>
                    <a:ln w="3175" cmpd="sng">
                      <a:solidFill>
                        <a:srgbClr val="000000"/>
                      </a:solidFill>
                      <a:miter lim="800000"/>
                      <a:headEnd/>
                      <a:tailEnd/>
                    </a:ln>
                  </pic:spPr>
                </pic:pic>
              </a:graphicData>
            </a:graphic>
          </wp:anchor>
        </w:drawing>
      </w:r>
      <w:r w:rsidRPr="0068236B">
        <w:rPr>
          <w:rFonts w:cs="Tahoma"/>
          <w:iCs/>
          <w:sz w:val="18"/>
          <w:szCs w:val="18"/>
        </w:rPr>
        <w:t xml:space="preserve">Figure </w:t>
      </w:r>
      <w:r w:rsidR="00377E43" w:rsidRPr="0068236B">
        <w:rPr>
          <w:rFonts w:cs="Tahoma"/>
          <w:iCs/>
          <w:sz w:val="18"/>
          <w:szCs w:val="18"/>
        </w:rPr>
        <w:fldChar w:fldCharType="begin"/>
      </w:r>
      <w:r w:rsidRPr="0068236B">
        <w:rPr>
          <w:rFonts w:cs="Tahoma"/>
          <w:iCs/>
          <w:sz w:val="18"/>
          <w:szCs w:val="18"/>
        </w:rPr>
        <w:instrText xml:space="preserve"> STYLEREF 1 \s </w:instrText>
      </w:r>
      <w:r w:rsidR="00377E43" w:rsidRPr="0068236B">
        <w:rPr>
          <w:rFonts w:cs="Tahoma"/>
          <w:iCs/>
          <w:sz w:val="18"/>
          <w:szCs w:val="18"/>
        </w:rPr>
        <w:fldChar w:fldCharType="separate"/>
      </w:r>
      <w:r w:rsidR="00234EBE" w:rsidRPr="0068236B">
        <w:rPr>
          <w:rFonts w:cs="Tahoma"/>
          <w:iCs/>
          <w:noProof/>
          <w:sz w:val="18"/>
          <w:szCs w:val="18"/>
        </w:rPr>
        <w:t>3</w:t>
      </w:r>
      <w:r w:rsidR="00377E43" w:rsidRPr="0068236B">
        <w:rPr>
          <w:rFonts w:cs="Tahoma"/>
          <w:iCs/>
          <w:sz w:val="18"/>
          <w:szCs w:val="18"/>
        </w:rPr>
        <w:fldChar w:fldCharType="end"/>
      </w:r>
      <w:r w:rsidRPr="0068236B">
        <w:rPr>
          <w:rFonts w:cs="Tahoma"/>
          <w:iCs/>
          <w:sz w:val="18"/>
          <w:szCs w:val="18"/>
        </w:rPr>
        <w:t>.</w:t>
      </w:r>
      <w:r w:rsidR="00377E43" w:rsidRPr="0068236B">
        <w:rPr>
          <w:rFonts w:cs="Tahoma"/>
          <w:iCs/>
          <w:sz w:val="18"/>
          <w:szCs w:val="18"/>
        </w:rPr>
        <w:fldChar w:fldCharType="begin"/>
      </w:r>
      <w:r w:rsidRPr="0068236B">
        <w:rPr>
          <w:rFonts w:cs="Tahoma"/>
          <w:iCs/>
          <w:sz w:val="18"/>
          <w:szCs w:val="18"/>
        </w:rPr>
        <w:instrText xml:space="preserve"> SEQ Figure \* ARABIC \s 1 </w:instrText>
      </w:r>
      <w:r w:rsidR="00377E43" w:rsidRPr="0068236B">
        <w:rPr>
          <w:rFonts w:cs="Tahoma"/>
          <w:iCs/>
          <w:sz w:val="18"/>
          <w:szCs w:val="18"/>
        </w:rPr>
        <w:fldChar w:fldCharType="separate"/>
      </w:r>
      <w:r w:rsidR="00234EBE" w:rsidRPr="0068236B">
        <w:rPr>
          <w:rFonts w:cs="Tahoma"/>
          <w:iCs/>
          <w:noProof/>
          <w:sz w:val="18"/>
          <w:szCs w:val="18"/>
        </w:rPr>
        <w:t>7</w:t>
      </w:r>
      <w:r w:rsidR="00377E43" w:rsidRPr="0068236B">
        <w:rPr>
          <w:rFonts w:cs="Tahoma"/>
          <w:iCs/>
          <w:sz w:val="18"/>
          <w:szCs w:val="18"/>
        </w:rPr>
        <w:fldChar w:fldCharType="end"/>
      </w:r>
      <w:r w:rsidR="006E2AC4" w:rsidRPr="0068236B">
        <w:rPr>
          <w:rFonts w:cs="Tahoma"/>
          <w:iCs/>
          <w:sz w:val="18"/>
          <w:szCs w:val="18"/>
        </w:rPr>
        <w:t xml:space="preserve">: </w:t>
      </w:r>
      <w:r w:rsidRPr="0068236B">
        <w:rPr>
          <w:rFonts w:cs="Tahoma"/>
          <w:iCs/>
          <w:sz w:val="18"/>
          <w:szCs w:val="18"/>
        </w:rPr>
        <w:t>Costs categories investigated in the economic assessment</w:t>
      </w:r>
      <w:bookmarkEnd w:id="117"/>
      <w:bookmarkEnd w:id="118"/>
    </w:p>
    <w:p w14:paraId="675BBF99" w14:textId="77777777" w:rsidR="00582B7C" w:rsidRPr="0068236B" w:rsidRDefault="00582B7C" w:rsidP="00582B7C">
      <w:pPr>
        <w:spacing w:before="60" w:after="240"/>
        <w:jc w:val="left"/>
        <w:rPr>
          <w:sz w:val="16"/>
          <w:szCs w:val="18"/>
        </w:rPr>
      </w:pPr>
      <w:r w:rsidRPr="0068236B">
        <w:rPr>
          <w:sz w:val="16"/>
          <w:szCs w:val="18"/>
        </w:rPr>
        <w:t xml:space="preserve">Source: </w:t>
      </w:r>
      <w:r w:rsidRPr="0068236B">
        <w:rPr>
          <w:rFonts w:cs="Tahoma"/>
          <w:sz w:val="16"/>
          <w:szCs w:val="18"/>
        </w:rPr>
        <w:t>WB21-MKD-ENE-03 North Macedonia, Strengthening the Transmission Network in the Southeast Region of North Macedoni</w:t>
      </w:r>
      <w:r w:rsidR="00B818F9" w:rsidRPr="0068236B">
        <w:rPr>
          <w:rFonts w:cs="Tahoma"/>
          <w:sz w:val="16"/>
          <w:szCs w:val="18"/>
        </w:rPr>
        <w:t>a - Component 1</w:t>
      </w:r>
      <w:r w:rsidRPr="0068236B">
        <w:rPr>
          <w:rFonts w:cs="Tahoma"/>
          <w:sz w:val="16"/>
          <w:szCs w:val="18"/>
        </w:rPr>
        <w:t>; Selection of the preferred Option, September 2021 [Ref.4]</w:t>
      </w:r>
    </w:p>
    <w:p w14:paraId="45D243E6" w14:textId="77777777" w:rsidR="00582B7C" w:rsidRPr="0068236B" w:rsidRDefault="00582B7C" w:rsidP="00582B7C">
      <w:pPr>
        <w:rPr>
          <w:rFonts w:cs="Tahoma"/>
          <w:sz w:val="20"/>
        </w:rPr>
      </w:pPr>
      <w:r w:rsidRPr="0068236B">
        <w:rPr>
          <w:sz w:val="20"/>
        </w:rPr>
        <w:t>This e</w:t>
      </w:r>
      <w:r w:rsidRPr="0068236B">
        <w:rPr>
          <w:rFonts w:cs="Tahoma"/>
          <w:sz w:val="20"/>
        </w:rPr>
        <w:t>conomic assessment includes a comparison of costs and benefits that the Project would cause to the society, in order to assess its economic viability and the final effect on the economy of the country and the region as a whole.</w:t>
      </w:r>
    </w:p>
    <w:p w14:paraId="2E8396F0" w14:textId="77777777" w:rsidR="001E017C" w:rsidRPr="0068236B" w:rsidRDefault="00ED0757" w:rsidP="001E017C">
      <w:pPr>
        <w:ind w:left="1440" w:firstLine="720"/>
        <w:rPr>
          <w:rFonts w:cs="Tahoma"/>
          <w:sz w:val="20"/>
        </w:rPr>
      </w:pPr>
      <w:r w:rsidRPr="0068236B">
        <w:rPr>
          <w:rFonts w:cs="Tahoma"/>
          <w:sz w:val="20"/>
        </w:rPr>
        <w:t xml:space="preserve">Key Findings and </w:t>
      </w:r>
      <w:r w:rsidR="001E017C" w:rsidRPr="0068236B">
        <w:rPr>
          <w:rFonts w:cs="Tahoma"/>
          <w:sz w:val="20"/>
        </w:rPr>
        <w:t>Conclusions</w:t>
      </w:r>
    </w:p>
    <w:p w14:paraId="09423A80" w14:textId="77777777" w:rsidR="001E017C" w:rsidRPr="0068236B" w:rsidRDefault="001E017C" w:rsidP="00E34BEF">
      <w:pPr>
        <w:rPr>
          <w:rFonts w:cs="Arial"/>
          <w:sz w:val="20"/>
          <w:szCs w:val="20"/>
        </w:rPr>
      </w:pPr>
      <w:r w:rsidRPr="0068236B">
        <w:rPr>
          <w:rFonts w:cs="Arial"/>
          <w:sz w:val="20"/>
          <w:szCs w:val="20"/>
        </w:rPr>
        <w:t xml:space="preserve">The Project’s </w:t>
      </w:r>
      <w:r w:rsidRPr="0068236B">
        <w:rPr>
          <w:sz w:val="20"/>
          <w:lang w:bidi="en-US"/>
        </w:rPr>
        <w:t>network and market based assessment has indicated the following key conclusions [Ref.4]:</w:t>
      </w:r>
    </w:p>
    <w:p w14:paraId="4CCAF4A6" w14:textId="6AAC4499" w:rsidR="00850427" w:rsidRPr="0068236B" w:rsidRDefault="00E34BEF" w:rsidP="00D24CEF">
      <w:pPr>
        <w:pStyle w:val="ListBullet"/>
        <w:numPr>
          <w:ilvl w:val="0"/>
          <w:numId w:val="98"/>
        </w:numPr>
        <w:jc w:val="left"/>
        <w:rPr>
          <w:sz w:val="20"/>
        </w:rPr>
      </w:pPr>
      <w:r w:rsidRPr="0068236B">
        <w:rPr>
          <w:sz w:val="20"/>
        </w:rPr>
        <w:t xml:space="preserve">The results of the analyses have shown that in 2025 there are no particular benefits from any of the identified options. </w:t>
      </w:r>
      <w:r w:rsidRPr="0068236B">
        <w:rPr>
          <w:rFonts w:cs="Tahoma"/>
          <w:sz w:val="20"/>
          <w:szCs w:val="20"/>
        </w:rPr>
        <w:t>Social Economic Welfare</w:t>
      </w:r>
      <w:r w:rsidRPr="0068236B">
        <w:rPr>
          <w:sz w:val="20"/>
        </w:rPr>
        <w:t xml:space="preserve"> (SEW)</w:t>
      </w:r>
      <w:r w:rsidR="000F2E34" w:rsidRPr="0068236B">
        <w:rPr>
          <w:rStyle w:val="FootnoteReference"/>
          <w:sz w:val="20"/>
        </w:rPr>
        <w:footnoteReference w:id="49"/>
      </w:r>
      <w:r w:rsidRPr="0068236B">
        <w:rPr>
          <w:sz w:val="20"/>
        </w:rPr>
        <w:t xml:space="preserve"> is negative for all three options, while the losses are even decreased in Option 1. </w:t>
      </w:r>
    </w:p>
    <w:p w14:paraId="21186E55" w14:textId="77777777" w:rsidR="00E34BEF" w:rsidRPr="0068236B" w:rsidRDefault="00E34BEF" w:rsidP="00D24CEF">
      <w:pPr>
        <w:pStyle w:val="ListBullet"/>
        <w:numPr>
          <w:ilvl w:val="0"/>
          <w:numId w:val="98"/>
        </w:numPr>
        <w:jc w:val="left"/>
        <w:rPr>
          <w:sz w:val="20"/>
        </w:rPr>
      </w:pPr>
      <w:r w:rsidRPr="0068236B">
        <w:rPr>
          <w:sz w:val="20"/>
        </w:rPr>
        <w:t>All identified options increase Change of Evacuation Capacity (GTC) and provide sufficient r</w:t>
      </w:r>
      <w:r w:rsidRPr="0068236B">
        <w:rPr>
          <w:sz w:val="20"/>
        </w:rPr>
        <w:t>e</w:t>
      </w:r>
      <w:r w:rsidRPr="0068236B">
        <w:rPr>
          <w:sz w:val="20"/>
        </w:rPr>
        <w:t>serve for installation of additional production capacities in South-East region of Macedonian transmission system.</w:t>
      </w:r>
      <w:r w:rsidR="00850427" w:rsidRPr="0068236B">
        <w:rPr>
          <w:sz w:val="20"/>
        </w:rPr>
        <w:t xml:space="preserve"> Option 2 and Option 3 are in a favour to Option 1 related to GTC increase, </w:t>
      </w:r>
      <w:r w:rsidR="00850427" w:rsidRPr="0068236B">
        <w:rPr>
          <w:sz w:val="20"/>
        </w:rPr>
        <w:lastRenderedPageBreak/>
        <w:t>which means those two options facilitate additional penetration of renewable energy sources in the Project region.</w:t>
      </w:r>
    </w:p>
    <w:p w14:paraId="414D672E" w14:textId="77777777" w:rsidR="00E34BEF" w:rsidRPr="0068236B" w:rsidRDefault="00E34BEF" w:rsidP="00D24CEF">
      <w:pPr>
        <w:pStyle w:val="ListBullet"/>
        <w:numPr>
          <w:ilvl w:val="0"/>
          <w:numId w:val="98"/>
        </w:numPr>
        <w:jc w:val="left"/>
        <w:rPr>
          <w:sz w:val="20"/>
        </w:rPr>
      </w:pPr>
      <w:r w:rsidRPr="0068236B">
        <w:rPr>
          <w:sz w:val="20"/>
        </w:rPr>
        <w:t xml:space="preserve">The main benefits from realisation of the Project would start from 2030, so any of these three options is advised to be realised. </w:t>
      </w:r>
    </w:p>
    <w:p w14:paraId="517C214F" w14:textId="0A93D33F" w:rsidR="001E017C" w:rsidRPr="0068236B" w:rsidRDefault="00E34BEF" w:rsidP="00D24CEF">
      <w:pPr>
        <w:pStyle w:val="ListBullet"/>
        <w:numPr>
          <w:ilvl w:val="0"/>
          <w:numId w:val="98"/>
        </w:numPr>
        <w:jc w:val="left"/>
        <w:rPr>
          <w:sz w:val="20"/>
        </w:rPr>
      </w:pPr>
      <w:r w:rsidRPr="0068236B">
        <w:rPr>
          <w:sz w:val="20"/>
        </w:rPr>
        <w:t>Regarding the CO</w:t>
      </w:r>
      <w:r w:rsidRPr="0068236B">
        <w:rPr>
          <w:sz w:val="20"/>
          <w:vertAlign w:val="subscript"/>
        </w:rPr>
        <w:t>2</w:t>
      </w:r>
      <w:r w:rsidRPr="0068236B">
        <w:rPr>
          <w:sz w:val="20"/>
        </w:rPr>
        <w:t xml:space="preserve"> emission reduction, Option 2 provides the best results, decreasing the emi</w:t>
      </w:r>
      <w:r w:rsidRPr="0068236B">
        <w:rPr>
          <w:sz w:val="20"/>
        </w:rPr>
        <w:t>s</w:t>
      </w:r>
      <w:r w:rsidRPr="0068236B">
        <w:rPr>
          <w:sz w:val="20"/>
        </w:rPr>
        <w:t>sion up to 5,200 t in 2030 and 31,000 t in 2025, while in 2030 the Option 3 brings the max</w:t>
      </w:r>
      <w:r w:rsidRPr="0068236B">
        <w:rPr>
          <w:sz w:val="20"/>
        </w:rPr>
        <w:t>i</w:t>
      </w:r>
      <w:r w:rsidRPr="0068236B">
        <w:rPr>
          <w:sz w:val="20"/>
        </w:rPr>
        <w:t>mum of CO2 emissions reduction, by 4,700 t.</w:t>
      </w:r>
      <w:r w:rsidR="00076E65" w:rsidRPr="0068236B">
        <w:rPr>
          <w:sz w:val="20"/>
        </w:rPr>
        <w:t xml:space="preserve"> This calculation </w:t>
      </w:r>
      <w:r w:rsidR="002A3A1C" w:rsidRPr="0068236B">
        <w:rPr>
          <w:sz w:val="20"/>
        </w:rPr>
        <w:t>is based on RES integration (u</w:t>
      </w:r>
      <w:r w:rsidR="002A3A1C" w:rsidRPr="0068236B">
        <w:rPr>
          <w:sz w:val="20"/>
        </w:rPr>
        <w:t>n</w:t>
      </w:r>
      <w:r w:rsidR="002A3A1C" w:rsidRPr="0068236B">
        <w:rPr>
          <w:sz w:val="20"/>
        </w:rPr>
        <w:t>lock of generation with lower carbon content), defined as the ability of the system to allow the connection of new RES plants and unlock existing and future “green” generation, while minimi</w:t>
      </w:r>
      <w:r w:rsidR="002A3A1C" w:rsidRPr="0068236B">
        <w:rPr>
          <w:sz w:val="20"/>
        </w:rPr>
        <w:t>z</w:t>
      </w:r>
      <w:r w:rsidR="004B0E9E" w:rsidRPr="0068236B">
        <w:rPr>
          <w:sz w:val="20"/>
        </w:rPr>
        <w:t>ing curtailments [Ref.4</w:t>
      </w:r>
      <w:r w:rsidR="002A3A1C" w:rsidRPr="0068236B">
        <w:rPr>
          <w:sz w:val="20"/>
        </w:rPr>
        <w:t>].</w:t>
      </w:r>
    </w:p>
    <w:p w14:paraId="2216A61F" w14:textId="77777777" w:rsidR="00850427" w:rsidRPr="0068236B" w:rsidRDefault="001E017C" w:rsidP="00850427">
      <w:pPr>
        <w:pStyle w:val="ListBullet"/>
        <w:numPr>
          <w:ilvl w:val="0"/>
          <w:numId w:val="0"/>
        </w:numPr>
        <w:spacing w:before="120" w:after="120"/>
        <w:rPr>
          <w:rFonts w:cs="Tahoma"/>
          <w:sz w:val="20"/>
        </w:rPr>
      </w:pPr>
      <w:r w:rsidRPr="0068236B">
        <w:rPr>
          <w:rFonts w:cs="Tahoma"/>
          <w:sz w:val="20"/>
        </w:rPr>
        <w:t xml:space="preserve">Based on these considerations, the </w:t>
      </w:r>
      <w:r w:rsidR="00261649" w:rsidRPr="0068236B">
        <w:rPr>
          <w:rFonts w:cs="Tahoma"/>
          <w:sz w:val="20"/>
        </w:rPr>
        <w:t xml:space="preserve">assessment recommends the </w:t>
      </w:r>
      <w:r w:rsidR="00850427" w:rsidRPr="0068236B">
        <w:rPr>
          <w:rFonts w:cs="Tahoma"/>
          <w:sz w:val="20"/>
        </w:rPr>
        <w:t xml:space="preserve">Option 2 </w:t>
      </w:r>
      <w:r w:rsidRPr="0068236B">
        <w:rPr>
          <w:rFonts w:cs="Tahoma"/>
          <w:sz w:val="20"/>
        </w:rPr>
        <w:t xml:space="preserve">as </w:t>
      </w:r>
      <w:r w:rsidR="00850427" w:rsidRPr="0068236B">
        <w:rPr>
          <w:rFonts w:cs="Tahoma"/>
          <w:sz w:val="20"/>
        </w:rPr>
        <w:t>preferable one from the redu</w:t>
      </w:r>
      <w:r w:rsidR="00850427" w:rsidRPr="0068236B">
        <w:rPr>
          <w:rFonts w:cs="Tahoma"/>
          <w:sz w:val="20"/>
        </w:rPr>
        <w:t>c</w:t>
      </w:r>
      <w:r w:rsidR="00850427" w:rsidRPr="0068236B">
        <w:rPr>
          <w:rFonts w:cs="Tahoma"/>
          <w:sz w:val="20"/>
        </w:rPr>
        <w:t>tion of energy curtailed from renewable energy sources in the Project region, from the biggest losses redu</w:t>
      </w:r>
      <w:r w:rsidR="00850427" w:rsidRPr="0068236B">
        <w:rPr>
          <w:rFonts w:cs="Tahoma"/>
          <w:sz w:val="20"/>
        </w:rPr>
        <w:t>c</w:t>
      </w:r>
      <w:r w:rsidR="00850427" w:rsidRPr="0068236B">
        <w:rPr>
          <w:rFonts w:cs="Tahoma"/>
          <w:sz w:val="20"/>
        </w:rPr>
        <w:t>tion, and increase of additional capacity reserve in the region.</w:t>
      </w:r>
    </w:p>
    <w:p w14:paraId="59EFC59B" w14:textId="77777777" w:rsidR="00850427" w:rsidRPr="0068236B" w:rsidRDefault="00850427" w:rsidP="00850427">
      <w:pPr>
        <w:pStyle w:val="ListBullet"/>
        <w:numPr>
          <w:ilvl w:val="0"/>
          <w:numId w:val="0"/>
        </w:numPr>
        <w:spacing w:before="120" w:after="120"/>
        <w:rPr>
          <w:rFonts w:cs="Tahoma"/>
          <w:sz w:val="20"/>
        </w:rPr>
      </w:pPr>
      <w:r w:rsidRPr="0068236B">
        <w:rPr>
          <w:rFonts w:cs="Tahoma"/>
          <w:sz w:val="20"/>
        </w:rPr>
        <w:t>This assessment concludes that the upgrade of the existing network in the Project region is necessary to support integration of the renewable energy sources and increase of Macedonian social-economic welfare.</w:t>
      </w:r>
    </w:p>
    <w:p w14:paraId="5E7CBD0C" w14:textId="77777777" w:rsidR="001E017C" w:rsidRPr="0068236B" w:rsidRDefault="001E017C" w:rsidP="001E017C">
      <w:pPr>
        <w:spacing w:before="0" w:after="200"/>
        <w:ind w:left="720" w:firstLine="720"/>
        <w:jc w:val="left"/>
        <w:rPr>
          <w:rFonts w:cs="Arial"/>
          <w:sz w:val="20"/>
          <w:szCs w:val="20"/>
          <w:u w:val="single"/>
        </w:rPr>
      </w:pPr>
      <w:r w:rsidRPr="0068236B">
        <w:rPr>
          <w:sz w:val="20"/>
          <w:u w:val="single"/>
          <w:lang w:bidi="en-US"/>
        </w:rPr>
        <w:t>Technical Appraisal</w:t>
      </w:r>
    </w:p>
    <w:p w14:paraId="726D6B38" w14:textId="77777777" w:rsidR="00447D30" w:rsidRPr="0068236B" w:rsidRDefault="00447D30" w:rsidP="00447D30">
      <w:pPr>
        <w:ind w:left="1440" w:firstLine="720"/>
        <w:rPr>
          <w:rFonts w:cs="Arial"/>
          <w:sz w:val="20"/>
          <w:szCs w:val="20"/>
          <w:u w:val="single"/>
        </w:rPr>
      </w:pPr>
      <w:r w:rsidRPr="0068236B">
        <w:rPr>
          <w:rFonts w:cs="Tahoma"/>
          <w:sz w:val="20"/>
        </w:rPr>
        <w:t>Methodology</w:t>
      </w:r>
    </w:p>
    <w:p w14:paraId="6AB738D4" w14:textId="77777777" w:rsidR="00447D30" w:rsidRPr="0068236B" w:rsidRDefault="00447D30" w:rsidP="00447D30">
      <w:pPr>
        <w:rPr>
          <w:sz w:val="20"/>
        </w:rPr>
      </w:pPr>
      <w:r w:rsidRPr="0068236B">
        <w:rPr>
          <w:sz w:val="20"/>
        </w:rPr>
        <w:t>The identified Project options and alternatives within the options have been preliminary assessed against set of technical criteria, comprising a number of design and engineering factors relevant for comparison of the options:</w:t>
      </w:r>
    </w:p>
    <w:p w14:paraId="120C1607" w14:textId="607A913D" w:rsidR="00447D30" w:rsidRPr="0068236B" w:rsidRDefault="00447D30" w:rsidP="00D24CEF">
      <w:pPr>
        <w:pStyle w:val="ListBullet"/>
        <w:numPr>
          <w:ilvl w:val="0"/>
          <w:numId w:val="99"/>
        </w:numPr>
        <w:spacing w:before="120" w:after="120"/>
        <w:jc w:val="left"/>
        <w:rPr>
          <w:rFonts w:cs="Tahoma"/>
          <w:sz w:val="20"/>
        </w:rPr>
      </w:pPr>
      <w:r w:rsidRPr="0068236B">
        <w:rPr>
          <w:rFonts w:cs="Arial"/>
          <w:sz w:val="20"/>
          <w:szCs w:val="20"/>
        </w:rPr>
        <w:t>Terrain conditions and topography for the new 400/110 kV substation and the corridors for the</w:t>
      </w:r>
      <w:r w:rsidR="00562E86" w:rsidRPr="0068236B">
        <w:rPr>
          <w:rFonts w:cs="Arial"/>
          <w:sz w:val="20"/>
          <w:szCs w:val="20"/>
        </w:rPr>
        <w:t xml:space="preserve"> </w:t>
      </w:r>
      <w:r w:rsidRPr="0068236B">
        <w:rPr>
          <w:rFonts w:cs="Arial"/>
          <w:sz w:val="20"/>
          <w:szCs w:val="20"/>
        </w:rPr>
        <w:t>new overhead lines;</w:t>
      </w:r>
    </w:p>
    <w:p w14:paraId="74B5CB6E" w14:textId="77777777" w:rsidR="00447D30" w:rsidRPr="0068236B" w:rsidRDefault="00447D30" w:rsidP="00D24CEF">
      <w:pPr>
        <w:pStyle w:val="ListBullet"/>
        <w:numPr>
          <w:ilvl w:val="0"/>
          <w:numId w:val="99"/>
        </w:numPr>
        <w:spacing w:before="120" w:after="120"/>
        <w:jc w:val="left"/>
        <w:rPr>
          <w:rFonts w:cs="Tahoma"/>
          <w:sz w:val="20"/>
        </w:rPr>
      </w:pPr>
      <w:r w:rsidRPr="0068236B">
        <w:rPr>
          <w:rFonts w:cs="Arial"/>
          <w:sz w:val="20"/>
        </w:rPr>
        <w:t>Availability of free OHL corridors for new connections of renewable energy sources</w:t>
      </w:r>
    </w:p>
    <w:p w14:paraId="7D4A2056" w14:textId="77777777" w:rsidR="00447D30" w:rsidRPr="0068236B" w:rsidRDefault="00447D30" w:rsidP="00D24CEF">
      <w:pPr>
        <w:pStyle w:val="ListBullet"/>
        <w:numPr>
          <w:ilvl w:val="0"/>
          <w:numId w:val="99"/>
        </w:numPr>
        <w:spacing w:before="120" w:after="120"/>
        <w:jc w:val="left"/>
        <w:rPr>
          <w:rFonts w:cs="Tahoma"/>
          <w:sz w:val="20"/>
        </w:rPr>
      </w:pPr>
      <w:r w:rsidRPr="0068236B">
        <w:rPr>
          <w:rFonts w:cs="Arial"/>
          <w:sz w:val="20"/>
          <w:szCs w:val="20"/>
        </w:rPr>
        <w:t>Land availability for the new 400/110 kV substation;</w:t>
      </w:r>
    </w:p>
    <w:p w14:paraId="1FC77A4E" w14:textId="259347CF" w:rsidR="00447D30" w:rsidRPr="0068236B" w:rsidRDefault="00447D30" w:rsidP="00D24CEF">
      <w:pPr>
        <w:pStyle w:val="ListBullet"/>
        <w:numPr>
          <w:ilvl w:val="0"/>
          <w:numId w:val="99"/>
        </w:numPr>
        <w:spacing w:before="120" w:after="120"/>
        <w:jc w:val="left"/>
        <w:rPr>
          <w:rFonts w:cs="Tahoma"/>
          <w:sz w:val="20"/>
        </w:rPr>
      </w:pPr>
      <w:r w:rsidRPr="0068236B">
        <w:rPr>
          <w:rFonts w:cs="Arial"/>
          <w:sz w:val="20"/>
          <w:szCs w:val="20"/>
        </w:rPr>
        <w:t xml:space="preserve">Required </w:t>
      </w:r>
      <w:r w:rsidR="00873406" w:rsidRPr="0068236B">
        <w:rPr>
          <w:rFonts w:cs="Arial"/>
          <w:sz w:val="20"/>
          <w:szCs w:val="20"/>
        </w:rPr>
        <w:t>reconstruction</w:t>
      </w:r>
      <w:r w:rsidR="00562E86" w:rsidRPr="0068236B">
        <w:rPr>
          <w:rFonts w:cs="Arial"/>
          <w:sz w:val="20"/>
          <w:szCs w:val="20"/>
        </w:rPr>
        <w:t xml:space="preserve"> </w:t>
      </w:r>
      <w:r w:rsidR="00873406" w:rsidRPr="0068236B">
        <w:rPr>
          <w:rFonts w:cs="Arial"/>
          <w:sz w:val="20"/>
          <w:szCs w:val="20"/>
        </w:rPr>
        <w:t xml:space="preserve">/ </w:t>
      </w:r>
      <w:r w:rsidRPr="0068236B">
        <w:rPr>
          <w:rFonts w:cs="Arial"/>
          <w:sz w:val="20"/>
          <w:szCs w:val="20"/>
        </w:rPr>
        <w:t>upgrade of existing transmission assets (line and substations)</w:t>
      </w:r>
    </w:p>
    <w:p w14:paraId="42ABCDF0" w14:textId="77777777" w:rsidR="00447D30" w:rsidRPr="0068236B" w:rsidRDefault="00447D30" w:rsidP="00D24CEF">
      <w:pPr>
        <w:pStyle w:val="ListBullet"/>
        <w:numPr>
          <w:ilvl w:val="0"/>
          <w:numId w:val="99"/>
        </w:numPr>
        <w:spacing w:before="120" w:after="120"/>
        <w:jc w:val="left"/>
        <w:rPr>
          <w:rFonts w:cs="Tahoma"/>
          <w:sz w:val="20"/>
        </w:rPr>
      </w:pPr>
      <w:r w:rsidRPr="0068236B">
        <w:rPr>
          <w:rFonts w:cs="Arial"/>
          <w:sz w:val="20"/>
          <w:szCs w:val="20"/>
        </w:rPr>
        <w:t>Climate parameters for the new transmission infrastructure;</w:t>
      </w:r>
    </w:p>
    <w:p w14:paraId="54085497" w14:textId="77777777" w:rsidR="00447D30" w:rsidRPr="0068236B" w:rsidRDefault="00ED0757" w:rsidP="00447D30">
      <w:pPr>
        <w:ind w:left="1440" w:firstLine="720"/>
        <w:rPr>
          <w:rFonts w:cs="Tahoma"/>
          <w:sz w:val="20"/>
        </w:rPr>
      </w:pPr>
      <w:r w:rsidRPr="0068236B">
        <w:rPr>
          <w:rFonts w:cs="Tahoma"/>
          <w:sz w:val="20"/>
        </w:rPr>
        <w:t xml:space="preserve">Key Findings and </w:t>
      </w:r>
      <w:r w:rsidR="00447D30" w:rsidRPr="0068236B">
        <w:rPr>
          <w:rFonts w:cs="Tahoma"/>
          <w:sz w:val="20"/>
        </w:rPr>
        <w:t>Conclusions</w:t>
      </w:r>
    </w:p>
    <w:p w14:paraId="5EA20DFA" w14:textId="77777777" w:rsidR="00447D30" w:rsidRPr="0068236B" w:rsidRDefault="00447D30" w:rsidP="00447D30">
      <w:pPr>
        <w:spacing w:before="0" w:after="0" w:line="240" w:lineRule="auto"/>
        <w:rPr>
          <w:rFonts w:cs="Arial"/>
          <w:sz w:val="20"/>
          <w:szCs w:val="20"/>
        </w:rPr>
      </w:pPr>
      <w:r w:rsidRPr="0068236B">
        <w:rPr>
          <w:rFonts w:cs="Arial"/>
          <w:sz w:val="20"/>
          <w:szCs w:val="20"/>
        </w:rPr>
        <w:t xml:space="preserve">The Project’s technical </w:t>
      </w:r>
      <w:r w:rsidRPr="0068236B">
        <w:rPr>
          <w:sz w:val="20"/>
          <w:lang w:bidi="en-US"/>
        </w:rPr>
        <w:t>assessment has indicated the following key conclusions [Ref.4]:</w:t>
      </w:r>
    </w:p>
    <w:p w14:paraId="09FF29F5" w14:textId="77777777" w:rsidR="00447D30" w:rsidRPr="0068236B" w:rsidRDefault="00447D30" w:rsidP="00D24CEF">
      <w:pPr>
        <w:pStyle w:val="ListBullet"/>
        <w:numPr>
          <w:ilvl w:val="0"/>
          <w:numId w:val="100"/>
        </w:numPr>
        <w:spacing w:before="120" w:after="120"/>
        <w:jc w:val="left"/>
        <w:rPr>
          <w:rFonts w:cs="Tahoma"/>
          <w:sz w:val="20"/>
        </w:rPr>
      </w:pPr>
      <w:r w:rsidRPr="0068236B">
        <w:rPr>
          <w:rFonts w:cs="Tahoma"/>
          <w:sz w:val="20"/>
        </w:rPr>
        <w:t xml:space="preserve">Project Option 1 </w:t>
      </w:r>
      <w:r w:rsidRPr="0068236B">
        <w:rPr>
          <w:sz w:val="20"/>
        </w:rPr>
        <w:t>requires construction of a new 2x110 kV line (either 41 km or 55 km), which from the previous experience with the construction of this type of facilities would require signif</w:t>
      </w:r>
      <w:r w:rsidRPr="0068236B">
        <w:rPr>
          <w:sz w:val="20"/>
        </w:rPr>
        <w:t>i</w:t>
      </w:r>
      <w:r w:rsidRPr="0068236B">
        <w:rPr>
          <w:sz w:val="20"/>
        </w:rPr>
        <w:t>cant efforts. In addition, a larger reconstruction/expansion of the existing SS Valandovo is needed (due to the connection of new RES) which will cause continuous operational challenges at the substation.</w:t>
      </w:r>
    </w:p>
    <w:p w14:paraId="1CF95254" w14:textId="77777777" w:rsidR="00447D30" w:rsidRPr="0068236B" w:rsidRDefault="00447D30" w:rsidP="00D24CEF">
      <w:pPr>
        <w:pStyle w:val="ListBullet"/>
        <w:numPr>
          <w:ilvl w:val="0"/>
          <w:numId w:val="100"/>
        </w:numPr>
        <w:spacing w:before="120" w:line="240" w:lineRule="auto"/>
        <w:jc w:val="left"/>
        <w:rPr>
          <w:rFonts w:cs="Tahoma"/>
          <w:sz w:val="20"/>
        </w:rPr>
      </w:pPr>
      <w:r w:rsidRPr="0068236B">
        <w:rPr>
          <w:rFonts w:cs="Tahoma"/>
          <w:sz w:val="20"/>
        </w:rPr>
        <w:t>Project Option 2:</w:t>
      </w:r>
    </w:p>
    <w:p w14:paraId="23D82E71" w14:textId="77777777" w:rsidR="00447D30" w:rsidRPr="0068236B" w:rsidRDefault="00447D30" w:rsidP="00D24CEF">
      <w:pPr>
        <w:pStyle w:val="ListBullet2"/>
        <w:numPr>
          <w:ilvl w:val="1"/>
          <w:numId w:val="101"/>
        </w:numPr>
        <w:rPr>
          <w:sz w:val="20"/>
        </w:rPr>
      </w:pPr>
      <w:r w:rsidRPr="0068236B">
        <w:rPr>
          <w:sz w:val="20"/>
        </w:rPr>
        <w:t>Alternative location 1 for the new 400/110 kV substation is near agricultural, industrial and small business facilities that reduces the possibility of access to new OHL corridors for co</w:t>
      </w:r>
      <w:r w:rsidRPr="0068236B">
        <w:rPr>
          <w:sz w:val="20"/>
        </w:rPr>
        <w:t>n</w:t>
      </w:r>
      <w:r w:rsidRPr="0068236B">
        <w:rPr>
          <w:sz w:val="20"/>
        </w:rPr>
        <w:t>nections of renewable energy sources. Also, the spatial constraints of the location reduce the possibility for future extensions.</w:t>
      </w:r>
    </w:p>
    <w:p w14:paraId="377A7B4B" w14:textId="77777777" w:rsidR="00447D30" w:rsidRPr="0068236B" w:rsidRDefault="00447D30" w:rsidP="00D24CEF">
      <w:pPr>
        <w:pStyle w:val="ListBullet2"/>
        <w:numPr>
          <w:ilvl w:val="1"/>
          <w:numId w:val="101"/>
        </w:numPr>
        <w:rPr>
          <w:sz w:val="20"/>
        </w:rPr>
      </w:pPr>
      <w:r w:rsidRPr="0068236B">
        <w:rPr>
          <w:sz w:val="20"/>
        </w:rPr>
        <w:t>Alternative location 2 for the new 400/110 kV substation is a completely new location without urban and land-use challenges. The short connection (approx. 500 m) of the su</w:t>
      </w:r>
      <w:r w:rsidRPr="0068236B">
        <w:rPr>
          <w:sz w:val="20"/>
        </w:rPr>
        <w:t>b</w:t>
      </w:r>
      <w:r w:rsidRPr="0068236B">
        <w:rPr>
          <w:sz w:val="20"/>
        </w:rPr>
        <w:t>station at 400 kV voltage level is simple and cost effective.</w:t>
      </w:r>
    </w:p>
    <w:p w14:paraId="70D8C8B4" w14:textId="77777777" w:rsidR="00447D30" w:rsidRPr="0068236B" w:rsidRDefault="00447D30" w:rsidP="00D24CEF">
      <w:pPr>
        <w:pStyle w:val="ListBullet"/>
        <w:numPr>
          <w:ilvl w:val="0"/>
          <w:numId w:val="97"/>
        </w:numPr>
        <w:spacing w:before="120" w:after="120"/>
        <w:ind w:left="1122" w:hanging="561"/>
        <w:jc w:val="left"/>
        <w:rPr>
          <w:rFonts w:cs="Tahoma"/>
          <w:sz w:val="20"/>
        </w:rPr>
      </w:pPr>
      <w:r w:rsidRPr="0068236B">
        <w:rPr>
          <w:sz w:val="20"/>
        </w:rPr>
        <w:t>Project Option 3 requires construction of long 400 kV OHL which is certainly an extensive and demanding process.</w:t>
      </w:r>
    </w:p>
    <w:p w14:paraId="4798A723" w14:textId="77777777" w:rsidR="00447D30" w:rsidRPr="0068236B" w:rsidRDefault="00447D30" w:rsidP="003D53BE">
      <w:pPr>
        <w:pStyle w:val="ListBullet"/>
        <w:numPr>
          <w:ilvl w:val="0"/>
          <w:numId w:val="0"/>
        </w:numPr>
        <w:spacing w:before="120" w:after="120"/>
        <w:rPr>
          <w:sz w:val="20"/>
        </w:rPr>
      </w:pPr>
      <w:r w:rsidRPr="0068236B">
        <w:rPr>
          <w:rFonts w:cs="Tahoma"/>
          <w:sz w:val="20"/>
        </w:rPr>
        <w:lastRenderedPageBreak/>
        <w:t xml:space="preserve">Based on these considerations, the assessment recommends the Option 2, Alternative 2 as preferable one from the </w:t>
      </w:r>
      <w:r w:rsidR="003D53BE" w:rsidRPr="0068236B">
        <w:rPr>
          <w:rFonts w:cs="Tahoma"/>
          <w:sz w:val="20"/>
        </w:rPr>
        <w:t>technical / construction point of view</w:t>
      </w:r>
      <w:r w:rsidRPr="0068236B">
        <w:rPr>
          <w:sz w:val="20"/>
        </w:rPr>
        <w:t xml:space="preserve"> due to the following main benefits:</w:t>
      </w:r>
    </w:p>
    <w:p w14:paraId="4650CC65" w14:textId="77777777" w:rsidR="00447D30" w:rsidRPr="0068236B" w:rsidRDefault="00447D30" w:rsidP="00D24CEF">
      <w:pPr>
        <w:pStyle w:val="ListBullet"/>
        <w:numPr>
          <w:ilvl w:val="0"/>
          <w:numId w:val="97"/>
        </w:numPr>
        <w:rPr>
          <w:sz w:val="20"/>
        </w:rPr>
      </w:pPr>
      <w:r w:rsidRPr="0068236B">
        <w:rPr>
          <w:sz w:val="20"/>
        </w:rPr>
        <w:t xml:space="preserve">Construction of long new </w:t>
      </w:r>
      <w:r w:rsidR="003D53BE" w:rsidRPr="0068236B">
        <w:rPr>
          <w:sz w:val="20"/>
        </w:rPr>
        <w:t xml:space="preserve">transmission line(s) - </w:t>
      </w:r>
      <w:r w:rsidRPr="0068236B">
        <w:rPr>
          <w:sz w:val="20"/>
        </w:rPr>
        <w:t>110 kV or 400</w:t>
      </w:r>
      <w:r w:rsidR="003D53BE" w:rsidRPr="0068236B">
        <w:rPr>
          <w:sz w:val="20"/>
        </w:rPr>
        <w:t xml:space="preserve"> kV</w:t>
      </w:r>
      <w:r w:rsidRPr="0068236B">
        <w:rPr>
          <w:sz w:val="20"/>
        </w:rPr>
        <w:t xml:space="preserve"> </w:t>
      </w:r>
      <w:r w:rsidR="003D53BE" w:rsidRPr="0068236B">
        <w:rPr>
          <w:sz w:val="20"/>
        </w:rPr>
        <w:t xml:space="preserve">- </w:t>
      </w:r>
      <w:r w:rsidRPr="0068236B">
        <w:rPr>
          <w:sz w:val="20"/>
        </w:rPr>
        <w:t>is not required;</w:t>
      </w:r>
    </w:p>
    <w:p w14:paraId="24BE2100" w14:textId="77777777" w:rsidR="00447D30" w:rsidRPr="0068236B" w:rsidRDefault="00447D30" w:rsidP="00D24CEF">
      <w:pPr>
        <w:pStyle w:val="ListBullet"/>
        <w:numPr>
          <w:ilvl w:val="0"/>
          <w:numId w:val="97"/>
        </w:numPr>
        <w:rPr>
          <w:sz w:val="20"/>
        </w:rPr>
      </w:pPr>
      <w:r w:rsidRPr="0068236B">
        <w:rPr>
          <w:sz w:val="20"/>
        </w:rPr>
        <w:t xml:space="preserve">The least interventions (reconfiguration and extensions) in the existing </w:t>
      </w:r>
      <w:r w:rsidR="003D53BE" w:rsidRPr="0068236B">
        <w:rPr>
          <w:sz w:val="20"/>
        </w:rPr>
        <w:t>transmission assets in the P</w:t>
      </w:r>
      <w:r w:rsidRPr="0068236B">
        <w:rPr>
          <w:sz w:val="20"/>
        </w:rPr>
        <w:t xml:space="preserve">roject </w:t>
      </w:r>
      <w:r w:rsidR="003D53BE" w:rsidRPr="0068236B">
        <w:rPr>
          <w:sz w:val="20"/>
        </w:rPr>
        <w:t>region</w:t>
      </w:r>
      <w:r w:rsidRPr="0068236B">
        <w:rPr>
          <w:sz w:val="20"/>
        </w:rPr>
        <w:t>;</w:t>
      </w:r>
    </w:p>
    <w:p w14:paraId="2D04BC77" w14:textId="77777777" w:rsidR="00447D30" w:rsidRPr="0068236B" w:rsidRDefault="00447D30" w:rsidP="00D24CEF">
      <w:pPr>
        <w:pStyle w:val="ListBullet"/>
        <w:numPr>
          <w:ilvl w:val="0"/>
          <w:numId w:val="97"/>
        </w:numPr>
        <w:rPr>
          <w:sz w:val="20"/>
        </w:rPr>
      </w:pPr>
      <w:r w:rsidRPr="0068236B">
        <w:rPr>
          <w:sz w:val="20"/>
        </w:rPr>
        <w:t>The least impact on the existing operation of the power system;</w:t>
      </w:r>
    </w:p>
    <w:p w14:paraId="29BEF54D" w14:textId="77777777" w:rsidR="00447D30" w:rsidRPr="0068236B" w:rsidRDefault="00447D30" w:rsidP="00D24CEF">
      <w:pPr>
        <w:pStyle w:val="ListBullet"/>
        <w:numPr>
          <w:ilvl w:val="0"/>
          <w:numId w:val="97"/>
        </w:numPr>
        <w:rPr>
          <w:sz w:val="20"/>
        </w:rPr>
      </w:pPr>
      <w:r w:rsidRPr="0068236B">
        <w:rPr>
          <w:sz w:val="20"/>
        </w:rPr>
        <w:t>Available local and national road</w:t>
      </w:r>
      <w:r w:rsidR="003D53BE" w:rsidRPr="0068236B">
        <w:rPr>
          <w:sz w:val="20"/>
        </w:rPr>
        <w:t>s</w:t>
      </w:r>
      <w:r w:rsidRPr="0068236B">
        <w:rPr>
          <w:sz w:val="20"/>
        </w:rPr>
        <w:t xml:space="preserve"> and railway infrastructure near the </w:t>
      </w:r>
      <w:r w:rsidR="003D53BE" w:rsidRPr="0068236B">
        <w:rPr>
          <w:sz w:val="20"/>
        </w:rPr>
        <w:t xml:space="preserve">proposed </w:t>
      </w:r>
      <w:r w:rsidRPr="0068236B">
        <w:rPr>
          <w:sz w:val="20"/>
        </w:rPr>
        <w:t>location of the substation;</w:t>
      </w:r>
    </w:p>
    <w:p w14:paraId="1DD55D2C" w14:textId="77777777" w:rsidR="00447D30" w:rsidRPr="0068236B" w:rsidRDefault="00447D30" w:rsidP="00D24CEF">
      <w:pPr>
        <w:pStyle w:val="ListBullet"/>
        <w:numPr>
          <w:ilvl w:val="0"/>
          <w:numId w:val="97"/>
        </w:numPr>
        <w:rPr>
          <w:sz w:val="20"/>
        </w:rPr>
      </w:pPr>
      <w:r w:rsidRPr="0068236B">
        <w:rPr>
          <w:sz w:val="20"/>
        </w:rPr>
        <w:t xml:space="preserve">Possibility to connect sufficient number of new 110 kV </w:t>
      </w:r>
      <w:r w:rsidR="003D53BE" w:rsidRPr="0068236B">
        <w:rPr>
          <w:sz w:val="20"/>
        </w:rPr>
        <w:t xml:space="preserve">lines </w:t>
      </w:r>
      <w:r w:rsidRPr="0068236B">
        <w:rPr>
          <w:sz w:val="20"/>
        </w:rPr>
        <w:t xml:space="preserve">for future </w:t>
      </w:r>
      <w:r w:rsidR="003D53BE" w:rsidRPr="0068236B">
        <w:rPr>
          <w:sz w:val="20"/>
        </w:rPr>
        <w:t xml:space="preserve">renewable energy sources </w:t>
      </w:r>
      <w:r w:rsidRPr="0068236B">
        <w:rPr>
          <w:sz w:val="20"/>
        </w:rPr>
        <w:t xml:space="preserve">and expansion of the </w:t>
      </w:r>
      <w:r w:rsidR="003D53BE" w:rsidRPr="0068236B">
        <w:rPr>
          <w:sz w:val="20"/>
        </w:rPr>
        <w:t xml:space="preserve">proposed </w:t>
      </w:r>
      <w:r w:rsidRPr="0068236B">
        <w:rPr>
          <w:sz w:val="20"/>
        </w:rPr>
        <w:t xml:space="preserve">400/110 kV </w:t>
      </w:r>
      <w:r w:rsidR="003D53BE" w:rsidRPr="0068236B">
        <w:rPr>
          <w:sz w:val="20"/>
        </w:rPr>
        <w:t>substation</w:t>
      </w:r>
      <w:r w:rsidRPr="0068236B">
        <w:rPr>
          <w:sz w:val="20"/>
        </w:rPr>
        <w:t>.</w:t>
      </w:r>
    </w:p>
    <w:p w14:paraId="1D641E6E" w14:textId="77777777" w:rsidR="002546D4" w:rsidRPr="0068236B" w:rsidRDefault="002546D4" w:rsidP="002546D4">
      <w:pPr>
        <w:ind w:left="720" w:firstLine="720"/>
        <w:jc w:val="left"/>
        <w:rPr>
          <w:sz w:val="20"/>
          <w:u w:val="single"/>
          <w:lang w:bidi="en-US"/>
        </w:rPr>
      </w:pPr>
      <w:r w:rsidRPr="0068236B">
        <w:rPr>
          <w:sz w:val="20"/>
          <w:u w:val="single"/>
          <w:lang w:bidi="en-US"/>
        </w:rPr>
        <w:t>Environmental and Social Appraisal</w:t>
      </w:r>
    </w:p>
    <w:p w14:paraId="24F01357" w14:textId="77777777" w:rsidR="002546D4" w:rsidRPr="0068236B" w:rsidRDefault="002546D4" w:rsidP="002546D4">
      <w:pPr>
        <w:ind w:left="1440" w:firstLine="720"/>
        <w:rPr>
          <w:rFonts w:cs="Arial"/>
          <w:sz w:val="20"/>
          <w:szCs w:val="20"/>
          <w:u w:val="single"/>
        </w:rPr>
      </w:pPr>
      <w:r w:rsidRPr="0068236B">
        <w:rPr>
          <w:rFonts w:cs="Tahoma"/>
          <w:sz w:val="20"/>
        </w:rPr>
        <w:t>Methodology</w:t>
      </w:r>
    </w:p>
    <w:p w14:paraId="2922BEFB" w14:textId="77777777" w:rsidR="002546D4" w:rsidRPr="0068236B" w:rsidRDefault="002546D4" w:rsidP="002546D4">
      <w:pPr>
        <w:rPr>
          <w:rFonts w:cs="Tahoma"/>
          <w:sz w:val="20"/>
        </w:rPr>
      </w:pPr>
      <w:r w:rsidRPr="0068236B">
        <w:rPr>
          <w:rFonts w:cs="Tahoma"/>
          <w:sz w:val="20"/>
        </w:rPr>
        <w:t>From E&amp;S perspective, the methodology of the selection process for the preferred Project option / altern</w:t>
      </w:r>
      <w:r w:rsidRPr="0068236B">
        <w:rPr>
          <w:rFonts w:cs="Tahoma"/>
          <w:sz w:val="20"/>
        </w:rPr>
        <w:t>a</w:t>
      </w:r>
      <w:r w:rsidRPr="0068236B">
        <w:rPr>
          <w:rFonts w:cs="Tahoma"/>
          <w:sz w:val="20"/>
        </w:rPr>
        <w:t>tive has been based on a preventive approach giving preference to avoidance and prevention of likely i</w:t>
      </w:r>
      <w:r w:rsidRPr="0068236B">
        <w:rPr>
          <w:rFonts w:cs="Tahoma"/>
          <w:sz w:val="20"/>
        </w:rPr>
        <w:t>m</w:t>
      </w:r>
      <w:r w:rsidRPr="0068236B">
        <w:rPr>
          <w:rFonts w:cs="Tahoma"/>
          <w:sz w:val="20"/>
        </w:rPr>
        <w:t>pacts and by consideration of feasible locations of the proposed substation and feasible routeing variants of the transmission lines. The methodology includes a combination of environmental and social criteria which would allow for an optimized and sound selection process. The following key environmental and social crit</w:t>
      </w:r>
      <w:r w:rsidRPr="0068236B">
        <w:rPr>
          <w:rFonts w:cs="Tahoma"/>
          <w:sz w:val="20"/>
        </w:rPr>
        <w:t>e</w:t>
      </w:r>
      <w:r w:rsidRPr="0068236B">
        <w:rPr>
          <w:rFonts w:cs="Tahoma"/>
          <w:sz w:val="20"/>
        </w:rPr>
        <w:t>ria have been employed:</w:t>
      </w:r>
    </w:p>
    <w:p w14:paraId="35057CE0" w14:textId="77777777" w:rsidR="002546D4" w:rsidRPr="0068236B" w:rsidRDefault="002546D4" w:rsidP="00D24CEF">
      <w:pPr>
        <w:pStyle w:val="ListBullet"/>
        <w:numPr>
          <w:ilvl w:val="0"/>
          <w:numId w:val="97"/>
        </w:numPr>
        <w:spacing w:before="120" w:after="120"/>
        <w:ind w:left="738" w:hanging="454"/>
        <w:jc w:val="left"/>
        <w:rPr>
          <w:rFonts w:cs="Tahoma"/>
          <w:sz w:val="20"/>
        </w:rPr>
      </w:pPr>
      <w:r w:rsidRPr="0068236B">
        <w:rPr>
          <w:rFonts w:cs="Tahoma"/>
          <w:sz w:val="20"/>
        </w:rPr>
        <w:t>Social aspects / settlements (community safety, proximity to people and communities): Avoid inte</w:t>
      </w:r>
      <w:r w:rsidRPr="0068236B">
        <w:rPr>
          <w:rFonts w:cs="Tahoma"/>
          <w:sz w:val="20"/>
        </w:rPr>
        <w:t>r</w:t>
      </w:r>
      <w:r w:rsidRPr="0068236B">
        <w:rPr>
          <w:rFonts w:cs="Tahoma"/>
          <w:sz w:val="20"/>
        </w:rPr>
        <w:t>action with residential zones and properties, as much as practicable, in order to ensure compliance with public exposure limits to electro-magnetic radiation and operational noise and to avoid public health and safety risks, as well to minimize likelihood of any physical resettlement due to SS and OHL infrastructure and safety zones (right of way);</w:t>
      </w:r>
    </w:p>
    <w:p w14:paraId="2E94611D" w14:textId="6703491E" w:rsidR="002546D4" w:rsidRPr="0068236B" w:rsidRDefault="002546D4" w:rsidP="00D24CEF">
      <w:pPr>
        <w:pStyle w:val="ListBullet"/>
        <w:numPr>
          <w:ilvl w:val="0"/>
          <w:numId w:val="97"/>
        </w:numPr>
        <w:spacing w:before="120" w:after="120"/>
        <w:ind w:left="738" w:hanging="454"/>
        <w:jc w:val="left"/>
        <w:rPr>
          <w:rFonts w:cs="Tahoma"/>
          <w:sz w:val="20"/>
        </w:rPr>
      </w:pPr>
      <w:r w:rsidRPr="0068236B">
        <w:rPr>
          <w:rFonts w:cs="Tahoma"/>
          <w:sz w:val="20"/>
        </w:rPr>
        <w:t>Social aspects / land cover and land use forms: Avoid as much as practicable valued land cover forms as well as agricultural lands, woodlands and lands of high social and economic values, etc. to minimize land acquisition and involuntary resettlement needs</w:t>
      </w:r>
      <w:r w:rsidR="009111C7" w:rsidRPr="0068236B">
        <w:rPr>
          <w:rFonts w:cs="Tahoma"/>
          <w:sz w:val="20"/>
        </w:rPr>
        <w:t xml:space="preserve"> and any loss of livelihood and/or ec</w:t>
      </w:r>
      <w:r w:rsidR="009111C7" w:rsidRPr="0068236B">
        <w:rPr>
          <w:rFonts w:cs="Tahoma"/>
          <w:sz w:val="20"/>
        </w:rPr>
        <w:t>o</w:t>
      </w:r>
      <w:r w:rsidR="009111C7" w:rsidRPr="0068236B">
        <w:rPr>
          <w:rFonts w:cs="Tahoma"/>
          <w:sz w:val="20"/>
        </w:rPr>
        <w:t>nomic displacement</w:t>
      </w:r>
      <w:r w:rsidRPr="0068236B">
        <w:rPr>
          <w:rFonts w:cs="Tahoma"/>
          <w:sz w:val="20"/>
        </w:rPr>
        <w:t>;</w:t>
      </w:r>
    </w:p>
    <w:p w14:paraId="0D5E50CF" w14:textId="77777777" w:rsidR="002546D4" w:rsidRPr="0068236B" w:rsidRDefault="002546D4" w:rsidP="00D24CEF">
      <w:pPr>
        <w:pStyle w:val="ListBullet"/>
        <w:numPr>
          <w:ilvl w:val="0"/>
          <w:numId w:val="97"/>
        </w:numPr>
        <w:spacing w:before="120" w:after="120"/>
        <w:ind w:left="738" w:hanging="454"/>
        <w:jc w:val="left"/>
        <w:rPr>
          <w:rFonts w:cs="Tahoma"/>
          <w:sz w:val="20"/>
        </w:rPr>
      </w:pPr>
      <w:r w:rsidRPr="0068236B">
        <w:rPr>
          <w:rFonts w:cs="Tahoma"/>
          <w:sz w:val="20"/>
        </w:rPr>
        <w:t>Biodiversity sensitive zones (nationally protected areas and/or internationally recognised areas; we</w:t>
      </w:r>
      <w:r w:rsidRPr="0068236B">
        <w:rPr>
          <w:rFonts w:cs="Tahoma"/>
          <w:sz w:val="20"/>
        </w:rPr>
        <w:t>t</w:t>
      </w:r>
      <w:r w:rsidRPr="0068236B">
        <w:rPr>
          <w:rFonts w:cs="Tahoma"/>
          <w:sz w:val="20"/>
        </w:rPr>
        <w:t>lands, flood plains, riparian areas, water resources): Avoid, as much as practicable, those areas rich in biodiversity and sensitive zones;</w:t>
      </w:r>
    </w:p>
    <w:p w14:paraId="764EBC4F" w14:textId="77777777" w:rsidR="002546D4" w:rsidRPr="0068236B" w:rsidRDefault="002546D4" w:rsidP="00D24CEF">
      <w:pPr>
        <w:pStyle w:val="ListBullet"/>
        <w:numPr>
          <w:ilvl w:val="0"/>
          <w:numId w:val="97"/>
        </w:numPr>
        <w:spacing w:before="120" w:after="120"/>
        <w:ind w:left="738" w:hanging="454"/>
        <w:rPr>
          <w:rFonts w:cs="Tahoma"/>
          <w:sz w:val="20"/>
        </w:rPr>
      </w:pPr>
      <w:r w:rsidRPr="0068236B">
        <w:rPr>
          <w:rFonts w:cs="Tahoma"/>
          <w:sz w:val="20"/>
        </w:rPr>
        <w:t>Landscape / aesthetics: Avoid scenically important areas where the proposed transmission line may negatively affect the landscape values;</w:t>
      </w:r>
    </w:p>
    <w:p w14:paraId="459B1BDC" w14:textId="77777777" w:rsidR="002546D4" w:rsidRPr="0068236B" w:rsidRDefault="002546D4" w:rsidP="00D24CEF">
      <w:pPr>
        <w:pStyle w:val="ListBullet"/>
        <w:numPr>
          <w:ilvl w:val="0"/>
          <w:numId w:val="97"/>
        </w:numPr>
        <w:spacing w:before="120" w:after="120"/>
        <w:ind w:left="738" w:hanging="454"/>
        <w:rPr>
          <w:rFonts w:cs="Tahoma"/>
          <w:sz w:val="20"/>
        </w:rPr>
      </w:pPr>
      <w:r w:rsidRPr="0068236B">
        <w:rPr>
          <w:rFonts w:cs="Tahoma"/>
          <w:sz w:val="20"/>
        </w:rPr>
        <w:t>Cultural / archaeological heritage: Avoid the sites or objects classified as historic or having an a</w:t>
      </w:r>
      <w:r w:rsidRPr="0068236B">
        <w:rPr>
          <w:rFonts w:cs="Tahoma"/>
          <w:sz w:val="20"/>
        </w:rPr>
        <w:t>r</w:t>
      </w:r>
      <w:r w:rsidRPr="0068236B">
        <w:rPr>
          <w:rFonts w:cs="Tahoma"/>
          <w:sz w:val="20"/>
        </w:rPr>
        <w:t>chaeological heritage;</w:t>
      </w:r>
    </w:p>
    <w:p w14:paraId="6A8895D2" w14:textId="77777777" w:rsidR="002546D4" w:rsidRPr="0068236B" w:rsidRDefault="002546D4" w:rsidP="00D24CEF">
      <w:pPr>
        <w:pStyle w:val="ListBullet"/>
        <w:numPr>
          <w:ilvl w:val="0"/>
          <w:numId w:val="97"/>
        </w:numPr>
        <w:spacing w:before="120" w:after="120"/>
        <w:ind w:left="738" w:hanging="454"/>
        <w:rPr>
          <w:rFonts w:cs="Tahoma"/>
          <w:sz w:val="20"/>
        </w:rPr>
      </w:pPr>
      <w:r w:rsidRPr="0068236B">
        <w:rPr>
          <w:rFonts w:cs="Tahoma"/>
          <w:sz w:val="20"/>
        </w:rPr>
        <w:t>Water environment: Minimise adverse effects due to watercourse crossings.</w:t>
      </w:r>
    </w:p>
    <w:p w14:paraId="361F58F2" w14:textId="77777777" w:rsidR="002546D4" w:rsidRPr="0068236B" w:rsidRDefault="00ED0757" w:rsidP="002546D4">
      <w:pPr>
        <w:ind w:left="1440" w:firstLine="720"/>
        <w:rPr>
          <w:rFonts w:cs="Tahoma"/>
          <w:sz w:val="20"/>
        </w:rPr>
      </w:pPr>
      <w:r w:rsidRPr="0068236B">
        <w:rPr>
          <w:rFonts w:cs="Tahoma"/>
          <w:sz w:val="20"/>
        </w:rPr>
        <w:t>Key Findings and Conclusions</w:t>
      </w:r>
    </w:p>
    <w:p w14:paraId="6BA3F9CD" w14:textId="77777777" w:rsidR="009435BE" w:rsidRPr="0068236B" w:rsidRDefault="009435BE" w:rsidP="009435BE">
      <w:pPr>
        <w:ind w:left="131" w:firstLine="720"/>
        <w:rPr>
          <w:rFonts w:cs="Tahoma"/>
          <w:sz w:val="20"/>
          <w:u w:val="single"/>
        </w:rPr>
      </w:pPr>
      <w:r w:rsidRPr="0068236B">
        <w:rPr>
          <w:rFonts w:cs="Tahoma"/>
          <w:sz w:val="20"/>
          <w:u w:val="single"/>
        </w:rPr>
        <w:t>Project Option 1 (also applicable to Project Option 3)</w:t>
      </w:r>
    </w:p>
    <w:p w14:paraId="0CB32F07" w14:textId="77777777" w:rsidR="009435BE" w:rsidRPr="0068236B" w:rsidRDefault="009435BE" w:rsidP="00D24CEF">
      <w:pPr>
        <w:pStyle w:val="ListBullet"/>
        <w:numPr>
          <w:ilvl w:val="0"/>
          <w:numId w:val="97"/>
        </w:numPr>
        <w:rPr>
          <w:sz w:val="20"/>
        </w:rPr>
      </w:pPr>
      <w:r w:rsidRPr="0068236B">
        <w:rPr>
          <w:sz w:val="20"/>
        </w:rPr>
        <w:t>The Southern Corridor crosses three Macedonian municipalities: Negotino, Demir Kapija and Valandovo, passing through the administrative territory of twelve rural settlements and outskirts of Valandovo, with a total of 9,571 inhabitants (including Valandovo as a whole).</w:t>
      </w:r>
    </w:p>
    <w:p w14:paraId="511FD544" w14:textId="77777777" w:rsidR="009435BE" w:rsidRPr="0068236B" w:rsidRDefault="009435BE" w:rsidP="00D24CEF">
      <w:pPr>
        <w:pStyle w:val="ListBullet"/>
        <w:numPr>
          <w:ilvl w:val="0"/>
          <w:numId w:val="97"/>
        </w:numPr>
        <w:rPr>
          <w:sz w:val="20"/>
        </w:rPr>
      </w:pPr>
      <w:r w:rsidRPr="0068236B">
        <w:rPr>
          <w:sz w:val="20"/>
        </w:rPr>
        <w:t>The Northern Corridor crosses three Macedonian municipalities: Negotino, Konche and Valand</w:t>
      </w:r>
      <w:r w:rsidRPr="0068236B">
        <w:rPr>
          <w:sz w:val="20"/>
        </w:rPr>
        <w:t>o</w:t>
      </w:r>
      <w:r w:rsidRPr="0068236B">
        <w:rPr>
          <w:sz w:val="20"/>
        </w:rPr>
        <w:t>vo, passing through the administrative territory of eight rural settlements (four of them aba</w:t>
      </w:r>
      <w:r w:rsidRPr="0068236B">
        <w:rPr>
          <w:sz w:val="20"/>
        </w:rPr>
        <w:t>n</w:t>
      </w:r>
      <w:r w:rsidRPr="0068236B">
        <w:rPr>
          <w:sz w:val="20"/>
        </w:rPr>
        <w:t>doned) and outskirts of Valandovo, with a total of 4,402 inhabitants (including Valandovo as a whole).</w:t>
      </w:r>
    </w:p>
    <w:p w14:paraId="4D45749C" w14:textId="77777777" w:rsidR="009435BE" w:rsidRPr="0068236B" w:rsidRDefault="009435BE" w:rsidP="00D24CEF">
      <w:pPr>
        <w:pStyle w:val="ListBullet"/>
        <w:numPr>
          <w:ilvl w:val="0"/>
          <w:numId w:val="97"/>
        </w:numPr>
        <w:rPr>
          <w:rFonts w:eastAsia="Calibri"/>
          <w:sz w:val="20"/>
        </w:rPr>
      </w:pPr>
      <w:r w:rsidRPr="0068236B">
        <w:rPr>
          <w:rFonts w:eastAsia="Calibri"/>
          <w:sz w:val="20"/>
        </w:rPr>
        <w:lastRenderedPageBreak/>
        <w:t>The Southern Corridor crosses one legally protected area and one area proposed for legal pr</w:t>
      </w:r>
      <w:r w:rsidRPr="0068236B">
        <w:rPr>
          <w:rFonts w:eastAsia="Calibri"/>
          <w:sz w:val="20"/>
        </w:rPr>
        <w:t>o</w:t>
      </w:r>
      <w:r w:rsidRPr="0068236B">
        <w:rPr>
          <w:rFonts w:eastAsia="Calibri"/>
          <w:sz w:val="20"/>
        </w:rPr>
        <w:t>tection which is considered as significant environmental constraint</w:t>
      </w:r>
      <w:r w:rsidRPr="0068236B">
        <w:rPr>
          <w:sz w:val="20"/>
        </w:rPr>
        <w:t>. These are:</w:t>
      </w:r>
    </w:p>
    <w:p w14:paraId="7C975584" w14:textId="77777777" w:rsidR="009435BE" w:rsidRPr="0068236B" w:rsidRDefault="009435BE" w:rsidP="00D24CEF">
      <w:pPr>
        <w:pStyle w:val="ListBullet2"/>
        <w:numPr>
          <w:ilvl w:val="1"/>
          <w:numId w:val="97"/>
        </w:numPr>
        <w:rPr>
          <w:sz w:val="20"/>
        </w:rPr>
      </w:pPr>
      <w:r w:rsidRPr="0068236B">
        <w:rPr>
          <w:sz w:val="20"/>
        </w:rPr>
        <w:t>Nature Park Iberliska Reka, crossed in very short section of approximate length of 100 m</w:t>
      </w:r>
      <w:r w:rsidRPr="0068236B">
        <w:rPr>
          <w:sz w:val="20"/>
        </w:rPr>
        <w:t>e</w:t>
      </w:r>
      <w:r w:rsidRPr="0068236B">
        <w:rPr>
          <w:sz w:val="20"/>
        </w:rPr>
        <w:t>tres.</w:t>
      </w:r>
    </w:p>
    <w:p w14:paraId="54B8A8C8" w14:textId="77777777" w:rsidR="009435BE" w:rsidRPr="0068236B" w:rsidRDefault="009435BE" w:rsidP="00D24CEF">
      <w:pPr>
        <w:pStyle w:val="ListBullet2"/>
        <w:numPr>
          <w:ilvl w:val="1"/>
          <w:numId w:val="97"/>
        </w:numPr>
        <w:rPr>
          <w:sz w:val="20"/>
        </w:rPr>
      </w:pPr>
      <w:r w:rsidRPr="0068236B">
        <w:rPr>
          <w:sz w:val="20"/>
        </w:rPr>
        <w:t>Demir Kapija Gorge (Demirkapiska Klisura), proposed for protection, crossed in approx. 3.9 km long section.</w:t>
      </w:r>
    </w:p>
    <w:p w14:paraId="4B2FD600" w14:textId="77777777" w:rsidR="009435BE" w:rsidRPr="0068236B" w:rsidRDefault="009435BE" w:rsidP="00D24CEF">
      <w:pPr>
        <w:pStyle w:val="ListBullet"/>
        <w:numPr>
          <w:ilvl w:val="0"/>
          <w:numId w:val="97"/>
        </w:numPr>
        <w:rPr>
          <w:rFonts w:eastAsia="Calibri"/>
          <w:sz w:val="20"/>
        </w:rPr>
      </w:pPr>
      <w:r w:rsidRPr="0068236B">
        <w:rPr>
          <w:rFonts w:eastAsia="Calibri"/>
          <w:sz w:val="20"/>
        </w:rPr>
        <w:t>In addition, the Southern Corridor crosses three internationally recognized areas:</w:t>
      </w:r>
    </w:p>
    <w:p w14:paraId="05319392" w14:textId="2047D0E1" w:rsidR="009435BE" w:rsidRPr="0068236B" w:rsidRDefault="009B3365" w:rsidP="00D24CEF">
      <w:pPr>
        <w:pStyle w:val="ListBullet2"/>
        <w:numPr>
          <w:ilvl w:val="1"/>
          <w:numId w:val="97"/>
        </w:numPr>
        <w:rPr>
          <w:sz w:val="20"/>
        </w:rPr>
      </w:pPr>
      <w:r w:rsidRPr="0068236B">
        <w:rPr>
          <w:sz w:val="20"/>
        </w:rPr>
        <w:t>Important Bird Area (</w:t>
      </w:r>
      <w:r w:rsidR="009435BE" w:rsidRPr="0068236B">
        <w:rPr>
          <w:sz w:val="20"/>
        </w:rPr>
        <w:t>IBA</w:t>
      </w:r>
      <w:r w:rsidRPr="0068236B">
        <w:rPr>
          <w:sz w:val="20"/>
        </w:rPr>
        <w:t>)</w:t>
      </w:r>
      <w:r w:rsidR="009435BE" w:rsidRPr="0068236B">
        <w:rPr>
          <w:sz w:val="20"/>
        </w:rPr>
        <w:t xml:space="preserve"> Tikvesh Region and IBA Demir Kapija Gorge crossed in 11 km and 9.6 km long sections, respectively, as well as IPA Demir Kapija, crossed in 0.5 km long section.</w:t>
      </w:r>
    </w:p>
    <w:p w14:paraId="59F70C26" w14:textId="3D9B8E3F" w:rsidR="009435BE" w:rsidRPr="0068236B" w:rsidRDefault="009435BE" w:rsidP="009435BE">
      <w:pPr>
        <w:ind w:left="1134"/>
        <w:rPr>
          <w:rFonts w:cs="Tahoma"/>
          <w:sz w:val="20"/>
        </w:rPr>
      </w:pPr>
      <w:r w:rsidRPr="0068236B">
        <w:rPr>
          <w:rFonts w:cs="Tahoma"/>
          <w:sz w:val="20"/>
        </w:rPr>
        <w:t>The crossings of both IBAs are considered as significant environmental constraint, although IBA Tikvesh Region cannot be avoided since the SS Dubrovo is situated within this site. If this O</w:t>
      </w:r>
      <w:r w:rsidRPr="0068236B">
        <w:rPr>
          <w:rFonts w:cs="Tahoma"/>
          <w:sz w:val="20"/>
        </w:rPr>
        <w:t>p</w:t>
      </w:r>
      <w:r w:rsidRPr="0068236B">
        <w:rPr>
          <w:rFonts w:cs="Tahoma"/>
          <w:sz w:val="20"/>
        </w:rPr>
        <w:t>tion/Alternative is selected as a preferred one and put forward for further development</w:t>
      </w:r>
      <w:r w:rsidRPr="0068236B">
        <w:rPr>
          <w:rFonts w:eastAsia="Calibri" w:cs="Tahoma"/>
          <w:sz w:val="20"/>
        </w:rPr>
        <w:t xml:space="preserve">, special attention would need to be paid on the mitigation strategy for minimizing the risks to birds populations (vultures and birds of prey) in </w:t>
      </w:r>
      <w:r w:rsidR="009B3365" w:rsidRPr="0068236B">
        <w:rPr>
          <w:rFonts w:eastAsia="Calibri" w:cs="Tahoma"/>
          <w:sz w:val="20"/>
        </w:rPr>
        <w:t>Important Plant Area (</w:t>
      </w:r>
      <w:r w:rsidRPr="0068236B">
        <w:rPr>
          <w:rFonts w:eastAsia="Calibri" w:cs="Tahoma"/>
          <w:sz w:val="20"/>
        </w:rPr>
        <w:t>IPA</w:t>
      </w:r>
      <w:r w:rsidR="009B3365" w:rsidRPr="0068236B">
        <w:rPr>
          <w:rFonts w:eastAsia="Calibri" w:cs="Tahoma"/>
          <w:sz w:val="20"/>
        </w:rPr>
        <w:t>)</w:t>
      </w:r>
      <w:r w:rsidRPr="0068236B">
        <w:rPr>
          <w:rFonts w:eastAsia="Calibri" w:cs="Tahoma"/>
          <w:sz w:val="20"/>
        </w:rPr>
        <w:t xml:space="preserve"> Demir Kapija Gorge, i</w:t>
      </w:r>
      <w:r w:rsidRPr="0068236B">
        <w:rPr>
          <w:rFonts w:eastAsia="Calibri" w:cs="Tahoma"/>
          <w:sz w:val="20"/>
        </w:rPr>
        <w:t>n</w:t>
      </w:r>
      <w:r w:rsidRPr="0068236B">
        <w:rPr>
          <w:rFonts w:eastAsia="Calibri" w:cs="Tahoma"/>
          <w:sz w:val="20"/>
        </w:rPr>
        <w:t>cluding further routing modifications as an primary avoidance strategy.</w:t>
      </w:r>
    </w:p>
    <w:p w14:paraId="7599EBE9" w14:textId="77777777" w:rsidR="009435BE" w:rsidRPr="0068236B" w:rsidRDefault="009435BE" w:rsidP="00D24CEF">
      <w:pPr>
        <w:pStyle w:val="ListBullet"/>
        <w:numPr>
          <w:ilvl w:val="0"/>
          <w:numId w:val="97"/>
        </w:numPr>
        <w:rPr>
          <w:rFonts w:eastAsia="Calibri"/>
          <w:sz w:val="20"/>
        </w:rPr>
      </w:pPr>
      <w:r w:rsidRPr="0068236B">
        <w:rPr>
          <w:rFonts w:eastAsia="Calibri"/>
          <w:sz w:val="20"/>
        </w:rPr>
        <w:t>The Northern Corridor does not cross legally protected areas or areas proposed for legal prote</w:t>
      </w:r>
      <w:r w:rsidRPr="0068236B">
        <w:rPr>
          <w:rFonts w:eastAsia="Calibri"/>
          <w:sz w:val="20"/>
        </w:rPr>
        <w:t>c</w:t>
      </w:r>
      <w:r w:rsidRPr="0068236B">
        <w:rPr>
          <w:rFonts w:eastAsia="Calibri"/>
          <w:sz w:val="20"/>
        </w:rPr>
        <w:t xml:space="preserve">tion. It </w:t>
      </w:r>
      <w:r w:rsidRPr="0068236B">
        <w:rPr>
          <w:rFonts w:eastAsia="Calibri" w:cs="Tahoma"/>
          <w:sz w:val="20"/>
        </w:rPr>
        <w:t xml:space="preserve">crosses one internationally recognized area - </w:t>
      </w:r>
      <w:r w:rsidRPr="0068236B">
        <w:rPr>
          <w:sz w:val="20"/>
        </w:rPr>
        <w:t xml:space="preserve">IBA Tikvesh Region, crossed in 5.6 km long section. </w:t>
      </w:r>
    </w:p>
    <w:p w14:paraId="2CFC4F3E" w14:textId="5CE3AC4F" w:rsidR="009435BE" w:rsidRPr="0068236B" w:rsidRDefault="009435BE" w:rsidP="00D24CEF">
      <w:pPr>
        <w:pStyle w:val="ListBullet"/>
        <w:numPr>
          <w:ilvl w:val="0"/>
          <w:numId w:val="97"/>
        </w:numPr>
        <w:rPr>
          <w:sz w:val="20"/>
        </w:rPr>
      </w:pPr>
      <w:r w:rsidRPr="0068236B">
        <w:rPr>
          <w:sz w:val="20"/>
        </w:rPr>
        <w:t>Both alternatives have very similar coverage within the study area (1,000 m wide OHL corridor) of forest and shrublands which are dominant sensitive land cover type - approx.</w:t>
      </w:r>
      <w:r w:rsidR="009B3365" w:rsidRPr="0068236B">
        <w:rPr>
          <w:sz w:val="20"/>
        </w:rPr>
        <w:t xml:space="preserve"> 65% (Southern Corridor) and 60</w:t>
      </w:r>
      <w:r w:rsidRPr="0068236B">
        <w:rPr>
          <w:sz w:val="20"/>
        </w:rPr>
        <w:t xml:space="preserve">% (Northern Corridor), as well as very similar coverage of </w:t>
      </w:r>
      <w:r w:rsidRPr="0068236B">
        <w:rPr>
          <w:rFonts w:cs="Tahoma"/>
          <w:sz w:val="20"/>
        </w:rPr>
        <w:t>agricultural land with mutual difference of less than 10%</w:t>
      </w:r>
      <w:r w:rsidRPr="0068236B">
        <w:rPr>
          <w:sz w:val="20"/>
        </w:rPr>
        <w:t>.</w:t>
      </w:r>
    </w:p>
    <w:p w14:paraId="6678D244" w14:textId="77777777" w:rsidR="009435BE" w:rsidRPr="0068236B" w:rsidRDefault="009435BE" w:rsidP="00D24CEF">
      <w:pPr>
        <w:pStyle w:val="ListBullet"/>
        <w:numPr>
          <w:ilvl w:val="0"/>
          <w:numId w:val="97"/>
        </w:numPr>
        <w:rPr>
          <w:sz w:val="20"/>
        </w:rPr>
      </w:pPr>
      <w:r w:rsidRPr="0068236B">
        <w:rPr>
          <w:sz w:val="20"/>
        </w:rPr>
        <w:t>Both identified OHL corridors have six crossings over permanent natural watercourses. The length of all these crossings would not require special technical design solutions.</w:t>
      </w:r>
    </w:p>
    <w:p w14:paraId="44276540" w14:textId="77777777" w:rsidR="009435BE" w:rsidRPr="0068236B" w:rsidRDefault="009435BE" w:rsidP="00D24CEF">
      <w:pPr>
        <w:pStyle w:val="ListBullet"/>
        <w:numPr>
          <w:ilvl w:val="0"/>
          <w:numId w:val="97"/>
        </w:numPr>
        <w:rPr>
          <w:sz w:val="20"/>
        </w:rPr>
      </w:pPr>
      <w:r w:rsidRPr="0068236B">
        <w:rPr>
          <w:rFonts w:eastAsia="Calibri"/>
          <w:sz w:val="20"/>
        </w:rPr>
        <w:t xml:space="preserve">No major constraints were identified from the social aspect – proximity to properties - that </w:t>
      </w:r>
      <w:r w:rsidRPr="0068236B">
        <w:rPr>
          <w:rFonts w:eastAsia="Calibri"/>
          <w:sz w:val="20"/>
          <w:szCs w:val="20"/>
        </w:rPr>
        <w:t>would constitute significant project compliance risk</w:t>
      </w:r>
      <w:r w:rsidRPr="0068236B">
        <w:rPr>
          <w:rFonts w:eastAsia="Calibri"/>
          <w:sz w:val="20"/>
        </w:rPr>
        <w:t xml:space="preserve">. </w:t>
      </w:r>
      <w:r w:rsidRPr="0068236B">
        <w:rPr>
          <w:sz w:val="20"/>
        </w:rPr>
        <w:t>Several particular locations with social se</w:t>
      </w:r>
      <w:r w:rsidRPr="0068236B">
        <w:rPr>
          <w:sz w:val="20"/>
        </w:rPr>
        <w:t>n</w:t>
      </w:r>
      <w:r w:rsidRPr="0068236B">
        <w:rPr>
          <w:sz w:val="20"/>
        </w:rPr>
        <w:t>sitivities within the study area (1,000 metres wide corridor) which require further avoidance a</w:t>
      </w:r>
      <w:r w:rsidRPr="0068236B">
        <w:rPr>
          <w:sz w:val="20"/>
        </w:rPr>
        <w:t>c</w:t>
      </w:r>
      <w:r w:rsidRPr="0068236B">
        <w:rPr>
          <w:sz w:val="20"/>
        </w:rPr>
        <w:t>tions are identified along both OHL corridors.</w:t>
      </w:r>
    </w:p>
    <w:p w14:paraId="36642D54" w14:textId="7D0BABAE" w:rsidR="009435BE" w:rsidRPr="0068236B" w:rsidRDefault="009435BE" w:rsidP="00D24CEF">
      <w:pPr>
        <w:pStyle w:val="ListBullet"/>
        <w:numPr>
          <w:ilvl w:val="0"/>
          <w:numId w:val="97"/>
        </w:numPr>
        <w:rPr>
          <w:sz w:val="20"/>
        </w:rPr>
      </w:pPr>
      <w:r w:rsidRPr="0068236B">
        <w:rPr>
          <w:sz w:val="20"/>
        </w:rPr>
        <w:t xml:space="preserve">Several cultural resources - </w:t>
      </w:r>
      <w:r w:rsidRPr="0068236B">
        <w:rPr>
          <w:bCs/>
          <w:sz w:val="20"/>
        </w:rPr>
        <w:t>eight and five</w:t>
      </w:r>
      <w:r w:rsidRPr="0068236B">
        <w:rPr>
          <w:sz w:val="20"/>
        </w:rPr>
        <w:t xml:space="preserve"> archaeological sites are identified within </w:t>
      </w:r>
      <w:r w:rsidRPr="0068236B">
        <w:rPr>
          <w:bCs/>
          <w:sz w:val="20"/>
        </w:rPr>
        <w:t>study area (1,000 m wide corridor) along the identified corridors, respectively along the Southern Corridor and t</w:t>
      </w:r>
      <w:r w:rsidRPr="0068236B">
        <w:rPr>
          <w:sz w:val="20"/>
        </w:rPr>
        <w:t xml:space="preserve">he Northern Corridor. None of these is directly crossed by the </w:t>
      </w:r>
      <w:r w:rsidR="005E6643" w:rsidRPr="0068236B">
        <w:rPr>
          <w:sz w:val="20"/>
        </w:rPr>
        <w:t>centreline</w:t>
      </w:r>
      <w:r w:rsidRPr="0068236B">
        <w:rPr>
          <w:sz w:val="20"/>
        </w:rPr>
        <w:t xml:space="preserve"> of the OHL corr</w:t>
      </w:r>
      <w:r w:rsidRPr="0068236B">
        <w:rPr>
          <w:sz w:val="20"/>
        </w:rPr>
        <w:t>i</w:t>
      </w:r>
      <w:r w:rsidRPr="0068236B">
        <w:rPr>
          <w:sz w:val="20"/>
        </w:rPr>
        <w:t>dors.</w:t>
      </w:r>
    </w:p>
    <w:p w14:paraId="3C2BCAA1" w14:textId="77777777" w:rsidR="009435BE" w:rsidRPr="0068236B" w:rsidRDefault="009435BE" w:rsidP="009435BE">
      <w:pPr>
        <w:ind w:left="130" w:firstLine="720"/>
        <w:rPr>
          <w:rFonts w:cs="Tahoma"/>
          <w:sz w:val="20"/>
          <w:u w:val="single"/>
        </w:rPr>
      </w:pPr>
      <w:r w:rsidRPr="0068236B">
        <w:rPr>
          <w:rFonts w:cs="Tahoma"/>
          <w:sz w:val="20"/>
          <w:u w:val="single"/>
        </w:rPr>
        <w:t>Project Option 2</w:t>
      </w:r>
    </w:p>
    <w:p w14:paraId="77095787" w14:textId="77777777" w:rsidR="009435BE" w:rsidRPr="0068236B" w:rsidRDefault="009435BE" w:rsidP="00D24CEF">
      <w:pPr>
        <w:pStyle w:val="ListBullet"/>
        <w:numPr>
          <w:ilvl w:val="0"/>
          <w:numId w:val="97"/>
        </w:numPr>
        <w:rPr>
          <w:sz w:val="20"/>
        </w:rPr>
      </w:pPr>
      <w:r w:rsidRPr="0068236B">
        <w:rPr>
          <w:sz w:val="20"/>
        </w:rPr>
        <w:t>Project Option 2, Alternative 1 is located in two Macedonian municipalities: Gevgelija and Va</w:t>
      </w:r>
      <w:r w:rsidRPr="0068236B">
        <w:rPr>
          <w:sz w:val="20"/>
        </w:rPr>
        <w:t>l</w:t>
      </w:r>
      <w:r w:rsidRPr="0068236B">
        <w:rPr>
          <w:sz w:val="20"/>
        </w:rPr>
        <w:t>andovo, passing through the administrative territory of four rural settlements with a total of 1,386 inhabitants.</w:t>
      </w:r>
    </w:p>
    <w:p w14:paraId="3C6FDC77" w14:textId="77777777" w:rsidR="009435BE" w:rsidRPr="0068236B" w:rsidRDefault="009435BE" w:rsidP="00D24CEF">
      <w:pPr>
        <w:pStyle w:val="ListBullet"/>
        <w:numPr>
          <w:ilvl w:val="0"/>
          <w:numId w:val="97"/>
        </w:numPr>
        <w:rPr>
          <w:sz w:val="20"/>
        </w:rPr>
      </w:pPr>
      <w:r w:rsidRPr="0068236B">
        <w:rPr>
          <w:sz w:val="20"/>
        </w:rPr>
        <w:t>No settlements are located in proximity to the proposed 400/110 kV substation - Alternative 2 of the Project Option 2.</w:t>
      </w:r>
    </w:p>
    <w:p w14:paraId="2A6995FA" w14:textId="77777777" w:rsidR="009435BE" w:rsidRPr="0068236B" w:rsidRDefault="009435BE" w:rsidP="00D24CEF">
      <w:pPr>
        <w:pStyle w:val="ListBullet"/>
        <w:numPr>
          <w:ilvl w:val="0"/>
          <w:numId w:val="97"/>
        </w:numPr>
        <w:rPr>
          <w:sz w:val="20"/>
        </w:rPr>
      </w:pPr>
      <w:r w:rsidRPr="0068236B">
        <w:rPr>
          <w:sz w:val="20"/>
        </w:rPr>
        <w:t>Both alternatives of the Project Option 2 are located in environmental area of low sensitivity and no legally protected areas or internationally recognized areas are to be affected by the Pr</w:t>
      </w:r>
      <w:r w:rsidRPr="0068236B">
        <w:rPr>
          <w:sz w:val="20"/>
        </w:rPr>
        <w:t>o</w:t>
      </w:r>
      <w:r w:rsidRPr="0068236B">
        <w:rPr>
          <w:sz w:val="20"/>
        </w:rPr>
        <w:t>ject implementation.</w:t>
      </w:r>
    </w:p>
    <w:p w14:paraId="2FAB5C02" w14:textId="77777777" w:rsidR="009435BE" w:rsidRPr="0068236B" w:rsidRDefault="009435BE" w:rsidP="00D24CEF">
      <w:pPr>
        <w:pStyle w:val="ListBullet"/>
        <w:numPr>
          <w:ilvl w:val="0"/>
          <w:numId w:val="97"/>
        </w:numPr>
        <w:rPr>
          <w:sz w:val="20"/>
        </w:rPr>
      </w:pPr>
      <w:r w:rsidRPr="0068236B">
        <w:rPr>
          <w:rFonts w:eastAsia="Calibri"/>
          <w:sz w:val="20"/>
        </w:rPr>
        <w:t xml:space="preserve">No major constraints were identified from the social aspect – proximity to properties - that </w:t>
      </w:r>
      <w:r w:rsidRPr="0068236B">
        <w:rPr>
          <w:rFonts w:eastAsia="Calibri"/>
          <w:sz w:val="20"/>
          <w:szCs w:val="20"/>
        </w:rPr>
        <w:t>would constitute significant project compliance risk.</w:t>
      </w:r>
      <w:r w:rsidRPr="0068236B">
        <w:rPr>
          <w:rFonts w:eastAsia="Calibri"/>
          <w:sz w:val="20"/>
        </w:rPr>
        <w:t xml:space="preserve"> </w:t>
      </w:r>
      <w:r w:rsidRPr="0068236B">
        <w:rPr>
          <w:sz w:val="20"/>
        </w:rPr>
        <w:t>Several particular locations with social se</w:t>
      </w:r>
      <w:r w:rsidRPr="0068236B">
        <w:rPr>
          <w:sz w:val="20"/>
        </w:rPr>
        <w:t>n</w:t>
      </w:r>
      <w:r w:rsidRPr="0068236B">
        <w:rPr>
          <w:sz w:val="20"/>
        </w:rPr>
        <w:t>sitivities within the study area (1,000 metres wide corridor) along the Project Option 2, Altern</w:t>
      </w:r>
      <w:r w:rsidRPr="0068236B">
        <w:rPr>
          <w:sz w:val="20"/>
        </w:rPr>
        <w:t>a</w:t>
      </w:r>
      <w:r w:rsidRPr="0068236B">
        <w:rPr>
          <w:sz w:val="20"/>
        </w:rPr>
        <w:t>tive 1 which require further avoidance actions are identified.</w:t>
      </w:r>
    </w:p>
    <w:p w14:paraId="5BF57771" w14:textId="24C469F6" w:rsidR="009435BE" w:rsidRPr="0068236B" w:rsidRDefault="009435BE" w:rsidP="00D24CEF">
      <w:pPr>
        <w:pStyle w:val="ListBullet"/>
        <w:numPr>
          <w:ilvl w:val="0"/>
          <w:numId w:val="97"/>
        </w:numPr>
        <w:rPr>
          <w:sz w:val="20"/>
        </w:rPr>
      </w:pPr>
      <w:r w:rsidRPr="0068236B">
        <w:rPr>
          <w:sz w:val="20"/>
        </w:rPr>
        <w:lastRenderedPageBreak/>
        <w:t>The Alternative 1 – the corridor In-Out 400 kV OHL Dubrovo – Valandovo – crosses the protec</w:t>
      </w:r>
      <w:r w:rsidRPr="0068236B">
        <w:rPr>
          <w:sz w:val="20"/>
        </w:rPr>
        <w:t>t</w:t>
      </w:r>
      <w:r w:rsidRPr="0068236B">
        <w:rPr>
          <w:sz w:val="20"/>
        </w:rPr>
        <w:t xml:space="preserve">ed cultural heritage site </w:t>
      </w:r>
      <w:r w:rsidR="00EF7378" w:rsidRPr="0068236B">
        <w:rPr>
          <w:sz w:val="20"/>
          <w:szCs w:val="20"/>
        </w:rPr>
        <w:t>Gradishor-Mramor</w:t>
      </w:r>
      <w:r w:rsidRPr="0068236B">
        <w:rPr>
          <w:sz w:val="20"/>
          <w:szCs w:val="20"/>
        </w:rPr>
        <w:t xml:space="preserve">, posing a constraint of particular concern. </w:t>
      </w:r>
      <w:r w:rsidRPr="0068236B">
        <w:rPr>
          <w:sz w:val="20"/>
        </w:rPr>
        <w:t>If this a</w:t>
      </w:r>
      <w:r w:rsidRPr="0068236B">
        <w:rPr>
          <w:sz w:val="20"/>
        </w:rPr>
        <w:t>l</w:t>
      </w:r>
      <w:r w:rsidRPr="0068236B">
        <w:rPr>
          <w:sz w:val="20"/>
        </w:rPr>
        <w:t>ternative is selected as preferred one and put forward for further development,</w:t>
      </w:r>
      <w:r w:rsidRPr="0068236B">
        <w:rPr>
          <w:bCs/>
          <w:iCs/>
          <w:sz w:val="20"/>
        </w:rPr>
        <w:t xml:space="preserve"> eventual corr</w:t>
      </w:r>
      <w:r w:rsidRPr="0068236B">
        <w:rPr>
          <w:bCs/>
          <w:iCs/>
          <w:sz w:val="20"/>
        </w:rPr>
        <w:t>i</w:t>
      </w:r>
      <w:r w:rsidRPr="0068236B">
        <w:rPr>
          <w:bCs/>
          <w:iCs/>
          <w:sz w:val="20"/>
        </w:rPr>
        <w:t xml:space="preserve">dor routing constraints or restrictions in respect to this designated site (including eventual need for its full avoidance, if possible) need to be verified by the competent authorities for protection of the cultural heritage throughout the upcoming stakeholder engagement process. </w:t>
      </w:r>
    </w:p>
    <w:p w14:paraId="72F40529" w14:textId="77777777" w:rsidR="00D82DB2" w:rsidRPr="0068236B" w:rsidRDefault="00D82DB2" w:rsidP="00D072F2">
      <w:pPr>
        <w:ind w:left="720" w:firstLine="720"/>
        <w:jc w:val="left"/>
        <w:rPr>
          <w:sz w:val="20"/>
          <w:u w:val="single"/>
          <w:lang w:bidi="en-US"/>
        </w:rPr>
      </w:pPr>
      <w:bookmarkStart w:id="119" w:name="_Toc67075964"/>
      <w:r w:rsidRPr="0068236B">
        <w:rPr>
          <w:sz w:val="20"/>
          <w:u w:val="single"/>
        </w:rPr>
        <w:t>Project Capital Costs</w:t>
      </w:r>
      <w:bookmarkEnd w:id="119"/>
      <w:r w:rsidRPr="0068236B">
        <w:rPr>
          <w:sz w:val="20"/>
          <w:u w:val="single"/>
          <w:lang w:bidi="en-US"/>
        </w:rPr>
        <w:t xml:space="preserve"> </w:t>
      </w:r>
    </w:p>
    <w:p w14:paraId="1676F14E" w14:textId="77777777" w:rsidR="00D82DB2" w:rsidRPr="0068236B" w:rsidRDefault="00D82DB2" w:rsidP="00D072F2">
      <w:pPr>
        <w:rPr>
          <w:rFonts w:cs="Tahoma"/>
          <w:sz w:val="20"/>
        </w:rPr>
      </w:pPr>
      <w:r w:rsidRPr="0068236B">
        <w:rPr>
          <w:rFonts w:cs="Tahoma"/>
          <w:sz w:val="20"/>
        </w:rPr>
        <w:t>The capital costs (CAPEX) for each of the identified options and alternatives have been estimated by incl</w:t>
      </w:r>
      <w:r w:rsidRPr="0068236B">
        <w:rPr>
          <w:rFonts w:cs="Tahoma"/>
          <w:sz w:val="20"/>
        </w:rPr>
        <w:t>u</w:t>
      </w:r>
      <w:r w:rsidRPr="0068236B">
        <w:rPr>
          <w:rFonts w:cs="Tahoma"/>
          <w:sz w:val="20"/>
        </w:rPr>
        <w:t>sion of the following elements:</w:t>
      </w:r>
    </w:p>
    <w:p w14:paraId="6C13F71A" w14:textId="2341992F" w:rsidR="00D82DB2" w:rsidRPr="0068236B" w:rsidRDefault="00D82DB2" w:rsidP="00D24CEF">
      <w:pPr>
        <w:pStyle w:val="ListBullet"/>
        <w:numPr>
          <w:ilvl w:val="0"/>
          <w:numId w:val="97"/>
        </w:numPr>
        <w:jc w:val="left"/>
        <w:rPr>
          <w:rFonts w:cs="Tahoma"/>
          <w:sz w:val="20"/>
        </w:rPr>
      </w:pPr>
      <w:r w:rsidRPr="0068236B">
        <w:rPr>
          <w:rFonts w:cs="Tahoma"/>
          <w:sz w:val="20"/>
        </w:rPr>
        <w:t xml:space="preserve">Costs of construction of new 2x110 kV </w:t>
      </w:r>
      <w:r w:rsidR="00876929" w:rsidRPr="0068236B">
        <w:rPr>
          <w:rFonts w:cs="Tahoma"/>
          <w:sz w:val="20"/>
        </w:rPr>
        <w:t xml:space="preserve">line </w:t>
      </w:r>
      <w:r w:rsidRPr="0068236B">
        <w:rPr>
          <w:rFonts w:cs="Tahoma"/>
          <w:sz w:val="20"/>
        </w:rPr>
        <w:t xml:space="preserve">or 400 kV </w:t>
      </w:r>
      <w:r w:rsidR="00876929" w:rsidRPr="0068236B">
        <w:rPr>
          <w:rFonts w:cs="Tahoma"/>
          <w:sz w:val="20"/>
        </w:rPr>
        <w:t>line</w:t>
      </w:r>
    </w:p>
    <w:p w14:paraId="54FBA25F" w14:textId="10F1406D" w:rsidR="00D82DB2" w:rsidRPr="0068236B" w:rsidRDefault="00D82DB2" w:rsidP="00D24CEF">
      <w:pPr>
        <w:pStyle w:val="ListBullet"/>
        <w:numPr>
          <w:ilvl w:val="0"/>
          <w:numId w:val="97"/>
        </w:numPr>
        <w:jc w:val="left"/>
        <w:rPr>
          <w:rFonts w:cs="Tahoma"/>
          <w:sz w:val="20"/>
        </w:rPr>
      </w:pPr>
      <w:r w:rsidRPr="0068236B">
        <w:rPr>
          <w:rFonts w:cs="Tahoma"/>
          <w:sz w:val="20"/>
        </w:rPr>
        <w:t>Costs of constru</w:t>
      </w:r>
      <w:r w:rsidR="00876929" w:rsidRPr="0068236B">
        <w:rPr>
          <w:rFonts w:cs="Tahoma"/>
          <w:sz w:val="20"/>
        </w:rPr>
        <w:t>ction of new 400/110</w:t>
      </w:r>
      <w:r w:rsidR="00203209" w:rsidRPr="0068236B">
        <w:rPr>
          <w:rFonts w:cs="Tahoma"/>
          <w:sz w:val="20"/>
        </w:rPr>
        <w:t xml:space="preserve"> </w:t>
      </w:r>
      <w:r w:rsidR="00876929" w:rsidRPr="0068236B">
        <w:rPr>
          <w:rFonts w:cs="Tahoma"/>
          <w:sz w:val="20"/>
        </w:rPr>
        <w:t>kV substation</w:t>
      </w:r>
      <w:r w:rsidRPr="0068236B">
        <w:rPr>
          <w:rFonts w:cs="Tahoma"/>
          <w:sz w:val="20"/>
        </w:rPr>
        <w:t>;</w:t>
      </w:r>
    </w:p>
    <w:p w14:paraId="5490EF27" w14:textId="1C75C8C1" w:rsidR="00D82DB2" w:rsidRPr="0068236B" w:rsidRDefault="00D82DB2" w:rsidP="00D24CEF">
      <w:pPr>
        <w:pStyle w:val="ListBullet"/>
        <w:numPr>
          <w:ilvl w:val="0"/>
          <w:numId w:val="97"/>
        </w:numPr>
        <w:jc w:val="left"/>
        <w:rPr>
          <w:rFonts w:cs="Tahoma"/>
          <w:sz w:val="20"/>
        </w:rPr>
      </w:pPr>
      <w:r w:rsidRPr="0068236B">
        <w:rPr>
          <w:rFonts w:cs="Tahoma"/>
          <w:sz w:val="20"/>
        </w:rPr>
        <w:t>Costs of construction of 400 kV and 110 kV lin</w:t>
      </w:r>
      <w:r w:rsidR="00876929" w:rsidRPr="0068236B">
        <w:rPr>
          <w:rFonts w:cs="Tahoma"/>
          <w:sz w:val="20"/>
        </w:rPr>
        <w:t>es to be lead-in into the new substation</w:t>
      </w:r>
      <w:r w:rsidRPr="0068236B">
        <w:rPr>
          <w:rFonts w:cs="Tahoma"/>
          <w:sz w:val="20"/>
        </w:rPr>
        <w:t>;</w:t>
      </w:r>
    </w:p>
    <w:p w14:paraId="5733806F" w14:textId="77777777" w:rsidR="00D82DB2" w:rsidRPr="0068236B" w:rsidRDefault="00D82DB2" w:rsidP="00D24CEF">
      <w:pPr>
        <w:pStyle w:val="ListBullet"/>
        <w:numPr>
          <w:ilvl w:val="0"/>
          <w:numId w:val="97"/>
        </w:numPr>
        <w:jc w:val="left"/>
        <w:rPr>
          <w:rFonts w:cs="Tahoma"/>
          <w:sz w:val="20"/>
        </w:rPr>
      </w:pPr>
      <w:r w:rsidRPr="0068236B">
        <w:rPr>
          <w:rFonts w:cs="Tahoma"/>
          <w:sz w:val="20"/>
        </w:rPr>
        <w:t>Land acquisition, right of way and compensations costs, based on recent implemented projects</w:t>
      </w:r>
    </w:p>
    <w:p w14:paraId="6DD31749" w14:textId="77777777" w:rsidR="00D82DB2" w:rsidRPr="0068236B" w:rsidRDefault="00D82DB2" w:rsidP="00D24CEF">
      <w:pPr>
        <w:pStyle w:val="ListBullet"/>
        <w:numPr>
          <w:ilvl w:val="0"/>
          <w:numId w:val="97"/>
        </w:numPr>
        <w:jc w:val="left"/>
        <w:rPr>
          <w:rFonts w:cs="Tahoma"/>
          <w:sz w:val="20"/>
        </w:rPr>
      </w:pPr>
      <w:r w:rsidRPr="0068236B">
        <w:rPr>
          <w:rFonts w:cs="Tahoma"/>
          <w:sz w:val="20"/>
        </w:rPr>
        <w:t>Project procedure costs (construction and other permits, design, project supervision and mon</w:t>
      </w:r>
      <w:r w:rsidRPr="0068236B">
        <w:rPr>
          <w:rFonts w:cs="Tahoma"/>
          <w:sz w:val="20"/>
        </w:rPr>
        <w:t>i</w:t>
      </w:r>
      <w:r w:rsidRPr="0068236B">
        <w:rPr>
          <w:rFonts w:cs="Tahoma"/>
          <w:sz w:val="20"/>
        </w:rPr>
        <w:t>toring, etc.).</w:t>
      </w:r>
    </w:p>
    <w:p w14:paraId="56313A1D" w14:textId="77777777" w:rsidR="00D82DB2" w:rsidRPr="0068236B" w:rsidRDefault="00D82DB2" w:rsidP="004469B7">
      <w:pPr>
        <w:rPr>
          <w:sz w:val="20"/>
        </w:rPr>
      </w:pPr>
      <w:r w:rsidRPr="0068236B">
        <w:rPr>
          <w:rFonts w:cs="Tahoma"/>
          <w:sz w:val="20"/>
        </w:rPr>
        <w:t>The overview of the calculated P</w:t>
      </w:r>
      <w:r w:rsidRPr="0068236B">
        <w:rPr>
          <w:sz w:val="20"/>
        </w:rPr>
        <w:t xml:space="preserve">roject capital cost of each identified option </w:t>
      </w:r>
      <w:r w:rsidR="00E60CCF" w:rsidRPr="0068236B">
        <w:rPr>
          <w:sz w:val="20"/>
        </w:rPr>
        <w:t>and alternatives within the o</w:t>
      </w:r>
      <w:r w:rsidR="00E60CCF" w:rsidRPr="0068236B">
        <w:rPr>
          <w:sz w:val="20"/>
        </w:rPr>
        <w:t>p</w:t>
      </w:r>
      <w:r w:rsidR="00E60CCF" w:rsidRPr="0068236B">
        <w:rPr>
          <w:sz w:val="20"/>
        </w:rPr>
        <w:t xml:space="preserve">tions </w:t>
      </w:r>
      <w:r w:rsidRPr="0068236B">
        <w:rPr>
          <w:sz w:val="20"/>
        </w:rPr>
        <w:t>is shown in the Table below.</w:t>
      </w:r>
    </w:p>
    <w:tbl>
      <w:tblPr>
        <w:tblW w:w="6686" w:type="dxa"/>
        <w:tblBorders>
          <w:top w:val="double" w:sz="4" w:space="0" w:color="auto"/>
          <w:left w:val="double" w:sz="6" w:space="0" w:color="auto"/>
          <w:bottom w:val="double" w:sz="6" w:space="0" w:color="auto"/>
          <w:right w:val="double" w:sz="6"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3425"/>
        <w:gridCol w:w="3261"/>
      </w:tblGrid>
      <w:tr w:rsidR="00D82DB2" w:rsidRPr="0068236B" w14:paraId="6A04DC04" w14:textId="77777777" w:rsidTr="00E60CCF">
        <w:trPr>
          <w:trHeight w:val="20"/>
          <w:tblHeader/>
        </w:trPr>
        <w:tc>
          <w:tcPr>
            <w:tcW w:w="3425" w:type="dxa"/>
            <w:tcBorders>
              <w:top w:val="double" w:sz="4" w:space="0" w:color="auto"/>
              <w:left w:val="double" w:sz="4" w:space="0" w:color="auto"/>
              <w:bottom w:val="double" w:sz="4" w:space="0" w:color="auto"/>
              <w:right w:val="double" w:sz="4" w:space="0" w:color="auto"/>
            </w:tcBorders>
            <w:shd w:val="clear" w:color="auto" w:fill="D5DCE4"/>
            <w:vAlign w:val="center"/>
            <w:hideMark/>
          </w:tcPr>
          <w:p w14:paraId="398F4845" w14:textId="77777777" w:rsidR="00D072F2" w:rsidRPr="0068236B" w:rsidRDefault="00D82DB2" w:rsidP="000062F5">
            <w:pPr>
              <w:widowControl w:val="0"/>
              <w:tabs>
                <w:tab w:val="left" w:pos="7600"/>
              </w:tabs>
              <w:spacing w:before="0" w:after="0" w:line="240" w:lineRule="auto"/>
              <w:ind w:left="97" w:right="-20"/>
              <w:jc w:val="center"/>
              <w:rPr>
                <w:rFonts w:eastAsia="Calibri" w:cs="Arial"/>
                <w:sz w:val="20"/>
                <w:szCs w:val="20"/>
              </w:rPr>
            </w:pPr>
            <w:r w:rsidRPr="0068236B">
              <w:rPr>
                <w:rFonts w:eastAsia="Calibri" w:cs="Arial"/>
                <w:sz w:val="20"/>
                <w:szCs w:val="20"/>
              </w:rPr>
              <w:t>Project Options</w:t>
            </w:r>
            <w:r w:rsidR="00D072F2" w:rsidRPr="0068236B">
              <w:rPr>
                <w:rFonts w:eastAsia="Calibri" w:cs="Arial"/>
                <w:sz w:val="20"/>
                <w:szCs w:val="20"/>
              </w:rPr>
              <w:t xml:space="preserve"> /</w:t>
            </w:r>
          </w:p>
          <w:p w14:paraId="48D461D2" w14:textId="77777777" w:rsidR="00D82DB2" w:rsidRPr="0068236B" w:rsidRDefault="00D82DB2" w:rsidP="000062F5">
            <w:pPr>
              <w:widowControl w:val="0"/>
              <w:tabs>
                <w:tab w:val="left" w:pos="7600"/>
              </w:tabs>
              <w:spacing w:before="0" w:after="0" w:line="240" w:lineRule="auto"/>
              <w:ind w:left="97" w:right="-20"/>
              <w:jc w:val="center"/>
              <w:rPr>
                <w:rFonts w:eastAsia="Calibri" w:cs="Arial"/>
                <w:sz w:val="20"/>
                <w:szCs w:val="20"/>
              </w:rPr>
            </w:pPr>
            <w:r w:rsidRPr="0068236B">
              <w:rPr>
                <w:rFonts w:eastAsia="Calibri" w:cs="Arial"/>
                <w:sz w:val="20"/>
                <w:szCs w:val="20"/>
              </w:rPr>
              <w:t>Alternatives within Options</w:t>
            </w:r>
          </w:p>
        </w:tc>
        <w:tc>
          <w:tcPr>
            <w:tcW w:w="3261" w:type="dxa"/>
            <w:tcBorders>
              <w:top w:val="double" w:sz="4" w:space="0" w:color="auto"/>
              <w:left w:val="double" w:sz="4" w:space="0" w:color="auto"/>
              <w:bottom w:val="double" w:sz="4" w:space="0" w:color="auto"/>
              <w:right w:val="double" w:sz="4" w:space="0" w:color="auto"/>
            </w:tcBorders>
            <w:shd w:val="clear" w:color="auto" w:fill="D5DCE4"/>
            <w:vAlign w:val="center"/>
            <w:hideMark/>
          </w:tcPr>
          <w:p w14:paraId="16B99E91" w14:textId="77777777" w:rsidR="00D82DB2" w:rsidRPr="0068236B" w:rsidRDefault="00D82DB2" w:rsidP="000062F5">
            <w:pPr>
              <w:widowControl w:val="0"/>
              <w:tabs>
                <w:tab w:val="left" w:pos="7600"/>
              </w:tabs>
              <w:spacing w:before="0" w:after="0" w:line="240" w:lineRule="auto"/>
              <w:jc w:val="center"/>
              <w:rPr>
                <w:rFonts w:eastAsia="Calibri" w:cs="Arial"/>
                <w:color w:val="A6A6A6"/>
                <w:sz w:val="20"/>
                <w:szCs w:val="20"/>
              </w:rPr>
            </w:pPr>
            <w:r w:rsidRPr="0068236B">
              <w:rPr>
                <w:rFonts w:eastAsia="Calibri" w:cs="Arial"/>
                <w:sz w:val="20"/>
                <w:szCs w:val="20"/>
              </w:rPr>
              <w:t>Project Costs (000 €)</w:t>
            </w:r>
          </w:p>
        </w:tc>
      </w:tr>
      <w:tr w:rsidR="00D82DB2" w:rsidRPr="0068236B" w14:paraId="3875BDA7" w14:textId="77777777" w:rsidTr="000062F5">
        <w:trPr>
          <w:trHeight w:val="20"/>
        </w:trPr>
        <w:tc>
          <w:tcPr>
            <w:tcW w:w="3425" w:type="dxa"/>
            <w:tcBorders>
              <w:top w:val="double" w:sz="4" w:space="0" w:color="auto"/>
            </w:tcBorders>
            <w:shd w:val="clear" w:color="auto" w:fill="BFBFBF" w:themeFill="background1" w:themeFillShade="BF"/>
            <w:hideMark/>
          </w:tcPr>
          <w:p w14:paraId="57798042" w14:textId="77777777" w:rsidR="00D82DB2" w:rsidRPr="0068236B" w:rsidRDefault="00D82DB2" w:rsidP="00E60CCF">
            <w:pPr>
              <w:widowControl w:val="0"/>
              <w:tabs>
                <w:tab w:val="left" w:pos="7600"/>
              </w:tabs>
              <w:spacing w:line="240" w:lineRule="auto"/>
              <w:ind w:left="97" w:right="-20"/>
              <w:jc w:val="center"/>
              <w:rPr>
                <w:rFonts w:eastAsia="Calibri" w:cs="Arial"/>
                <w:position w:val="-1"/>
                <w:sz w:val="20"/>
                <w:szCs w:val="20"/>
              </w:rPr>
            </w:pPr>
            <w:r w:rsidRPr="0068236B">
              <w:rPr>
                <w:rFonts w:cs="Arial"/>
                <w:sz w:val="20"/>
                <w:szCs w:val="20"/>
              </w:rPr>
              <w:t>Option 0 (No Project)</w:t>
            </w:r>
          </w:p>
        </w:tc>
        <w:tc>
          <w:tcPr>
            <w:tcW w:w="3261" w:type="dxa"/>
            <w:tcBorders>
              <w:top w:val="double" w:sz="4" w:space="0" w:color="auto"/>
            </w:tcBorders>
            <w:shd w:val="clear" w:color="auto" w:fill="BFBFBF" w:themeFill="background1" w:themeFillShade="BF"/>
            <w:hideMark/>
          </w:tcPr>
          <w:p w14:paraId="6B3A5903" w14:textId="77777777" w:rsidR="00D82DB2" w:rsidRPr="0068236B" w:rsidRDefault="00D82DB2" w:rsidP="00E60CCF">
            <w:pPr>
              <w:spacing w:line="240" w:lineRule="auto"/>
              <w:jc w:val="center"/>
              <w:rPr>
                <w:rFonts w:cs="Arial"/>
                <w:color w:val="A6A6A6"/>
                <w:sz w:val="20"/>
                <w:szCs w:val="20"/>
              </w:rPr>
            </w:pPr>
          </w:p>
        </w:tc>
      </w:tr>
      <w:tr w:rsidR="00D82DB2" w:rsidRPr="0068236B" w14:paraId="28B7AA2A" w14:textId="77777777" w:rsidTr="000062F5">
        <w:trPr>
          <w:trHeight w:val="20"/>
        </w:trPr>
        <w:tc>
          <w:tcPr>
            <w:tcW w:w="3425" w:type="dxa"/>
            <w:shd w:val="clear" w:color="auto" w:fill="auto"/>
            <w:hideMark/>
          </w:tcPr>
          <w:p w14:paraId="17F9895C" w14:textId="77777777" w:rsidR="00D82DB2" w:rsidRPr="0068236B" w:rsidRDefault="00D82DB2" w:rsidP="000062F5">
            <w:pPr>
              <w:widowControl w:val="0"/>
              <w:tabs>
                <w:tab w:val="left" w:pos="7600"/>
              </w:tabs>
              <w:spacing w:before="0" w:after="0" w:line="240" w:lineRule="auto"/>
              <w:ind w:left="97" w:right="-20"/>
              <w:rPr>
                <w:rFonts w:cs="Arial"/>
                <w:sz w:val="20"/>
                <w:szCs w:val="20"/>
              </w:rPr>
            </w:pPr>
            <w:r w:rsidRPr="0068236B">
              <w:rPr>
                <w:rFonts w:cs="Arial"/>
                <w:sz w:val="20"/>
                <w:szCs w:val="20"/>
              </w:rPr>
              <w:t xml:space="preserve">No Project </w:t>
            </w:r>
          </w:p>
        </w:tc>
        <w:tc>
          <w:tcPr>
            <w:tcW w:w="3261" w:type="dxa"/>
            <w:shd w:val="clear" w:color="auto" w:fill="auto"/>
            <w:hideMark/>
          </w:tcPr>
          <w:p w14:paraId="5B175228" w14:textId="77777777" w:rsidR="00D82DB2" w:rsidRPr="0068236B" w:rsidRDefault="00D82DB2" w:rsidP="000062F5">
            <w:pPr>
              <w:spacing w:before="0" w:after="0" w:line="240" w:lineRule="auto"/>
              <w:jc w:val="center"/>
              <w:rPr>
                <w:rFonts w:cs="Arial"/>
                <w:sz w:val="20"/>
                <w:szCs w:val="20"/>
              </w:rPr>
            </w:pPr>
            <w:r w:rsidRPr="0068236B">
              <w:rPr>
                <w:rFonts w:cs="Arial"/>
                <w:sz w:val="20"/>
                <w:szCs w:val="20"/>
              </w:rPr>
              <w:t>0</w:t>
            </w:r>
          </w:p>
        </w:tc>
      </w:tr>
      <w:tr w:rsidR="00D82DB2" w:rsidRPr="0068236B" w14:paraId="37EB348B" w14:textId="77777777" w:rsidTr="000062F5">
        <w:trPr>
          <w:trHeight w:val="20"/>
        </w:trPr>
        <w:tc>
          <w:tcPr>
            <w:tcW w:w="3425" w:type="dxa"/>
            <w:shd w:val="clear" w:color="auto" w:fill="BFBFBF" w:themeFill="background1" w:themeFillShade="BF"/>
            <w:hideMark/>
          </w:tcPr>
          <w:p w14:paraId="2907DABC" w14:textId="77777777" w:rsidR="00D82DB2" w:rsidRPr="0068236B" w:rsidRDefault="00D82DB2" w:rsidP="00E60CCF">
            <w:pPr>
              <w:widowControl w:val="0"/>
              <w:tabs>
                <w:tab w:val="left" w:pos="7600"/>
              </w:tabs>
              <w:spacing w:line="240" w:lineRule="auto"/>
              <w:ind w:left="97" w:right="-20"/>
              <w:jc w:val="center"/>
              <w:rPr>
                <w:rFonts w:cs="Arial"/>
                <w:sz w:val="20"/>
                <w:szCs w:val="20"/>
              </w:rPr>
            </w:pPr>
            <w:r w:rsidRPr="0068236B">
              <w:rPr>
                <w:rFonts w:cs="Arial"/>
                <w:sz w:val="20"/>
                <w:szCs w:val="20"/>
              </w:rPr>
              <w:t>Option 1</w:t>
            </w:r>
          </w:p>
        </w:tc>
        <w:tc>
          <w:tcPr>
            <w:tcW w:w="3261" w:type="dxa"/>
            <w:shd w:val="clear" w:color="auto" w:fill="BFBFBF" w:themeFill="background1" w:themeFillShade="BF"/>
            <w:hideMark/>
          </w:tcPr>
          <w:p w14:paraId="2D5F3118" w14:textId="77777777" w:rsidR="00D82DB2" w:rsidRPr="0068236B" w:rsidRDefault="00D82DB2" w:rsidP="00E60CCF">
            <w:pPr>
              <w:spacing w:line="240" w:lineRule="auto"/>
              <w:jc w:val="left"/>
              <w:rPr>
                <w:rFonts w:cs="Arial"/>
                <w:sz w:val="20"/>
                <w:szCs w:val="20"/>
              </w:rPr>
            </w:pPr>
          </w:p>
        </w:tc>
      </w:tr>
      <w:tr w:rsidR="00D82DB2" w:rsidRPr="0068236B" w14:paraId="69782396" w14:textId="77777777" w:rsidTr="000062F5">
        <w:trPr>
          <w:trHeight w:val="20"/>
        </w:trPr>
        <w:tc>
          <w:tcPr>
            <w:tcW w:w="3425" w:type="dxa"/>
          </w:tcPr>
          <w:p w14:paraId="554B95A2" w14:textId="77777777" w:rsidR="00D82DB2" w:rsidRPr="0068236B" w:rsidRDefault="00D82DB2" w:rsidP="000062F5">
            <w:pPr>
              <w:widowControl w:val="0"/>
              <w:tabs>
                <w:tab w:val="left" w:pos="7600"/>
              </w:tabs>
              <w:spacing w:before="0" w:after="0" w:line="240" w:lineRule="auto"/>
              <w:ind w:left="97" w:right="-20"/>
              <w:jc w:val="left"/>
              <w:rPr>
                <w:rFonts w:eastAsia="Calibri" w:cs="Arial"/>
                <w:position w:val="-1"/>
                <w:sz w:val="20"/>
                <w:szCs w:val="20"/>
              </w:rPr>
            </w:pPr>
            <w:r w:rsidRPr="0068236B">
              <w:rPr>
                <w:sz w:val="20"/>
                <w:szCs w:val="20"/>
              </w:rPr>
              <w:t>Option 1 - Alternative 1</w:t>
            </w:r>
          </w:p>
        </w:tc>
        <w:tc>
          <w:tcPr>
            <w:tcW w:w="3261" w:type="dxa"/>
          </w:tcPr>
          <w:p w14:paraId="4FB83939" w14:textId="77777777" w:rsidR="00D82DB2" w:rsidRPr="0068236B" w:rsidRDefault="00D82DB2" w:rsidP="000062F5">
            <w:pPr>
              <w:spacing w:before="0" w:after="0" w:line="240" w:lineRule="auto"/>
              <w:jc w:val="center"/>
              <w:rPr>
                <w:rFonts w:cs="Arial"/>
                <w:color w:val="A6A6A6"/>
                <w:sz w:val="20"/>
                <w:szCs w:val="20"/>
              </w:rPr>
            </w:pPr>
            <w:r w:rsidRPr="0068236B">
              <w:rPr>
                <w:sz w:val="20"/>
                <w:szCs w:val="20"/>
              </w:rPr>
              <w:t>16,890</w:t>
            </w:r>
          </w:p>
        </w:tc>
      </w:tr>
      <w:tr w:rsidR="00D82DB2" w:rsidRPr="0068236B" w14:paraId="11D11682" w14:textId="77777777" w:rsidTr="000062F5">
        <w:trPr>
          <w:trHeight w:val="20"/>
        </w:trPr>
        <w:tc>
          <w:tcPr>
            <w:tcW w:w="3425" w:type="dxa"/>
          </w:tcPr>
          <w:p w14:paraId="40FA1034" w14:textId="77777777" w:rsidR="00D82DB2" w:rsidRPr="0068236B" w:rsidRDefault="00D82DB2" w:rsidP="000062F5">
            <w:pPr>
              <w:widowControl w:val="0"/>
              <w:tabs>
                <w:tab w:val="left" w:pos="7600"/>
              </w:tabs>
              <w:spacing w:before="0" w:after="0" w:line="240" w:lineRule="auto"/>
              <w:ind w:left="97" w:right="-20"/>
              <w:jc w:val="left"/>
              <w:rPr>
                <w:rFonts w:eastAsia="Calibri" w:cs="Arial"/>
                <w:position w:val="-1"/>
                <w:sz w:val="20"/>
                <w:szCs w:val="20"/>
              </w:rPr>
            </w:pPr>
            <w:r w:rsidRPr="0068236B">
              <w:rPr>
                <w:sz w:val="20"/>
                <w:szCs w:val="20"/>
              </w:rPr>
              <w:t>Option 1 - Alternative 2</w:t>
            </w:r>
          </w:p>
        </w:tc>
        <w:tc>
          <w:tcPr>
            <w:tcW w:w="3261" w:type="dxa"/>
          </w:tcPr>
          <w:p w14:paraId="544C6525" w14:textId="77777777" w:rsidR="00D82DB2" w:rsidRPr="0068236B" w:rsidRDefault="00D82DB2" w:rsidP="000062F5">
            <w:pPr>
              <w:spacing w:before="0" w:after="0" w:line="240" w:lineRule="auto"/>
              <w:jc w:val="center"/>
              <w:rPr>
                <w:rFonts w:cs="Arial"/>
                <w:color w:val="A6A6A6"/>
                <w:sz w:val="20"/>
                <w:szCs w:val="20"/>
              </w:rPr>
            </w:pPr>
            <w:r w:rsidRPr="0068236B">
              <w:rPr>
                <w:sz w:val="20"/>
                <w:szCs w:val="20"/>
              </w:rPr>
              <w:t>20,390</w:t>
            </w:r>
          </w:p>
        </w:tc>
      </w:tr>
      <w:tr w:rsidR="00D82DB2" w:rsidRPr="0068236B" w14:paraId="4FE7DB9D" w14:textId="77777777" w:rsidTr="000062F5">
        <w:trPr>
          <w:trHeight w:val="20"/>
        </w:trPr>
        <w:tc>
          <w:tcPr>
            <w:tcW w:w="3425" w:type="dxa"/>
            <w:shd w:val="clear" w:color="auto" w:fill="BFBFBF" w:themeFill="background1" w:themeFillShade="BF"/>
          </w:tcPr>
          <w:p w14:paraId="1D593971" w14:textId="77777777" w:rsidR="00D82DB2" w:rsidRPr="0068236B" w:rsidRDefault="00D82DB2" w:rsidP="00E60CCF">
            <w:pPr>
              <w:widowControl w:val="0"/>
              <w:tabs>
                <w:tab w:val="left" w:pos="7600"/>
              </w:tabs>
              <w:spacing w:line="240" w:lineRule="auto"/>
              <w:ind w:left="97" w:right="-20"/>
              <w:jc w:val="center"/>
              <w:rPr>
                <w:sz w:val="20"/>
                <w:szCs w:val="20"/>
              </w:rPr>
            </w:pPr>
            <w:r w:rsidRPr="0068236B">
              <w:rPr>
                <w:sz w:val="20"/>
                <w:szCs w:val="20"/>
              </w:rPr>
              <w:t>Option 2</w:t>
            </w:r>
          </w:p>
        </w:tc>
        <w:tc>
          <w:tcPr>
            <w:tcW w:w="3261" w:type="dxa"/>
            <w:shd w:val="clear" w:color="auto" w:fill="BFBFBF" w:themeFill="background1" w:themeFillShade="BF"/>
          </w:tcPr>
          <w:p w14:paraId="02FD7115" w14:textId="77777777" w:rsidR="00D82DB2" w:rsidRPr="0068236B" w:rsidRDefault="00D82DB2" w:rsidP="00E60CCF">
            <w:pPr>
              <w:spacing w:line="240" w:lineRule="auto"/>
              <w:jc w:val="center"/>
              <w:rPr>
                <w:sz w:val="20"/>
                <w:szCs w:val="20"/>
              </w:rPr>
            </w:pPr>
          </w:p>
        </w:tc>
      </w:tr>
      <w:tr w:rsidR="00D82DB2" w:rsidRPr="0068236B" w14:paraId="33716E0A" w14:textId="77777777" w:rsidTr="000062F5">
        <w:trPr>
          <w:trHeight w:val="20"/>
        </w:trPr>
        <w:tc>
          <w:tcPr>
            <w:tcW w:w="3425" w:type="dxa"/>
          </w:tcPr>
          <w:p w14:paraId="0CE0FD98" w14:textId="77777777" w:rsidR="00D82DB2" w:rsidRPr="0068236B" w:rsidRDefault="00D82DB2" w:rsidP="000062F5">
            <w:pPr>
              <w:widowControl w:val="0"/>
              <w:tabs>
                <w:tab w:val="left" w:pos="7600"/>
              </w:tabs>
              <w:spacing w:before="0" w:after="0" w:line="240" w:lineRule="auto"/>
              <w:ind w:left="97" w:right="-20"/>
              <w:jc w:val="left"/>
              <w:rPr>
                <w:rFonts w:eastAsia="Calibri" w:cs="Arial"/>
                <w:position w:val="-1"/>
                <w:sz w:val="20"/>
                <w:szCs w:val="20"/>
              </w:rPr>
            </w:pPr>
            <w:r w:rsidRPr="0068236B">
              <w:rPr>
                <w:sz w:val="20"/>
                <w:szCs w:val="20"/>
              </w:rPr>
              <w:t>Option 2 – Alternative 1</w:t>
            </w:r>
          </w:p>
        </w:tc>
        <w:tc>
          <w:tcPr>
            <w:tcW w:w="3261" w:type="dxa"/>
          </w:tcPr>
          <w:p w14:paraId="2E6D5562" w14:textId="77777777" w:rsidR="00D82DB2" w:rsidRPr="0068236B" w:rsidRDefault="00D82DB2" w:rsidP="000062F5">
            <w:pPr>
              <w:spacing w:before="0" w:after="0" w:line="240" w:lineRule="auto"/>
              <w:jc w:val="center"/>
              <w:rPr>
                <w:rFonts w:cs="Arial"/>
                <w:color w:val="A6A6A6"/>
                <w:sz w:val="20"/>
                <w:szCs w:val="20"/>
              </w:rPr>
            </w:pPr>
            <w:r w:rsidRPr="0068236B">
              <w:rPr>
                <w:sz w:val="20"/>
                <w:szCs w:val="20"/>
              </w:rPr>
              <w:t>21,530</w:t>
            </w:r>
          </w:p>
        </w:tc>
      </w:tr>
      <w:tr w:rsidR="00D82DB2" w:rsidRPr="0068236B" w14:paraId="17FEA18B" w14:textId="77777777" w:rsidTr="000062F5">
        <w:trPr>
          <w:trHeight w:val="20"/>
        </w:trPr>
        <w:tc>
          <w:tcPr>
            <w:tcW w:w="3425" w:type="dxa"/>
          </w:tcPr>
          <w:p w14:paraId="21973C84" w14:textId="77777777" w:rsidR="00D82DB2" w:rsidRPr="0068236B" w:rsidRDefault="00D82DB2" w:rsidP="000062F5">
            <w:pPr>
              <w:widowControl w:val="0"/>
              <w:tabs>
                <w:tab w:val="left" w:pos="7600"/>
              </w:tabs>
              <w:spacing w:before="0" w:after="0" w:line="240" w:lineRule="auto"/>
              <w:ind w:left="97" w:right="-20"/>
              <w:jc w:val="left"/>
              <w:rPr>
                <w:rFonts w:eastAsia="Calibri" w:cs="Arial"/>
                <w:position w:val="-1"/>
                <w:sz w:val="20"/>
                <w:szCs w:val="20"/>
              </w:rPr>
            </w:pPr>
            <w:r w:rsidRPr="0068236B">
              <w:rPr>
                <w:sz w:val="20"/>
                <w:szCs w:val="20"/>
              </w:rPr>
              <w:t>Option 2 – Alternative 2</w:t>
            </w:r>
          </w:p>
        </w:tc>
        <w:tc>
          <w:tcPr>
            <w:tcW w:w="3261" w:type="dxa"/>
          </w:tcPr>
          <w:p w14:paraId="41F96759" w14:textId="77777777" w:rsidR="00D82DB2" w:rsidRPr="0068236B" w:rsidRDefault="00D82DB2" w:rsidP="000062F5">
            <w:pPr>
              <w:spacing w:before="0" w:after="0" w:line="240" w:lineRule="auto"/>
              <w:jc w:val="center"/>
              <w:rPr>
                <w:rFonts w:cs="Arial"/>
                <w:color w:val="A6A6A6"/>
                <w:sz w:val="20"/>
                <w:szCs w:val="20"/>
              </w:rPr>
            </w:pPr>
            <w:r w:rsidRPr="0068236B">
              <w:rPr>
                <w:sz w:val="20"/>
                <w:szCs w:val="20"/>
              </w:rPr>
              <w:t>18,960</w:t>
            </w:r>
          </w:p>
        </w:tc>
      </w:tr>
      <w:tr w:rsidR="00D82DB2" w:rsidRPr="0068236B" w14:paraId="44FB44B2" w14:textId="77777777" w:rsidTr="000062F5">
        <w:trPr>
          <w:trHeight w:val="20"/>
        </w:trPr>
        <w:tc>
          <w:tcPr>
            <w:tcW w:w="3425" w:type="dxa"/>
            <w:shd w:val="clear" w:color="auto" w:fill="BFBFBF" w:themeFill="background1" w:themeFillShade="BF"/>
          </w:tcPr>
          <w:p w14:paraId="1E880DAA" w14:textId="77777777" w:rsidR="00D82DB2" w:rsidRPr="0068236B" w:rsidRDefault="00D82DB2" w:rsidP="00E60CCF">
            <w:pPr>
              <w:widowControl w:val="0"/>
              <w:tabs>
                <w:tab w:val="left" w:pos="7600"/>
              </w:tabs>
              <w:spacing w:line="240" w:lineRule="auto"/>
              <w:ind w:left="97" w:right="-20"/>
              <w:jc w:val="center"/>
              <w:rPr>
                <w:sz w:val="20"/>
                <w:szCs w:val="20"/>
              </w:rPr>
            </w:pPr>
            <w:r w:rsidRPr="0068236B">
              <w:rPr>
                <w:sz w:val="20"/>
                <w:szCs w:val="20"/>
              </w:rPr>
              <w:t>Option 3</w:t>
            </w:r>
          </w:p>
        </w:tc>
        <w:tc>
          <w:tcPr>
            <w:tcW w:w="3261" w:type="dxa"/>
            <w:shd w:val="clear" w:color="auto" w:fill="BFBFBF" w:themeFill="background1" w:themeFillShade="BF"/>
          </w:tcPr>
          <w:p w14:paraId="64810720" w14:textId="77777777" w:rsidR="00D82DB2" w:rsidRPr="0068236B" w:rsidRDefault="00D82DB2" w:rsidP="00E60CCF">
            <w:pPr>
              <w:spacing w:line="240" w:lineRule="auto"/>
              <w:jc w:val="center"/>
              <w:rPr>
                <w:sz w:val="20"/>
                <w:szCs w:val="20"/>
              </w:rPr>
            </w:pPr>
          </w:p>
        </w:tc>
      </w:tr>
      <w:tr w:rsidR="00D82DB2" w:rsidRPr="0068236B" w14:paraId="6D83BCBE" w14:textId="77777777" w:rsidTr="000062F5">
        <w:trPr>
          <w:trHeight w:val="20"/>
        </w:trPr>
        <w:tc>
          <w:tcPr>
            <w:tcW w:w="3425" w:type="dxa"/>
          </w:tcPr>
          <w:p w14:paraId="768733FB" w14:textId="77777777" w:rsidR="00D82DB2" w:rsidRPr="0068236B" w:rsidRDefault="00D82DB2" w:rsidP="000062F5">
            <w:pPr>
              <w:widowControl w:val="0"/>
              <w:tabs>
                <w:tab w:val="left" w:pos="7600"/>
              </w:tabs>
              <w:spacing w:before="0" w:after="0" w:line="240" w:lineRule="auto"/>
              <w:ind w:left="97" w:right="-20"/>
              <w:jc w:val="left"/>
              <w:rPr>
                <w:rFonts w:eastAsia="Calibri" w:cs="Arial"/>
                <w:position w:val="-1"/>
                <w:sz w:val="20"/>
                <w:szCs w:val="20"/>
              </w:rPr>
            </w:pPr>
            <w:r w:rsidRPr="0068236B">
              <w:rPr>
                <w:sz w:val="20"/>
                <w:szCs w:val="20"/>
              </w:rPr>
              <w:t>Option 3 - Alternative 1</w:t>
            </w:r>
          </w:p>
        </w:tc>
        <w:tc>
          <w:tcPr>
            <w:tcW w:w="3261" w:type="dxa"/>
          </w:tcPr>
          <w:p w14:paraId="3BE223C9" w14:textId="77777777" w:rsidR="00D82DB2" w:rsidRPr="0068236B" w:rsidRDefault="00D82DB2" w:rsidP="000062F5">
            <w:pPr>
              <w:spacing w:before="0" w:after="0" w:line="240" w:lineRule="auto"/>
              <w:jc w:val="center"/>
              <w:rPr>
                <w:rFonts w:cs="Arial"/>
                <w:color w:val="A6A6A6"/>
                <w:sz w:val="20"/>
                <w:szCs w:val="20"/>
              </w:rPr>
            </w:pPr>
            <w:r w:rsidRPr="0068236B">
              <w:rPr>
                <w:sz w:val="20"/>
                <w:szCs w:val="20"/>
              </w:rPr>
              <w:t>36,000</w:t>
            </w:r>
          </w:p>
        </w:tc>
      </w:tr>
      <w:tr w:rsidR="00D82DB2" w:rsidRPr="0068236B" w14:paraId="54C32D97" w14:textId="77777777" w:rsidTr="000062F5">
        <w:trPr>
          <w:trHeight w:val="20"/>
        </w:trPr>
        <w:tc>
          <w:tcPr>
            <w:tcW w:w="3425" w:type="dxa"/>
          </w:tcPr>
          <w:p w14:paraId="71ECC659" w14:textId="77777777" w:rsidR="00D82DB2" w:rsidRPr="0068236B" w:rsidRDefault="00D82DB2" w:rsidP="000062F5">
            <w:pPr>
              <w:widowControl w:val="0"/>
              <w:tabs>
                <w:tab w:val="left" w:pos="7600"/>
              </w:tabs>
              <w:spacing w:before="0" w:after="0" w:line="240" w:lineRule="auto"/>
              <w:ind w:left="97" w:right="-20"/>
              <w:jc w:val="left"/>
              <w:rPr>
                <w:rFonts w:eastAsia="Calibri" w:cs="Arial"/>
                <w:position w:val="-1"/>
                <w:sz w:val="20"/>
                <w:szCs w:val="20"/>
              </w:rPr>
            </w:pPr>
            <w:r w:rsidRPr="0068236B">
              <w:rPr>
                <w:sz w:val="20"/>
                <w:szCs w:val="20"/>
              </w:rPr>
              <w:t>Option 3 - Alternative 2</w:t>
            </w:r>
          </w:p>
        </w:tc>
        <w:tc>
          <w:tcPr>
            <w:tcW w:w="3261" w:type="dxa"/>
          </w:tcPr>
          <w:p w14:paraId="238231F4" w14:textId="77777777" w:rsidR="00D82DB2" w:rsidRPr="0068236B" w:rsidRDefault="00D82DB2" w:rsidP="000062F5">
            <w:pPr>
              <w:spacing w:before="0" w:after="0" w:line="240" w:lineRule="auto"/>
              <w:jc w:val="center"/>
              <w:rPr>
                <w:rFonts w:cs="Arial"/>
                <w:color w:val="A6A6A6"/>
                <w:sz w:val="20"/>
                <w:szCs w:val="20"/>
              </w:rPr>
            </w:pPr>
            <w:r w:rsidRPr="0068236B">
              <w:rPr>
                <w:sz w:val="20"/>
                <w:szCs w:val="20"/>
              </w:rPr>
              <w:t>39,920</w:t>
            </w:r>
          </w:p>
        </w:tc>
      </w:tr>
    </w:tbl>
    <w:p w14:paraId="5EB8CC6D" w14:textId="77777777" w:rsidR="004469B7" w:rsidRPr="0068236B" w:rsidRDefault="004469B7" w:rsidP="004469B7">
      <w:pPr>
        <w:pStyle w:val="Caption"/>
        <w:spacing w:line="240" w:lineRule="auto"/>
        <w:jc w:val="left"/>
        <w:rPr>
          <w:b w:val="0"/>
        </w:rPr>
      </w:pPr>
      <w:bookmarkStart w:id="120" w:name="_Toc113018163"/>
      <w:r w:rsidRPr="0068236B">
        <w:rPr>
          <w:b w:val="0"/>
        </w:rPr>
        <w:t xml:space="preserve">Table </w:t>
      </w:r>
      <w:r w:rsidR="00377E43" w:rsidRPr="0068236B">
        <w:rPr>
          <w:b w:val="0"/>
        </w:rPr>
        <w:fldChar w:fldCharType="begin"/>
      </w:r>
      <w:r w:rsidRPr="0068236B">
        <w:rPr>
          <w:b w:val="0"/>
        </w:rPr>
        <w:instrText xml:space="preserve"> STYLEREF 1 \s </w:instrText>
      </w:r>
      <w:r w:rsidR="00377E43" w:rsidRPr="0068236B">
        <w:rPr>
          <w:b w:val="0"/>
        </w:rPr>
        <w:fldChar w:fldCharType="separate"/>
      </w:r>
      <w:r w:rsidR="00234EBE" w:rsidRPr="0068236B">
        <w:rPr>
          <w:b w:val="0"/>
          <w:noProof/>
        </w:rPr>
        <w:t>3</w:t>
      </w:r>
      <w:r w:rsidR="00377E43" w:rsidRPr="0068236B">
        <w:rPr>
          <w:b w:val="0"/>
        </w:rPr>
        <w:fldChar w:fldCharType="end"/>
      </w:r>
      <w:r w:rsidRPr="0068236B">
        <w:rPr>
          <w:b w:val="0"/>
        </w:rPr>
        <w:t>.</w:t>
      </w:r>
      <w:r w:rsidR="00377E43" w:rsidRPr="0068236B">
        <w:rPr>
          <w:b w:val="0"/>
        </w:rPr>
        <w:fldChar w:fldCharType="begin"/>
      </w:r>
      <w:r w:rsidRPr="0068236B">
        <w:rPr>
          <w:b w:val="0"/>
        </w:rPr>
        <w:instrText xml:space="preserve"> SEQ Table \* ARABIC \s 1 </w:instrText>
      </w:r>
      <w:r w:rsidR="00377E43" w:rsidRPr="0068236B">
        <w:rPr>
          <w:b w:val="0"/>
        </w:rPr>
        <w:fldChar w:fldCharType="separate"/>
      </w:r>
      <w:r w:rsidR="00234EBE" w:rsidRPr="0068236B">
        <w:rPr>
          <w:b w:val="0"/>
          <w:noProof/>
        </w:rPr>
        <w:t>1</w:t>
      </w:r>
      <w:r w:rsidR="00377E43" w:rsidRPr="0068236B">
        <w:rPr>
          <w:b w:val="0"/>
        </w:rPr>
        <w:fldChar w:fldCharType="end"/>
      </w:r>
      <w:r w:rsidR="006E2AC4" w:rsidRPr="0068236B">
        <w:rPr>
          <w:b w:val="0"/>
        </w:rPr>
        <w:t>:</w:t>
      </w:r>
      <w:r w:rsidRPr="0068236B">
        <w:rPr>
          <w:b w:val="0"/>
        </w:rPr>
        <w:t xml:space="preserve"> Overview of Project costs per identified option</w:t>
      </w:r>
      <w:bookmarkEnd w:id="120"/>
    </w:p>
    <w:p w14:paraId="728751E1" w14:textId="60FA0B7C" w:rsidR="00D072F2" w:rsidRPr="0068236B" w:rsidRDefault="00D072F2" w:rsidP="00E60CCF">
      <w:pPr>
        <w:spacing w:line="240" w:lineRule="auto"/>
        <w:jc w:val="left"/>
        <w:rPr>
          <w:sz w:val="16"/>
          <w:szCs w:val="18"/>
        </w:rPr>
      </w:pPr>
      <w:r w:rsidRPr="0068236B">
        <w:rPr>
          <w:sz w:val="16"/>
          <w:szCs w:val="18"/>
        </w:rPr>
        <w:t>Note: The above costs include the costs related to the reconstruction of 110 kV OHLs Valandovo – Strumica 2 and Strumica 2 – Strum</w:t>
      </w:r>
      <w:r w:rsidRPr="0068236B">
        <w:rPr>
          <w:sz w:val="16"/>
          <w:szCs w:val="18"/>
        </w:rPr>
        <w:t>i</w:t>
      </w:r>
      <w:r w:rsidRPr="0068236B">
        <w:rPr>
          <w:sz w:val="16"/>
          <w:szCs w:val="18"/>
        </w:rPr>
        <w:t>ca 1 (Sub-project 2), although it does not affect the results of the selection process and the Multi-Criteria Assessment, due to the fact that this reconstruction will be done for each of the options.</w:t>
      </w:r>
    </w:p>
    <w:p w14:paraId="4C5D0E3D" w14:textId="77777777" w:rsidR="00DA60B5" w:rsidRPr="0068236B" w:rsidRDefault="00DA60B5" w:rsidP="00E60CCF">
      <w:pPr>
        <w:spacing w:before="60" w:after="240" w:line="240" w:lineRule="auto"/>
        <w:jc w:val="left"/>
        <w:rPr>
          <w:sz w:val="16"/>
          <w:szCs w:val="18"/>
        </w:rPr>
      </w:pPr>
      <w:r w:rsidRPr="0068236B">
        <w:rPr>
          <w:sz w:val="16"/>
          <w:szCs w:val="18"/>
        </w:rPr>
        <w:t xml:space="preserve">Source: </w:t>
      </w:r>
      <w:r w:rsidRPr="0068236B">
        <w:rPr>
          <w:rFonts w:cs="Tahoma"/>
          <w:sz w:val="16"/>
          <w:szCs w:val="18"/>
        </w:rPr>
        <w:t>WB21-MKD-ENE-03 North Macedonia, Strengthening the Transmission Network in the Southeast Region of North Macedonia - Component 1; Selection of the preferred Option, September 2021 [Ref.4]</w:t>
      </w:r>
    </w:p>
    <w:p w14:paraId="28F80A69" w14:textId="77777777" w:rsidR="00D072F2" w:rsidRPr="0068236B" w:rsidRDefault="00D072F2" w:rsidP="00DA60B5">
      <w:pPr>
        <w:rPr>
          <w:sz w:val="20"/>
        </w:rPr>
      </w:pPr>
      <w:r w:rsidRPr="0068236B">
        <w:rPr>
          <w:sz w:val="20"/>
        </w:rPr>
        <w:t>In this stage of the Project development, the capital costs are considered as indicative.</w:t>
      </w:r>
    </w:p>
    <w:p w14:paraId="4EB4263A" w14:textId="77777777" w:rsidR="00DA60B5" w:rsidRPr="0068236B" w:rsidRDefault="00DA60B5" w:rsidP="00DA60B5">
      <w:pPr>
        <w:rPr>
          <w:sz w:val="20"/>
        </w:rPr>
      </w:pPr>
      <w:r w:rsidRPr="0068236B">
        <w:rPr>
          <w:sz w:val="20"/>
        </w:rPr>
        <w:t>The assessment results summarised in the Table above clearly demonstrate that all options are competitive in sense of project costs.</w:t>
      </w:r>
    </w:p>
    <w:p w14:paraId="702B4EDE" w14:textId="77777777" w:rsidR="00DA60B5" w:rsidRPr="0068236B" w:rsidRDefault="00D072F2" w:rsidP="00D072F2">
      <w:pPr>
        <w:rPr>
          <w:sz w:val="20"/>
        </w:rPr>
      </w:pPr>
      <w:r w:rsidRPr="0068236B">
        <w:rPr>
          <w:sz w:val="20"/>
        </w:rPr>
        <w:t>However, t</w:t>
      </w:r>
      <w:r w:rsidR="00DA60B5" w:rsidRPr="0068236B">
        <w:rPr>
          <w:sz w:val="20"/>
        </w:rPr>
        <w:t>here is a significant difference of approximately 90% between Option 2 and Option 3</w:t>
      </w:r>
      <w:r w:rsidRPr="0068236B">
        <w:rPr>
          <w:sz w:val="20"/>
        </w:rPr>
        <w:t xml:space="preserve">, Alternative 2 (the most expensive option) </w:t>
      </w:r>
      <w:r w:rsidR="00DA60B5" w:rsidRPr="0068236B">
        <w:rPr>
          <w:sz w:val="20"/>
        </w:rPr>
        <w:t>and 236 % between Option 1 (the cheapest option) and Option 3</w:t>
      </w:r>
      <w:r w:rsidRPr="0068236B">
        <w:rPr>
          <w:sz w:val="20"/>
        </w:rPr>
        <w:t xml:space="preserve">, </w:t>
      </w:r>
      <w:r w:rsidR="00DA60B5" w:rsidRPr="0068236B">
        <w:rPr>
          <w:sz w:val="20"/>
        </w:rPr>
        <w:t>Alternative 2, related to the overall price.</w:t>
      </w:r>
    </w:p>
    <w:p w14:paraId="2427A519" w14:textId="77777777" w:rsidR="00E10AD0" w:rsidRPr="0068236B" w:rsidRDefault="00E10AD0">
      <w:pPr>
        <w:spacing w:before="0" w:after="0" w:line="240" w:lineRule="auto"/>
        <w:jc w:val="left"/>
        <w:rPr>
          <w:sz w:val="20"/>
          <w:u w:val="single"/>
        </w:rPr>
      </w:pPr>
      <w:r w:rsidRPr="0068236B">
        <w:rPr>
          <w:sz w:val="20"/>
          <w:u w:val="single"/>
        </w:rPr>
        <w:br w:type="page"/>
      </w:r>
    </w:p>
    <w:p w14:paraId="487D85A5" w14:textId="2DB216F6" w:rsidR="00D072F2" w:rsidRPr="0068236B" w:rsidRDefault="00D072F2" w:rsidP="00D072F2">
      <w:pPr>
        <w:pStyle w:val="NumberedParagraph"/>
        <w:ind w:left="720" w:firstLine="720"/>
        <w:rPr>
          <w:sz w:val="20"/>
          <w:u w:val="single"/>
        </w:rPr>
      </w:pPr>
      <w:r w:rsidRPr="0068236B">
        <w:rPr>
          <w:sz w:val="20"/>
          <w:u w:val="single"/>
        </w:rPr>
        <w:lastRenderedPageBreak/>
        <w:t>Preliminary Economic Analysis</w:t>
      </w:r>
    </w:p>
    <w:p w14:paraId="127CF378" w14:textId="77777777" w:rsidR="00034269" w:rsidRPr="0068236B" w:rsidRDefault="00034269" w:rsidP="00034269">
      <w:pPr>
        <w:pStyle w:val="NumberedParagraph"/>
        <w:rPr>
          <w:rFonts w:cs="Tahoma"/>
          <w:sz w:val="20"/>
        </w:rPr>
      </w:pPr>
      <w:r w:rsidRPr="0068236B">
        <w:rPr>
          <w:rFonts w:cs="Tahoma"/>
          <w:sz w:val="20"/>
        </w:rPr>
        <w:t>The following is a comparative overview of the results of the economic analysis for the Project options and alternatives within the options. The results of this economic NPV calculation and economic indicators for Macedonia a</w:t>
      </w:r>
      <w:r w:rsidR="003D47DA" w:rsidRPr="0068236B">
        <w:rPr>
          <w:rFonts w:cs="Tahoma"/>
          <w:sz w:val="20"/>
        </w:rPr>
        <w:t>re summarised in the following T</w:t>
      </w:r>
      <w:r w:rsidRPr="0068236B">
        <w:rPr>
          <w:rFonts w:cs="Tahoma"/>
          <w:sz w:val="20"/>
        </w:rPr>
        <w:t xml:space="preserve">able. </w:t>
      </w:r>
    </w:p>
    <w:tbl>
      <w:tblPr>
        <w:tblW w:w="9758" w:type="dxa"/>
        <w:tblLook w:val="04A0" w:firstRow="1" w:lastRow="0" w:firstColumn="1" w:lastColumn="0" w:noHBand="0" w:noVBand="1"/>
      </w:tblPr>
      <w:tblGrid>
        <w:gridCol w:w="1253"/>
        <w:gridCol w:w="1418"/>
        <w:gridCol w:w="1417"/>
        <w:gridCol w:w="1418"/>
        <w:gridCol w:w="1417"/>
        <w:gridCol w:w="1418"/>
        <w:gridCol w:w="1417"/>
      </w:tblGrid>
      <w:tr w:rsidR="003D47DA" w:rsidRPr="0068236B" w14:paraId="6BB2FE0C" w14:textId="77777777" w:rsidTr="003D47DA">
        <w:trPr>
          <w:trHeight w:val="317"/>
        </w:trPr>
        <w:tc>
          <w:tcPr>
            <w:tcW w:w="1253" w:type="dxa"/>
            <w:vMerge w:val="restart"/>
            <w:tcBorders>
              <w:top w:val="double" w:sz="4" w:space="0" w:color="auto"/>
              <w:left w:val="double" w:sz="4" w:space="0" w:color="auto"/>
              <w:right w:val="double" w:sz="4" w:space="0" w:color="auto"/>
            </w:tcBorders>
            <w:shd w:val="clear" w:color="000000" w:fill="D5DCE4"/>
            <w:tcMar>
              <w:left w:w="57" w:type="dxa"/>
              <w:right w:w="57" w:type="dxa"/>
            </w:tcMar>
            <w:vAlign w:val="center"/>
            <w:hideMark/>
          </w:tcPr>
          <w:p w14:paraId="5E9504FB" w14:textId="2D3D2985" w:rsidR="003D47DA" w:rsidRPr="0068236B" w:rsidRDefault="003D47DA" w:rsidP="008A76AD">
            <w:pPr>
              <w:spacing w:before="0" w:after="0" w:line="240" w:lineRule="auto"/>
              <w:jc w:val="center"/>
              <w:rPr>
                <w:rFonts w:cs="Tahoma"/>
                <w:color w:val="000000"/>
                <w:sz w:val="20"/>
                <w:szCs w:val="20"/>
              </w:rPr>
            </w:pPr>
            <w:r w:rsidRPr="0068236B">
              <w:rPr>
                <w:rFonts w:cs="Tahoma"/>
                <w:color w:val="000000"/>
                <w:sz w:val="20"/>
                <w:szCs w:val="20"/>
              </w:rPr>
              <w:t>Economic</w:t>
            </w:r>
          </w:p>
          <w:p w14:paraId="15ECE87A" w14:textId="77777777" w:rsidR="003D47DA" w:rsidRPr="0068236B" w:rsidRDefault="003D47DA" w:rsidP="008A76AD">
            <w:pPr>
              <w:spacing w:before="0" w:after="0" w:line="240" w:lineRule="auto"/>
              <w:jc w:val="center"/>
              <w:rPr>
                <w:rFonts w:cs="Tahoma"/>
                <w:color w:val="000000"/>
                <w:sz w:val="20"/>
                <w:szCs w:val="20"/>
              </w:rPr>
            </w:pPr>
            <w:r w:rsidRPr="0068236B">
              <w:rPr>
                <w:rFonts w:cs="Tahoma"/>
                <w:color w:val="000000"/>
                <w:sz w:val="20"/>
                <w:szCs w:val="20"/>
              </w:rPr>
              <w:t>indicators</w:t>
            </w:r>
          </w:p>
        </w:tc>
        <w:tc>
          <w:tcPr>
            <w:tcW w:w="2835" w:type="dxa"/>
            <w:gridSpan w:val="2"/>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3C9F5B40" w14:textId="77777777" w:rsidR="003D47DA" w:rsidRPr="0068236B" w:rsidRDefault="003D47DA" w:rsidP="00034269">
            <w:pPr>
              <w:spacing w:before="0" w:after="0" w:line="240" w:lineRule="auto"/>
              <w:jc w:val="center"/>
              <w:rPr>
                <w:rFonts w:cs="Tahoma"/>
                <w:color w:val="000000"/>
                <w:sz w:val="20"/>
                <w:szCs w:val="20"/>
              </w:rPr>
            </w:pPr>
            <w:r w:rsidRPr="0068236B">
              <w:rPr>
                <w:rFonts w:cs="Tahoma"/>
                <w:color w:val="000000"/>
                <w:sz w:val="20"/>
                <w:szCs w:val="20"/>
              </w:rPr>
              <w:t>Option 1</w:t>
            </w:r>
          </w:p>
        </w:tc>
        <w:tc>
          <w:tcPr>
            <w:tcW w:w="2835" w:type="dxa"/>
            <w:gridSpan w:val="2"/>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487C724D" w14:textId="77777777" w:rsidR="003D47DA" w:rsidRPr="0068236B" w:rsidRDefault="003D47DA" w:rsidP="00034269">
            <w:pPr>
              <w:spacing w:before="0" w:after="0" w:line="240" w:lineRule="auto"/>
              <w:jc w:val="center"/>
              <w:rPr>
                <w:rFonts w:cs="Tahoma"/>
                <w:color w:val="000000"/>
                <w:sz w:val="20"/>
                <w:szCs w:val="20"/>
              </w:rPr>
            </w:pPr>
            <w:r w:rsidRPr="0068236B">
              <w:rPr>
                <w:rFonts w:cs="Tahoma"/>
                <w:color w:val="000000"/>
                <w:sz w:val="20"/>
                <w:szCs w:val="20"/>
              </w:rPr>
              <w:t>Option 2</w:t>
            </w:r>
          </w:p>
        </w:tc>
        <w:tc>
          <w:tcPr>
            <w:tcW w:w="2835" w:type="dxa"/>
            <w:gridSpan w:val="2"/>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6939DBD2" w14:textId="77777777" w:rsidR="003D47DA" w:rsidRPr="0068236B" w:rsidRDefault="003D47DA" w:rsidP="00034269">
            <w:pPr>
              <w:spacing w:before="0" w:after="0" w:line="240" w:lineRule="auto"/>
              <w:jc w:val="center"/>
              <w:rPr>
                <w:rFonts w:cs="Tahoma"/>
                <w:color w:val="000000"/>
                <w:sz w:val="20"/>
                <w:szCs w:val="20"/>
              </w:rPr>
            </w:pPr>
            <w:r w:rsidRPr="0068236B">
              <w:rPr>
                <w:rFonts w:cs="Tahoma"/>
                <w:color w:val="000000"/>
                <w:sz w:val="20"/>
                <w:szCs w:val="20"/>
              </w:rPr>
              <w:t>Option 3</w:t>
            </w:r>
          </w:p>
        </w:tc>
      </w:tr>
      <w:tr w:rsidR="003D47DA" w:rsidRPr="0068236B" w14:paraId="170C9003" w14:textId="77777777" w:rsidTr="003D47DA">
        <w:trPr>
          <w:trHeight w:val="407"/>
        </w:trPr>
        <w:tc>
          <w:tcPr>
            <w:tcW w:w="1253" w:type="dxa"/>
            <w:vMerge/>
            <w:tcBorders>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4CC90EBD" w14:textId="77777777" w:rsidR="003D47DA" w:rsidRPr="0068236B" w:rsidRDefault="003D47DA" w:rsidP="00034269">
            <w:pPr>
              <w:spacing w:before="0" w:after="0" w:line="240" w:lineRule="auto"/>
              <w:jc w:val="center"/>
              <w:rPr>
                <w:rFonts w:cs="Tahoma"/>
                <w:color w:val="000000"/>
                <w:sz w:val="20"/>
                <w:szCs w:val="20"/>
              </w:rPr>
            </w:pPr>
          </w:p>
        </w:tc>
        <w:tc>
          <w:tcPr>
            <w:tcW w:w="1418" w:type="dxa"/>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58475694" w14:textId="77777777" w:rsidR="003D47DA" w:rsidRPr="0068236B" w:rsidRDefault="003D47DA" w:rsidP="00034269">
            <w:pPr>
              <w:spacing w:before="0" w:after="0" w:line="240" w:lineRule="auto"/>
              <w:jc w:val="center"/>
              <w:rPr>
                <w:rFonts w:cs="Tahoma"/>
                <w:color w:val="000000"/>
                <w:sz w:val="20"/>
                <w:szCs w:val="20"/>
              </w:rPr>
            </w:pPr>
            <w:r w:rsidRPr="0068236B">
              <w:rPr>
                <w:rFonts w:cs="Tahoma"/>
                <w:color w:val="000000"/>
                <w:sz w:val="20"/>
                <w:szCs w:val="20"/>
              </w:rPr>
              <w:t>Alternative 1</w:t>
            </w:r>
          </w:p>
        </w:tc>
        <w:tc>
          <w:tcPr>
            <w:tcW w:w="1417" w:type="dxa"/>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43D15783" w14:textId="77777777" w:rsidR="003D47DA" w:rsidRPr="0068236B" w:rsidRDefault="003D47DA" w:rsidP="00034269">
            <w:pPr>
              <w:spacing w:before="0" w:after="0" w:line="240" w:lineRule="auto"/>
              <w:jc w:val="center"/>
              <w:rPr>
                <w:rFonts w:cs="Tahoma"/>
                <w:color w:val="000000"/>
                <w:sz w:val="20"/>
                <w:szCs w:val="20"/>
              </w:rPr>
            </w:pPr>
            <w:r w:rsidRPr="0068236B">
              <w:rPr>
                <w:rFonts w:cs="Tahoma"/>
                <w:color w:val="000000"/>
                <w:sz w:val="20"/>
                <w:szCs w:val="20"/>
              </w:rPr>
              <w:t>Alternative 2</w:t>
            </w:r>
          </w:p>
        </w:tc>
        <w:tc>
          <w:tcPr>
            <w:tcW w:w="1418" w:type="dxa"/>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51171E12" w14:textId="77777777" w:rsidR="003D47DA" w:rsidRPr="0068236B" w:rsidRDefault="003D47DA" w:rsidP="00034269">
            <w:pPr>
              <w:spacing w:before="0" w:after="0" w:line="240" w:lineRule="auto"/>
              <w:jc w:val="center"/>
              <w:rPr>
                <w:rFonts w:cs="Tahoma"/>
                <w:color w:val="000000"/>
                <w:sz w:val="20"/>
                <w:szCs w:val="20"/>
              </w:rPr>
            </w:pPr>
            <w:r w:rsidRPr="0068236B">
              <w:rPr>
                <w:rFonts w:cs="Tahoma"/>
                <w:color w:val="000000"/>
                <w:sz w:val="20"/>
                <w:szCs w:val="20"/>
              </w:rPr>
              <w:t>Alternative 1</w:t>
            </w:r>
          </w:p>
        </w:tc>
        <w:tc>
          <w:tcPr>
            <w:tcW w:w="1417" w:type="dxa"/>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7EE97E70" w14:textId="77777777" w:rsidR="003D47DA" w:rsidRPr="0068236B" w:rsidRDefault="003D47DA" w:rsidP="00034269">
            <w:pPr>
              <w:spacing w:before="0" w:after="0" w:line="240" w:lineRule="auto"/>
              <w:jc w:val="center"/>
              <w:rPr>
                <w:rFonts w:cs="Tahoma"/>
                <w:color w:val="000000"/>
                <w:sz w:val="20"/>
                <w:szCs w:val="20"/>
              </w:rPr>
            </w:pPr>
            <w:r w:rsidRPr="0068236B">
              <w:rPr>
                <w:rFonts w:cs="Tahoma"/>
                <w:color w:val="000000"/>
                <w:sz w:val="20"/>
                <w:szCs w:val="20"/>
              </w:rPr>
              <w:t>Alternative 2</w:t>
            </w:r>
          </w:p>
        </w:tc>
        <w:tc>
          <w:tcPr>
            <w:tcW w:w="1418" w:type="dxa"/>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5EA49016" w14:textId="77777777" w:rsidR="003D47DA" w:rsidRPr="0068236B" w:rsidRDefault="003D47DA" w:rsidP="00034269">
            <w:pPr>
              <w:spacing w:before="0" w:after="0" w:line="240" w:lineRule="auto"/>
              <w:jc w:val="center"/>
              <w:rPr>
                <w:rFonts w:cs="Tahoma"/>
                <w:color w:val="000000"/>
                <w:sz w:val="20"/>
                <w:szCs w:val="20"/>
              </w:rPr>
            </w:pPr>
            <w:r w:rsidRPr="0068236B">
              <w:rPr>
                <w:rFonts w:cs="Tahoma"/>
                <w:color w:val="000000"/>
                <w:sz w:val="20"/>
                <w:szCs w:val="20"/>
              </w:rPr>
              <w:t>Alternative 1</w:t>
            </w:r>
          </w:p>
        </w:tc>
        <w:tc>
          <w:tcPr>
            <w:tcW w:w="1417" w:type="dxa"/>
            <w:tcBorders>
              <w:top w:val="double" w:sz="4" w:space="0" w:color="auto"/>
              <w:left w:val="double" w:sz="4" w:space="0" w:color="auto"/>
              <w:bottom w:val="double" w:sz="4" w:space="0" w:color="auto"/>
              <w:right w:val="double" w:sz="4" w:space="0" w:color="auto"/>
            </w:tcBorders>
            <w:shd w:val="clear" w:color="000000" w:fill="D5DCE4"/>
            <w:tcMar>
              <w:left w:w="57" w:type="dxa"/>
              <w:right w:w="57" w:type="dxa"/>
            </w:tcMar>
            <w:vAlign w:val="center"/>
            <w:hideMark/>
          </w:tcPr>
          <w:p w14:paraId="6A389081" w14:textId="77777777" w:rsidR="003D47DA" w:rsidRPr="0068236B" w:rsidRDefault="003D47DA" w:rsidP="00034269">
            <w:pPr>
              <w:spacing w:before="0" w:after="0" w:line="240" w:lineRule="auto"/>
              <w:jc w:val="center"/>
              <w:rPr>
                <w:rFonts w:cs="Tahoma"/>
                <w:color w:val="000000"/>
                <w:sz w:val="20"/>
                <w:szCs w:val="20"/>
              </w:rPr>
            </w:pPr>
            <w:r w:rsidRPr="0068236B">
              <w:rPr>
                <w:rFonts w:cs="Tahoma"/>
                <w:color w:val="000000"/>
                <w:sz w:val="20"/>
                <w:szCs w:val="20"/>
              </w:rPr>
              <w:t>Alternative 2</w:t>
            </w:r>
          </w:p>
        </w:tc>
      </w:tr>
      <w:tr w:rsidR="00034269" w:rsidRPr="0068236B" w14:paraId="4C35AEED" w14:textId="77777777" w:rsidTr="002A3A1C">
        <w:trPr>
          <w:trHeight w:hRule="exact" w:val="585"/>
        </w:trPr>
        <w:tc>
          <w:tcPr>
            <w:tcW w:w="1253" w:type="dxa"/>
            <w:tcBorders>
              <w:top w:val="double" w:sz="4" w:space="0" w:color="auto"/>
              <w:left w:val="double" w:sz="6" w:space="0" w:color="auto"/>
              <w:bottom w:val="single" w:sz="8" w:space="0" w:color="auto"/>
              <w:right w:val="single" w:sz="8" w:space="0" w:color="auto"/>
            </w:tcBorders>
            <w:shd w:val="clear" w:color="auto" w:fill="auto"/>
            <w:noWrap/>
            <w:tcMar>
              <w:left w:w="57" w:type="dxa"/>
              <w:right w:w="57" w:type="dxa"/>
            </w:tcMar>
            <w:vAlign w:val="center"/>
            <w:hideMark/>
          </w:tcPr>
          <w:p w14:paraId="57FD9330" w14:textId="77777777" w:rsidR="00034269" w:rsidRPr="0068236B" w:rsidRDefault="00034269" w:rsidP="008A76AD">
            <w:pPr>
              <w:spacing w:before="0" w:after="0" w:line="240" w:lineRule="auto"/>
              <w:rPr>
                <w:rFonts w:cs="Tahoma"/>
                <w:color w:val="000000"/>
                <w:sz w:val="20"/>
                <w:szCs w:val="20"/>
              </w:rPr>
            </w:pPr>
            <w:r w:rsidRPr="0068236B">
              <w:rPr>
                <w:rFonts w:cs="Tahoma"/>
                <w:color w:val="000000"/>
                <w:sz w:val="20"/>
                <w:szCs w:val="20"/>
              </w:rPr>
              <w:t>Investment cost (000 €)</w:t>
            </w:r>
          </w:p>
        </w:tc>
        <w:tc>
          <w:tcPr>
            <w:tcW w:w="1418" w:type="dxa"/>
            <w:tcBorders>
              <w:top w:val="double" w:sz="4" w:space="0" w:color="auto"/>
              <w:left w:val="nil"/>
              <w:bottom w:val="single" w:sz="8" w:space="0" w:color="auto"/>
              <w:right w:val="single" w:sz="4" w:space="0" w:color="auto"/>
            </w:tcBorders>
            <w:shd w:val="clear" w:color="auto" w:fill="auto"/>
            <w:tcMar>
              <w:left w:w="57" w:type="dxa"/>
              <w:right w:w="57" w:type="dxa"/>
            </w:tcMar>
            <w:vAlign w:val="bottom"/>
            <w:hideMark/>
          </w:tcPr>
          <w:p w14:paraId="360478F2" w14:textId="77777777" w:rsidR="00034269" w:rsidRPr="0068236B" w:rsidRDefault="00034269" w:rsidP="008A76AD">
            <w:pPr>
              <w:spacing w:before="0" w:after="0" w:line="240" w:lineRule="auto"/>
              <w:jc w:val="center"/>
              <w:rPr>
                <w:sz w:val="20"/>
                <w:szCs w:val="20"/>
              </w:rPr>
            </w:pPr>
            <w:r w:rsidRPr="0068236B">
              <w:rPr>
                <w:sz w:val="20"/>
                <w:szCs w:val="20"/>
              </w:rPr>
              <w:t>16,890</w:t>
            </w:r>
          </w:p>
        </w:tc>
        <w:tc>
          <w:tcPr>
            <w:tcW w:w="1417" w:type="dxa"/>
            <w:tcBorders>
              <w:top w:val="double" w:sz="4" w:space="0" w:color="auto"/>
              <w:left w:val="nil"/>
              <w:bottom w:val="single" w:sz="8" w:space="0" w:color="auto"/>
              <w:right w:val="single" w:sz="8" w:space="0" w:color="auto"/>
            </w:tcBorders>
            <w:shd w:val="clear" w:color="auto" w:fill="auto"/>
            <w:tcMar>
              <w:left w:w="57" w:type="dxa"/>
              <w:right w:w="57" w:type="dxa"/>
            </w:tcMar>
            <w:vAlign w:val="bottom"/>
            <w:hideMark/>
          </w:tcPr>
          <w:p w14:paraId="64A0B3F4" w14:textId="77777777" w:rsidR="00034269" w:rsidRPr="0068236B" w:rsidRDefault="00034269" w:rsidP="008A76AD">
            <w:pPr>
              <w:spacing w:before="0" w:after="0" w:line="240" w:lineRule="auto"/>
              <w:jc w:val="center"/>
              <w:rPr>
                <w:sz w:val="20"/>
                <w:szCs w:val="20"/>
              </w:rPr>
            </w:pPr>
            <w:r w:rsidRPr="0068236B">
              <w:rPr>
                <w:sz w:val="20"/>
                <w:szCs w:val="20"/>
              </w:rPr>
              <w:t>20,390</w:t>
            </w:r>
          </w:p>
        </w:tc>
        <w:tc>
          <w:tcPr>
            <w:tcW w:w="1418" w:type="dxa"/>
            <w:tcBorders>
              <w:top w:val="double" w:sz="4" w:space="0" w:color="auto"/>
              <w:left w:val="nil"/>
              <w:bottom w:val="single" w:sz="8" w:space="0" w:color="auto"/>
              <w:right w:val="single" w:sz="4" w:space="0" w:color="auto"/>
            </w:tcBorders>
            <w:shd w:val="clear" w:color="auto" w:fill="auto"/>
            <w:tcMar>
              <w:left w:w="57" w:type="dxa"/>
              <w:right w:w="57" w:type="dxa"/>
            </w:tcMar>
            <w:vAlign w:val="bottom"/>
            <w:hideMark/>
          </w:tcPr>
          <w:p w14:paraId="042481E5" w14:textId="77777777" w:rsidR="00034269" w:rsidRPr="0068236B" w:rsidRDefault="00034269" w:rsidP="008A76AD">
            <w:pPr>
              <w:spacing w:before="0" w:after="0" w:line="240" w:lineRule="auto"/>
              <w:jc w:val="center"/>
              <w:rPr>
                <w:sz w:val="20"/>
                <w:szCs w:val="20"/>
              </w:rPr>
            </w:pPr>
            <w:r w:rsidRPr="0068236B">
              <w:rPr>
                <w:sz w:val="20"/>
                <w:szCs w:val="20"/>
              </w:rPr>
              <w:t>21,530</w:t>
            </w:r>
          </w:p>
        </w:tc>
        <w:tc>
          <w:tcPr>
            <w:tcW w:w="1417" w:type="dxa"/>
            <w:tcBorders>
              <w:top w:val="double" w:sz="4" w:space="0" w:color="auto"/>
              <w:left w:val="nil"/>
              <w:bottom w:val="single" w:sz="8" w:space="0" w:color="auto"/>
              <w:right w:val="single" w:sz="8" w:space="0" w:color="auto"/>
            </w:tcBorders>
            <w:shd w:val="clear" w:color="auto" w:fill="auto"/>
            <w:noWrap/>
            <w:tcMar>
              <w:left w:w="57" w:type="dxa"/>
              <w:right w:w="57" w:type="dxa"/>
            </w:tcMar>
            <w:vAlign w:val="bottom"/>
            <w:hideMark/>
          </w:tcPr>
          <w:p w14:paraId="0797D109" w14:textId="77777777" w:rsidR="00034269" w:rsidRPr="0068236B" w:rsidRDefault="00034269" w:rsidP="008A76AD">
            <w:pPr>
              <w:spacing w:before="0" w:after="0" w:line="240" w:lineRule="auto"/>
              <w:jc w:val="center"/>
              <w:rPr>
                <w:sz w:val="20"/>
                <w:szCs w:val="20"/>
              </w:rPr>
            </w:pPr>
            <w:r w:rsidRPr="0068236B">
              <w:rPr>
                <w:sz w:val="20"/>
                <w:szCs w:val="20"/>
              </w:rPr>
              <w:t>18,960</w:t>
            </w:r>
          </w:p>
        </w:tc>
        <w:tc>
          <w:tcPr>
            <w:tcW w:w="1418" w:type="dxa"/>
            <w:tcBorders>
              <w:top w:val="double" w:sz="4" w:space="0" w:color="auto"/>
              <w:left w:val="nil"/>
              <w:bottom w:val="single" w:sz="8" w:space="0" w:color="auto"/>
              <w:right w:val="single" w:sz="4" w:space="0" w:color="auto"/>
            </w:tcBorders>
            <w:shd w:val="clear" w:color="auto" w:fill="auto"/>
            <w:noWrap/>
            <w:tcMar>
              <w:left w:w="57" w:type="dxa"/>
              <w:right w:w="57" w:type="dxa"/>
            </w:tcMar>
            <w:vAlign w:val="bottom"/>
            <w:hideMark/>
          </w:tcPr>
          <w:p w14:paraId="663B0B80" w14:textId="77777777" w:rsidR="00034269" w:rsidRPr="0068236B" w:rsidRDefault="00034269" w:rsidP="008A76AD">
            <w:pPr>
              <w:spacing w:before="0" w:after="0" w:line="240" w:lineRule="auto"/>
              <w:jc w:val="center"/>
              <w:rPr>
                <w:sz w:val="20"/>
                <w:szCs w:val="20"/>
              </w:rPr>
            </w:pPr>
            <w:r w:rsidRPr="0068236B">
              <w:rPr>
                <w:sz w:val="20"/>
                <w:szCs w:val="20"/>
              </w:rPr>
              <w:t>36,000</w:t>
            </w:r>
          </w:p>
        </w:tc>
        <w:tc>
          <w:tcPr>
            <w:tcW w:w="1417" w:type="dxa"/>
            <w:tcBorders>
              <w:top w:val="double" w:sz="4" w:space="0" w:color="auto"/>
              <w:left w:val="nil"/>
              <w:bottom w:val="single" w:sz="8" w:space="0" w:color="auto"/>
              <w:right w:val="double" w:sz="6" w:space="0" w:color="auto"/>
            </w:tcBorders>
            <w:shd w:val="clear" w:color="auto" w:fill="auto"/>
            <w:noWrap/>
            <w:tcMar>
              <w:left w:w="57" w:type="dxa"/>
              <w:right w:w="57" w:type="dxa"/>
            </w:tcMar>
            <w:vAlign w:val="bottom"/>
            <w:hideMark/>
          </w:tcPr>
          <w:p w14:paraId="0235276A" w14:textId="77777777" w:rsidR="00034269" w:rsidRPr="0068236B" w:rsidRDefault="00034269" w:rsidP="008A76AD">
            <w:pPr>
              <w:spacing w:before="0" w:after="0" w:line="240" w:lineRule="auto"/>
              <w:jc w:val="center"/>
              <w:rPr>
                <w:sz w:val="20"/>
                <w:szCs w:val="20"/>
              </w:rPr>
            </w:pPr>
            <w:r w:rsidRPr="0068236B">
              <w:rPr>
                <w:sz w:val="20"/>
                <w:szCs w:val="20"/>
              </w:rPr>
              <w:t>39,920</w:t>
            </w:r>
          </w:p>
        </w:tc>
      </w:tr>
      <w:tr w:rsidR="00034269" w:rsidRPr="0068236B" w14:paraId="09F98BCB" w14:textId="77777777" w:rsidTr="002A3A1C">
        <w:trPr>
          <w:trHeight w:hRule="exact" w:val="288"/>
        </w:trPr>
        <w:tc>
          <w:tcPr>
            <w:tcW w:w="1253" w:type="dxa"/>
            <w:tcBorders>
              <w:top w:val="single" w:sz="8" w:space="0" w:color="auto"/>
              <w:left w:val="double" w:sz="6" w:space="0" w:color="auto"/>
              <w:bottom w:val="double" w:sz="4" w:space="0" w:color="auto"/>
              <w:right w:val="single" w:sz="8" w:space="0" w:color="auto"/>
            </w:tcBorders>
            <w:shd w:val="clear" w:color="auto" w:fill="auto"/>
            <w:noWrap/>
            <w:tcMar>
              <w:left w:w="57" w:type="dxa"/>
              <w:right w:w="57" w:type="dxa"/>
            </w:tcMar>
            <w:vAlign w:val="center"/>
            <w:hideMark/>
          </w:tcPr>
          <w:p w14:paraId="42849464" w14:textId="77777777" w:rsidR="00034269" w:rsidRPr="0068236B" w:rsidRDefault="00034269" w:rsidP="00034269">
            <w:pPr>
              <w:spacing w:before="0" w:after="0" w:line="240" w:lineRule="auto"/>
              <w:rPr>
                <w:rFonts w:cs="Tahoma"/>
                <w:color w:val="000000"/>
                <w:sz w:val="20"/>
                <w:szCs w:val="20"/>
              </w:rPr>
            </w:pPr>
            <w:r w:rsidRPr="0068236B">
              <w:rPr>
                <w:rFonts w:cs="Tahoma"/>
                <w:color w:val="000000"/>
                <w:sz w:val="20"/>
                <w:szCs w:val="20"/>
              </w:rPr>
              <w:t>NPV (000 €)</w:t>
            </w:r>
          </w:p>
        </w:tc>
        <w:tc>
          <w:tcPr>
            <w:tcW w:w="1418" w:type="dxa"/>
            <w:tcBorders>
              <w:top w:val="single" w:sz="8" w:space="0" w:color="auto"/>
              <w:left w:val="nil"/>
              <w:bottom w:val="double" w:sz="4" w:space="0" w:color="auto"/>
              <w:right w:val="single" w:sz="4" w:space="0" w:color="auto"/>
            </w:tcBorders>
            <w:shd w:val="clear" w:color="auto" w:fill="auto"/>
            <w:tcMar>
              <w:left w:w="57" w:type="dxa"/>
              <w:right w:w="57" w:type="dxa"/>
            </w:tcMar>
            <w:vAlign w:val="bottom"/>
            <w:hideMark/>
          </w:tcPr>
          <w:p w14:paraId="733D8615" w14:textId="77777777" w:rsidR="00034269" w:rsidRPr="0068236B" w:rsidRDefault="00034269" w:rsidP="008A76AD">
            <w:pPr>
              <w:spacing w:before="0" w:after="0" w:line="240" w:lineRule="auto"/>
              <w:jc w:val="center"/>
              <w:rPr>
                <w:sz w:val="20"/>
                <w:szCs w:val="20"/>
              </w:rPr>
            </w:pPr>
            <w:r w:rsidRPr="0068236B">
              <w:rPr>
                <w:sz w:val="20"/>
                <w:szCs w:val="20"/>
              </w:rPr>
              <w:t>52,407</w:t>
            </w:r>
          </w:p>
        </w:tc>
        <w:tc>
          <w:tcPr>
            <w:tcW w:w="1417" w:type="dxa"/>
            <w:tcBorders>
              <w:top w:val="single" w:sz="8" w:space="0" w:color="auto"/>
              <w:left w:val="nil"/>
              <w:bottom w:val="double" w:sz="4" w:space="0" w:color="auto"/>
              <w:right w:val="single" w:sz="8" w:space="0" w:color="auto"/>
            </w:tcBorders>
            <w:shd w:val="clear" w:color="auto" w:fill="auto"/>
            <w:tcMar>
              <w:left w:w="57" w:type="dxa"/>
              <w:right w:w="57" w:type="dxa"/>
            </w:tcMar>
            <w:vAlign w:val="bottom"/>
            <w:hideMark/>
          </w:tcPr>
          <w:p w14:paraId="1A4DD7F4" w14:textId="77777777" w:rsidR="00034269" w:rsidRPr="0068236B" w:rsidRDefault="00034269" w:rsidP="008A76AD">
            <w:pPr>
              <w:spacing w:before="0" w:after="0" w:line="240" w:lineRule="auto"/>
              <w:jc w:val="center"/>
              <w:rPr>
                <w:sz w:val="20"/>
                <w:szCs w:val="20"/>
              </w:rPr>
            </w:pPr>
            <w:r w:rsidRPr="0068236B">
              <w:rPr>
                <w:sz w:val="20"/>
                <w:szCs w:val="20"/>
              </w:rPr>
              <w:t>48,676</w:t>
            </w:r>
          </w:p>
        </w:tc>
        <w:tc>
          <w:tcPr>
            <w:tcW w:w="1418" w:type="dxa"/>
            <w:tcBorders>
              <w:top w:val="single" w:sz="8" w:space="0" w:color="auto"/>
              <w:left w:val="nil"/>
              <w:bottom w:val="double" w:sz="4" w:space="0" w:color="auto"/>
              <w:right w:val="single" w:sz="4" w:space="0" w:color="auto"/>
            </w:tcBorders>
            <w:shd w:val="clear" w:color="auto" w:fill="auto"/>
            <w:tcMar>
              <w:left w:w="57" w:type="dxa"/>
              <w:right w:w="57" w:type="dxa"/>
            </w:tcMar>
            <w:vAlign w:val="bottom"/>
            <w:hideMark/>
          </w:tcPr>
          <w:p w14:paraId="37627D17" w14:textId="77777777" w:rsidR="00034269" w:rsidRPr="0068236B" w:rsidRDefault="00034269" w:rsidP="008A76AD">
            <w:pPr>
              <w:spacing w:before="0" w:after="0" w:line="240" w:lineRule="auto"/>
              <w:jc w:val="center"/>
              <w:rPr>
                <w:sz w:val="20"/>
                <w:szCs w:val="20"/>
              </w:rPr>
            </w:pPr>
            <w:r w:rsidRPr="0068236B">
              <w:rPr>
                <w:sz w:val="20"/>
                <w:szCs w:val="20"/>
              </w:rPr>
              <w:t>158,023</w:t>
            </w:r>
          </w:p>
        </w:tc>
        <w:tc>
          <w:tcPr>
            <w:tcW w:w="1417" w:type="dxa"/>
            <w:tcBorders>
              <w:top w:val="single" w:sz="8" w:space="0" w:color="auto"/>
              <w:left w:val="nil"/>
              <w:bottom w:val="double" w:sz="4" w:space="0" w:color="auto"/>
              <w:right w:val="single" w:sz="8" w:space="0" w:color="auto"/>
            </w:tcBorders>
            <w:shd w:val="clear" w:color="auto" w:fill="auto"/>
            <w:noWrap/>
            <w:tcMar>
              <w:left w:w="57" w:type="dxa"/>
              <w:right w:w="57" w:type="dxa"/>
            </w:tcMar>
            <w:vAlign w:val="bottom"/>
            <w:hideMark/>
          </w:tcPr>
          <w:p w14:paraId="58659FD7" w14:textId="77777777" w:rsidR="00034269" w:rsidRPr="0068236B" w:rsidRDefault="00034269" w:rsidP="008A76AD">
            <w:pPr>
              <w:spacing w:before="0" w:after="0" w:line="240" w:lineRule="auto"/>
              <w:jc w:val="center"/>
              <w:rPr>
                <w:sz w:val="20"/>
                <w:szCs w:val="20"/>
              </w:rPr>
            </w:pPr>
            <w:r w:rsidRPr="0068236B">
              <w:rPr>
                <w:sz w:val="20"/>
                <w:szCs w:val="20"/>
              </w:rPr>
              <w:t>160,763</w:t>
            </w:r>
          </w:p>
        </w:tc>
        <w:tc>
          <w:tcPr>
            <w:tcW w:w="1418" w:type="dxa"/>
            <w:tcBorders>
              <w:top w:val="single" w:sz="8" w:space="0" w:color="auto"/>
              <w:left w:val="nil"/>
              <w:bottom w:val="double" w:sz="4" w:space="0" w:color="auto"/>
              <w:right w:val="single" w:sz="4" w:space="0" w:color="auto"/>
            </w:tcBorders>
            <w:shd w:val="clear" w:color="auto" w:fill="auto"/>
            <w:noWrap/>
            <w:tcMar>
              <w:left w:w="57" w:type="dxa"/>
              <w:right w:w="57" w:type="dxa"/>
            </w:tcMar>
            <w:vAlign w:val="bottom"/>
            <w:hideMark/>
          </w:tcPr>
          <w:p w14:paraId="4DB1D5B1" w14:textId="77777777" w:rsidR="00034269" w:rsidRPr="0068236B" w:rsidRDefault="00034269" w:rsidP="008A76AD">
            <w:pPr>
              <w:spacing w:before="0" w:after="0" w:line="240" w:lineRule="auto"/>
              <w:jc w:val="center"/>
              <w:rPr>
                <w:sz w:val="20"/>
                <w:szCs w:val="20"/>
              </w:rPr>
            </w:pPr>
            <w:r w:rsidRPr="0068236B">
              <w:rPr>
                <w:sz w:val="20"/>
                <w:szCs w:val="20"/>
              </w:rPr>
              <w:t>85,408</w:t>
            </w:r>
          </w:p>
        </w:tc>
        <w:tc>
          <w:tcPr>
            <w:tcW w:w="1417" w:type="dxa"/>
            <w:tcBorders>
              <w:top w:val="single" w:sz="8" w:space="0" w:color="auto"/>
              <w:left w:val="nil"/>
              <w:bottom w:val="double" w:sz="4" w:space="0" w:color="auto"/>
              <w:right w:val="double" w:sz="6" w:space="0" w:color="auto"/>
            </w:tcBorders>
            <w:shd w:val="clear" w:color="auto" w:fill="auto"/>
            <w:noWrap/>
            <w:tcMar>
              <w:left w:w="57" w:type="dxa"/>
              <w:right w:w="57" w:type="dxa"/>
            </w:tcMar>
            <w:vAlign w:val="bottom"/>
            <w:hideMark/>
          </w:tcPr>
          <w:p w14:paraId="3A5FD84B" w14:textId="77777777" w:rsidR="00034269" w:rsidRPr="0068236B" w:rsidRDefault="00034269" w:rsidP="008A76AD">
            <w:pPr>
              <w:spacing w:before="0" w:after="0" w:line="240" w:lineRule="auto"/>
              <w:jc w:val="center"/>
              <w:rPr>
                <w:sz w:val="20"/>
                <w:szCs w:val="20"/>
              </w:rPr>
            </w:pPr>
            <w:r w:rsidRPr="0068236B">
              <w:rPr>
                <w:sz w:val="20"/>
                <w:szCs w:val="20"/>
              </w:rPr>
              <w:t>81,229</w:t>
            </w:r>
          </w:p>
        </w:tc>
      </w:tr>
    </w:tbl>
    <w:p w14:paraId="44FE4B50" w14:textId="77777777" w:rsidR="00034269" w:rsidRPr="0068236B" w:rsidRDefault="00034269" w:rsidP="00034269">
      <w:pPr>
        <w:pStyle w:val="Caption"/>
        <w:spacing w:line="240" w:lineRule="auto"/>
        <w:jc w:val="both"/>
        <w:rPr>
          <w:b w:val="0"/>
        </w:rPr>
      </w:pPr>
      <w:bookmarkStart w:id="121" w:name="_Toc54892632"/>
      <w:bookmarkStart w:id="122" w:name="_Toc66699784"/>
      <w:bookmarkStart w:id="123" w:name="_Toc77107405"/>
      <w:bookmarkStart w:id="124" w:name="_Toc78448854"/>
      <w:bookmarkStart w:id="125" w:name="_Toc113018164"/>
      <w:r w:rsidRPr="0068236B">
        <w:rPr>
          <w:b w:val="0"/>
        </w:rPr>
        <w:t xml:space="preserve">Table </w:t>
      </w:r>
      <w:r w:rsidR="00377E43" w:rsidRPr="0068236B">
        <w:rPr>
          <w:b w:val="0"/>
        </w:rPr>
        <w:fldChar w:fldCharType="begin"/>
      </w:r>
      <w:r w:rsidRPr="0068236B">
        <w:rPr>
          <w:b w:val="0"/>
        </w:rPr>
        <w:instrText xml:space="preserve"> STYLEREF 1 \s </w:instrText>
      </w:r>
      <w:r w:rsidR="00377E43" w:rsidRPr="0068236B">
        <w:rPr>
          <w:b w:val="0"/>
        </w:rPr>
        <w:fldChar w:fldCharType="separate"/>
      </w:r>
      <w:r w:rsidR="00234EBE" w:rsidRPr="0068236B">
        <w:rPr>
          <w:b w:val="0"/>
          <w:noProof/>
        </w:rPr>
        <w:t>3</w:t>
      </w:r>
      <w:r w:rsidR="00377E43" w:rsidRPr="0068236B">
        <w:rPr>
          <w:b w:val="0"/>
        </w:rPr>
        <w:fldChar w:fldCharType="end"/>
      </w:r>
      <w:r w:rsidRPr="0068236B">
        <w:rPr>
          <w:b w:val="0"/>
        </w:rPr>
        <w:t>.</w:t>
      </w:r>
      <w:r w:rsidR="00377E43" w:rsidRPr="0068236B">
        <w:rPr>
          <w:b w:val="0"/>
        </w:rPr>
        <w:fldChar w:fldCharType="begin"/>
      </w:r>
      <w:r w:rsidRPr="0068236B">
        <w:rPr>
          <w:b w:val="0"/>
        </w:rPr>
        <w:instrText xml:space="preserve"> SEQ Table \* ARABIC \s 1 </w:instrText>
      </w:r>
      <w:r w:rsidR="00377E43" w:rsidRPr="0068236B">
        <w:rPr>
          <w:b w:val="0"/>
        </w:rPr>
        <w:fldChar w:fldCharType="separate"/>
      </w:r>
      <w:r w:rsidR="00234EBE" w:rsidRPr="0068236B">
        <w:rPr>
          <w:b w:val="0"/>
          <w:noProof/>
        </w:rPr>
        <w:t>2</w:t>
      </w:r>
      <w:r w:rsidR="00377E43" w:rsidRPr="0068236B">
        <w:rPr>
          <w:b w:val="0"/>
        </w:rPr>
        <w:fldChar w:fldCharType="end"/>
      </w:r>
      <w:r w:rsidR="006E2AC4" w:rsidRPr="0068236B">
        <w:rPr>
          <w:b w:val="0"/>
        </w:rPr>
        <w:t>:</w:t>
      </w:r>
      <w:r w:rsidRPr="0068236B">
        <w:rPr>
          <w:b w:val="0"/>
        </w:rPr>
        <w:t xml:space="preserve"> Project economic indicators</w:t>
      </w:r>
      <w:bookmarkEnd w:id="121"/>
      <w:bookmarkEnd w:id="122"/>
      <w:bookmarkEnd w:id="123"/>
      <w:bookmarkEnd w:id="124"/>
      <w:bookmarkEnd w:id="125"/>
    </w:p>
    <w:p w14:paraId="6A9C12AD" w14:textId="77777777" w:rsidR="003D47DA" w:rsidRPr="0068236B" w:rsidRDefault="003D47DA" w:rsidP="003D47DA">
      <w:pPr>
        <w:spacing w:before="60" w:after="240"/>
        <w:jc w:val="left"/>
        <w:rPr>
          <w:sz w:val="16"/>
          <w:szCs w:val="18"/>
        </w:rPr>
      </w:pPr>
      <w:r w:rsidRPr="0068236B">
        <w:rPr>
          <w:sz w:val="16"/>
          <w:szCs w:val="18"/>
        </w:rPr>
        <w:t xml:space="preserve">Source: </w:t>
      </w:r>
      <w:r w:rsidRPr="0068236B">
        <w:rPr>
          <w:rFonts w:cs="Tahoma"/>
          <w:sz w:val="16"/>
          <w:szCs w:val="18"/>
        </w:rPr>
        <w:t>WB21-MKD-ENE-03 North Macedonia, Strengthening the Transmission Network in the Southeast Region of North Macedonia - Component 1; Selection of the preferred Option, September 2021 [Ref.4]</w:t>
      </w:r>
    </w:p>
    <w:p w14:paraId="00857628" w14:textId="77777777" w:rsidR="00034269" w:rsidRPr="0068236B" w:rsidRDefault="00034269" w:rsidP="00034269">
      <w:pPr>
        <w:rPr>
          <w:rFonts w:cs="Tahoma"/>
          <w:sz w:val="20"/>
        </w:rPr>
      </w:pPr>
      <w:r w:rsidRPr="0068236B">
        <w:rPr>
          <w:rFonts w:cs="Tahoma"/>
          <w:sz w:val="20"/>
        </w:rPr>
        <w:t>Observing the values of positive NPV, the total benefit that the construction brings to the Macedonia amounts from 48.68 million EURO in Option 1</w:t>
      </w:r>
      <w:r w:rsidR="003D47DA" w:rsidRPr="0068236B">
        <w:rPr>
          <w:rFonts w:cs="Tahoma"/>
          <w:sz w:val="20"/>
        </w:rPr>
        <w:t xml:space="preserve">, </w:t>
      </w:r>
      <w:r w:rsidRPr="0068236B">
        <w:rPr>
          <w:rFonts w:cs="Tahoma"/>
          <w:sz w:val="20"/>
        </w:rPr>
        <w:t>Alternative 2 to 160.76 million EURO in Option 2</w:t>
      </w:r>
      <w:r w:rsidR="003D47DA" w:rsidRPr="0068236B">
        <w:rPr>
          <w:rFonts w:cs="Tahoma"/>
          <w:sz w:val="20"/>
        </w:rPr>
        <w:t>,</w:t>
      </w:r>
      <w:r w:rsidRPr="0068236B">
        <w:rPr>
          <w:rFonts w:cs="Tahoma"/>
          <w:sz w:val="20"/>
        </w:rPr>
        <w:t xml:space="preserve"> Alternative 2 (expressed in the present value of money).</w:t>
      </w:r>
    </w:p>
    <w:p w14:paraId="1B1280F3" w14:textId="77777777" w:rsidR="00034269" w:rsidRPr="0068236B" w:rsidRDefault="00034269" w:rsidP="00034269">
      <w:pPr>
        <w:rPr>
          <w:rFonts w:cs="Tahoma"/>
          <w:sz w:val="20"/>
        </w:rPr>
      </w:pPr>
      <w:r w:rsidRPr="0068236B">
        <w:rPr>
          <w:rFonts w:cs="Tahoma"/>
          <w:sz w:val="20"/>
        </w:rPr>
        <w:t>On the basis of the p</w:t>
      </w:r>
      <w:r w:rsidR="003D47DA" w:rsidRPr="0068236B">
        <w:rPr>
          <w:rFonts w:cs="Tahoma"/>
          <w:sz w:val="20"/>
        </w:rPr>
        <w:t>resented economic indicators</w:t>
      </w:r>
      <w:r w:rsidRPr="0068236B">
        <w:rPr>
          <w:rFonts w:cs="Tahoma"/>
          <w:sz w:val="20"/>
        </w:rPr>
        <w:t>, it can be concluded that th</w:t>
      </w:r>
      <w:r w:rsidR="003D47DA" w:rsidRPr="0068236B">
        <w:rPr>
          <w:rFonts w:cs="Tahoma"/>
          <w:sz w:val="20"/>
        </w:rPr>
        <w:t>e P</w:t>
      </w:r>
      <w:r w:rsidRPr="0068236B">
        <w:rPr>
          <w:rFonts w:cs="Tahoma"/>
          <w:sz w:val="20"/>
        </w:rPr>
        <w:t xml:space="preserve">roject brings significant benefits for Macedonia. </w:t>
      </w:r>
    </w:p>
    <w:p w14:paraId="127FDF09" w14:textId="77777777" w:rsidR="00240E6E" w:rsidRPr="0068236B" w:rsidRDefault="00240E6E" w:rsidP="00240E6E">
      <w:pPr>
        <w:pStyle w:val="Heading2"/>
        <w:spacing w:before="480" w:after="240"/>
        <w:ind w:left="1077"/>
        <w:rPr>
          <w:lang w:eastAsia="en-US"/>
        </w:rPr>
      </w:pPr>
      <w:bookmarkStart w:id="126" w:name="_Toc71559742"/>
      <w:bookmarkStart w:id="127" w:name="_Toc112852215"/>
      <w:r w:rsidRPr="0068236B">
        <w:t>Selection of Preferred Option</w:t>
      </w:r>
      <w:bookmarkEnd w:id="126"/>
      <w:bookmarkEnd w:id="127"/>
    </w:p>
    <w:p w14:paraId="4E9C1361" w14:textId="77777777" w:rsidR="00240E6E" w:rsidRPr="0068236B" w:rsidRDefault="00240E6E" w:rsidP="00240E6E">
      <w:pPr>
        <w:pStyle w:val="Heading3"/>
      </w:pPr>
      <w:bookmarkStart w:id="128" w:name="_Toc71559743"/>
      <w:bookmarkStart w:id="129" w:name="_Toc112852216"/>
      <w:r w:rsidRPr="0068236B">
        <w:t>Evaluation of Options - Multi-Criteria Analysis</w:t>
      </w:r>
      <w:bookmarkEnd w:id="128"/>
      <w:bookmarkEnd w:id="129"/>
    </w:p>
    <w:p w14:paraId="54A04DC9" w14:textId="77777777" w:rsidR="008A76AD" w:rsidRPr="0068236B" w:rsidRDefault="008A76AD" w:rsidP="008A76AD">
      <w:pPr>
        <w:rPr>
          <w:sz w:val="20"/>
        </w:rPr>
      </w:pPr>
      <w:r w:rsidRPr="0068236B">
        <w:rPr>
          <w:sz w:val="20"/>
        </w:rPr>
        <w:t>The Multi-Criteria Analysis procedure requires (i) the establishment of the set of criteria that should measure each option’s / alternative’s performance against the objectives, and (ii) the assessment of the options / alternatives. The assessment has included the following steps:</w:t>
      </w:r>
    </w:p>
    <w:p w14:paraId="24D4FC93" w14:textId="77777777" w:rsidR="008A76AD" w:rsidRPr="0068236B" w:rsidRDefault="008A76AD" w:rsidP="00D24CEF">
      <w:pPr>
        <w:numPr>
          <w:ilvl w:val="0"/>
          <w:numId w:val="97"/>
        </w:numPr>
        <w:ind w:left="738" w:hanging="454"/>
        <w:jc w:val="left"/>
        <w:rPr>
          <w:color w:val="000000"/>
          <w:sz w:val="20"/>
        </w:rPr>
      </w:pPr>
      <w:r w:rsidRPr="0068236B">
        <w:rPr>
          <w:color w:val="000000"/>
          <w:sz w:val="20"/>
        </w:rPr>
        <w:t xml:space="preserve">Definition of the criteria “weights”, in order to reflect and illustrate their relative importance; </w:t>
      </w:r>
    </w:p>
    <w:p w14:paraId="19EA641A" w14:textId="77777777" w:rsidR="008A76AD" w:rsidRPr="0068236B" w:rsidRDefault="008A76AD" w:rsidP="00D24CEF">
      <w:pPr>
        <w:numPr>
          <w:ilvl w:val="0"/>
          <w:numId w:val="97"/>
        </w:numPr>
        <w:ind w:left="738" w:hanging="454"/>
        <w:jc w:val="left"/>
        <w:rPr>
          <w:color w:val="000000"/>
          <w:sz w:val="20"/>
        </w:rPr>
      </w:pPr>
      <w:r w:rsidRPr="0068236B">
        <w:rPr>
          <w:color w:val="000000"/>
          <w:sz w:val="20"/>
        </w:rPr>
        <w:t>Scoring of each option against the criteria;</w:t>
      </w:r>
    </w:p>
    <w:p w14:paraId="500F04F9" w14:textId="77777777" w:rsidR="008A76AD" w:rsidRPr="0068236B" w:rsidRDefault="008A76AD" w:rsidP="00D24CEF">
      <w:pPr>
        <w:numPr>
          <w:ilvl w:val="0"/>
          <w:numId w:val="97"/>
        </w:numPr>
        <w:ind w:left="738" w:hanging="454"/>
        <w:jc w:val="left"/>
        <w:rPr>
          <w:color w:val="000000"/>
          <w:sz w:val="20"/>
        </w:rPr>
      </w:pPr>
      <w:r w:rsidRPr="0068236B">
        <w:rPr>
          <w:color w:val="000000"/>
          <w:sz w:val="20"/>
        </w:rPr>
        <w:t>Combination of weights and scores to calculate each option’s overall score;</w:t>
      </w:r>
    </w:p>
    <w:p w14:paraId="6B3EA1E4" w14:textId="77777777" w:rsidR="008A76AD" w:rsidRPr="0068236B" w:rsidRDefault="008A76AD" w:rsidP="00D24CEF">
      <w:pPr>
        <w:numPr>
          <w:ilvl w:val="0"/>
          <w:numId w:val="97"/>
        </w:numPr>
        <w:ind w:left="738" w:hanging="454"/>
        <w:jc w:val="left"/>
        <w:rPr>
          <w:color w:val="000000"/>
          <w:sz w:val="20"/>
        </w:rPr>
      </w:pPr>
      <w:r w:rsidRPr="0068236B">
        <w:rPr>
          <w:color w:val="000000"/>
          <w:sz w:val="20"/>
        </w:rPr>
        <w:t>Ranking the options according to their scores.</w:t>
      </w:r>
    </w:p>
    <w:p w14:paraId="5CD59512" w14:textId="77777777" w:rsidR="008A76AD" w:rsidRPr="0068236B" w:rsidRDefault="008A76AD" w:rsidP="008A76AD">
      <w:pPr>
        <w:rPr>
          <w:sz w:val="20"/>
        </w:rPr>
      </w:pPr>
      <w:r w:rsidRPr="0068236B">
        <w:rPr>
          <w:sz w:val="20"/>
        </w:rPr>
        <w:t xml:space="preserve">Three main criteria categories have been defined for the Project (Table below): (i) </w:t>
      </w:r>
      <w:r w:rsidRPr="0068236B">
        <w:rPr>
          <w:sz w:val="20"/>
          <w:lang w:bidi="en-US"/>
        </w:rPr>
        <w:t xml:space="preserve">network and market based criteria, with two sub-categories – non monetised benefits and monetised benefits and costs; (ii) </w:t>
      </w:r>
      <w:r w:rsidRPr="0068236B">
        <w:rPr>
          <w:sz w:val="20"/>
        </w:rPr>
        <w:t>e</w:t>
      </w:r>
      <w:r w:rsidRPr="0068236B">
        <w:rPr>
          <w:sz w:val="20"/>
        </w:rPr>
        <w:t>n</w:t>
      </w:r>
      <w:r w:rsidRPr="0068236B">
        <w:rPr>
          <w:sz w:val="20"/>
        </w:rPr>
        <w:t>gineering or technical criteria, and (iii) environmental and social criteria, with two sub-categories - enviro</w:t>
      </w:r>
      <w:r w:rsidRPr="0068236B">
        <w:rPr>
          <w:sz w:val="20"/>
        </w:rPr>
        <w:t>n</w:t>
      </w:r>
      <w:r w:rsidRPr="0068236B">
        <w:rPr>
          <w:sz w:val="20"/>
        </w:rPr>
        <w:t>mental elements and social elements. Comparative assessment of these three categories and associated sub-categories has resulted in the category weights as presented in the Table below.</w:t>
      </w:r>
    </w:p>
    <w:p w14:paraId="08C4CD73" w14:textId="221CD20B" w:rsidR="00E10AD0" w:rsidRPr="0068236B" w:rsidRDefault="008A76AD" w:rsidP="008A76AD">
      <w:pPr>
        <w:rPr>
          <w:sz w:val="20"/>
        </w:rPr>
      </w:pPr>
      <w:r w:rsidRPr="0068236B">
        <w:rPr>
          <w:sz w:val="20"/>
        </w:rPr>
        <w:t xml:space="preserve">Each criteria category consists of different selected criteria, </w:t>
      </w:r>
      <w:r w:rsidRPr="0068236B">
        <w:rPr>
          <w:rFonts w:eastAsiaTheme="minorHAnsi" w:cs="Tahoma"/>
          <w:sz w:val="20"/>
          <w:szCs w:val="20"/>
          <w:lang w:eastAsia="en-US"/>
        </w:rPr>
        <w:t>as documented in the respective report</w:t>
      </w:r>
      <w:r w:rsidRPr="0068236B">
        <w:rPr>
          <w:rStyle w:val="FootnoteReference"/>
          <w:rFonts w:cs="Tahoma"/>
          <w:sz w:val="20"/>
          <w:szCs w:val="20"/>
        </w:rPr>
        <w:footnoteReference w:id="50"/>
      </w:r>
      <w:r w:rsidRPr="0068236B">
        <w:rPr>
          <w:sz w:val="20"/>
        </w:rPr>
        <w:t>.</w:t>
      </w:r>
    </w:p>
    <w:p w14:paraId="46B2B1A2" w14:textId="77777777" w:rsidR="00E10AD0" w:rsidRPr="0068236B" w:rsidRDefault="00E10AD0">
      <w:pPr>
        <w:spacing w:before="0" w:after="0" w:line="240" w:lineRule="auto"/>
        <w:jc w:val="left"/>
        <w:rPr>
          <w:sz w:val="20"/>
        </w:rPr>
      </w:pPr>
      <w:r w:rsidRPr="0068236B">
        <w:rPr>
          <w:sz w:val="20"/>
        </w:rPr>
        <w:br w:type="page"/>
      </w:r>
    </w:p>
    <w:tbl>
      <w:tblPr>
        <w:tblW w:w="7655" w:type="dxa"/>
        <w:tblBorders>
          <w:top w:val="double" w:sz="4" w:space="0" w:color="auto"/>
          <w:left w:val="double" w:sz="6" w:space="0" w:color="auto"/>
          <w:bottom w:val="double" w:sz="6" w:space="0" w:color="auto"/>
          <w:right w:val="double" w:sz="6"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67"/>
        <w:gridCol w:w="5528"/>
        <w:gridCol w:w="1560"/>
      </w:tblGrid>
      <w:tr w:rsidR="008A76AD" w:rsidRPr="0068236B" w14:paraId="742FFF51" w14:textId="77777777" w:rsidTr="0054345B">
        <w:trPr>
          <w:cantSplit/>
          <w:trHeight w:val="227"/>
          <w:tblHeader/>
        </w:trPr>
        <w:tc>
          <w:tcPr>
            <w:tcW w:w="567" w:type="dxa"/>
            <w:tcBorders>
              <w:top w:val="double" w:sz="4" w:space="0" w:color="auto"/>
              <w:left w:val="double" w:sz="4" w:space="0" w:color="auto"/>
              <w:bottom w:val="double" w:sz="4" w:space="0" w:color="auto"/>
              <w:right w:val="double" w:sz="4" w:space="0" w:color="auto"/>
            </w:tcBorders>
            <w:shd w:val="clear" w:color="auto" w:fill="D5DCE4" w:themeFill="text2" w:themeFillTint="33"/>
            <w:vAlign w:val="center"/>
          </w:tcPr>
          <w:p w14:paraId="010A7C90" w14:textId="77777777" w:rsidR="008A76AD" w:rsidRPr="0068236B" w:rsidRDefault="008A76AD" w:rsidP="008A76AD">
            <w:pPr>
              <w:spacing w:before="0" w:after="0" w:line="240" w:lineRule="auto"/>
              <w:jc w:val="center"/>
              <w:rPr>
                <w:rFonts w:eastAsia="Calibri" w:cs="Tahoma"/>
                <w:sz w:val="20"/>
                <w:szCs w:val="20"/>
              </w:rPr>
            </w:pPr>
            <w:r w:rsidRPr="0068236B">
              <w:rPr>
                <w:rFonts w:cs="Tahoma"/>
                <w:sz w:val="20"/>
                <w:szCs w:val="20"/>
              </w:rPr>
              <w:lastRenderedPageBreak/>
              <w:t>No.</w:t>
            </w:r>
          </w:p>
        </w:tc>
        <w:tc>
          <w:tcPr>
            <w:tcW w:w="5528" w:type="dxa"/>
            <w:tcBorders>
              <w:top w:val="double" w:sz="4" w:space="0" w:color="auto"/>
              <w:left w:val="double" w:sz="4" w:space="0" w:color="auto"/>
              <w:bottom w:val="double" w:sz="4" w:space="0" w:color="auto"/>
              <w:right w:val="double" w:sz="4" w:space="0" w:color="auto"/>
            </w:tcBorders>
            <w:shd w:val="clear" w:color="auto" w:fill="D5DCE4" w:themeFill="text2" w:themeFillTint="33"/>
            <w:vAlign w:val="center"/>
          </w:tcPr>
          <w:p w14:paraId="0A59543E" w14:textId="77777777" w:rsidR="008A76AD" w:rsidRPr="0068236B" w:rsidRDefault="008A76AD" w:rsidP="008A76AD">
            <w:pPr>
              <w:spacing w:before="0" w:after="0" w:line="240" w:lineRule="auto"/>
              <w:jc w:val="center"/>
              <w:rPr>
                <w:rFonts w:eastAsia="Calibri" w:cs="Tahoma"/>
                <w:bCs/>
                <w:color w:val="A6A6A6" w:themeColor="background1" w:themeShade="A6"/>
                <w:sz w:val="20"/>
                <w:szCs w:val="20"/>
              </w:rPr>
            </w:pPr>
            <w:r w:rsidRPr="0068236B">
              <w:rPr>
                <w:rFonts w:eastAsia="Arial" w:cs="Tahoma"/>
                <w:sz w:val="20"/>
                <w:szCs w:val="20"/>
              </w:rPr>
              <w:t>Criteria category (group of indicators)</w:t>
            </w:r>
          </w:p>
        </w:tc>
        <w:tc>
          <w:tcPr>
            <w:tcW w:w="1560" w:type="dxa"/>
            <w:tcBorders>
              <w:top w:val="double" w:sz="4" w:space="0" w:color="auto"/>
              <w:left w:val="double" w:sz="4" w:space="0" w:color="auto"/>
              <w:bottom w:val="double" w:sz="4" w:space="0" w:color="auto"/>
              <w:right w:val="double" w:sz="4" w:space="0" w:color="auto"/>
            </w:tcBorders>
            <w:shd w:val="clear" w:color="auto" w:fill="D5DCE4" w:themeFill="text2" w:themeFillTint="33"/>
            <w:vAlign w:val="center"/>
          </w:tcPr>
          <w:p w14:paraId="20017D48" w14:textId="77777777" w:rsidR="008A76AD" w:rsidRPr="0068236B" w:rsidRDefault="008A76AD" w:rsidP="008A76AD">
            <w:pPr>
              <w:spacing w:before="0" w:after="0" w:line="240" w:lineRule="auto"/>
              <w:jc w:val="center"/>
              <w:rPr>
                <w:rFonts w:eastAsia="Calibri" w:cs="Tahoma"/>
                <w:bCs/>
                <w:color w:val="A6A6A6" w:themeColor="background1" w:themeShade="A6"/>
                <w:sz w:val="20"/>
                <w:szCs w:val="20"/>
              </w:rPr>
            </w:pPr>
            <w:r w:rsidRPr="0068236B">
              <w:rPr>
                <w:rFonts w:eastAsia="Arial" w:cs="Tahoma"/>
                <w:sz w:val="20"/>
                <w:szCs w:val="20"/>
              </w:rPr>
              <w:t>Weight (%)</w:t>
            </w:r>
          </w:p>
        </w:tc>
      </w:tr>
      <w:tr w:rsidR="008A76AD" w:rsidRPr="0068236B" w14:paraId="55A60FDB" w14:textId="77777777" w:rsidTr="007F209D">
        <w:trPr>
          <w:trHeight w:val="227"/>
        </w:trPr>
        <w:tc>
          <w:tcPr>
            <w:tcW w:w="567" w:type="dxa"/>
            <w:tcBorders>
              <w:top w:val="double" w:sz="4" w:space="0" w:color="auto"/>
              <w:bottom w:val="single" w:sz="4" w:space="0" w:color="auto"/>
              <w:right w:val="single" w:sz="4" w:space="0" w:color="auto"/>
            </w:tcBorders>
            <w:shd w:val="clear" w:color="auto" w:fill="BFBFBF" w:themeFill="background1" w:themeFillShade="BF"/>
            <w:vAlign w:val="center"/>
          </w:tcPr>
          <w:p w14:paraId="7062CBE8" w14:textId="77777777" w:rsidR="008A76AD" w:rsidRPr="0068236B" w:rsidRDefault="008A76AD" w:rsidP="008A76AD">
            <w:pPr>
              <w:spacing w:before="0" w:after="0" w:line="240" w:lineRule="auto"/>
              <w:jc w:val="center"/>
              <w:rPr>
                <w:rFonts w:cs="Tahoma"/>
                <w:sz w:val="20"/>
                <w:szCs w:val="20"/>
              </w:rPr>
            </w:pPr>
          </w:p>
        </w:tc>
        <w:tc>
          <w:tcPr>
            <w:tcW w:w="5528" w:type="dxa"/>
            <w:tcBorders>
              <w:top w:val="doub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9358715" w14:textId="77777777" w:rsidR="008A76AD" w:rsidRPr="0068236B" w:rsidRDefault="008A76AD" w:rsidP="008A76AD">
            <w:pPr>
              <w:spacing w:before="0" w:after="0" w:line="240" w:lineRule="auto"/>
              <w:ind w:left="23"/>
              <w:rPr>
                <w:rFonts w:eastAsia="Arial" w:cs="Tahoma"/>
                <w:sz w:val="20"/>
                <w:szCs w:val="20"/>
              </w:rPr>
            </w:pPr>
            <w:r w:rsidRPr="0068236B">
              <w:rPr>
                <w:rFonts w:cs="Tahoma"/>
                <w:sz w:val="20"/>
                <w:szCs w:val="20"/>
                <w:lang w:bidi="en-US"/>
              </w:rPr>
              <w:t>Network and market based</w:t>
            </w:r>
          </w:p>
        </w:tc>
        <w:tc>
          <w:tcPr>
            <w:tcW w:w="1560" w:type="dxa"/>
            <w:tcBorders>
              <w:top w:val="double" w:sz="4" w:space="0" w:color="auto"/>
              <w:left w:val="single" w:sz="4" w:space="0" w:color="auto"/>
              <w:bottom w:val="single" w:sz="4" w:space="0" w:color="auto"/>
            </w:tcBorders>
            <w:shd w:val="clear" w:color="auto" w:fill="BFBFBF" w:themeFill="background1" w:themeFillShade="BF"/>
            <w:vAlign w:val="center"/>
          </w:tcPr>
          <w:p w14:paraId="358BF796" w14:textId="77777777" w:rsidR="008A76AD" w:rsidRPr="0068236B" w:rsidRDefault="008A76AD" w:rsidP="008A76AD">
            <w:pPr>
              <w:spacing w:before="0" w:after="0" w:line="240" w:lineRule="auto"/>
              <w:jc w:val="center"/>
              <w:rPr>
                <w:rFonts w:eastAsia="Arial" w:cs="Tahoma"/>
                <w:sz w:val="20"/>
                <w:szCs w:val="20"/>
              </w:rPr>
            </w:pPr>
          </w:p>
        </w:tc>
      </w:tr>
      <w:tr w:rsidR="008A76AD" w:rsidRPr="0068236B" w14:paraId="1897E9AE" w14:textId="77777777" w:rsidTr="008A76AD">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tcBorders>
            <w:shd w:val="clear" w:color="auto" w:fill="FFFFFF"/>
          </w:tcPr>
          <w:p w14:paraId="5EBB20A5" w14:textId="77777777" w:rsidR="008A76AD" w:rsidRPr="0068236B" w:rsidRDefault="008A76AD" w:rsidP="008A76AD">
            <w:pPr>
              <w:spacing w:before="0" w:after="0" w:line="240" w:lineRule="auto"/>
              <w:jc w:val="center"/>
              <w:rPr>
                <w:rFonts w:eastAsia="Arial" w:cs="Tahoma"/>
                <w:sz w:val="20"/>
                <w:szCs w:val="20"/>
              </w:rPr>
            </w:pPr>
            <w:r w:rsidRPr="0068236B">
              <w:rPr>
                <w:rFonts w:eastAsia="Arial" w:cs="Tahoma"/>
                <w:sz w:val="20"/>
                <w:szCs w:val="20"/>
              </w:rPr>
              <w:t>1</w:t>
            </w:r>
          </w:p>
        </w:tc>
        <w:tc>
          <w:tcPr>
            <w:tcW w:w="5528" w:type="dxa"/>
            <w:tcBorders>
              <w:top w:val="double" w:sz="4" w:space="0" w:color="auto"/>
            </w:tcBorders>
            <w:shd w:val="clear" w:color="auto" w:fill="FFFFFF"/>
          </w:tcPr>
          <w:p w14:paraId="4BE03CD9" w14:textId="77777777" w:rsidR="008A76AD" w:rsidRPr="0068236B" w:rsidRDefault="008A76AD" w:rsidP="008A76AD">
            <w:pPr>
              <w:spacing w:before="0" w:after="0" w:line="240" w:lineRule="auto"/>
              <w:rPr>
                <w:rFonts w:cs="Tahoma"/>
                <w:sz w:val="20"/>
                <w:szCs w:val="20"/>
              </w:rPr>
            </w:pPr>
            <w:r w:rsidRPr="0068236B">
              <w:rPr>
                <w:rFonts w:cs="Tahoma"/>
                <w:sz w:val="20"/>
                <w:szCs w:val="20"/>
              </w:rPr>
              <w:t>Non-monetised benefit elements</w:t>
            </w:r>
          </w:p>
        </w:tc>
        <w:tc>
          <w:tcPr>
            <w:tcW w:w="1560" w:type="dxa"/>
            <w:tcBorders>
              <w:top w:val="double" w:sz="4" w:space="0" w:color="auto"/>
              <w:right w:val="double" w:sz="4" w:space="0" w:color="auto"/>
            </w:tcBorders>
            <w:shd w:val="clear" w:color="auto" w:fill="FFFFFF"/>
          </w:tcPr>
          <w:p w14:paraId="748B21AD" w14:textId="77777777" w:rsidR="008A76AD" w:rsidRPr="0068236B" w:rsidRDefault="008A76AD" w:rsidP="008A76AD">
            <w:pPr>
              <w:spacing w:before="0" w:after="0" w:line="240" w:lineRule="auto"/>
              <w:jc w:val="center"/>
              <w:rPr>
                <w:rFonts w:eastAsia="Arial" w:cs="Tahoma"/>
                <w:sz w:val="20"/>
                <w:szCs w:val="20"/>
              </w:rPr>
            </w:pPr>
            <w:r w:rsidRPr="0068236B">
              <w:rPr>
                <w:rFonts w:eastAsia="Arial" w:cs="Tahoma"/>
                <w:sz w:val="20"/>
                <w:szCs w:val="20"/>
              </w:rPr>
              <w:t>20</w:t>
            </w:r>
          </w:p>
        </w:tc>
      </w:tr>
      <w:tr w:rsidR="008A76AD" w:rsidRPr="0068236B" w14:paraId="391A09DF" w14:textId="77777777" w:rsidTr="008A76AD">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tcBorders>
            <w:shd w:val="clear" w:color="auto" w:fill="FFFFFF"/>
          </w:tcPr>
          <w:p w14:paraId="16EC6732" w14:textId="77777777" w:rsidR="008A76AD" w:rsidRPr="0068236B" w:rsidRDefault="008A76AD" w:rsidP="008A76AD">
            <w:pPr>
              <w:spacing w:before="0" w:after="0" w:line="240" w:lineRule="auto"/>
              <w:jc w:val="center"/>
              <w:rPr>
                <w:rFonts w:eastAsia="Arial" w:cs="Tahoma"/>
                <w:sz w:val="20"/>
                <w:szCs w:val="20"/>
              </w:rPr>
            </w:pPr>
            <w:r w:rsidRPr="0068236B">
              <w:rPr>
                <w:rFonts w:eastAsia="Arial" w:cs="Tahoma"/>
                <w:sz w:val="20"/>
                <w:szCs w:val="20"/>
              </w:rPr>
              <w:t>2</w:t>
            </w:r>
          </w:p>
        </w:tc>
        <w:tc>
          <w:tcPr>
            <w:tcW w:w="5528" w:type="dxa"/>
            <w:shd w:val="clear" w:color="auto" w:fill="FFFFFF"/>
          </w:tcPr>
          <w:p w14:paraId="063F985F" w14:textId="77777777" w:rsidR="008A76AD" w:rsidRPr="0068236B" w:rsidRDefault="008A76AD" w:rsidP="008A76AD">
            <w:pPr>
              <w:spacing w:before="0" w:after="0" w:line="240" w:lineRule="auto"/>
              <w:rPr>
                <w:rFonts w:cs="Tahoma"/>
                <w:sz w:val="20"/>
                <w:szCs w:val="20"/>
              </w:rPr>
            </w:pPr>
            <w:r w:rsidRPr="0068236B">
              <w:rPr>
                <w:rFonts w:cs="Tahoma"/>
                <w:sz w:val="20"/>
                <w:szCs w:val="20"/>
              </w:rPr>
              <w:t>Monetised benefit and cost elements</w:t>
            </w:r>
          </w:p>
        </w:tc>
        <w:tc>
          <w:tcPr>
            <w:tcW w:w="1560" w:type="dxa"/>
            <w:tcBorders>
              <w:right w:val="double" w:sz="4" w:space="0" w:color="auto"/>
            </w:tcBorders>
            <w:shd w:val="clear" w:color="auto" w:fill="FFFFFF"/>
          </w:tcPr>
          <w:p w14:paraId="50C5389F" w14:textId="77777777" w:rsidR="008A76AD" w:rsidRPr="0068236B" w:rsidRDefault="008A76AD" w:rsidP="008A76AD">
            <w:pPr>
              <w:spacing w:before="0" w:after="0" w:line="240" w:lineRule="auto"/>
              <w:jc w:val="center"/>
              <w:rPr>
                <w:rFonts w:eastAsia="Arial" w:cs="Tahoma"/>
                <w:sz w:val="20"/>
                <w:szCs w:val="20"/>
              </w:rPr>
            </w:pPr>
            <w:r w:rsidRPr="0068236B">
              <w:rPr>
                <w:rFonts w:eastAsia="Arial" w:cs="Tahoma"/>
                <w:sz w:val="20"/>
                <w:szCs w:val="20"/>
              </w:rPr>
              <w:t>25</w:t>
            </w:r>
          </w:p>
        </w:tc>
      </w:tr>
      <w:tr w:rsidR="008A76AD" w:rsidRPr="0068236B" w14:paraId="20E3CB76" w14:textId="77777777" w:rsidTr="008A76AD">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left w:val="double" w:sz="4" w:space="0" w:color="auto"/>
              <w:bottom w:val="double" w:sz="4" w:space="0" w:color="auto"/>
            </w:tcBorders>
            <w:shd w:val="clear" w:color="auto" w:fill="FFD966" w:themeFill="accent4" w:themeFillTint="99"/>
          </w:tcPr>
          <w:p w14:paraId="36F98F3F" w14:textId="77777777" w:rsidR="008A76AD" w:rsidRPr="0068236B" w:rsidRDefault="008A76AD" w:rsidP="008A76AD">
            <w:pPr>
              <w:spacing w:before="0" w:after="0" w:line="240" w:lineRule="auto"/>
              <w:jc w:val="center"/>
              <w:rPr>
                <w:rFonts w:eastAsia="Arial" w:cs="Tahoma"/>
                <w:sz w:val="20"/>
                <w:szCs w:val="20"/>
              </w:rPr>
            </w:pPr>
          </w:p>
        </w:tc>
        <w:tc>
          <w:tcPr>
            <w:tcW w:w="5528" w:type="dxa"/>
            <w:tcBorders>
              <w:bottom w:val="double" w:sz="4" w:space="0" w:color="auto"/>
            </w:tcBorders>
            <w:shd w:val="clear" w:color="auto" w:fill="FFD966" w:themeFill="accent4" w:themeFillTint="99"/>
          </w:tcPr>
          <w:p w14:paraId="1EF9388F" w14:textId="77777777" w:rsidR="008A76AD" w:rsidRPr="0068236B" w:rsidRDefault="008A76AD" w:rsidP="008A76AD">
            <w:pPr>
              <w:spacing w:before="0" w:after="0" w:line="240" w:lineRule="auto"/>
              <w:jc w:val="right"/>
              <w:rPr>
                <w:rFonts w:cs="Tahoma"/>
                <w:sz w:val="20"/>
                <w:szCs w:val="20"/>
              </w:rPr>
            </w:pPr>
            <w:r w:rsidRPr="0068236B">
              <w:rPr>
                <w:rFonts w:cs="Tahoma"/>
                <w:sz w:val="20"/>
                <w:szCs w:val="20"/>
              </w:rPr>
              <w:t>Sub-total:</w:t>
            </w:r>
          </w:p>
        </w:tc>
        <w:tc>
          <w:tcPr>
            <w:tcW w:w="1560" w:type="dxa"/>
            <w:tcBorders>
              <w:bottom w:val="double" w:sz="4" w:space="0" w:color="auto"/>
              <w:right w:val="double" w:sz="4" w:space="0" w:color="auto"/>
            </w:tcBorders>
            <w:shd w:val="clear" w:color="auto" w:fill="FFD966" w:themeFill="accent4" w:themeFillTint="99"/>
          </w:tcPr>
          <w:p w14:paraId="59FB832A" w14:textId="77777777" w:rsidR="008A76AD" w:rsidRPr="0068236B" w:rsidRDefault="008A76AD" w:rsidP="008A76AD">
            <w:pPr>
              <w:spacing w:before="0" w:after="0" w:line="240" w:lineRule="auto"/>
              <w:jc w:val="center"/>
              <w:rPr>
                <w:rFonts w:eastAsia="Arial" w:cs="Tahoma"/>
                <w:sz w:val="20"/>
                <w:szCs w:val="20"/>
              </w:rPr>
            </w:pPr>
            <w:r w:rsidRPr="0068236B">
              <w:rPr>
                <w:rFonts w:eastAsia="Arial" w:cs="Tahoma"/>
                <w:sz w:val="20"/>
                <w:szCs w:val="20"/>
              </w:rPr>
              <w:t>45</w:t>
            </w:r>
          </w:p>
        </w:tc>
      </w:tr>
      <w:tr w:rsidR="008A76AD" w:rsidRPr="0068236B" w14:paraId="515B64D4" w14:textId="77777777" w:rsidTr="008A76AD">
        <w:tblPrEx>
          <w:tblBorders>
            <w:top w:val="single" w:sz="4" w:space="0" w:color="auto"/>
            <w:left w:val="single" w:sz="4" w:space="0" w:color="auto"/>
            <w:bottom w:val="single" w:sz="4" w:space="0" w:color="auto"/>
            <w:right w:val="single" w:sz="4" w:space="0" w:color="auto"/>
          </w:tblBorders>
          <w:tblCellMar>
            <w:left w:w="55" w:type="dxa"/>
            <w:right w:w="55" w:type="dxa"/>
          </w:tblCellMar>
          <w:tblLook w:val="0000" w:firstRow="0" w:lastRow="0" w:firstColumn="0" w:lastColumn="0" w:noHBand="0" w:noVBand="0"/>
        </w:tblPrEx>
        <w:trPr>
          <w:trHeight w:val="227"/>
        </w:trPr>
        <w:tc>
          <w:tcPr>
            <w:tcW w:w="567" w:type="dxa"/>
            <w:tcBorders>
              <w:top w:val="double" w:sz="4" w:space="0" w:color="auto"/>
              <w:left w:val="double" w:sz="4" w:space="0" w:color="auto"/>
              <w:bottom w:val="double" w:sz="4" w:space="0" w:color="auto"/>
            </w:tcBorders>
            <w:shd w:val="clear" w:color="auto" w:fill="BFBFBF" w:themeFill="background1" w:themeFillShade="BF"/>
          </w:tcPr>
          <w:p w14:paraId="5E01223E" w14:textId="77777777" w:rsidR="008A76AD" w:rsidRPr="0068236B" w:rsidRDefault="008A76AD" w:rsidP="008A76AD">
            <w:pPr>
              <w:spacing w:before="0" w:after="0" w:line="240" w:lineRule="auto"/>
              <w:jc w:val="center"/>
              <w:rPr>
                <w:rFonts w:eastAsia="Arial" w:cs="Tahoma"/>
                <w:sz w:val="20"/>
                <w:szCs w:val="20"/>
              </w:rPr>
            </w:pPr>
          </w:p>
        </w:tc>
        <w:tc>
          <w:tcPr>
            <w:tcW w:w="5528" w:type="dxa"/>
            <w:tcBorders>
              <w:top w:val="double" w:sz="4" w:space="0" w:color="auto"/>
              <w:bottom w:val="double" w:sz="4" w:space="0" w:color="auto"/>
            </w:tcBorders>
            <w:shd w:val="clear" w:color="auto" w:fill="BFBFBF" w:themeFill="background1" w:themeFillShade="BF"/>
          </w:tcPr>
          <w:p w14:paraId="6C8B7D16" w14:textId="77777777" w:rsidR="008A76AD" w:rsidRPr="0068236B" w:rsidRDefault="008A76AD" w:rsidP="008A76AD">
            <w:pPr>
              <w:spacing w:before="0" w:after="0" w:line="240" w:lineRule="auto"/>
              <w:rPr>
                <w:rFonts w:cs="Tahoma"/>
                <w:sz w:val="20"/>
                <w:szCs w:val="20"/>
              </w:rPr>
            </w:pPr>
            <w:r w:rsidRPr="0068236B">
              <w:rPr>
                <w:rFonts w:cs="Tahoma"/>
                <w:sz w:val="20"/>
                <w:szCs w:val="20"/>
              </w:rPr>
              <w:t xml:space="preserve">Engineering / Technical </w:t>
            </w:r>
          </w:p>
        </w:tc>
        <w:tc>
          <w:tcPr>
            <w:tcW w:w="1560" w:type="dxa"/>
            <w:tcBorders>
              <w:top w:val="double" w:sz="4" w:space="0" w:color="auto"/>
              <w:bottom w:val="double" w:sz="4" w:space="0" w:color="auto"/>
              <w:right w:val="double" w:sz="4" w:space="0" w:color="auto"/>
            </w:tcBorders>
            <w:shd w:val="clear" w:color="auto" w:fill="BFBFBF" w:themeFill="background1" w:themeFillShade="BF"/>
          </w:tcPr>
          <w:p w14:paraId="3E4AA9A8" w14:textId="77777777" w:rsidR="008A76AD" w:rsidRPr="0068236B" w:rsidRDefault="008A76AD" w:rsidP="008A76AD">
            <w:pPr>
              <w:spacing w:before="0" w:after="0" w:line="240" w:lineRule="auto"/>
              <w:jc w:val="center"/>
              <w:rPr>
                <w:rFonts w:eastAsia="Arial" w:cs="Tahoma"/>
                <w:sz w:val="20"/>
                <w:szCs w:val="20"/>
              </w:rPr>
            </w:pPr>
          </w:p>
        </w:tc>
      </w:tr>
    </w:tbl>
    <w:p w14:paraId="0563676E" w14:textId="77777777" w:rsidR="00D47985" w:rsidRPr="0068236B" w:rsidRDefault="00D47985" w:rsidP="00D47985">
      <w:pPr>
        <w:pStyle w:val="Heading3"/>
        <w:numPr>
          <w:ilvl w:val="2"/>
          <w:numId w:val="43"/>
        </w:numPr>
      </w:pPr>
      <w:bookmarkStart w:id="130" w:name="_Toc71559744"/>
      <w:bookmarkStart w:id="131" w:name="_Toc112852217"/>
      <w:bookmarkStart w:id="132" w:name="_Toc48829049"/>
      <w:bookmarkStart w:id="133" w:name="_Toc71559748"/>
      <w:r w:rsidRPr="0068236B">
        <w:t>Selection of Preferred Option</w:t>
      </w:r>
      <w:bookmarkEnd w:id="130"/>
      <w:bookmarkEnd w:id="131"/>
    </w:p>
    <w:p w14:paraId="5183A886" w14:textId="77777777" w:rsidR="00D47985" w:rsidRPr="0068236B" w:rsidRDefault="00D47985" w:rsidP="00D47985">
      <w:pPr>
        <w:rPr>
          <w:sz w:val="20"/>
        </w:rPr>
      </w:pPr>
      <w:r w:rsidRPr="0068236B">
        <w:rPr>
          <w:sz w:val="20"/>
        </w:rPr>
        <w:t>The selection process of the preferred Project option via the above MCA approach and methodology and based on the evaluation of each identified option against the selected criteria has indicated that preferred option would be the Option 2, Alternative 2 - New 400/110 kV SS Miletkovo and lead in-out of existing 400 kV OHL</w:t>
      </w:r>
      <w:r w:rsidRPr="0068236B">
        <w:rPr>
          <w:rFonts w:cs="Tahoma"/>
          <w:sz w:val="20"/>
        </w:rPr>
        <w:t xml:space="preserve"> Dubrovo – Thessalonica (GR)</w:t>
      </w:r>
      <w:r w:rsidRPr="0068236B">
        <w:rPr>
          <w:sz w:val="20"/>
        </w:rPr>
        <w:t>.</w:t>
      </w:r>
    </w:p>
    <w:p w14:paraId="42E4F40C" w14:textId="77777777" w:rsidR="00D47985" w:rsidRPr="0068236B" w:rsidRDefault="00D47985" w:rsidP="00D47985">
      <w:pPr>
        <w:rPr>
          <w:sz w:val="20"/>
        </w:rPr>
      </w:pPr>
      <w:r w:rsidRPr="0068236B">
        <w:rPr>
          <w:sz w:val="20"/>
        </w:rPr>
        <w:t>The rationale behind this recommendation is as follows [Ref.4]:</w:t>
      </w:r>
    </w:p>
    <w:p w14:paraId="64734241" w14:textId="77777777" w:rsidR="00D47985" w:rsidRPr="0068236B" w:rsidRDefault="00D47985" w:rsidP="00D24CEF">
      <w:pPr>
        <w:numPr>
          <w:ilvl w:val="0"/>
          <w:numId w:val="97"/>
        </w:numPr>
        <w:ind w:left="738" w:hanging="454"/>
        <w:jc w:val="left"/>
        <w:rPr>
          <w:color w:val="000000"/>
          <w:sz w:val="20"/>
        </w:rPr>
      </w:pPr>
      <w:r w:rsidRPr="0068236B">
        <w:rPr>
          <w:sz w:val="20"/>
        </w:rPr>
        <w:t>System studies and economic assessment</w:t>
      </w:r>
    </w:p>
    <w:p w14:paraId="34C1A5E9" w14:textId="77777777" w:rsidR="00D47985" w:rsidRPr="0068236B" w:rsidRDefault="00D47985" w:rsidP="00D47985">
      <w:pPr>
        <w:pStyle w:val="ListBullet"/>
        <w:numPr>
          <w:ilvl w:val="0"/>
          <w:numId w:val="0"/>
        </w:numPr>
        <w:ind w:left="709"/>
        <w:rPr>
          <w:sz w:val="20"/>
        </w:rPr>
      </w:pPr>
      <w:r w:rsidRPr="0068236B">
        <w:rPr>
          <w:sz w:val="20"/>
        </w:rPr>
        <w:t>According to the results of system studies, Option 2 is indicated as the best one from the reduction of energy curtailed from RES in the Project region, from the biggest losses reduction, and increase of additional capacity reserve.</w:t>
      </w:r>
    </w:p>
    <w:p w14:paraId="04069D83" w14:textId="77777777" w:rsidR="00D47985" w:rsidRPr="0068236B" w:rsidRDefault="00D47985" w:rsidP="00D47985">
      <w:pPr>
        <w:pStyle w:val="ListBullet"/>
        <w:numPr>
          <w:ilvl w:val="0"/>
          <w:numId w:val="0"/>
        </w:numPr>
        <w:ind w:left="709"/>
        <w:rPr>
          <w:sz w:val="20"/>
        </w:rPr>
      </w:pPr>
      <w:r w:rsidRPr="0068236B">
        <w:rPr>
          <w:sz w:val="20"/>
        </w:rPr>
        <w:t>From economic assessment point of view, the Project brings sufficient monetised benefits to Mac</w:t>
      </w:r>
      <w:r w:rsidRPr="0068236B">
        <w:rPr>
          <w:sz w:val="20"/>
        </w:rPr>
        <w:t>e</w:t>
      </w:r>
      <w:r w:rsidRPr="0068236B">
        <w:rPr>
          <w:sz w:val="20"/>
        </w:rPr>
        <w:t>donia and it is economically viable for the society and the national economy as a whole. The a</w:t>
      </w:r>
      <w:r w:rsidRPr="0068236B">
        <w:rPr>
          <w:sz w:val="20"/>
        </w:rPr>
        <w:t>s</w:t>
      </w:r>
      <w:r w:rsidRPr="0068236B">
        <w:rPr>
          <w:sz w:val="20"/>
        </w:rPr>
        <w:t>sessment has indicated the preferred option (Option 2, Alternative 2) is the most viable option / a</w:t>
      </w:r>
      <w:r w:rsidRPr="0068236B">
        <w:rPr>
          <w:sz w:val="20"/>
        </w:rPr>
        <w:t>l</w:t>
      </w:r>
      <w:r w:rsidRPr="0068236B">
        <w:rPr>
          <w:sz w:val="20"/>
        </w:rPr>
        <w:t>ternative from economic point of view.</w:t>
      </w:r>
    </w:p>
    <w:p w14:paraId="0CD5511B" w14:textId="77777777" w:rsidR="00D47985" w:rsidRPr="0068236B" w:rsidRDefault="00D47985" w:rsidP="00D24CEF">
      <w:pPr>
        <w:numPr>
          <w:ilvl w:val="0"/>
          <w:numId w:val="97"/>
        </w:numPr>
        <w:ind w:left="738" w:hanging="454"/>
        <w:jc w:val="left"/>
        <w:rPr>
          <w:color w:val="000000"/>
          <w:sz w:val="20"/>
        </w:rPr>
      </w:pPr>
      <w:r w:rsidRPr="0068236B">
        <w:rPr>
          <w:rFonts w:cs="Tahoma"/>
          <w:sz w:val="20"/>
        </w:rPr>
        <w:t>Technical assessment and E&amp;S aspects</w:t>
      </w:r>
    </w:p>
    <w:p w14:paraId="6E953A38" w14:textId="77777777" w:rsidR="00D47985" w:rsidRPr="0068236B" w:rsidRDefault="00D47985" w:rsidP="00D47985">
      <w:pPr>
        <w:ind w:left="709"/>
        <w:rPr>
          <w:rFonts w:cs="Tahoma"/>
          <w:sz w:val="20"/>
        </w:rPr>
      </w:pPr>
      <w:r w:rsidRPr="0068236B">
        <w:rPr>
          <w:rFonts w:cs="Tahoma"/>
          <w:sz w:val="20"/>
        </w:rPr>
        <w:t>From the technical as well as from the environmental and social perspective, the Option 2, Altern</w:t>
      </w:r>
      <w:r w:rsidRPr="0068236B">
        <w:rPr>
          <w:rFonts w:cs="Tahoma"/>
          <w:sz w:val="20"/>
        </w:rPr>
        <w:t>a</w:t>
      </w:r>
      <w:r w:rsidRPr="0068236B">
        <w:rPr>
          <w:rFonts w:cs="Tahoma"/>
          <w:sz w:val="20"/>
        </w:rPr>
        <w:t>tive 2 is superior in comparison to other identified Project options and respective alternatives, since:</w:t>
      </w:r>
    </w:p>
    <w:p w14:paraId="6DE76622" w14:textId="77777777" w:rsidR="00D47985" w:rsidRPr="0068236B" w:rsidRDefault="00D47985" w:rsidP="00D24CEF">
      <w:pPr>
        <w:pStyle w:val="ListBullet2"/>
        <w:numPr>
          <w:ilvl w:val="1"/>
          <w:numId w:val="97"/>
        </w:numPr>
        <w:rPr>
          <w:sz w:val="20"/>
        </w:rPr>
      </w:pPr>
      <w:r w:rsidRPr="0068236B">
        <w:rPr>
          <w:sz w:val="20"/>
        </w:rPr>
        <w:t>It does not require construction of new long 110 kV or 400 kV overhead line and, ther</w:t>
      </w:r>
      <w:r w:rsidRPr="0068236B">
        <w:rPr>
          <w:sz w:val="20"/>
        </w:rPr>
        <w:t>e</w:t>
      </w:r>
      <w:r w:rsidRPr="0068236B">
        <w:rPr>
          <w:sz w:val="20"/>
        </w:rPr>
        <w:t>fore, it implies the least land-take needs and land cover / land use changes;</w:t>
      </w:r>
    </w:p>
    <w:p w14:paraId="614626DA" w14:textId="77777777" w:rsidR="00D47985" w:rsidRPr="0068236B" w:rsidRDefault="00D47985" w:rsidP="00D24CEF">
      <w:pPr>
        <w:pStyle w:val="ListBullet2"/>
        <w:numPr>
          <w:ilvl w:val="1"/>
          <w:numId w:val="97"/>
        </w:numPr>
        <w:rPr>
          <w:sz w:val="20"/>
        </w:rPr>
      </w:pPr>
      <w:r w:rsidRPr="0068236B">
        <w:rPr>
          <w:sz w:val="20"/>
        </w:rPr>
        <w:t>It implies the least interventions (reconfiguration and extensions) in the existing transmi</w:t>
      </w:r>
      <w:r w:rsidRPr="0068236B">
        <w:rPr>
          <w:sz w:val="20"/>
        </w:rPr>
        <w:t>s</w:t>
      </w:r>
      <w:r w:rsidRPr="0068236B">
        <w:rPr>
          <w:sz w:val="20"/>
        </w:rPr>
        <w:t>sion assets in the Project region and, therefore, the least impact on the existing operation of the power system;</w:t>
      </w:r>
    </w:p>
    <w:p w14:paraId="5B4D66D0" w14:textId="77777777" w:rsidR="00D47985" w:rsidRPr="0068236B" w:rsidRDefault="00D47985" w:rsidP="00D24CEF">
      <w:pPr>
        <w:pStyle w:val="ListBullet2"/>
        <w:numPr>
          <w:ilvl w:val="1"/>
          <w:numId w:val="97"/>
        </w:numPr>
        <w:rPr>
          <w:sz w:val="20"/>
        </w:rPr>
      </w:pPr>
      <w:r w:rsidRPr="0068236B">
        <w:rPr>
          <w:sz w:val="20"/>
        </w:rPr>
        <w:t>There are no settlements in proximity to the Project locations and no operational commun</w:t>
      </w:r>
      <w:r w:rsidRPr="0068236B">
        <w:rPr>
          <w:sz w:val="20"/>
        </w:rPr>
        <w:t>i</w:t>
      </w:r>
      <w:r w:rsidRPr="0068236B">
        <w:rPr>
          <w:sz w:val="20"/>
        </w:rPr>
        <w:t>ty safety risks (e.g. public exposure to electro-magnetic radiation or nuisance due to cor</w:t>
      </w:r>
      <w:r w:rsidRPr="0068236B">
        <w:rPr>
          <w:sz w:val="20"/>
        </w:rPr>
        <w:t>o</w:t>
      </w:r>
      <w:r w:rsidRPr="0068236B">
        <w:rPr>
          <w:sz w:val="20"/>
        </w:rPr>
        <w:t>na noise) are likely to occur;</w:t>
      </w:r>
    </w:p>
    <w:p w14:paraId="436E2FCD" w14:textId="77777777" w:rsidR="00D47985" w:rsidRPr="0068236B" w:rsidRDefault="00D47985" w:rsidP="00D24CEF">
      <w:pPr>
        <w:pStyle w:val="ListBullet2"/>
        <w:numPr>
          <w:ilvl w:val="1"/>
          <w:numId w:val="97"/>
        </w:numPr>
        <w:rPr>
          <w:sz w:val="20"/>
        </w:rPr>
      </w:pPr>
      <w:r w:rsidRPr="0068236B">
        <w:rPr>
          <w:sz w:val="20"/>
        </w:rPr>
        <w:t>It implies the least potential impact magnitude to sensitive habitats in the Project region;</w:t>
      </w:r>
    </w:p>
    <w:p w14:paraId="752C9713" w14:textId="77777777" w:rsidR="00D47985" w:rsidRPr="0068236B" w:rsidRDefault="00D47985" w:rsidP="00D24CEF">
      <w:pPr>
        <w:pStyle w:val="ListBullet2"/>
        <w:numPr>
          <w:ilvl w:val="1"/>
          <w:numId w:val="97"/>
        </w:numPr>
        <w:rPr>
          <w:sz w:val="20"/>
        </w:rPr>
      </w:pPr>
      <w:r w:rsidRPr="0068236B">
        <w:rPr>
          <w:sz w:val="20"/>
        </w:rPr>
        <w:t>It does not interact with any legally protected area or internationally recognised area in the Project region;</w:t>
      </w:r>
    </w:p>
    <w:p w14:paraId="4AAC984E" w14:textId="77777777" w:rsidR="00D47985" w:rsidRPr="0068236B" w:rsidRDefault="00D47985" w:rsidP="00D24CEF">
      <w:pPr>
        <w:pStyle w:val="ListBullet2"/>
        <w:numPr>
          <w:ilvl w:val="1"/>
          <w:numId w:val="97"/>
        </w:numPr>
        <w:rPr>
          <w:sz w:val="20"/>
          <w:u w:val="single"/>
        </w:rPr>
      </w:pPr>
      <w:r w:rsidRPr="0068236B">
        <w:rPr>
          <w:sz w:val="20"/>
        </w:rPr>
        <w:t>It implies the least potential impact magnitude on agricultural land and, therefore, will lik</w:t>
      </w:r>
      <w:r w:rsidRPr="0068236B">
        <w:rPr>
          <w:sz w:val="20"/>
        </w:rPr>
        <w:t>e</w:t>
      </w:r>
      <w:r w:rsidRPr="0068236B">
        <w:rPr>
          <w:sz w:val="20"/>
        </w:rPr>
        <w:t>ly result in the least compensation arrangements;</w:t>
      </w:r>
    </w:p>
    <w:p w14:paraId="5A5BD176" w14:textId="77777777" w:rsidR="00D47985" w:rsidRPr="0068236B" w:rsidRDefault="00D47985" w:rsidP="00D24CEF">
      <w:pPr>
        <w:pStyle w:val="ListBullet2"/>
        <w:numPr>
          <w:ilvl w:val="1"/>
          <w:numId w:val="97"/>
        </w:numPr>
        <w:rPr>
          <w:sz w:val="20"/>
          <w:u w:val="single"/>
        </w:rPr>
      </w:pPr>
      <w:r w:rsidRPr="0068236B">
        <w:rPr>
          <w:sz w:val="20"/>
        </w:rPr>
        <w:t xml:space="preserve">There are no cultural heritages sites and resources </w:t>
      </w:r>
      <w:r w:rsidRPr="0068236B">
        <w:rPr>
          <w:rFonts w:cs="Tahoma"/>
          <w:sz w:val="20"/>
        </w:rPr>
        <w:t>in proximity to the Project locations.</w:t>
      </w:r>
    </w:p>
    <w:p w14:paraId="0F7F6FA4" w14:textId="77777777" w:rsidR="00D47985" w:rsidRPr="0068236B" w:rsidRDefault="00D47985" w:rsidP="00D47985">
      <w:pPr>
        <w:rPr>
          <w:sz w:val="20"/>
        </w:rPr>
      </w:pPr>
      <w:r w:rsidRPr="0068236B">
        <w:rPr>
          <w:sz w:val="20"/>
        </w:rPr>
        <w:t>The preferred Project option consists of the following components:</w:t>
      </w:r>
    </w:p>
    <w:p w14:paraId="26EA9CE7" w14:textId="77777777" w:rsidR="00D47985" w:rsidRPr="0068236B" w:rsidRDefault="00D47985" w:rsidP="00D24CEF">
      <w:pPr>
        <w:pStyle w:val="ListBullet"/>
        <w:numPr>
          <w:ilvl w:val="0"/>
          <w:numId w:val="97"/>
        </w:numPr>
        <w:spacing w:line="240" w:lineRule="auto"/>
        <w:ind w:left="714" w:hanging="357"/>
        <w:jc w:val="left"/>
        <w:rPr>
          <w:sz w:val="20"/>
        </w:rPr>
      </w:pPr>
      <w:r w:rsidRPr="0068236B">
        <w:rPr>
          <w:rFonts w:cs="Tahoma"/>
          <w:sz w:val="20"/>
        </w:rPr>
        <w:t xml:space="preserve">Construction of a new 400/110 kV SS Miletkovo, </w:t>
      </w:r>
      <w:r w:rsidRPr="0068236B">
        <w:rPr>
          <w:sz w:val="20"/>
        </w:rPr>
        <w:t xml:space="preserve">located in Miletkovo area (Gevgelija municipality), </w:t>
      </w:r>
      <w:r w:rsidRPr="0068236B">
        <w:rPr>
          <w:rFonts w:cs="Tahoma"/>
          <w:sz w:val="20"/>
        </w:rPr>
        <w:t>with its connection to the existing 400 kV and 110 kV transmission network (this Project - Sub-project 1) via the following interventions:</w:t>
      </w:r>
    </w:p>
    <w:p w14:paraId="119217D9" w14:textId="77777777" w:rsidR="00D47985" w:rsidRPr="0068236B" w:rsidRDefault="00D47985" w:rsidP="00D24CEF">
      <w:pPr>
        <w:pStyle w:val="ListBullet2"/>
        <w:numPr>
          <w:ilvl w:val="1"/>
          <w:numId w:val="97"/>
        </w:numPr>
        <w:rPr>
          <w:sz w:val="20"/>
        </w:rPr>
      </w:pPr>
      <w:r w:rsidRPr="0068236B">
        <w:rPr>
          <w:rFonts w:eastAsia="Calibri" w:cs="Tahoma"/>
          <w:color w:val="000000"/>
          <w:sz w:val="20"/>
          <w:szCs w:val="20"/>
        </w:rPr>
        <w:t xml:space="preserve">In-out, </w:t>
      </w:r>
      <w:r w:rsidRPr="0068236B">
        <w:rPr>
          <w:sz w:val="20"/>
        </w:rPr>
        <w:t>approx. 0.5 km long</w:t>
      </w:r>
      <w:r w:rsidRPr="0068236B">
        <w:rPr>
          <w:rFonts w:eastAsia="Calibri" w:cs="Tahoma"/>
          <w:color w:val="000000"/>
          <w:sz w:val="20"/>
          <w:szCs w:val="20"/>
        </w:rPr>
        <w:t xml:space="preserve">, connection with </w:t>
      </w:r>
      <w:r w:rsidRPr="0068236B">
        <w:rPr>
          <w:sz w:val="20"/>
        </w:rPr>
        <w:t>the existing 400 kV line from SS Dubrovo to Thessalonica (GR)</w:t>
      </w:r>
    </w:p>
    <w:p w14:paraId="2CA98FB6" w14:textId="77777777" w:rsidR="00D47985" w:rsidRPr="0068236B" w:rsidRDefault="00D47985" w:rsidP="00D24CEF">
      <w:pPr>
        <w:pStyle w:val="ListBullet2"/>
        <w:numPr>
          <w:ilvl w:val="1"/>
          <w:numId w:val="97"/>
        </w:numPr>
        <w:rPr>
          <w:sz w:val="20"/>
        </w:rPr>
      </w:pPr>
      <w:r w:rsidRPr="0068236B">
        <w:rPr>
          <w:sz w:val="20"/>
        </w:rPr>
        <w:t>Reconstruction of the existing approx. 6.4 km long 110 kV transmission line from SS Va</w:t>
      </w:r>
      <w:r w:rsidRPr="0068236B">
        <w:rPr>
          <w:sz w:val="20"/>
        </w:rPr>
        <w:t>l</w:t>
      </w:r>
      <w:r w:rsidRPr="0068236B">
        <w:rPr>
          <w:sz w:val="20"/>
        </w:rPr>
        <w:t>andovo to SS ‘EVP’ Miletkovo and its extension to the new 400/110 kV SS Miletkovo.</w:t>
      </w:r>
    </w:p>
    <w:p w14:paraId="7FFB1593" w14:textId="77777777" w:rsidR="00D47985" w:rsidRPr="0068236B" w:rsidRDefault="00D47985" w:rsidP="00D24CEF">
      <w:pPr>
        <w:pStyle w:val="ListBullet2"/>
        <w:numPr>
          <w:ilvl w:val="1"/>
          <w:numId w:val="97"/>
        </w:numPr>
        <w:rPr>
          <w:sz w:val="20"/>
        </w:rPr>
      </w:pPr>
      <w:r w:rsidRPr="0068236B">
        <w:rPr>
          <w:sz w:val="20"/>
        </w:rPr>
        <w:lastRenderedPageBreak/>
        <w:t>Construction of a new approx. 1.8 km long 110 kV OHL connector with the existing SS ‘EVP’ Miletkovo</w:t>
      </w:r>
    </w:p>
    <w:p w14:paraId="5E77AE26" w14:textId="77777777" w:rsidR="00D47985" w:rsidRPr="0068236B" w:rsidRDefault="00D47985" w:rsidP="00D47985">
      <w:pPr>
        <w:rPr>
          <w:rFonts w:cs="Tahoma"/>
          <w:sz w:val="20"/>
          <w:szCs w:val="20"/>
        </w:rPr>
      </w:pPr>
      <w:r w:rsidRPr="0068236B">
        <w:rPr>
          <w:sz w:val="20"/>
        </w:rPr>
        <w:t>Based on the subsequent review and consultative process with key relevant stakeholders</w:t>
      </w:r>
      <w:r w:rsidRPr="0068236B">
        <w:rPr>
          <w:rStyle w:val="FootnoteReference"/>
          <w:sz w:val="20"/>
        </w:rPr>
        <w:footnoteReference w:id="51"/>
      </w:r>
      <w:r w:rsidRPr="0068236B">
        <w:rPr>
          <w:sz w:val="20"/>
        </w:rPr>
        <w:t>, t</w:t>
      </w:r>
      <w:r w:rsidRPr="0068236B">
        <w:rPr>
          <w:rFonts w:cs="Tahoma"/>
          <w:sz w:val="20"/>
          <w:szCs w:val="20"/>
        </w:rPr>
        <w:t>his proposal was accepted by MEPSO in their capacity as Project Beneficiary and EBRD in their capacity as lead IFI in October 2021 and it was selected as preferred Project option for further development and E&amp;S assessment (this Report).</w:t>
      </w:r>
    </w:p>
    <w:p w14:paraId="2A96FE39" w14:textId="3060CA7D" w:rsidR="00D47985" w:rsidRPr="0068236B" w:rsidRDefault="00D47985" w:rsidP="00D47985">
      <w:pPr>
        <w:shd w:val="clear" w:color="auto" w:fill="FFFFFF"/>
        <w:rPr>
          <w:rFonts w:cs="Tahoma"/>
          <w:sz w:val="20"/>
          <w:szCs w:val="20"/>
        </w:rPr>
      </w:pPr>
      <w:r w:rsidRPr="0068236B">
        <w:rPr>
          <w:rFonts w:cs="Tahoma"/>
          <w:color w:val="222222"/>
          <w:sz w:val="20"/>
          <w:szCs w:val="20"/>
          <w:shd w:val="clear" w:color="auto" w:fill="FFFFFF"/>
        </w:rPr>
        <w:t>The preferred Project option is shown in Annex 1.</w:t>
      </w:r>
    </w:p>
    <w:p w14:paraId="2A6519D8" w14:textId="77777777" w:rsidR="00F11430" w:rsidRPr="0068236B" w:rsidRDefault="00F11430">
      <w:pPr>
        <w:spacing w:before="0" w:after="0" w:line="240" w:lineRule="auto"/>
        <w:jc w:val="left"/>
        <w:rPr>
          <w:rFonts w:ascii="Tahoma Bold" w:hAnsi="Tahoma Bold"/>
          <w:b/>
          <w:color w:val="44697D"/>
          <w:sz w:val="32"/>
          <w:szCs w:val="32"/>
          <w:u w:color="00B050"/>
        </w:rPr>
      </w:pPr>
      <w:r w:rsidRPr="0068236B">
        <w:br w:type="page"/>
      </w:r>
    </w:p>
    <w:p w14:paraId="3ED1BA25" w14:textId="254D87F2" w:rsidR="00D670E7" w:rsidRPr="0068236B" w:rsidRDefault="00D670E7" w:rsidP="00E44ED8">
      <w:pPr>
        <w:pStyle w:val="Heading1"/>
      </w:pPr>
      <w:bookmarkStart w:id="134" w:name="_Toc112852218"/>
      <w:r w:rsidRPr="0068236B">
        <w:lastRenderedPageBreak/>
        <w:t>Legal Requirements</w:t>
      </w:r>
      <w:bookmarkEnd w:id="134"/>
    </w:p>
    <w:p w14:paraId="29185215" w14:textId="756CCDF3" w:rsidR="00643B04" w:rsidRPr="0068236B" w:rsidRDefault="00643B04" w:rsidP="00643B04">
      <w:pPr>
        <w:rPr>
          <w:rFonts w:cs="Tahoma"/>
          <w:snapToGrid w:val="0"/>
          <w:sz w:val="20"/>
          <w:szCs w:val="20"/>
        </w:rPr>
      </w:pPr>
      <w:r w:rsidRPr="0068236B">
        <w:rPr>
          <w:sz w:val="20"/>
          <w:szCs w:val="20"/>
        </w:rPr>
        <w:t xml:space="preserve">This section sets out the regulatory framework providing a summary of the relevant Macedonian legal framework and also the international </w:t>
      </w:r>
      <w:r w:rsidR="005E6643" w:rsidRPr="0068236B">
        <w:rPr>
          <w:sz w:val="20"/>
          <w:szCs w:val="20"/>
        </w:rPr>
        <w:t>standards</w:t>
      </w:r>
      <w:r w:rsidRPr="0068236B">
        <w:rPr>
          <w:sz w:val="20"/>
          <w:szCs w:val="20"/>
        </w:rPr>
        <w:t xml:space="preserve"> and guidelines. The potential gaps or differences between these are further noted in each respective impact assessment topic under description of relevant topic’s le</w:t>
      </w:r>
      <w:r w:rsidRPr="0068236B">
        <w:rPr>
          <w:sz w:val="20"/>
          <w:szCs w:val="20"/>
        </w:rPr>
        <w:t>g</w:t>
      </w:r>
      <w:r w:rsidRPr="0068236B">
        <w:rPr>
          <w:sz w:val="20"/>
          <w:szCs w:val="20"/>
        </w:rPr>
        <w:t xml:space="preserve">islation and standards. </w:t>
      </w:r>
      <w:r w:rsidRPr="0068236B">
        <w:rPr>
          <w:rFonts w:cs="Tahoma"/>
          <w:snapToGrid w:val="0"/>
          <w:sz w:val="20"/>
          <w:szCs w:val="20"/>
        </w:rPr>
        <w:t>When Macedonian national regulations differ from international requirements, the Project will meet whichever of the standards is the stringent.</w:t>
      </w:r>
    </w:p>
    <w:p w14:paraId="76906619" w14:textId="2BECD1C3" w:rsidR="00643B04" w:rsidRPr="0068236B" w:rsidRDefault="00643B04" w:rsidP="00643B04">
      <w:pPr>
        <w:pStyle w:val="Heading2"/>
        <w:spacing w:before="480" w:after="240"/>
        <w:ind w:left="576" w:hanging="576"/>
        <w:rPr>
          <w:szCs w:val="28"/>
        </w:rPr>
      </w:pPr>
      <w:bookmarkStart w:id="135" w:name="_Toc112852219"/>
      <w:r w:rsidRPr="0068236B">
        <w:rPr>
          <w:szCs w:val="28"/>
        </w:rPr>
        <w:t>Macedonian Requirements</w:t>
      </w:r>
      <w:bookmarkEnd w:id="135"/>
    </w:p>
    <w:p w14:paraId="78CA1D3D" w14:textId="6DFCB14A" w:rsidR="001E0291" w:rsidRPr="0068236B" w:rsidRDefault="001E0291" w:rsidP="00060627">
      <w:pPr>
        <w:pStyle w:val="Heading3"/>
      </w:pPr>
      <w:bookmarkStart w:id="136" w:name="_Toc112852220"/>
      <w:r w:rsidRPr="0068236B">
        <w:t xml:space="preserve">Environmental </w:t>
      </w:r>
      <w:r w:rsidR="000D0BD8" w:rsidRPr="0068236B">
        <w:t>Appraisal of Projects</w:t>
      </w:r>
      <w:bookmarkEnd w:id="136"/>
    </w:p>
    <w:p w14:paraId="245D1C09" w14:textId="4DC244E5" w:rsidR="000D0BD8" w:rsidRPr="0068236B" w:rsidRDefault="000D0BD8" w:rsidP="000D0BD8">
      <w:pPr>
        <w:pStyle w:val="Heading4"/>
        <w:rPr>
          <w:sz w:val="20"/>
        </w:rPr>
      </w:pPr>
      <w:r w:rsidRPr="0068236B">
        <w:rPr>
          <w:sz w:val="20"/>
        </w:rPr>
        <w:t>Environmental Impact Assessment</w:t>
      </w:r>
    </w:p>
    <w:p w14:paraId="117365C6" w14:textId="68EE0BCB" w:rsidR="001E0291" w:rsidRPr="0068236B" w:rsidRDefault="001E0291" w:rsidP="001E0291">
      <w:pPr>
        <w:rPr>
          <w:rFonts w:cs="Arial"/>
          <w:sz w:val="20"/>
          <w:szCs w:val="20"/>
        </w:rPr>
      </w:pPr>
      <w:r w:rsidRPr="0068236B">
        <w:rPr>
          <w:rFonts w:cs="Arial"/>
          <w:sz w:val="20"/>
          <w:szCs w:val="20"/>
        </w:rPr>
        <w:t xml:space="preserve">An Environmental Impact Assessment (EIA) of certain projects is required to be carried out in Macedonia in accordance with the </w:t>
      </w:r>
      <w:r w:rsidRPr="0068236B">
        <w:rPr>
          <w:rFonts w:cs="Arial"/>
          <w:iCs/>
          <w:sz w:val="20"/>
          <w:szCs w:val="20"/>
        </w:rPr>
        <w:t xml:space="preserve">Law on the Environment </w:t>
      </w:r>
      <w:r w:rsidRPr="0068236B">
        <w:rPr>
          <w:rFonts w:cs="Arial"/>
          <w:sz w:val="20"/>
          <w:szCs w:val="20"/>
        </w:rPr>
        <w:t>and associated secondary legislation. This law regulates the administrative procedure for environmental impact assessment for projects that are likely to cause significant effects on the environment. It also defines the scope the EIA study (EIA Report), the requirements for stakeholder engagement and the public involvement process.</w:t>
      </w:r>
    </w:p>
    <w:p w14:paraId="1314156E" w14:textId="397E304B" w:rsidR="001E0291" w:rsidRPr="0068236B" w:rsidRDefault="001E0291" w:rsidP="001E0291">
      <w:pPr>
        <w:rPr>
          <w:rFonts w:cs="Arial"/>
          <w:sz w:val="20"/>
          <w:szCs w:val="20"/>
        </w:rPr>
      </w:pPr>
      <w:r w:rsidRPr="0068236B">
        <w:rPr>
          <w:rFonts w:cs="Arial"/>
          <w:sz w:val="20"/>
          <w:szCs w:val="20"/>
        </w:rPr>
        <w:t>According to this law, the EIA is to be completed before development consent is granted by the respective Macedonian competent authority in the form of approval for project implementation. For a project such is this transmission development, development consent is granted via a construction permit, issued in compl</w:t>
      </w:r>
      <w:r w:rsidRPr="0068236B">
        <w:rPr>
          <w:rFonts w:cs="Arial"/>
          <w:sz w:val="20"/>
          <w:szCs w:val="20"/>
        </w:rPr>
        <w:t>i</w:t>
      </w:r>
      <w:r w:rsidRPr="0068236B">
        <w:rPr>
          <w:rFonts w:cs="Arial"/>
          <w:sz w:val="20"/>
          <w:szCs w:val="20"/>
        </w:rPr>
        <w:t>ance with the Macedonian Law on Construction.</w:t>
      </w:r>
    </w:p>
    <w:p w14:paraId="68BACEC2" w14:textId="5ECCFF09" w:rsidR="001E0291" w:rsidRPr="0068236B" w:rsidRDefault="001E0291" w:rsidP="001E0291">
      <w:pPr>
        <w:autoSpaceDE w:val="0"/>
        <w:autoSpaceDN w:val="0"/>
        <w:adjustRightInd w:val="0"/>
        <w:rPr>
          <w:color w:val="000000"/>
          <w:sz w:val="20"/>
          <w:szCs w:val="20"/>
        </w:rPr>
      </w:pPr>
      <w:r w:rsidRPr="0068236B">
        <w:rPr>
          <w:color w:val="000000"/>
          <w:sz w:val="20"/>
          <w:szCs w:val="20"/>
        </w:rPr>
        <w:t>The projects that may require EIA process are determined by the “</w:t>
      </w:r>
      <w:r w:rsidRPr="0068236B">
        <w:rPr>
          <w:sz w:val="20"/>
          <w:szCs w:val="20"/>
        </w:rPr>
        <w:t>Decree on determining of projects and criteria upon which the need for an environmental impact assessment is established”</w:t>
      </w:r>
      <w:r w:rsidR="008B1F5B" w:rsidRPr="0068236B">
        <w:rPr>
          <w:sz w:val="20"/>
          <w:szCs w:val="20"/>
        </w:rPr>
        <w:t xml:space="preserve"> </w:t>
      </w:r>
      <w:r w:rsidR="008B1F5B" w:rsidRPr="0068236B">
        <w:rPr>
          <w:rFonts w:cs="Tahoma"/>
          <w:sz w:val="20"/>
          <w:szCs w:val="20"/>
        </w:rPr>
        <w:t>(OG of RM no.74/05, 109/09 &amp; 164/12 –</w:t>
      </w:r>
      <w:r w:rsidRPr="0068236B">
        <w:rPr>
          <w:sz w:val="20"/>
          <w:szCs w:val="20"/>
        </w:rPr>
        <w:t xml:space="preserve"> EIA Decree</w:t>
      </w:r>
      <w:r w:rsidRPr="0068236B">
        <w:rPr>
          <w:i/>
          <w:iCs/>
          <w:color w:val="000000"/>
          <w:sz w:val="20"/>
          <w:szCs w:val="20"/>
        </w:rPr>
        <w:t>.</w:t>
      </w:r>
      <w:r w:rsidRPr="0068236B">
        <w:rPr>
          <w:color w:val="000000"/>
          <w:sz w:val="20"/>
          <w:szCs w:val="20"/>
        </w:rPr>
        <w:t xml:space="preserve"> </w:t>
      </w:r>
      <w:r w:rsidR="008B1F5B" w:rsidRPr="0068236B">
        <w:rPr>
          <w:rFonts w:cs="Tahoma"/>
          <w:color w:val="000000"/>
          <w:sz w:val="20"/>
          <w:szCs w:val="20"/>
        </w:rPr>
        <w:t>This legal instrument transposes the requirements of the EU EIA Directive</w:t>
      </w:r>
      <w:r w:rsidR="008B1F5B" w:rsidRPr="0068236B">
        <w:rPr>
          <w:rStyle w:val="FootnoteReference"/>
          <w:rFonts w:cs="Tahoma"/>
          <w:color w:val="000000"/>
          <w:sz w:val="20"/>
          <w:szCs w:val="20"/>
        </w:rPr>
        <w:footnoteReference w:id="52"/>
      </w:r>
      <w:r w:rsidR="008B1F5B" w:rsidRPr="0068236B">
        <w:rPr>
          <w:rFonts w:cs="Tahoma"/>
          <w:color w:val="000000"/>
          <w:sz w:val="20"/>
          <w:szCs w:val="20"/>
        </w:rPr>
        <w:t>.</w:t>
      </w:r>
    </w:p>
    <w:p w14:paraId="0486CECB" w14:textId="77777777" w:rsidR="001E0291" w:rsidRPr="0068236B" w:rsidRDefault="001E0291" w:rsidP="001E0291">
      <w:pPr>
        <w:rPr>
          <w:rFonts w:cs="Arial"/>
          <w:sz w:val="20"/>
          <w:szCs w:val="20"/>
        </w:rPr>
      </w:pPr>
      <w:r w:rsidRPr="0068236B">
        <w:rPr>
          <w:rFonts w:cs="Arial"/>
          <w:sz w:val="20"/>
          <w:szCs w:val="20"/>
        </w:rPr>
        <w:t>The general EIA procedure includes three main steps:</w:t>
      </w:r>
    </w:p>
    <w:p w14:paraId="42B7ED34" w14:textId="77777777" w:rsidR="001E0291" w:rsidRPr="0068236B" w:rsidRDefault="001E0291" w:rsidP="008E77D3">
      <w:pPr>
        <w:numPr>
          <w:ilvl w:val="0"/>
          <w:numId w:val="58"/>
        </w:numPr>
        <w:autoSpaceDE w:val="0"/>
        <w:autoSpaceDN w:val="0"/>
        <w:adjustRightInd w:val="0"/>
        <w:spacing w:before="0" w:after="60"/>
        <w:ind w:left="714" w:hanging="357"/>
        <w:jc w:val="left"/>
        <w:rPr>
          <w:rFonts w:cs="Arial"/>
          <w:sz w:val="20"/>
          <w:szCs w:val="20"/>
        </w:rPr>
      </w:pPr>
      <w:r w:rsidRPr="0068236B">
        <w:rPr>
          <w:rFonts w:cs="Arial"/>
          <w:sz w:val="20"/>
          <w:szCs w:val="20"/>
        </w:rPr>
        <w:t>Screening process - a process during which the competent authority determines whether an EIA is required for a certain project when a notification of intention to implement a project is submitted.</w:t>
      </w:r>
    </w:p>
    <w:p w14:paraId="2513CB38" w14:textId="77777777" w:rsidR="001E0291" w:rsidRPr="0068236B" w:rsidRDefault="001E0291" w:rsidP="008E77D3">
      <w:pPr>
        <w:numPr>
          <w:ilvl w:val="0"/>
          <w:numId w:val="58"/>
        </w:numPr>
        <w:autoSpaceDE w:val="0"/>
        <w:autoSpaceDN w:val="0"/>
        <w:adjustRightInd w:val="0"/>
        <w:spacing w:before="0" w:after="60"/>
        <w:ind w:left="714" w:hanging="357"/>
        <w:jc w:val="left"/>
        <w:rPr>
          <w:rFonts w:cs="Arial"/>
          <w:sz w:val="20"/>
          <w:szCs w:val="20"/>
        </w:rPr>
      </w:pPr>
      <w:r w:rsidRPr="0068236B">
        <w:rPr>
          <w:rFonts w:cs="Arial"/>
          <w:sz w:val="20"/>
          <w:szCs w:val="20"/>
        </w:rPr>
        <w:t>Scoping process - a process during which the competent authority determines the content and e</w:t>
      </w:r>
      <w:r w:rsidRPr="0068236B">
        <w:rPr>
          <w:rFonts w:cs="Arial"/>
          <w:sz w:val="20"/>
          <w:szCs w:val="20"/>
        </w:rPr>
        <w:t>x</w:t>
      </w:r>
      <w:r w:rsidRPr="0068236B">
        <w:rPr>
          <w:rFonts w:cs="Arial"/>
          <w:sz w:val="20"/>
          <w:szCs w:val="20"/>
        </w:rPr>
        <w:t>tent of the matters which should be covered by the EIA Report.</w:t>
      </w:r>
    </w:p>
    <w:p w14:paraId="0367E955" w14:textId="77777777" w:rsidR="001E0291" w:rsidRPr="0068236B" w:rsidRDefault="001E0291" w:rsidP="008E77D3">
      <w:pPr>
        <w:numPr>
          <w:ilvl w:val="0"/>
          <w:numId w:val="58"/>
        </w:numPr>
        <w:autoSpaceDE w:val="0"/>
        <w:autoSpaceDN w:val="0"/>
        <w:adjustRightInd w:val="0"/>
        <w:spacing w:before="0" w:after="60"/>
        <w:ind w:left="714" w:hanging="357"/>
        <w:jc w:val="left"/>
        <w:rPr>
          <w:rFonts w:cs="Arial"/>
          <w:sz w:val="20"/>
          <w:szCs w:val="20"/>
        </w:rPr>
      </w:pPr>
      <w:r w:rsidRPr="0068236B">
        <w:rPr>
          <w:rFonts w:cs="Arial"/>
          <w:sz w:val="20"/>
          <w:szCs w:val="20"/>
        </w:rPr>
        <w:t>Review process - a process of checking the adequacy of the EIA Report as one of the main ‘saf</w:t>
      </w:r>
      <w:r w:rsidRPr="0068236B">
        <w:rPr>
          <w:rFonts w:cs="Arial"/>
          <w:sz w:val="20"/>
          <w:szCs w:val="20"/>
        </w:rPr>
        <w:t>e</w:t>
      </w:r>
      <w:r w:rsidRPr="0068236B">
        <w:rPr>
          <w:rFonts w:cs="Arial"/>
          <w:sz w:val="20"/>
          <w:szCs w:val="20"/>
        </w:rPr>
        <w:t>guards’ built into the EIA process.</w:t>
      </w:r>
    </w:p>
    <w:p w14:paraId="446F0804" w14:textId="1286B610" w:rsidR="001E0291" w:rsidRPr="0068236B" w:rsidRDefault="001E0291" w:rsidP="001E0291">
      <w:pPr>
        <w:autoSpaceDE w:val="0"/>
        <w:autoSpaceDN w:val="0"/>
        <w:adjustRightInd w:val="0"/>
        <w:rPr>
          <w:rFonts w:cs="Arial"/>
          <w:sz w:val="20"/>
          <w:szCs w:val="20"/>
        </w:rPr>
      </w:pPr>
      <w:r w:rsidRPr="0068236B">
        <w:rPr>
          <w:rFonts w:cs="Arial"/>
          <w:sz w:val="20"/>
          <w:szCs w:val="20"/>
        </w:rPr>
        <w:t>The Macedonian Ministry responsible for environmental matters (i.e. the Ministry of Environment and Phys</w:t>
      </w:r>
      <w:r w:rsidRPr="0068236B">
        <w:rPr>
          <w:rFonts w:cs="Arial"/>
          <w:sz w:val="20"/>
          <w:szCs w:val="20"/>
        </w:rPr>
        <w:t>i</w:t>
      </w:r>
      <w:r w:rsidRPr="0068236B">
        <w:rPr>
          <w:rFonts w:cs="Arial"/>
          <w:sz w:val="20"/>
          <w:szCs w:val="20"/>
        </w:rPr>
        <w:t>cal Planning) is the competent administrative authority for the EIA process.</w:t>
      </w:r>
    </w:p>
    <w:p w14:paraId="1F3DC40E" w14:textId="7B1397EB" w:rsidR="003C6C98" w:rsidRPr="0068236B" w:rsidRDefault="003C6C98" w:rsidP="001E0291">
      <w:pPr>
        <w:autoSpaceDE w:val="0"/>
        <w:autoSpaceDN w:val="0"/>
        <w:adjustRightInd w:val="0"/>
        <w:rPr>
          <w:rFonts w:cs="Arial"/>
          <w:sz w:val="20"/>
          <w:szCs w:val="20"/>
        </w:rPr>
      </w:pPr>
      <w:r w:rsidRPr="0068236B">
        <w:rPr>
          <w:rFonts w:cs="Arial"/>
          <w:sz w:val="20"/>
          <w:szCs w:val="20"/>
        </w:rPr>
        <w:t>The key EIA framework in Macedonia is further defined by a set of secondary legal acts, including:</w:t>
      </w:r>
    </w:p>
    <w:p w14:paraId="4064331F" w14:textId="1F81655D" w:rsidR="003C6C98" w:rsidRPr="0068236B" w:rsidRDefault="003C6C98" w:rsidP="00D24CEF">
      <w:pPr>
        <w:pStyle w:val="ListBullet"/>
        <w:numPr>
          <w:ilvl w:val="0"/>
          <w:numId w:val="97"/>
        </w:numPr>
        <w:jc w:val="left"/>
        <w:rPr>
          <w:sz w:val="20"/>
          <w:szCs w:val="20"/>
        </w:rPr>
      </w:pPr>
      <w:r w:rsidRPr="0068236B">
        <w:rPr>
          <w:bCs/>
          <w:sz w:val="20"/>
          <w:szCs w:val="20"/>
        </w:rPr>
        <w:t xml:space="preserve">Decree </w:t>
      </w:r>
      <w:r w:rsidRPr="0068236B">
        <w:rPr>
          <w:sz w:val="20"/>
          <w:szCs w:val="20"/>
        </w:rPr>
        <w:t>determining projects for which and criteria on the basis of which the screening for an environmental impact assessment shall be carried out</w:t>
      </w:r>
    </w:p>
    <w:p w14:paraId="5F0A02CD" w14:textId="533F9DC6" w:rsidR="003C6C98" w:rsidRPr="0068236B" w:rsidRDefault="003C6C98" w:rsidP="00D24CEF">
      <w:pPr>
        <w:pStyle w:val="ListBullet"/>
        <w:numPr>
          <w:ilvl w:val="0"/>
          <w:numId w:val="97"/>
        </w:numPr>
        <w:jc w:val="left"/>
        <w:rPr>
          <w:sz w:val="20"/>
          <w:szCs w:val="20"/>
        </w:rPr>
      </w:pPr>
      <w:r w:rsidRPr="0068236B">
        <w:rPr>
          <w:sz w:val="20"/>
          <w:szCs w:val="20"/>
        </w:rPr>
        <w:t>Rulebook on the information contained in the notification of intent for the project implement</w:t>
      </w:r>
      <w:r w:rsidRPr="0068236B">
        <w:rPr>
          <w:sz w:val="20"/>
          <w:szCs w:val="20"/>
        </w:rPr>
        <w:t>a</w:t>
      </w:r>
      <w:r w:rsidRPr="0068236B">
        <w:rPr>
          <w:sz w:val="20"/>
          <w:szCs w:val="20"/>
        </w:rPr>
        <w:t>tion and procedure for determining the need for assessment of the environmental impact of the project</w:t>
      </w:r>
    </w:p>
    <w:p w14:paraId="1E1A6ACF" w14:textId="1738FD88" w:rsidR="003C6C98" w:rsidRPr="0068236B" w:rsidRDefault="003C6C98" w:rsidP="00D24CEF">
      <w:pPr>
        <w:pStyle w:val="ListBullet"/>
        <w:numPr>
          <w:ilvl w:val="0"/>
          <w:numId w:val="97"/>
        </w:numPr>
        <w:jc w:val="left"/>
        <w:rPr>
          <w:sz w:val="20"/>
          <w:szCs w:val="20"/>
        </w:rPr>
      </w:pPr>
      <w:r w:rsidRPr="0068236B">
        <w:rPr>
          <w:sz w:val="20"/>
          <w:szCs w:val="20"/>
        </w:rPr>
        <w:lastRenderedPageBreak/>
        <w:t>Rulebook on the content of the requirements which should be met by study for environmental impact assessment from the project</w:t>
      </w:r>
    </w:p>
    <w:p w14:paraId="6D4D8535" w14:textId="31023975" w:rsidR="003C6C98" w:rsidRPr="0068236B" w:rsidRDefault="003C6C98" w:rsidP="00D24CEF">
      <w:pPr>
        <w:pStyle w:val="ListBullet"/>
        <w:numPr>
          <w:ilvl w:val="0"/>
          <w:numId w:val="97"/>
        </w:numPr>
        <w:jc w:val="left"/>
        <w:rPr>
          <w:sz w:val="20"/>
          <w:szCs w:val="20"/>
        </w:rPr>
      </w:pPr>
      <w:r w:rsidRPr="0068236B">
        <w:rPr>
          <w:sz w:val="20"/>
          <w:szCs w:val="20"/>
        </w:rPr>
        <w:t>Rulebook on the content of the publication of the notice of intention to implement the project, the decision by the need to assess the environmental impact, the study to assess the impact of the project on the environment, the report on the adequacy of the study for environmental i</w:t>
      </w:r>
      <w:r w:rsidRPr="0068236B">
        <w:rPr>
          <w:sz w:val="20"/>
          <w:szCs w:val="20"/>
        </w:rPr>
        <w:t>m</w:t>
      </w:r>
      <w:r w:rsidRPr="0068236B">
        <w:rPr>
          <w:sz w:val="20"/>
          <w:szCs w:val="20"/>
        </w:rPr>
        <w:t>pact assessment from the project and the decision to approve or reject the project implement</w:t>
      </w:r>
      <w:r w:rsidRPr="0068236B">
        <w:rPr>
          <w:sz w:val="20"/>
          <w:szCs w:val="20"/>
        </w:rPr>
        <w:t>a</w:t>
      </w:r>
      <w:r w:rsidRPr="0068236B">
        <w:rPr>
          <w:sz w:val="20"/>
          <w:szCs w:val="20"/>
        </w:rPr>
        <w:t>tion as well as the manner of public consultation</w:t>
      </w:r>
    </w:p>
    <w:p w14:paraId="44C3C9BB" w14:textId="565340AB" w:rsidR="008B1F5B" w:rsidRPr="0068236B" w:rsidRDefault="003C6C98" w:rsidP="00D24CEF">
      <w:pPr>
        <w:pStyle w:val="ListBullet"/>
        <w:numPr>
          <w:ilvl w:val="0"/>
          <w:numId w:val="97"/>
        </w:numPr>
        <w:jc w:val="left"/>
        <w:rPr>
          <w:sz w:val="20"/>
          <w:szCs w:val="20"/>
        </w:rPr>
      </w:pPr>
      <w:r w:rsidRPr="0068236B">
        <w:rPr>
          <w:rFonts w:cs="Tahoma"/>
          <w:sz w:val="20"/>
          <w:szCs w:val="20"/>
        </w:rPr>
        <w:t>Rulebook on the form, content, procedure and manner of preparation of the report on the ad</w:t>
      </w:r>
      <w:r w:rsidRPr="0068236B">
        <w:rPr>
          <w:rFonts w:cs="Tahoma"/>
          <w:sz w:val="20"/>
          <w:szCs w:val="20"/>
        </w:rPr>
        <w:t>e</w:t>
      </w:r>
      <w:r w:rsidRPr="0068236B">
        <w:rPr>
          <w:rFonts w:cs="Tahoma"/>
          <w:sz w:val="20"/>
          <w:szCs w:val="20"/>
        </w:rPr>
        <w:t>quacy of the study to assess the impact of the project on the environment and the procedure for authorization of persons from the list of experts to assess the impact on the environment that will prepare report (OG.</w:t>
      </w:r>
    </w:p>
    <w:p w14:paraId="78375DF7" w14:textId="415BB768" w:rsidR="009F050E" w:rsidRPr="0068236B" w:rsidRDefault="009F050E" w:rsidP="009F050E">
      <w:pPr>
        <w:rPr>
          <w:rFonts w:cs="Arial"/>
          <w:color w:val="000000"/>
          <w:sz w:val="20"/>
          <w:szCs w:val="20"/>
        </w:rPr>
      </w:pPr>
      <w:r w:rsidRPr="0068236B">
        <w:rPr>
          <w:rFonts w:cs="Arial"/>
          <w:sz w:val="20"/>
          <w:szCs w:val="20"/>
        </w:rPr>
        <w:t>OHL developments fall within the scope of the Macedonian EIA Decree</w:t>
      </w:r>
      <w:r w:rsidRPr="0068236B">
        <w:rPr>
          <w:rFonts w:cs="Arial"/>
          <w:color w:val="000000"/>
          <w:sz w:val="20"/>
          <w:szCs w:val="20"/>
        </w:rPr>
        <w:t xml:space="preserve"> in the:</w:t>
      </w:r>
    </w:p>
    <w:p w14:paraId="7F1CB2B4" w14:textId="77777777" w:rsidR="009F050E" w:rsidRPr="0068236B" w:rsidRDefault="009F050E" w:rsidP="008E77D3">
      <w:pPr>
        <w:numPr>
          <w:ilvl w:val="0"/>
          <w:numId w:val="41"/>
        </w:numPr>
        <w:spacing w:line="360" w:lineRule="auto"/>
        <w:ind w:left="709" w:hanging="349"/>
        <w:jc w:val="left"/>
        <w:rPr>
          <w:rFonts w:cs="Arial"/>
          <w:sz w:val="20"/>
          <w:szCs w:val="20"/>
        </w:rPr>
      </w:pPr>
      <w:r w:rsidRPr="0068236B">
        <w:rPr>
          <w:rFonts w:cs="Arial"/>
          <w:color w:val="000000"/>
          <w:sz w:val="20"/>
          <w:szCs w:val="20"/>
        </w:rPr>
        <w:t xml:space="preserve">Annex I – Projects which are </w:t>
      </w:r>
      <w:r w:rsidRPr="0068236B">
        <w:rPr>
          <w:rFonts w:cs="Arial"/>
          <w:sz w:val="20"/>
          <w:szCs w:val="20"/>
        </w:rPr>
        <w:t xml:space="preserve">subject to compulsory EIA, </w:t>
      </w:r>
      <w:r w:rsidRPr="0068236B">
        <w:rPr>
          <w:rFonts w:cs="Tahoma"/>
          <w:sz w:val="20"/>
          <w:szCs w:val="20"/>
        </w:rPr>
        <w:t>Section 17 – “Overhead transmission lines of 110 kV voltage or higher, and longer than 15 km”.</w:t>
      </w:r>
      <w:r w:rsidRPr="0068236B">
        <w:rPr>
          <w:rFonts w:cs="Arial"/>
          <w:sz w:val="20"/>
          <w:szCs w:val="20"/>
        </w:rPr>
        <w:t xml:space="preserve"> </w:t>
      </w:r>
    </w:p>
    <w:p w14:paraId="0B00ABD7" w14:textId="77777777" w:rsidR="009F050E" w:rsidRPr="0068236B" w:rsidRDefault="009F050E" w:rsidP="008E77D3">
      <w:pPr>
        <w:numPr>
          <w:ilvl w:val="0"/>
          <w:numId w:val="41"/>
        </w:numPr>
        <w:spacing w:line="360" w:lineRule="auto"/>
        <w:ind w:left="709" w:hanging="349"/>
        <w:jc w:val="left"/>
        <w:rPr>
          <w:rFonts w:cs="Arial"/>
          <w:sz w:val="20"/>
          <w:szCs w:val="20"/>
        </w:rPr>
      </w:pPr>
      <w:r w:rsidRPr="0068236B">
        <w:rPr>
          <w:rFonts w:cs="Arial"/>
          <w:sz w:val="20"/>
          <w:szCs w:val="20"/>
        </w:rPr>
        <w:t xml:space="preserve">Annex II </w:t>
      </w:r>
      <w:r w:rsidRPr="0068236B">
        <w:rPr>
          <w:rFonts w:cs="Arial"/>
          <w:color w:val="000000"/>
          <w:sz w:val="20"/>
          <w:szCs w:val="20"/>
        </w:rPr>
        <w:t>–</w:t>
      </w:r>
      <w:r w:rsidRPr="0068236B">
        <w:rPr>
          <w:rFonts w:cs="Arial"/>
          <w:sz w:val="20"/>
          <w:szCs w:val="20"/>
        </w:rPr>
        <w:t xml:space="preserve"> </w:t>
      </w:r>
      <w:r w:rsidRPr="0068236B">
        <w:rPr>
          <w:rFonts w:cs="Arial"/>
          <w:color w:val="000000"/>
          <w:sz w:val="20"/>
          <w:szCs w:val="20"/>
        </w:rPr>
        <w:t>Projects which may be subject to EIA (formalised screening is required)</w:t>
      </w:r>
      <w:r w:rsidRPr="0068236B">
        <w:rPr>
          <w:rFonts w:cs="Arial"/>
          <w:sz w:val="20"/>
          <w:szCs w:val="20"/>
        </w:rPr>
        <w:t>, Section 3 - E</w:t>
      </w:r>
      <w:r w:rsidRPr="0068236B">
        <w:rPr>
          <w:rFonts w:cs="Arial"/>
          <w:sz w:val="20"/>
          <w:szCs w:val="20"/>
        </w:rPr>
        <w:t>n</w:t>
      </w:r>
      <w:r w:rsidRPr="0068236B">
        <w:rPr>
          <w:rFonts w:cs="Arial"/>
          <w:sz w:val="20"/>
          <w:szCs w:val="20"/>
        </w:rPr>
        <w:t>ergy, item ‘b’ – “Industrial installations for transmission and distribution of gas, steam and hot water and for transmission and distribution of electricity with overhead lines (projects not included in A</w:t>
      </w:r>
      <w:r w:rsidRPr="0068236B">
        <w:rPr>
          <w:rFonts w:cs="Arial"/>
          <w:sz w:val="20"/>
          <w:szCs w:val="20"/>
        </w:rPr>
        <w:t>n</w:t>
      </w:r>
      <w:r w:rsidRPr="0068236B">
        <w:rPr>
          <w:rFonts w:cs="Arial"/>
          <w:sz w:val="20"/>
          <w:szCs w:val="20"/>
        </w:rPr>
        <w:t xml:space="preserve">nex I).” </w:t>
      </w:r>
    </w:p>
    <w:p w14:paraId="33CD01BE" w14:textId="77777777" w:rsidR="009F050E" w:rsidRPr="0068236B" w:rsidRDefault="009F050E" w:rsidP="009F050E">
      <w:pPr>
        <w:spacing w:line="360" w:lineRule="auto"/>
        <w:jc w:val="left"/>
        <w:rPr>
          <w:rFonts w:cs="Arial"/>
          <w:sz w:val="20"/>
          <w:szCs w:val="20"/>
        </w:rPr>
      </w:pPr>
      <w:r w:rsidRPr="0068236B">
        <w:rPr>
          <w:rFonts w:cs="Arial"/>
          <w:sz w:val="20"/>
          <w:szCs w:val="20"/>
        </w:rPr>
        <w:t>In wider context, the EIA Decree foresees a possibility for existing projects listed in this regulation which are subject to change to be subject to EIA. These are listed in Annex II:</w:t>
      </w:r>
    </w:p>
    <w:p w14:paraId="5AC8970F" w14:textId="77777777" w:rsidR="009F050E" w:rsidRPr="0068236B" w:rsidRDefault="009F050E" w:rsidP="008E77D3">
      <w:pPr>
        <w:numPr>
          <w:ilvl w:val="0"/>
          <w:numId w:val="41"/>
        </w:numPr>
        <w:spacing w:line="360" w:lineRule="auto"/>
        <w:ind w:left="709" w:hanging="349"/>
        <w:jc w:val="left"/>
        <w:rPr>
          <w:rFonts w:cs="Arial"/>
          <w:sz w:val="20"/>
          <w:szCs w:val="20"/>
        </w:rPr>
      </w:pPr>
      <w:r w:rsidRPr="0068236B">
        <w:rPr>
          <w:rFonts w:cs="Arial"/>
          <w:color w:val="000000"/>
          <w:sz w:val="20"/>
          <w:szCs w:val="20"/>
        </w:rPr>
        <w:t>Annex II – Projects which may be subject to EIA (formalised screening is required)</w:t>
      </w:r>
      <w:r w:rsidRPr="0068236B">
        <w:rPr>
          <w:rFonts w:cs="Arial"/>
          <w:sz w:val="20"/>
          <w:szCs w:val="20"/>
        </w:rPr>
        <w:t>, item 16 – “Any modification or extension of the projects listed in Annex I or Annex II, existing, approved, executed projects or projects in the process of implementation, which could have significant adverse effects on the environment.”</w:t>
      </w:r>
    </w:p>
    <w:p w14:paraId="5B971642" w14:textId="3579F1E4" w:rsidR="001E0291" w:rsidRPr="0068236B" w:rsidRDefault="008B1F5B" w:rsidP="001E0291">
      <w:pPr>
        <w:autoSpaceDE w:val="0"/>
        <w:autoSpaceDN w:val="0"/>
        <w:adjustRightInd w:val="0"/>
        <w:rPr>
          <w:sz w:val="20"/>
          <w:szCs w:val="20"/>
        </w:rPr>
      </w:pPr>
      <w:r w:rsidRPr="0068236B">
        <w:rPr>
          <w:rFonts w:cs="Arial"/>
          <w:sz w:val="20"/>
          <w:szCs w:val="20"/>
        </w:rPr>
        <w:t xml:space="preserve">Note: </w:t>
      </w:r>
      <w:r w:rsidR="001E0291" w:rsidRPr="0068236B">
        <w:rPr>
          <w:rFonts w:cs="Arial"/>
          <w:sz w:val="20"/>
          <w:szCs w:val="20"/>
        </w:rPr>
        <w:t>In wider context, the Macedonian Law on the Environment</w:t>
      </w:r>
      <w:r w:rsidR="001E0291" w:rsidRPr="0068236B">
        <w:rPr>
          <w:color w:val="000000"/>
          <w:sz w:val="20"/>
          <w:szCs w:val="20"/>
        </w:rPr>
        <w:t xml:space="preserve"> </w:t>
      </w:r>
      <w:r w:rsidR="001E0291" w:rsidRPr="0068236B">
        <w:rPr>
          <w:sz w:val="20"/>
          <w:szCs w:val="20"/>
        </w:rPr>
        <w:t>represents the key environmental fram</w:t>
      </w:r>
      <w:r w:rsidR="001E0291" w:rsidRPr="0068236B">
        <w:rPr>
          <w:sz w:val="20"/>
          <w:szCs w:val="20"/>
        </w:rPr>
        <w:t>e</w:t>
      </w:r>
      <w:r w:rsidR="001E0291" w:rsidRPr="0068236B">
        <w:rPr>
          <w:sz w:val="20"/>
          <w:szCs w:val="20"/>
        </w:rPr>
        <w:t xml:space="preserve">work and, </w:t>
      </w:r>
      <w:r w:rsidR="001E0291" w:rsidRPr="0068236B">
        <w:rPr>
          <w:i/>
          <w:sz w:val="20"/>
          <w:szCs w:val="20"/>
        </w:rPr>
        <w:t>inter alia</w:t>
      </w:r>
      <w:r w:rsidR="001E0291" w:rsidRPr="0068236B">
        <w:rPr>
          <w:sz w:val="20"/>
          <w:szCs w:val="20"/>
        </w:rPr>
        <w:t>, regulates: the principles for environment protection and sustainable development, pla</w:t>
      </w:r>
      <w:r w:rsidR="001E0291" w:rsidRPr="0068236B">
        <w:rPr>
          <w:sz w:val="20"/>
          <w:szCs w:val="20"/>
        </w:rPr>
        <w:t>n</w:t>
      </w:r>
      <w:r w:rsidR="001E0291" w:rsidRPr="0068236B">
        <w:rPr>
          <w:sz w:val="20"/>
          <w:szCs w:val="20"/>
        </w:rPr>
        <w:t>ning aspects and documents for environment protection, subjects and instruments for environment prote</w:t>
      </w:r>
      <w:r w:rsidR="001E0291" w:rsidRPr="0068236B">
        <w:rPr>
          <w:sz w:val="20"/>
          <w:szCs w:val="20"/>
        </w:rPr>
        <w:t>c</w:t>
      </w:r>
      <w:r w:rsidR="001E0291" w:rsidRPr="0068236B">
        <w:rPr>
          <w:sz w:val="20"/>
          <w:szCs w:val="20"/>
        </w:rPr>
        <w:t>tion, environment monitoring and information system, public involvement in environment matters, financing issues and supervision aspects.</w:t>
      </w:r>
    </w:p>
    <w:p w14:paraId="4B4D9B23" w14:textId="52E4C5B9" w:rsidR="008B1F5B" w:rsidRPr="0068236B" w:rsidRDefault="008B1F5B" w:rsidP="008B1F5B">
      <w:pPr>
        <w:pStyle w:val="Heading4"/>
        <w:rPr>
          <w:sz w:val="20"/>
        </w:rPr>
      </w:pPr>
      <w:r w:rsidRPr="0068236B">
        <w:rPr>
          <w:sz w:val="20"/>
        </w:rPr>
        <w:t>Non Environmental Impact Assessment Project</w:t>
      </w:r>
      <w:r w:rsidR="009F050E" w:rsidRPr="0068236B">
        <w:rPr>
          <w:sz w:val="20"/>
        </w:rPr>
        <w:t>s</w:t>
      </w:r>
    </w:p>
    <w:p w14:paraId="2A60B89D" w14:textId="5BE185B4" w:rsidR="001E0291" w:rsidRPr="0068236B" w:rsidRDefault="008B1F5B" w:rsidP="001E0291">
      <w:pPr>
        <w:autoSpaceDE w:val="0"/>
        <w:autoSpaceDN w:val="0"/>
        <w:adjustRightInd w:val="0"/>
        <w:rPr>
          <w:rFonts w:cs="Tahoma"/>
          <w:sz w:val="20"/>
          <w:szCs w:val="20"/>
        </w:rPr>
      </w:pPr>
      <w:r w:rsidRPr="0068236B">
        <w:rPr>
          <w:rFonts w:cs="Tahoma"/>
          <w:sz w:val="20"/>
          <w:szCs w:val="20"/>
        </w:rPr>
        <w:t>For projects which are not listed in the EIA Decree or are listed in Annex II of the Macedonian EIA Decree and for which the competent authority determines that an EIA is not required, the project proponent may be requested to prepare a Report (‘Elaborate’) for Environment Protection</w:t>
      </w:r>
      <w:r w:rsidRPr="0068236B">
        <w:rPr>
          <w:rStyle w:val="FootnoteReference"/>
          <w:rFonts w:cs="Tahoma"/>
          <w:sz w:val="20"/>
          <w:szCs w:val="20"/>
        </w:rPr>
        <w:footnoteReference w:id="53"/>
      </w:r>
      <w:r w:rsidRPr="0068236B">
        <w:rPr>
          <w:rFonts w:cs="Tahoma"/>
          <w:sz w:val="20"/>
          <w:szCs w:val="20"/>
        </w:rPr>
        <w:t xml:space="preserve"> in compliance with the requir</w:t>
      </w:r>
      <w:r w:rsidRPr="0068236B">
        <w:rPr>
          <w:rFonts w:cs="Tahoma"/>
          <w:sz w:val="20"/>
          <w:szCs w:val="20"/>
        </w:rPr>
        <w:t>e</w:t>
      </w:r>
      <w:r w:rsidRPr="0068236B">
        <w:rPr>
          <w:rFonts w:cs="Tahoma"/>
          <w:sz w:val="20"/>
          <w:szCs w:val="20"/>
        </w:rPr>
        <w:t>ments stipulated in the Macedonian Law on the Environment. The projects for which such ‘Elaborate’ is r</w:t>
      </w:r>
      <w:r w:rsidRPr="0068236B">
        <w:rPr>
          <w:rFonts w:cs="Tahoma"/>
          <w:sz w:val="20"/>
          <w:szCs w:val="20"/>
        </w:rPr>
        <w:t>e</w:t>
      </w:r>
      <w:r w:rsidRPr="0068236B">
        <w:rPr>
          <w:rFonts w:cs="Tahoma"/>
          <w:sz w:val="20"/>
          <w:szCs w:val="20"/>
        </w:rPr>
        <w:t>quired are determined by a respective decree – Decree on projects and activities for which preparation of an Elaborate for Environment Protection is compulsory (OG of RM no.80/09 &amp; 36/12).</w:t>
      </w:r>
    </w:p>
    <w:p w14:paraId="7C7D208E" w14:textId="77777777" w:rsidR="009F050E" w:rsidRPr="0068236B" w:rsidRDefault="009F050E" w:rsidP="009F050E">
      <w:pPr>
        <w:autoSpaceDE w:val="0"/>
        <w:autoSpaceDN w:val="0"/>
        <w:adjustRightInd w:val="0"/>
        <w:rPr>
          <w:rFonts w:cs="Tahoma"/>
          <w:sz w:val="20"/>
          <w:szCs w:val="20"/>
        </w:rPr>
      </w:pPr>
      <w:r w:rsidRPr="0068236B">
        <w:rPr>
          <w:rFonts w:cs="Tahoma"/>
          <w:sz w:val="20"/>
          <w:szCs w:val="20"/>
        </w:rPr>
        <w:t>According to this decree, section V – Energy, item 7, an ‘Elaborate’ is to be prepared for:</w:t>
      </w:r>
    </w:p>
    <w:p w14:paraId="40BF0DB1" w14:textId="15681803" w:rsidR="009F050E" w:rsidRPr="0068236B" w:rsidRDefault="009F050E" w:rsidP="008E77D3">
      <w:pPr>
        <w:pStyle w:val="ListParagraph"/>
        <w:numPr>
          <w:ilvl w:val="0"/>
          <w:numId w:val="59"/>
        </w:numPr>
        <w:autoSpaceDE w:val="0"/>
        <w:autoSpaceDN w:val="0"/>
        <w:adjustRightInd w:val="0"/>
        <w:ind w:left="709" w:hanging="283"/>
        <w:rPr>
          <w:rFonts w:cs="Arial"/>
          <w:sz w:val="20"/>
          <w:szCs w:val="20"/>
        </w:rPr>
      </w:pPr>
      <w:r w:rsidRPr="0068236B">
        <w:rPr>
          <w:rFonts w:cs="Arial"/>
          <w:sz w:val="20"/>
          <w:szCs w:val="20"/>
        </w:rPr>
        <w:lastRenderedPageBreak/>
        <w:t>“</w:t>
      </w:r>
      <w:r w:rsidRPr="0068236B">
        <w:rPr>
          <w:rFonts w:cs="Tahoma"/>
          <w:color w:val="000000"/>
          <w:sz w:val="20"/>
          <w:szCs w:val="20"/>
        </w:rPr>
        <w:t>Industrial installations for transmission and distribution of gas, steam and hot water and for tran</w:t>
      </w:r>
      <w:r w:rsidRPr="0068236B">
        <w:rPr>
          <w:rFonts w:cs="Tahoma"/>
          <w:color w:val="000000"/>
          <w:sz w:val="20"/>
          <w:szCs w:val="20"/>
        </w:rPr>
        <w:t>s</w:t>
      </w:r>
      <w:r w:rsidRPr="0068236B">
        <w:rPr>
          <w:rFonts w:cs="Tahoma"/>
          <w:color w:val="000000"/>
          <w:sz w:val="20"/>
          <w:szCs w:val="20"/>
        </w:rPr>
        <w:t>mission and distribution of electricity with overhead lines”.</w:t>
      </w:r>
    </w:p>
    <w:p w14:paraId="55056575" w14:textId="2AE0E607" w:rsidR="008B1F5B" w:rsidRPr="0068236B" w:rsidRDefault="008B1F5B" w:rsidP="008B1F5B">
      <w:pPr>
        <w:pStyle w:val="Heading4"/>
        <w:rPr>
          <w:sz w:val="20"/>
        </w:rPr>
      </w:pPr>
      <w:r w:rsidRPr="0068236B">
        <w:rPr>
          <w:sz w:val="20"/>
        </w:rPr>
        <w:t>Summary</w:t>
      </w:r>
    </w:p>
    <w:p w14:paraId="0B7505E5" w14:textId="023CA4C8" w:rsidR="008B1F5B" w:rsidRPr="0068236B" w:rsidRDefault="008B1F5B" w:rsidP="008B1F5B">
      <w:pPr>
        <w:rPr>
          <w:rFonts w:cs="Arial"/>
          <w:sz w:val="20"/>
          <w:szCs w:val="20"/>
        </w:rPr>
      </w:pPr>
      <w:r w:rsidRPr="0068236B">
        <w:rPr>
          <w:rFonts w:cs="Arial"/>
          <w:sz w:val="20"/>
          <w:szCs w:val="20"/>
        </w:rPr>
        <w:t>An overview of the Macedonian regulatory context for an environmental appraisal of projects is provided in the Figure below.</w:t>
      </w:r>
    </w:p>
    <w:p w14:paraId="236FC735" w14:textId="77777777" w:rsidR="008B1F5B" w:rsidRPr="0068236B" w:rsidRDefault="008B1F5B" w:rsidP="00815DC2">
      <w:pPr>
        <w:spacing w:after="0" w:line="240" w:lineRule="auto"/>
        <w:jc w:val="left"/>
        <w:rPr>
          <w:rFonts w:cs="Arial"/>
          <w:sz w:val="20"/>
          <w:szCs w:val="20"/>
        </w:rPr>
      </w:pPr>
      <w:r w:rsidRPr="0068236B">
        <w:rPr>
          <w:rFonts w:cs="Arial"/>
          <w:noProof/>
          <w:sz w:val="20"/>
          <w:szCs w:val="20"/>
          <w:lang w:val="mk-MK" w:eastAsia="mk-MK"/>
        </w:rPr>
        <w:drawing>
          <wp:inline distT="0" distB="0" distL="0" distR="0" wp14:anchorId="57E1BA3D" wp14:editId="56127A57">
            <wp:extent cx="5771966" cy="4320000"/>
            <wp:effectExtent l="0" t="0" r="635"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0" cstate="email">
                      <a:extLst>
                        <a:ext uri="{28A0092B-C50C-407E-A947-70E740481C1C}">
                          <a14:useLocalDpi xmlns:a14="http://schemas.microsoft.com/office/drawing/2010/main" val="0"/>
                        </a:ext>
                      </a:extLst>
                    </a:blip>
                    <a:srcRect/>
                    <a:stretch>
                      <a:fillRect/>
                    </a:stretch>
                  </pic:blipFill>
                  <pic:spPr bwMode="auto">
                    <a:xfrm>
                      <a:off x="0" y="0"/>
                      <a:ext cx="5771966" cy="4320000"/>
                    </a:xfrm>
                    <a:prstGeom prst="rect">
                      <a:avLst/>
                    </a:prstGeom>
                    <a:noFill/>
                    <a:ln>
                      <a:noFill/>
                    </a:ln>
                  </pic:spPr>
                </pic:pic>
              </a:graphicData>
            </a:graphic>
          </wp:inline>
        </w:drawing>
      </w:r>
    </w:p>
    <w:p w14:paraId="123A0BC2" w14:textId="6B7968CA" w:rsidR="008B1F5B" w:rsidRPr="0068236B" w:rsidRDefault="008B1F5B" w:rsidP="008B1F5B">
      <w:pPr>
        <w:spacing w:before="60" w:after="240"/>
        <w:jc w:val="left"/>
        <w:rPr>
          <w:rFonts w:cs="Tahoma"/>
          <w:sz w:val="18"/>
          <w:szCs w:val="20"/>
        </w:rPr>
      </w:pPr>
      <w:bookmarkStart w:id="138" w:name="_Toc92824261"/>
      <w:bookmarkStart w:id="139" w:name="_Toc112928870"/>
      <w:r w:rsidRPr="0068236B">
        <w:rPr>
          <w:rFonts w:cs="Tahoma"/>
          <w:iCs/>
          <w:sz w:val="18"/>
          <w:szCs w:val="20"/>
        </w:rPr>
        <w:t xml:space="preserve">Figure </w:t>
      </w:r>
      <w:r w:rsidRPr="0068236B">
        <w:rPr>
          <w:rFonts w:cs="Tahoma"/>
          <w:iCs/>
          <w:sz w:val="18"/>
          <w:szCs w:val="20"/>
        </w:rPr>
        <w:fldChar w:fldCharType="begin"/>
      </w:r>
      <w:r w:rsidRPr="0068236B">
        <w:rPr>
          <w:rFonts w:cs="Tahoma"/>
          <w:iCs/>
          <w:sz w:val="18"/>
          <w:szCs w:val="20"/>
        </w:rPr>
        <w:instrText xml:space="preserve"> STYLEREF 1 \s </w:instrText>
      </w:r>
      <w:r w:rsidRPr="0068236B">
        <w:rPr>
          <w:rFonts w:cs="Tahoma"/>
          <w:iCs/>
          <w:sz w:val="18"/>
          <w:szCs w:val="20"/>
        </w:rPr>
        <w:fldChar w:fldCharType="separate"/>
      </w:r>
      <w:r w:rsidR="00234EBE" w:rsidRPr="0068236B">
        <w:rPr>
          <w:rFonts w:cs="Tahoma"/>
          <w:iCs/>
          <w:noProof/>
          <w:sz w:val="18"/>
          <w:szCs w:val="20"/>
        </w:rPr>
        <w:t>4</w:t>
      </w:r>
      <w:r w:rsidRPr="0068236B">
        <w:rPr>
          <w:rFonts w:cs="Tahoma"/>
          <w:iCs/>
          <w:sz w:val="18"/>
          <w:szCs w:val="20"/>
        </w:rPr>
        <w:fldChar w:fldCharType="end"/>
      </w:r>
      <w:r w:rsidRPr="0068236B">
        <w:rPr>
          <w:rFonts w:cs="Tahoma"/>
          <w:iCs/>
          <w:sz w:val="18"/>
          <w:szCs w:val="20"/>
        </w:rPr>
        <w:t>.</w:t>
      </w:r>
      <w:r w:rsidRPr="0068236B">
        <w:rPr>
          <w:rFonts w:cs="Tahoma"/>
          <w:iCs/>
          <w:sz w:val="18"/>
          <w:szCs w:val="20"/>
        </w:rPr>
        <w:fldChar w:fldCharType="begin"/>
      </w:r>
      <w:r w:rsidRPr="0068236B">
        <w:rPr>
          <w:rFonts w:cs="Tahoma"/>
          <w:iCs/>
          <w:sz w:val="18"/>
          <w:szCs w:val="20"/>
        </w:rPr>
        <w:instrText xml:space="preserve"> SEQ Figure \* ARABIC \s 1 </w:instrText>
      </w:r>
      <w:r w:rsidRPr="0068236B">
        <w:rPr>
          <w:rFonts w:cs="Tahoma"/>
          <w:iCs/>
          <w:sz w:val="18"/>
          <w:szCs w:val="20"/>
        </w:rPr>
        <w:fldChar w:fldCharType="separate"/>
      </w:r>
      <w:r w:rsidR="00234EBE" w:rsidRPr="0068236B">
        <w:rPr>
          <w:rFonts w:cs="Tahoma"/>
          <w:iCs/>
          <w:noProof/>
          <w:sz w:val="18"/>
          <w:szCs w:val="20"/>
        </w:rPr>
        <w:t>1</w:t>
      </w:r>
      <w:r w:rsidRPr="0068236B">
        <w:rPr>
          <w:rFonts w:cs="Tahoma"/>
          <w:iCs/>
          <w:sz w:val="18"/>
          <w:szCs w:val="20"/>
        </w:rPr>
        <w:fldChar w:fldCharType="end"/>
      </w:r>
      <w:r w:rsidRPr="0068236B">
        <w:rPr>
          <w:rFonts w:cs="Tahoma"/>
          <w:sz w:val="18"/>
          <w:szCs w:val="20"/>
        </w:rPr>
        <w:t xml:space="preserve">: Brief summary of the Macedonian regulatory context for environmental </w:t>
      </w:r>
      <w:bookmarkEnd w:id="138"/>
      <w:r w:rsidRPr="0068236B">
        <w:rPr>
          <w:rFonts w:cs="Tahoma"/>
          <w:sz w:val="18"/>
          <w:szCs w:val="20"/>
        </w:rPr>
        <w:t>appraisal of projects</w:t>
      </w:r>
      <w:bookmarkEnd w:id="139"/>
    </w:p>
    <w:p w14:paraId="5C972EFB" w14:textId="04DC3C6E" w:rsidR="0045507A" w:rsidRPr="0068236B" w:rsidRDefault="0045507A" w:rsidP="0045507A">
      <w:pPr>
        <w:pStyle w:val="Heading4"/>
        <w:rPr>
          <w:sz w:val="20"/>
        </w:rPr>
      </w:pPr>
      <w:r w:rsidRPr="0068236B">
        <w:rPr>
          <w:sz w:val="20"/>
        </w:rPr>
        <w:t>Project Category</w:t>
      </w:r>
    </w:p>
    <w:p w14:paraId="3F55AD1F" w14:textId="49189722" w:rsidR="0045507A" w:rsidRPr="0068236B" w:rsidRDefault="0045507A" w:rsidP="0045507A">
      <w:pPr>
        <w:pStyle w:val="NumberedParagraph"/>
        <w:rPr>
          <w:sz w:val="20"/>
          <w:szCs w:val="20"/>
        </w:rPr>
      </w:pPr>
      <w:r w:rsidRPr="0068236B">
        <w:rPr>
          <w:sz w:val="20"/>
          <w:szCs w:val="20"/>
        </w:rPr>
        <w:t xml:space="preserve">The Project includes construction of a new high-voltage substation and </w:t>
      </w:r>
      <w:r w:rsidR="005E6643" w:rsidRPr="0068236B">
        <w:rPr>
          <w:sz w:val="20"/>
          <w:szCs w:val="20"/>
        </w:rPr>
        <w:t>approx.</w:t>
      </w:r>
      <w:r w:rsidRPr="0068236B">
        <w:rPr>
          <w:sz w:val="20"/>
          <w:szCs w:val="20"/>
        </w:rPr>
        <w:t xml:space="preserve"> </w:t>
      </w:r>
      <w:r w:rsidR="003346A7" w:rsidRPr="0068236B">
        <w:rPr>
          <w:sz w:val="20"/>
          <w:szCs w:val="20"/>
        </w:rPr>
        <w:t>0.5 km long 400 kV tran</w:t>
      </w:r>
      <w:r w:rsidR="003346A7" w:rsidRPr="0068236B">
        <w:rPr>
          <w:sz w:val="20"/>
          <w:szCs w:val="20"/>
        </w:rPr>
        <w:t>s</w:t>
      </w:r>
      <w:r w:rsidR="003346A7" w:rsidRPr="0068236B">
        <w:rPr>
          <w:sz w:val="20"/>
          <w:szCs w:val="20"/>
        </w:rPr>
        <w:t xml:space="preserve">mission line and 1.8 km and </w:t>
      </w:r>
      <w:r w:rsidRPr="0068236B">
        <w:rPr>
          <w:sz w:val="20"/>
          <w:szCs w:val="20"/>
        </w:rPr>
        <w:t xml:space="preserve">1.9 km long </w:t>
      </w:r>
      <w:r w:rsidR="003346A7" w:rsidRPr="0068236B">
        <w:rPr>
          <w:sz w:val="20"/>
          <w:szCs w:val="20"/>
        </w:rPr>
        <w:t xml:space="preserve">110 kV </w:t>
      </w:r>
      <w:r w:rsidRPr="0068236B">
        <w:rPr>
          <w:sz w:val="20"/>
          <w:szCs w:val="20"/>
        </w:rPr>
        <w:t>transmission line</w:t>
      </w:r>
      <w:r w:rsidR="003346A7" w:rsidRPr="0068236B">
        <w:rPr>
          <w:sz w:val="20"/>
          <w:szCs w:val="20"/>
        </w:rPr>
        <w:t>s</w:t>
      </w:r>
      <w:r w:rsidRPr="0068236B">
        <w:rPr>
          <w:sz w:val="20"/>
          <w:szCs w:val="20"/>
        </w:rPr>
        <w:t xml:space="preserve"> as well as modification of an existing approx. 6.4 km long transmission line. As such, according to the national EIA Decree, it is not a subject to compulsory EIA, since it </w:t>
      </w:r>
      <w:r w:rsidRPr="0068236B">
        <w:rPr>
          <w:rFonts w:cs="Tahoma"/>
          <w:color w:val="000000"/>
          <w:sz w:val="20"/>
          <w:szCs w:val="20"/>
        </w:rPr>
        <w:t>does not meet the cumulative thresholds set under Annex I (Section 17)</w:t>
      </w:r>
      <w:r w:rsidRPr="0068236B">
        <w:rPr>
          <w:rStyle w:val="FootnoteReference"/>
          <w:rFonts w:cs="Tahoma"/>
          <w:color w:val="000000"/>
          <w:sz w:val="20"/>
          <w:szCs w:val="20"/>
        </w:rPr>
        <w:footnoteReference w:id="54"/>
      </w:r>
      <w:r w:rsidRPr="0068236B">
        <w:rPr>
          <w:rFonts w:cs="Tahoma"/>
          <w:color w:val="000000"/>
          <w:sz w:val="20"/>
          <w:szCs w:val="20"/>
        </w:rPr>
        <w:t xml:space="preserve"> of the EIA Decree.</w:t>
      </w:r>
    </w:p>
    <w:p w14:paraId="54DF4B5D" w14:textId="13160021" w:rsidR="0045507A" w:rsidRPr="0068236B" w:rsidRDefault="0045507A" w:rsidP="0045507A">
      <w:pPr>
        <w:pStyle w:val="NumberedParagraph"/>
        <w:rPr>
          <w:sz w:val="20"/>
          <w:szCs w:val="20"/>
        </w:rPr>
      </w:pPr>
      <w:r w:rsidRPr="0068236B">
        <w:rPr>
          <w:sz w:val="20"/>
          <w:szCs w:val="20"/>
        </w:rPr>
        <w:t>The need for an EIA would be determined by the Macedonian EIA authority (MEPP) on case-by-case a</w:t>
      </w:r>
      <w:r w:rsidRPr="0068236B">
        <w:rPr>
          <w:sz w:val="20"/>
          <w:szCs w:val="20"/>
        </w:rPr>
        <w:t>p</w:t>
      </w:r>
      <w:r w:rsidRPr="0068236B">
        <w:rPr>
          <w:sz w:val="20"/>
          <w:szCs w:val="20"/>
        </w:rPr>
        <w:t>proach</w:t>
      </w:r>
      <w:r w:rsidRPr="0068236B">
        <w:rPr>
          <w:color w:val="000000"/>
          <w:sz w:val="20"/>
          <w:szCs w:val="20"/>
        </w:rPr>
        <w:t xml:space="preserve"> through a formalized administrative screening procedure based on an official application</w:t>
      </w:r>
      <w:r w:rsidRPr="0068236B">
        <w:rPr>
          <w:rStyle w:val="FootnoteReference"/>
          <w:color w:val="000000"/>
          <w:sz w:val="20"/>
          <w:szCs w:val="20"/>
        </w:rPr>
        <w:footnoteReference w:id="55"/>
      </w:r>
      <w:r w:rsidRPr="0068236B">
        <w:rPr>
          <w:color w:val="000000"/>
          <w:sz w:val="20"/>
          <w:szCs w:val="20"/>
          <w:vertAlign w:val="superscript"/>
        </w:rPr>
        <w:t>)</w:t>
      </w:r>
      <w:r w:rsidRPr="0068236B">
        <w:rPr>
          <w:color w:val="000000"/>
          <w:sz w:val="20"/>
          <w:szCs w:val="20"/>
        </w:rPr>
        <w:t xml:space="preserve"> (request) </w:t>
      </w:r>
      <w:r w:rsidRPr="0068236B">
        <w:rPr>
          <w:color w:val="000000"/>
          <w:sz w:val="20"/>
          <w:szCs w:val="20"/>
        </w:rPr>
        <w:lastRenderedPageBreak/>
        <w:t xml:space="preserve">for </w:t>
      </w:r>
      <w:r w:rsidRPr="0068236B">
        <w:rPr>
          <w:sz w:val="20"/>
          <w:szCs w:val="20"/>
        </w:rPr>
        <w:t>establishing the need for EIA</w:t>
      </w:r>
      <w:r w:rsidR="006C0F4F" w:rsidRPr="0068236B">
        <w:rPr>
          <w:sz w:val="20"/>
          <w:szCs w:val="20"/>
        </w:rPr>
        <w:t xml:space="preserve"> (Figure above)</w:t>
      </w:r>
      <w:r w:rsidRPr="0068236B">
        <w:rPr>
          <w:sz w:val="20"/>
          <w:szCs w:val="20"/>
        </w:rPr>
        <w:t xml:space="preserve">. This application is to be submitted to MEPP by MEPSO, in a format prescribed by the relevant national legislation. </w:t>
      </w:r>
    </w:p>
    <w:p w14:paraId="7311CDCA" w14:textId="77777777" w:rsidR="00DD1068" w:rsidRPr="0068236B" w:rsidRDefault="00DD1068" w:rsidP="00DD1068">
      <w:pPr>
        <w:spacing w:before="60"/>
        <w:rPr>
          <w:rFonts w:cs="Tahoma"/>
          <w:sz w:val="20"/>
          <w:szCs w:val="20"/>
        </w:rPr>
      </w:pPr>
      <w:r w:rsidRPr="0068236B">
        <w:rPr>
          <w:rFonts w:cs="Tahoma"/>
          <w:sz w:val="20"/>
          <w:szCs w:val="20"/>
        </w:rPr>
        <w:t>According to the publically available information for the recent projects of similar type, scale and nature, EIA has not been required by the national competent authority. In addition, due to the existing baseline cond</w:t>
      </w:r>
      <w:r w:rsidRPr="0068236B">
        <w:rPr>
          <w:rFonts w:cs="Tahoma"/>
          <w:sz w:val="20"/>
          <w:szCs w:val="20"/>
        </w:rPr>
        <w:t>i</w:t>
      </w:r>
      <w:r w:rsidRPr="0068236B">
        <w:rPr>
          <w:rFonts w:cs="Tahoma"/>
          <w:sz w:val="20"/>
          <w:szCs w:val="20"/>
        </w:rPr>
        <w:t>tions described in this Report and based on the screening exercise presented in the respective project’s ESIA Scoping Report</w:t>
      </w:r>
      <w:r w:rsidRPr="0068236B">
        <w:rPr>
          <w:rStyle w:val="FootnoteReference"/>
          <w:rFonts w:cs="Tahoma"/>
          <w:sz w:val="20"/>
          <w:szCs w:val="20"/>
        </w:rPr>
        <w:footnoteReference w:id="56"/>
      </w:r>
      <w:r w:rsidRPr="0068236B">
        <w:rPr>
          <w:rFonts w:cs="Tahoma"/>
          <w:sz w:val="20"/>
          <w:szCs w:val="20"/>
        </w:rPr>
        <w:t>, it is assumed that no national EIA will be required for the Project.</w:t>
      </w:r>
    </w:p>
    <w:p w14:paraId="0DDBC4E8" w14:textId="112B73E5" w:rsidR="00060627" w:rsidRPr="0068236B" w:rsidRDefault="00060627" w:rsidP="00060627">
      <w:pPr>
        <w:pStyle w:val="Heading3"/>
      </w:pPr>
      <w:bookmarkStart w:id="140" w:name="_Toc112852221"/>
      <w:r w:rsidRPr="0068236B">
        <w:t xml:space="preserve">Key </w:t>
      </w:r>
      <w:r w:rsidR="00AD6BD0" w:rsidRPr="0068236B">
        <w:t xml:space="preserve">Environmental </w:t>
      </w:r>
      <w:r w:rsidRPr="0068236B">
        <w:t>Legislation</w:t>
      </w:r>
      <w:bookmarkEnd w:id="140"/>
    </w:p>
    <w:p w14:paraId="09A14D5E" w14:textId="1A31A1B9" w:rsidR="008517A2" w:rsidRPr="0068236B" w:rsidRDefault="008517A2" w:rsidP="00D24CEF">
      <w:pPr>
        <w:pStyle w:val="ListBullet"/>
        <w:numPr>
          <w:ilvl w:val="0"/>
          <w:numId w:val="97"/>
        </w:numPr>
        <w:jc w:val="left"/>
        <w:rPr>
          <w:sz w:val="20"/>
          <w:szCs w:val="20"/>
        </w:rPr>
      </w:pPr>
      <w:r w:rsidRPr="0068236B">
        <w:rPr>
          <w:rFonts w:cs="Arial"/>
          <w:sz w:val="20"/>
          <w:szCs w:val="20"/>
        </w:rPr>
        <w:t>Law on Nature Protection</w:t>
      </w:r>
      <w:r w:rsidR="005B1F2F" w:rsidRPr="0068236B">
        <w:rPr>
          <w:rFonts w:cs="Arial"/>
          <w:sz w:val="20"/>
          <w:szCs w:val="20"/>
        </w:rPr>
        <w:t xml:space="preserve"> </w:t>
      </w:r>
      <w:r w:rsidR="005B1F2F" w:rsidRPr="0068236B">
        <w:rPr>
          <w:sz w:val="20"/>
          <w:szCs w:val="20"/>
        </w:rPr>
        <w:t>(</w:t>
      </w:r>
      <w:r w:rsidR="005B1F2F" w:rsidRPr="0068236B">
        <w:rPr>
          <w:rFonts w:cs="Arial"/>
          <w:sz w:val="20"/>
          <w:szCs w:val="20"/>
        </w:rPr>
        <w:t>Official Gazette of RM</w:t>
      </w:r>
      <w:r w:rsidR="005B1F2F" w:rsidRPr="0068236B">
        <w:rPr>
          <w:sz w:val="20"/>
          <w:szCs w:val="20"/>
        </w:rPr>
        <w:t xml:space="preserve"> no. 67/04 and its amendments)</w:t>
      </w:r>
      <w:r w:rsidRPr="0068236B">
        <w:rPr>
          <w:rFonts w:cs="Arial"/>
          <w:sz w:val="20"/>
          <w:szCs w:val="20"/>
        </w:rPr>
        <w:t xml:space="preserve">. </w:t>
      </w:r>
      <w:r w:rsidRPr="0068236B">
        <w:rPr>
          <w:rFonts w:cs="Tahoma"/>
          <w:color w:val="000000"/>
          <w:sz w:val="20"/>
          <w:szCs w:val="20"/>
        </w:rPr>
        <w:t>This law regulates the nature conservation and promotion via protection of the biological and landscape diversity as well as the natural heritage. It identifies principles for nature protection, inter alia: principle for sustainability, precautionary principle, prevention principle and user-pays principle and sets the legal bases for protection of habitats, ecosystems and species. In addition, the law regulates the legal bases for establishment of a coherent ecological network, including the E</w:t>
      </w:r>
      <w:r w:rsidRPr="0068236B">
        <w:rPr>
          <w:rFonts w:cs="Tahoma"/>
          <w:color w:val="000000"/>
          <w:sz w:val="20"/>
          <w:szCs w:val="20"/>
        </w:rPr>
        <w:t>u</w:t>
      </w:r>
      <w:r w:rsidRPr="0068236B">
        <w:rPr>
          <w:rFonts w:cs="Tahoma"/>
          <w:color w:val="000000"/>
          <w:sz w:val="20"/>
          <w:szCs w:val="20"/>
        </w:rPr>
        <w:t>ropean Natura 2000 Network. The law also determines the planning documents for nature pr</w:t>
      </w:r>
      <w:r w:rsidRPr="0068236B">
        <w:rPr>
          <w:rFonts w:cs="Tahoma"/>
          <w:color w:val="000000"/>
          <w:sz w:val="20"/>
          <w:szCs w:val="20"/>
        </w:rPr>
        <w:t>o</w:t>
      </w:r>
      <w:r w:rsidRPr="0068236B">
        <w:rPr>
          <w:rFonts w:cs="Tahoma"/>
          <w:color w:val="000000"/>
          <w:sz w:val="20"/>
          <w:szCs w:val="20"/>
        </w:rPr>
        <w:t>tection and the legal bases for protected areas (proclamation, categorization, management) -</w:t>
      </w:r>
      <w:r w:rsidRPr="0068236B">
        <w:rPr>
          <w:rFonts w:cs="Arial"/>
          <w:sz w:val="20"/>
          <w:szCs w:val="20"/>
        </w:rPr>
        <w:t xml:space="preserve"> natural reserves, national parks, natural monuments, etc. as well as the legal basis for protec</w:t>
      </w:r>
      <w:r w:rsidRPr="0068236B">
        <w:rPr>
          <w:rFonts w:cs="Arial"/>
          <w:sz w:val="20"/>
          <w:szCs w:val="20"/>
        </w:rPr>
        <w:t>t</w:t>
      </w:r>
      <w:r w:rsidRPr="0068236B">
        <w:rPr>
          <w:rFonts w:cs="Arial"/>
          <w:sz w:val="20"/>
          <w:szCs w:val="20"/>
        </w:rPr>
        <w:t>ed species.</w:t>
      </w:r>
    </w:p>
    <w:p w14:paraId="0B99234A" w14:textId="022B8701" w:rsidR="008517A2" w:rsidRPr="0068236B" w:rsidRDefault="008517A2" w:rsidP="00D24CEF">
      <w:pPr>
        <w:pStyle w:val="ListBullet"/>
        <w:numPr>
          <w:ilvl w:val="0"/>
          <w:numId w:val="97"/>
        </w:numPr>
        <w:jc w:val="left"/>
        <w:rPr>
          <w:sz w:val="20"/>
          <w:szCs w:val="20"/>
        </w:rPr>
      </w:pPr>
      <w:r w:rsidRPr="0068236B">
        <w:rPr>
          <w:rFonts w:cs="Arial"/>
          <w:sz w:val="20"/>
          <w:szCs w:val="20"/>
        </w:rPr>
        <w:t>Law on Noise Protection in the Environment</w:t>
      </w:r>
      <w:r w:rsidR="005B1F2F" w:rsidRPr="0068236B">
        <w:rPr>
          <w:rFonts w:cs="Arial"/>
          <w:sz w:val="20"/>
          <w:szCs w:val="20"/>
        </w:rPr>
        <w:t xml:space="preserve"> </w:t>
      </w:r>
      <w:r w:rsidR="005B1F2F" w:rsidRPr="0068236B">
        <w:rPr>
          <w:sz w:val="20"/>
          <w:szCs w:val="20"/>
        </w:rPr>
        <w:t>(</w:t>
      </w:r>
      <w:r w:rsidR="005B1F2F" w:rsidRPr="0068236B">
        <w:rPr>
          <w:rFonts w:cs="Arial"/>
          <w:sz w:val="20"/>
          <w:szCs w:val="20"/>
        </w:rPr>
        <w:t>Official Gazette of RM</w:t>
      </w:r>
      <w:r w:rsidR="005B1F2F" w:rsidRPr="0068236B">
        <w:rPr>
          <w:sz w:val="20"/>
          <w:szCs w:val="20"/>
        </w:rPr>
        <w:t xml:space="preserve"> no. 79/07 and its amen</w:t>
      </w:r>
      <w:r w:rsidR="005B1F2F" w:rsidRPr="0068236B">
        <w:rPr>
          <w:sz w:val="20"/>
          <w:szCs w:val="20"/>
        </w:rPr>
        <w:t>d</w:t>
      </w:r>
      <w:r w:rsidR="005B1F2F" w:rsidRPr="0068236B">
        <w:rPr>
          <w:sz w:val="20"/>
          <w:szCs w:val="20"/>
        </w:rPr>
        <w:t>ments)</w:t>
      </w:r>
      <w:r w:rsidRPr="0068236B">
        <w:rPr>
          <w:rFonts w:cs="Arial"/>
          <w:sz w:val="20"/>
          <w:szCs w:val="20"/>
        </w:rPr>
        <w:t>. This law regulates protection against noise in the environment and determines measures for mitigation of harmful effects of the noise on human health, including normative, urban planning and technical measures as well as preparation of strategic noise maps and a</w:t>
      </w:r>
      <w:r w:rsidRPr="0068236B">
        <w:rPr>
          <w:rFonts w:cs="Arial"/>
          <w:sz w:val="20"/>
          <w:szCs w:val="20"/>
        </w:rPr>
        <w:t>c</w:t>
      </w:r>
      <w:r w:rsidRPr="0068236B">
        <w:rPr>
          <w:rFonts w:cs="Arial"/>
          <w:sz w:val="20"/>
          <w:szCs w:val="20"/>
        </w:rPr>
        <w:t>tion plans. It also regulates the aspects related to measurement of noise levels in the enviro</w:t>
      </w:r>
      <w:r w:rsidRPr="0068236B">
        <w:rPr>
          <w:rFonts w:cs="Arial"/>
          <w:sz w:val="20"/>
          <w:szCs w:val="20"/>
        </w:rPr>
        <w:t>n</w:t>
      </w:r>
      <w:r w:rsidRPr="0068236B">
        <w:rPr>
          <w:rFonts w:cs="Arial"/>
          <w:sz w:val="20"/>
          <w:szCs w:val="20"/>
        </w:rPr>
        <w:t>ment. This law excludes noise in a working environment.</w:t>
      </w:r>
    </w:p>
    <w:p w14:paraId="0CEB89D4" w14:textId="7D25E6D0" w:rsidR="008517A2" w:rsidRPr="0068236B" w:rsidRDefault="008517A2" w:rsidP="00D24CEF">
      <w:pPr>
        <w:pStyle w:val="ListBullet"/>
        <w:numPr>
          <w:ilvl w:val="0"/>
          <w:numId w:val="97"/>
        </w:numPr>
        <w:jc w:val="left"/>
        <w:rPr>
          <w:rFonts w:cs="Tahoma"/>
          <w:sz w:val="20"/>
          <w:szCs w:val="20"/>
        </w:rPr>
      </w:pPr>
      <w:r w:rsidRPr="0068236B">
        <w:rPr>
          <w:rFonts w:cs="Arial"/>
          <w:sz w:val="20"/>
          <w:szCs w:val="20"/>
        </w:rPr>
        <w:t>Law on Ambient Air Quality</w:t>
      </w:r>
      <w:r w:rsidR="005B1F2F" w:rsidRPr="0068236B">
        <w:rPr>
          <w:rFonts w:cs="Arial"/>
          <w:sz w:val="20"/>
          <w:szCs w:val="20"/>
        </w:rPr>
        <w:t xml:space="preserve"> </w:t>
      </w:r>
      <w:r w:rsidR="005B1F2F" w:rsidRPr="0068236B">
        <w:rPr>
          <w:sz w:val="20"/>
          <w:szCs w:val="20"/>
        </w:rPr>
        <w:t>(</w:t>
      </w:r>
      <w:r w:rsidR="005B1F2F" w:rsidRPr="0068236B">
        <w:rPr>
          <w:rFonts w:cs="Arial"/>
          <w:sz w:val="20"/>
          <w:szCs w:val="20"/>
        </w:rPr>
        <w:t>Official Gazette of RM</w:t>
      </w:r>
      <w:r w:rsidR="005B1F2F" w:rsidRPr="0068236B">
        <w:rPr>
          <w:sz w:val="20"/>
          <w:szCs w:val="20"/>
        </w:rPr>
        <w:t xml:space="preserve"> no. 67/04 and its amendments)</w:t>
      </w:r>
      <w:r w:rsidRPr="0068236B">
        <w:rPr>
          <w:rFonts w:cs="Arial"/>
          <w:sz w:val="20"/>
          <w:szCs w:val="20"/>
        </w:rPr>
        <w:t>. This law sets the air quality standards and regulates air quality monitoring, air protection measures, air quality assessment, planning documents for air qualit</w:t>
      </w:r>
      <w:r w:rsidRPr="0068236B">
        <w:rPr>
          <w:rFonts w:cs="Tahoma"/>
          <w:sz w:val="20"/>
          <w:szCs w:val="20"/>
        </w:rPr>
        <w:t>y management, inspection and superv</w:t>
      </w:r>
      <w:r w:rsidRPr="0068236B">
        <w:rPr>
          <w:rFonts w:cs="Tahoma"/>
          <w:sz w:val="20"/>
          <w:szCs w:val="20"/>
        </w:rPr>
        <w:t>i</w:t>
      </w:r>
      <w:r w:rsidRPr="0068236B">
        <w:rPr>
          <w:rFonts w:cs="Tahoma"/>
          <w:sz w:val="20"/>
          <w:szCs w:val="20"/>
        </w:rPr>
        <w:t>sion, etc.</w:t>
      </w:r>
    </w:p>
    <w:p w14:paraId="4313497B" w14:textId="620C58D5" w:rsidR="008517A2" w:rsidRPr="0068236B" w:rsidRDefault="008517A2" w:rsidP="00D24CEF">
      <w:pPr>
        <w:pStyle w:val="ListBullet"/>
        <w:numPr>
          <w:ilvl w:val="0"/>
          <w:numId w:val="97"/>
        </w:numPr>
        <w:jc w:val="left"/>
        <w:rPr>
          <w:sz w:val="20"/>
          <w:szCs w:val="20"/>
        </w:rPr>
      </w:pPr>
      <w:r w:rsidRPr="0068236B">
        <w:rPr>
          <w:rFonts w:cs="Tahoma"/>
          <w:sz w:val="20"/>
          <w:szCs w:val="20"/>
        </w:rPr>
        <w:t>Law on Waters</w:t>
      </w:r>
      <w:r w:rsidR="005B1F2F" w:rsidRPr="0068236B">
        <w:rPr>
          <w:rFonts w:cs="Tahoma"/>
          <w:sz w:val="20"/>
          <w:szCs w:val="20"/>
        </w:rPr>
        <w:t xml:space="preserve"> </w:t>
      </w:r>
      <w:r w:rsidR="005B1F2F" w:rsidRPr="0068236B">
        <w:rPr>
          <w:sz w:val="20"/>
          <w:szCs w:val="20"/>
        </w:rPr>
        <w:t>(</w:t>
      </w:r>
      <w:r w:rsidR="005B1F2F" w:rsidRPr="0068236B">
        <w:rPr>
          <w:rFonts w:cs="Arial"/>
          <w:sz w:val="20"/>
          <w:szCs w:val="20"/>
        </w:rPr>
        <w:t>Official Gazette of RM</w:t>
      </w:r>
      <w:r w:rsidR="005B1F2F" w:rsidRPr="0068236B">
        <w:rPr>
          <w:sz w:val="20"/>
          <w:szCs w:val="20"/>
        </w:rPr>
        <w:t xml:space="preserve"> no. 87/08 and its amendments)</w:t>
      </w:r>
      <w:r w:rsidRPr="0068236B">
        <w:rPr>
          <w:rFonts w:cs="Arial"/>
          <w:sz w:val="20"/>
          <w:szCs w:val="20"/>
        </w:rPr>
        <w:t>. This law introduces w</w:t>
      </w:r>
      <w:r w:rsidRPr="0068236B">
        <w:rPr>
          <w:rFonts w:cs="Arial"/>
          <w:sz w:val="20"/>
          <w:szCs w:val="20"/>
        </w:rPr>
        <w:t>a</w:t>
      </w:r>
      <w:r w:rsidRPr="0068236B">
        <w:rPr>
          <w:rFonts w:cs="Arial"/>
          <w:sz w:val="20"/>
          <w:szCs w:val="20"/>
        </w:rPr>
        <w:t>tershed management approach and regulates the legal status and manner for integrated water management, types of water infrastructure, planning aspects and water management strategies and plans, water use, water protection against pollution, monitoring of water quality, water i</w:t>
      </w:r>
      <w:r w:rsidRPr="0068236B">
        <w:rPr>
          <w:rFonts w:cs="Arial"/>
          <w:sz w:val="20"/>
          <w:szCs w:val="20"/>
        </w:rPr>
        <w:t>n</w:t>
      </w:r>
      <w:r w:rsidRPr="0068236B">
        <w:rPr>
          <w:rFonts w:cs="Arial"/>
          <w:sz w:val="20"/>
          <w:szCs w:val="20"/>
        </w:rPr>
        <w:t>formation system, protection against floods, etc.</w:t>
      </w:r>
    </w:p>
    <w:p w14:paraId="55F6C7C1" w14:textId="73941613" w:rsidR="008517A2" w:rsidRPr="0068236B" w:rsidRDefault="008517A2" w:rsidP="00D24CEF">
      <w:pPr>
        <w:pStyle w:val="ListBullet"/>
        <w:numPr>
          <w:ilvl w:val="0"/>
          <w:numId w:val="97"/>
        </w:numPr>
        <w:jc w:val="left"/>
        <w:rPr>
          <w:sz w:val="20"/>
          <w:szCs w:val="20"/>
        </w:rPr>
      </w:pPr>
      <w:r w:rsidRPr="0068236B">
        <w:rPr>
          <w:rFonts w:cs="Arial"/>
          <w:sz w:val="20"/>
          <w:szCs w:val="20"/>
        </w:rPr>
        <w:t>Law on Waste Management (</w:t>
      </w:r>
      <w:r w:rsidRPr="0068236B">
        <w:rPr>
          <w:sz w:val="20"/>
          <w:szCs w:val="20"/>
        </w:rPr>
        <w:t xml:space="preserve">Official Gazette of RM no. 68/04 and its </w:t>
      </w:r>
      <w:r w:rsidR="005E6643" w:rsidRPr="0068236B">
        <w:rPr>
          <w:sz w:val="20"/>
          <w:szCs w:val="20"/>
        </w:rPr>
        <w:t>amendments</w:t>
      </w:r>
      <w:r w:rsidRPr="0068236B">
        <w:rPr>
          <w:rFonts w:cs="Arial"/>
          <w:sz w:val="20"/>
          <w:szCs w:val="20"/>
        </w:rPr>
        <w:t>). This law regulates the types and classification of waste, waste management planning, rights, obligations and responsibilities of legal bodies and physical persons, conditions for issuing waste licenses, inspection and supervision, etc.</w:t>
      </w:r>
    </w:p>
    <w:p w14:paraId="39DE8007" w14:textId="35337B9E" w:rsidR="008517A2" w:rsidRPr="0068236B" w:rsidRDefault="008517A2" w:rsidP="00D24CEF">
      <w:pPr>
        <w:pStyle w:val="ListBullet"/>
        <w:numPr>
          <w:ilvl w:val="0"/>
          <w:numId w:val="97"/>
        </w:numPr>
        <w:jc w:val="left"/>
        <w:rPr>
          <w:sz w:val="20"/>
          <w:szCs w:val="20"/>
        </w:rPr>
      </w:pPr>
      <w:r w:rsidRPr="0068236B">
        <w:rPr>
          <w:rFonts w:cs="Tahoma"/>
          <w:sz w:val="20"/>
          <w:szCs w:val="20"/>
        </w:rPr>
        <w:t>Package of legislation for managing different groups / types of waste:</w:t>
      </w:r>
    </w:p>
    <w:p w14:paraId="5FAFE7A6" w14:textId="485699F0" w:rsidR="008517A2" w:rsidRPr="0068236B" w:rsidRDefault="008517A2" w:rsidP="00D24CEF">
      <w:pPr>
        <w:pStyle w:val="ListBullet2"/>
        <w:numPr>
          <w:ilvl w:val="1"/>
          <w:numId w:val="97"/>
        </w:numPr>
        <w:rPr>
          <w:sz w:val="20"/>
          <w:szCs w:val="20"/>
        </w:rPr>
      </w:pPr>
      <w:r w:rsidRPr="0068236B">
        <w:rPr>
          <w:sz w:val="20"/>
          <w:szCs w:val="20"/>
        </w:rPr>
        <w:t>Law on Management of Packaging and Packaging Waste (</w:t>
      </w:r>
      <w:r w:rsidRPr="0068236B">
        <w:rPr>
          <w:rFonts w:cs="Arial"/>
          <w:sz w:val="20"/>
          <w:szCs w:val="20"/>
        </w:rPr>
        <w:t>Official Gazette of RM</w:t>
      </w:r>
      <w:r w:rsidRPr="0068236B">
        <w:rPr>
          <w:sz w:val="20"/>
          <w:szCs w:val="20"/>
        </w:rPr>
        <w:t xml:space="preserve"> no. 161/09 and its amendments) </w:t>
      </w:r>
    </w:p>
    <w:p w14:paraId="7A56B088" w14:textId="74785B61" w:rsidR="008517A2" w:rsidRPr="0068236B" w:rsidRDefault="008517A2" w:rsidP="00D24CEF">
      <w:pPr>
        <w:pStyle w:val="ListBullet2"/>
        <w:numPr>
          <w:ilvl w:val="1"/>
          <w:numId w:val="97"/>
        </w:numPr>
        <w:rPr>
          <w:sz w:val="20"/>
          <w:szCs w:val="20"/>
        </w:rPr>
      </w:pPr>
      <w:r w:rsidRPr="0068236B">
        <w:rPr>
          <w:sz w:val="20"/>
          <w:szCs w:val="20"/>
        </w:rPr>
        <w:t>Law on Batteries and Accumulators and Waste Batteries and Accumulators (</w:t>
      </w:r>
      <w:r w:rsidRPr="0068236B">
        <w:rPr>
          <w:rFonts w:cs="Arial"/>
          <w:sz w:val="20"/>
          <w:szCs w:val="20"/>
        </w:rPr>
        <w:t>Official Gazette of RM</w:t>
      </w:r>
      <w:r w:rsidRPr="0068236B">
        <w:rPr>
          <w:sz w:val="20"/>
          <w:szCs w:val="20"/>
        </w:rPr>
        <w:t xml:space="preserve"> no. 140/10 and its amendments)</w:t>
      </w:r>
    </w:p>
    <w:p w14:paraId="131A2934" w14:textId="520485D5" w:rsidR="008517A2" w:rsidRPr="0068236B" w:rsidRDefault="008517A2" w:rsidP="00D24CEF">
      <w:pPr>
        <w:pStyle w:val="ListBullet2"/>
        <w:numPr>
          <w:ilvl w:val="1"/>
          <w:numId w:val="97"/>
        </w:numPr>
        <w:rPr>
          <w:sz w:val="20"/>
          <w:szCs w:val="20"/>
        </w:rPr>
      </w:pPr>
      <w:r w:rsidRPr="0068236B">
        <w:rPr>
          <w:sz w:val="20"/>
          <w:szCs w:val="20"/>
        </w:rPr>
        <w:lastRenderedPageBreak/>
        <w:t>Law on Management of Electrical and Electronic Equipment and Waste Electrical and Ele</w:t>
      </w:r>
      <w:r w:rsidRPr="0068236B">
        <w:rPr>
          <w:sz w:val="20"/>
          <w:szCs w:val="20"/>
        </w:rPr>
        <w:t>c</w:t>
      </w:r>
      <w:r w:rsidR="005B1F2F" w:rsidRPr="0068236B">
        <w:rPr>
          <w:sz w:val="20"/>
          <w:szCs w:val="20"/>
        </w:rPr>
        <w:t>tronic Equipment</w:t>
      </w:r>
      <w:r w:rsidRPr="0068236B">
        <w:rPr>
          <w:sz w:val="20"/>
          <w:szCs w:val="20"/>
        </w:rPr>
        <w:t xml:space="preserve"> (</w:t>
      </w:r>
      <w:r w:rsidRPr="0068236B">
        <w:rPr>
          <w:rFonts w:cs="Arial"/>
          <w:sz w:val="20"/>
          <w:szCs w:val="20"/>
        </w:rPr>
        <w:t>Official Gazette of RM</w:t>
      </w:r>
      <w:r w:rsidRPr="0068236B">
        <w:rPr>
          <w:sz w:val="20"/>
          <w:szCs w:val="20"/>
        </w:rPr>
        <w:t xml:space="preserve"> no. 6/12 and its amendments)</w:t>
      </w:r>
    </w:p>
    <w:p w14:paraId="7E203A46" w14:textId="0633D005" w:rsidR="005B1F2F" w:rsidRPr="0068236B" w:rsidRDefault="005B1F2F" w:rsidP="005B1F2F">
      <w:pPr>
        <w:pStyle w:val="Heading3"/>
      </w:pPr>
      <w:bookmarkStart w:id="141" w:name="_Toc112852222"/>
      <w:r w:rsidRPr="0068236B">
        <w:t>Key Social Legislation</w:t>
      </w:r>
      <w:bookmarkEnd w:id="141"/>
    </w:p>
    <w:p w14:paraId="1C263846" w14:textId="014989A9" w:rsidR="00341342" w:rsidRPr="0068236B" w:rsidRDefault="00341342" w:rsidP="00341342">
      <w:pPr>
        <w:pStyle w:val="ListBullet"/>
        <w:numPr>
          <w:ilvl w:val="0"/>
          <w:numId w:val="0"/>
        </w:numPr>
        <w:ind w:left="981" w:firstLine="459"/>
        <w:jc w:val="left"/>
        <w:rPr>
          <w:rFonts w:cs="Arial"/>
          <w:sz w:val="20"/>
          <w:szCs w:val="20"/>
          <w:u w:val="single"/>
        </w:rPr>
      </w:pPr>
      <w:r w:rsidRPr="0068236B">
        <w:rPr>
          <w:rFonts w:cs="Tahoma"/>
          <w:sz w:val="20"/>
          <w:szCs w:val="20"/>
          <w:u w:val="single"/>
        </w:rPr>
        <w:t>Social Issues</w:t>
      </w:r>
    </w:p>
    <w:p w14:paraId="6A63737D" w14:textId="2CA592AD" w:rsidR="005B1F2F" w:rsidRPr="0068236B" w:rsidRDefault="005B1F2F" w:rsidP="00D24CEF">
      <w:pPr>
        <w:pStyle w:val="ListBullet"/>
        <w:numPr>
          <w:ilvl w:val="0"/>
          <w:numId w:val="97"/>
        </w:numPr>
        <w:jc w:val="left"/>
        <w:rPr>
          <w:sz w:val="20"/>
          <w:szCs w:val="20"/>
        </w:rPr>
      </w:pPr>
      <w:r w:rsidRPr="0068236B">
        <w:rPr>
          <w:rFonts w:cs="Arial"/>
          <w:sz w:val="20"/>
          <w:szCs w:val="20"/>
        </w:rPr>
        <w:t xml:space="preserve">Law on Social Protection (Official Gazette of </w:t>
      </w:r>
      <w:r w:rsidR="00341342" w:rsidRPr="0068236B">
        <w:rPr>
          <w:rFonts w:cs="Arial"/>
          <w:sz w:val="20"/>
          <w:szCs w:val="20"/>
        </w:rPr>
        <w:t>RM</w:t>
      </w:r>
      <w:r w:rsidRPr="0068236B">
        <w:rPr>
          <w:rFonts w:cs="Arial"/>
          <w:sz w:val="20"/>
          <w:szCs w:val="20"/>
        </w:rPr>
        <w:t xml:space="preserve"> no.</w:t>
      </w:r>
      <w:r w:rsidR="00341342" w:rsidRPr="0068236B">
        <w:rPr>
          <w:rFonts w:cs="Arial"/>
          <w:sz w:val="20"/>
          <w:szCs w:val="20"/>
        </w:rPr>
        <w:t>79/09 and its amendments</w:t>
      </w:r>
      <w:r w:rsidRPr="0068236B">
        <w:rPr>
          <w:rFonts w:cs="Arial"/>
          <w:sz w:val="20"/>
          <w:szCs w:val="20"/>
        </w:rPr>
        <w:t xml:space="preserve">). </w:t>
      </w:r>
      <w:r w:rsidR="00341342" w:rsidRPr="0068236B">
        <w:rPr>
          <w:rFonts w:cs="Tahoma"/>
          <w:sz w:val="20"/>
          <w:szCs w:val="20"/>
        </w:rPr>
        <w:t>Social welfare and protection in Macedonia comprises of services and benefits from the tax-financed social welfare system (social prevention – which according to the Law on Social Protection</w:t>
      </w:r>
      <w:r w:rsidR="00562E86" w:rsidRPr="0068236B">
        <w:rPr>
          <w:rFonts w:cs="Tahoma"/>
          <w:sz w:val="20"/>
          <w:szCs w:val="20"/>
        </w:rPr>
        <w:t xml:space="preserve"> </w:t>
      </w:r>
      <w:r w:rsidR="00341342" w:rsidRPr="0068236B">
        <w:rPr>
          <w:rFonts w:cs="Tahoma"/>
          <w:sz w:val="20"/>
          <w:szCs w:val="20"/>
        </w:rPr>
        <w:t>includes - educational and advisory work, development of self-assistance forms, volunteering work etc., institutional care, non-institutional care and monetary assistance) and contributory- based social insurance system (pensions and disability, health and unemployment insurance).</w:t>
      </w:r>
    </w:p>
    <w:p w14:paraId="3CC23F2B" w14:textId="22D240BE" w:rsidR="00341342" w:rsidRPr="0068236B" w:rsidRDefault="00341342" w:rsidP="00D24CEF">
      <w:pPr>
        <w:pStyle w:val="ListBullet"/>
        <w:numPr>
          <w:ilvl w:val="0"/>
          <w:numId w:val="97"/>
        </w:numPr>
        <w:jc w:val="left"/>
        <w:rPr>
          <w:sz w:val="20"/>
          <w:szCs w:val="20"/>
        </w:rPr>
      </w:pPr>
      <w:r w:rsidRPr="0068236B">
        <w:rPr>
          <w:rFonts w:cs="Tahoma"/>
          <w:sz w:val="20"/>
          <w:szCs w:val="20"/>
        </w:rPr>
        <w:t>Law on Housing (</w:t>
      </w:r>
      <w:r w:rsidR="00BE1C21" w:rsidRPr="0068236B">
        <w:rPr>
          <w:rFonts w:cs="Arial"/>
          <w:sz w:val="20"/>
          <w:szCs w:val="20"/>
        </w:rPr>
        <w:t>Official Gazette of RM</w:t>
      </w:r>
      <w:r w:rsidR="00BE1C21" w:rsidRPr="0068236B">
        <w:rPr>
          <w:rFonts w:cs="Tahoma"/>
          <w:sz w:val="20"/>
          <w:szCs w:val="20"/>
        </w:rPr>
        <w:t xml:space="preserve"> </w:t>
      </w:r>
      <w:r w:rsidRPr="0068236B">
        <w:rPr>
          <w:rFonts w:cs="Tahoma"/>
          <w:sz w:val="20"/>
          <w:szCs w:val="20"/>
        </w:rPr>
        <w:t>no. 99/09 and its amendments). This law envisages the possibility for renting state-owned apartments to socially endangered and homeless persons in accordance with the Law on Social Protection. This Law deals, among other things, with the i</w:t>
      </w:r>
      <w:r w:rsidRPr="0068236B">
        <w:rPr>
          <w:rFonts w:cs="Tahoma"/>
          <w:sz w:val="20"/>
          <w:szCs w:val="20"/>
        </w:rPr>
        <w:t>s</w:t>
      </w:r>
      <w:r w:rsidRPr="0068236B">
        <w:rPr>
          <w:rFonts w:cs="Tahoma"/>
          <w:sz w:val="20"/>
          <w:szCs w:val="20"/>
        </w:rPr>
        <w:t>sue of social housing and the housing of the vulnerable groups (children without parents or without parental care, users of social and permanent financial assistance, persons affected by natural disasters, disabled persons and persons who need assistance and care by other pe</w:t>
      </w:r>
      <w:r w:rsidRPr="0068236B">
        <w:rPr>
          <w:rFonts w:cs="Tahoma"/>
          <w:sz w:val="20"/>
          <w:szCs w:val="20"/>
        </w:rPr>
        <w:t>r</w:t>
      </w:r>
      <w:r w:rsidRPr="0068236B">
        <w:rPr>
          <w:rFonts w:cs="Tahoma"/>
          <w:sz w:val="20"/>
          <w:szCs w:val="20"/>
        </w:rPr>
        <w:t>sons, the socially endangered persons belonging to the Roma community, lone parents with minor children).</w:t>
      </w:r>
    </w:p>
    <w:p w14:paraId="50F25B9C" w14:textId="58CCA2A8" w:rsidR="00341342" w:rsidRPr="0068236B" w:rsidRDefault="00341342" w:rsidP="00D24CEF">
      <w:pPr>
        <w:pStyle w:val="ListBullet"/>
        <w:numPr>
          <w:ilvl w:val="0"/>
          <w:numId w:val="97"/>
        </w:numPr>
        <w:jc w:val="left"/>
        <w:rPr>
          <w:sz w:val="20"/>
          <w:szCs w:val="20"/>
        </w:rPr>
      </w:pPr>
      <w:r w:rsidRPr="0068236B">
        <w:rPr>
          <w:rFonts w:cs="Tahoma"/>
          <w:sz w:val="20"/>
          <w:szCs w:val="20"/>
        </w:rPr>
        <w:t>Law on Pensions and Disability Insurance (</w:t>
      </w:r>
      <w:r w:rsidR="00BE1C21" w:rsidRPr="0068236B">
        <w:rPr>
          <w:rFonts w:cs="Arial"/>
          <w:sz w:val="20"/>
          <w:szCs w:val="20"/>
        </w:rPr>
        <w:t>Official Gazette of RM</w:t>
      </w:r>
      <w:r w:rsidR="00BE1C21" w:rsidRPr="0068236B">
        <w:rPr>
          <w:rFonts w:cs="Tahoma"/>
          <w:sz w:val="20"/>
          <w:szCs w:val="20"/>
        </w:rPr>
        <w:t xml:space="preserve"> </w:t>
      </w:r>
      <w:r w:rsidRPr="0068236B">
        <w:rPr>
          <w:rFonts w:cs="Tahoma"/>
          <w:sz w:val="20"/>
          <w:szCs w:val="20"/>
        </w:rPr>
        <w:t>no. 53/13</w:t>
      </w:r>
      <w:r w:rsidR="00BE1C21" w:rsidRPr="0068236B">
        <w:rPr>
          <w:rFonts w:cs="Arial"/>
          <w:sz w:val="20"/>
          <w:szCs w:val="20"/>
        </w:rPr>
        <w:t xml:space="preserve"> and its amen</w:t>
      </w:r>
      <w:r w:rsidR="00BE1C21" w:rsidRPr="0068236B">
        <w:rPr>
          <w:rFonts w:cs="Arial"/>
          <w:sz w:val="20"/>
          <w:szCs w:val="20"/>
        </w:rPr>
        <w:t>d</w:t>
      </w:r>
      <w:r w:rsidR="00BE1C21" w:rsidRPr="0068236B">
        <w:rPr>
          <w:rFonts w:cs="Arial"/>
          <w:sz w:val="20"/>
          <w:szCs w:val="20"/>
        </w:rPr>
        <w:t>ments)</w:t>
      </w:r>
      <w:r w:rsidRPr="0068236B">
        <w:rPr>
          <w:rFonts w:cs="Tahoma"/>
          <w:sz w:val="20"/>
          <w:szCs w:val="20"/>
        </w:rPr>
        <w:t>. This law defines the obligatory pension insurance of workers under working contract and the natural persons performing activity, the bases of the capital funded pension insurance, as well as the special conditions how certain categories of insured persons receive the right to pension and enjoy disability insurance. The rights deriving from the pension and disability i</w:t>
      </w:r>
      <w:r w:rsidRPr="0068236B">
        <w:rPr>
          <w:rFonts w:cs="Tahoma"/>
          <w:sz w:val="20"/>
          <w:szCs w:val="20"/>
        </w:rPr>
        <w:t>n</w:t>
      </w:r>
      <w:r w:rsidRPr="0068236B">
        <w:rPr>
          <w:rFonts w:cs="Tahoma"/>
          <w:sz w:val="20"/>
          <w:szCs w:val="20"/>
        </w:rPr>
        <w:t>surance are the following: right to age-related pension, right to disability pension, right to re-allocation to other adequate, working post, right to adequate employment, right to re-qualification or higher qualification and right to adequate financial compensations, right to fam</w:t>
      </w:r>
      <w:r w:rsidRPr="0068236B">
        <w:rPr>
          <w:rFonts w:cs="Tahoma"/>
          <w:sz w:val="20"/>
          <w:szCs w:val="20"/>
        </w:rPr>
        <w:t>i</w:t>
      </w:r>
      <w:r w:rsidRPr="0068236B">
        <w:rPr>
          <w:rFonts w:cs="Tahoma"/>
          <w:sz w:val="20"/>
          <w:szCs w:val="20"/>
        </w:rPr>
        <w:t>ly pension, right to monthly compensation for physical damage, and right to minimal pension.</w:t>
      </w:r>
    </w:p>
    <w:p w14:paraId="0E811863" w14:textId="12B94BC4" w:rsidR="00341342" w:rsidRPr="0068236B" w:rsidRDefault="00341342" w:rsidP="00D24CEF">
      <w:pPr>
        <w:pStyle w:val="ListBullet"/>
        <w:numPr>
          <w:ilvl w:val="0"/>
          <w:numId w:val="97"/>
        </w:numPr>
        <w:jc w:val="left"/>
        <w:rPr>
          <w:sz w:val="20"/>
          <w:szCs w:val="20"/>
        </w:rPr>
      </w:pPr>
      <w:r w:rsidRPr="0068236B">
        <w:rPr>
          <w:rFonts w:cs="Tahoma"/>
          <w:sz w:val="20"/>
          <w:szCs w:val="20"/>
        </w:rPr>
        <w:t>Law on Equal Opportunities of Women and Man (</w:t>
      </w:r>
      <w:r w:rsidR="00BE1C21" w:rsidRPr="0068236B">
        <w:rPr>
          <w:rFonts w:cs="Arial"/>
          <w:sz w:val="20"/>
          <w:szCs w:val="20"/>
        </w:rPr>
        <w:t>Official Gazette of RM</w:t>
      </w:r>
      <w:r w:rsidR="00BE1C21" w:rsidRPr="0068236B">
        <w:rPr>
          <w:rFonts w:cs="Tahoma"/>
          <w:sz w:val="20"/>
          <w:szCs w:val="20"/>
        </w:rPr>
        <w:t xml:space="preserve"> </w:t>
      </w:r>
      <w:r w:rsidRPr="0068236B">
        <w:rPr>
          <w:rFonts w:cs="Tahoma"/>
          <w:sz w:val="20"/>
          <w:szCs w:val="20"/>
        </w:rPr>
        <w:t xml:space="preserve">no. 06/12 </w:t>
      </w:r>
      <w:r w:rsidR="00BE1C21" w:rsidRPr="0068236B">
        <w:rPr>
          <w:rFonts w:cs="Arial"/>
          <w:sz w:val="20"/>
          <w:szCs w:val="20"/>
        </w:rPr>
        <w:t>and its amendments)</w:t>
      </w:r>
      <w:r w:rsidRPr="0068236B">
        <w:rPr>
          <w:rFonts w:cs="Tahoma"/>
          <w:sz w:val="20"/>
          <w:szCs w:val="20"/>
        </w:rPr>
        <w:t>. This law defines basic and special measures for establishing equal opportunities for women and men, competences, tasks and duties of the responsible actors for ensuring equal opportunities, the procedure for determining a non-equal treatment of women and men, and the related issues. It aims to promote the principle for establishing equal opportunities for women and men in political, economic, social and education fields, as well as in all other a</w:t>
      </w:r>
      <w:r w:rsidRPr="0068236B">
        <w:rPr>
          <w:rFonts w:cs="Tahoma"/>
          <w:sz w:val="20"/>
          <w:szCs w:val="20"/>
        </w:rPr>
        <w:t>s</w:t>
      </w:r>
      <w:r w:rsidRPr="0068236B">
        <w:rPr>
          <w:rFonts w:cs="Tahoma"/>
          <w:sz w:val="20"/>
          <w:szCs w:val="20"/>
        </w:rPr>
        <w:t>pects of social life.</w:t>
      </w:r>
    </w:p>
    <w:p w14:paraId="02023CFF" w14:textId="09846646" w:rsidR="00341342" w:rsidRPr="0068236B" w:rsidRDefault="00341342" w:rsidP="00341342">
      <w:pPr>
        <w:pStyle w:val="ListBullet"/>
        <w:numPr>
          <w:ilvl w:val="0"/>
          <w:numId w:val="0"/>
        </w:numPr>
        <w:ind w:left="1134" w:firstLine="306"/>
        <w:jc w:val="left"/>
        <w:rPr>
          <w:rFonts w:cs="Tahoma"/>
          <w:sz w:val="20"/>
          <w:szCs w:val="20"/>
          <w:u w:val="single"/>
        </w:rPr>
      </w:pPr>
      <w:r w:rsidRPr="0068236B">
        <w:rPr>
          <w:rFonts w:cs="Tahoma"/>
          <w:sz w:val="20"/>
          <w:szCs w:val="20"/>
          <w:u w:val="single"/>
        </w:rPr>
        <w:t>Labour and Working Conditions</w:t>
      </w:r>
    </w:p>
    <w:p w14:paraId="4F0AE44C" w14:textId="6D2EC76C" w:rsidR="00BE1C21" w:rsidRPr="0068236B" w:rsidRDefault="00BE1C21" w:rsidP="00D24CEF">
      <w:pPr>
        <w:pStyle w:val="ListBullet"/>
        <w:numPr>
          <w:ilvl w:val="0"/>
          <w:numId w:val="97"/>
        </w:numPr>
        <w:jc w:val="left"/>
        <w:rPr>
          <w:sz w:val="20"/>
          <w:szCs w:val="20"/>
        </w:rPr>
      </w:pPr>
      <w:r w:rsidRPr="0068236B">
        <w:rPr>
          <w:rFonts w:cs="Tahoma"/>
          <w:sz w:val="20"/>
          <w:szCs w:val="20"/>
        </w:rPr>
        <w:t>Law on Labour Relations (</w:t>
      </w:r>
      <w:r w:rsidRPr="0068236B">
        <w:rPr>
          <w:rFonts w:cs="Arial"/>
          <w:sz w:val="20"/>
          <w:szCs w:val="20"/>
        </w:rPr>
        <w:t>Official Gazette of RM</w:t>
      </w:r>
      <w:r w:rsidRPr="0068236B">
        <w:rPr>
          <w:rFonts w:cs="Tahoma"/>
          <w:sz w:val="20"/>
          <w:szCs w:val="20"/>
        </w:rPr>
        <w:t xml:space="preserve"> no. 92/07 </w:t>
      </w:r>
      <w:r w:rsidRPr="0068236B">
        <w:rPr>
          <w:rFonts w:cs="Arial"/>
          <w:sz w:val="20"/>
          <w:szCs w:val="20"/>
        </w:rPr>
        <w:t>and its amendments)</w:t>
      </w:r>
      <w:r w:rsidRPr="0068236B">
        <w:rPr>
          <w:rFonts w:cs="Tahoma"/>
          <w:sz w:val="20"/>
          <w:szCs w:val="20"/>
        </w:rPr>
        <w:t>. This, as a pi</w:t>
      </w:r>
      <w:r w:rsidRPr="0068236B">
        <w:rPr>
          <w:rFonts w:cs="Tahoma"/>
          <w:sz w:val="20"/>
          <w:szCs w:val="20"/>
        </w:rPr>
        <w:t>l</w:t>
      </w:r>
      <w:r w:rsidRPr="0068236B">
        <w:rPr>
          <w:rFonts w:cs="Tahoma"/>
          <w:sz w:val="20"/>
          <w:szCs w:val="20"/>
        </w:rPr>
        <w:t>lar for legislation related to labour, defines labour relations between employees and employers established on the basis of an employment (work) contract. In details, this law regulates all of the specific duties and rights of both, the employers and the employees when concluding and are under employment contract and in particular the ones in relation to the performance of the work.</w:t>
      </w:r>
    </w:p>
    <w:p w14:paraId="052841BE" w14:textId="14462D62" w:rsidR="00BE1C21" w:rsidRPr="0068236B" w:rsidRDefault="00BE1C21" w:rsidP="00D24CEF">
      <w:pPr>
        <w:pStyle w:val="ListBullet"/>
        <w:numPr>
          <w:ilvl w:val="0"/>
          <w:numId w:val="97"/>
        </w:numPr>
        <w:jc w:val="left"/>
        <w:rPr>
          <w:sz w:val="20"/>
          <w:szCs w:val="20"/>
        </w:rPr>
      </w:pPr>
      <w:r w:rsidRPr="0068236B">
        <w:rPr>
          <w:rFonts w:cs="Tahoma"/>
          <w:sz w:val="20"/>
          <w:szCs w:val="20"/>
        </w:rPr>
        <w:t>Law on Occupational Health and Safety (</w:t>
      </w:r>
      <w:r w:rsidRPr="0068236B">
        <w:rPr>
          <w:rFonts w:cs="Arial"/>
          <w:sz w:val="20"/>
          <w:szCs w:val="20"/>
        </w:rPr>
        <w:t>Official Gazette of RM</w:t>
      </w:r>
      <w:r w:rsidRPr="0068236B">
        <w:rPr>
          <w:rFonts w:cs="Tahoma"/>
          <w:sz w:val="20"/>
          <w:szCs w:val="20"/>
        </w:rPr>
        <w:t xml:space="preserve"> no. 92/07 and </w:t>
      </w:r>
      <w:r w:rsidRPr="0068236B">
        <w:rPr>
          <w:rFonts w:cs="Arial"/>
          <w:sz w:val="20"/>
          <w:szCs w:val="20"/>
        </w:rPr>
        <w:t>its amendments)</w:t>
      </w:r>
      <w:r w:rsidRPr="0068236B">
        <w:rPr>
          <w:rFonts w:cs="Tahoma"/>
          <w:sz w:val="20"/>
          <w:szCs w:val="20"/>
        </w:rPr>
        <w:t>. This law requires employers to take all the necessary measures and maintain acceptable wor</w:t>
      </w:r>
      <w:r w:rsidRPr="0068236B">
        <w:rPr>
          <w:rFonts w:cs="Tahoma"/>
          <w:sz w:val="20"/>
          <w:szCs w:val="20"/>
        </w:rPr>
        <w:t>k</w:t>
      </w:r>
      <w:r w:rsidRPr="0068236B">
        <w:rPr>
          <w:rFonts w:cs="Tahoma"/>
          <w:sz w:val="20"/>
          <w:szCs w:val="20"/>
        </w:rPr>
        <w:t>ing conditions. Employees are under the obligation to ensure acceptable level of occupational health and safety. Employers:</w:t>
      </w:r>
    </w:p>
    <w:p w14:paraId="42C192AE" w14:textId="77777777" w:rsidR="00BE1C21" w:rsidRPr="0068236B" w:rsidRDefault="00BE1C21" w:rsidP="00D24CEF">
      <w:pPr>
        <w:pStyle w:val="ListBullet2"/>
        <w:numPr>
          <w:ilvl w:val="1"/>
          <w:numId w:val="97"/>
        </w:numPr>
        <w:rPr>
          <w:sz w:val="20"/>
          <w:szCs w:val="20"/>
        </w:rPr>
      </w:pPr>
      <w:r w:rsidRPr="0068236B">
        <w:rPr>
          <w:sz w:val="20"/>
          <w:szCs w:val="20"/>
        </w:rPr>
        <w:t>must inform the employees of the occupational risks and preventative measures that must be taken to address these risks</w:t>
      </w:r>
    </w:p>
    <w:p w14:paraId="1724FC39" w14:textId="77777777" w:rsidR="00BE1C21" w:rsidRPr="0068236B" w:rsidRDefault="00BE1C21" w:rsidP="00D24CEF">
      <w:pPr>
        <w:pStyle w:val="ListBullet2"/>
        <w:numPr>
          <w:ilvl w:val="1"/>
          <w:numId w:val="97"/>
        </w:numPr>
        <w:rPr>
          <w:sz w:val="20"/>
          <w:szCs w:val="20"/>
        </w:rPr>
      </w:pPr>
      <w:r w:rsidRPr="0068236B">
        <w:rPr>
          <w:sz w:val="20"/>
          <w:szCs w:val="20"/>
        </w:rPr>
        <w:lastRenderedPageBreak/>
        <w:t>must inform employees of their legal rights and obligations and must provide the emplo</w:t>
      </w:r>
      <w:r w:rsidRPr="0068236B">
        <w:rPr>
          <w:sz w:val="20"/>
          <w:szCs w:val="20"/>
        </w:rPr>
        <w:t>y</w:t>
      </w:r>
      <w:r w:rsidRPr="0068236B">
        <w:rPr>
          <w:sz w:val="20"/>
          <w:szCs w:val="20"/>
        </w:rPr>
        <w:t>ees with the necessary training on occupational health and safety</w:t>
      </w:r>
    </w:p>
    <w:p w14:paraId="00ECD67A" w14:textId="77777777" w:rsidR="00BE1C21" w:rsidRPr="0068236B" w:rsidRDefault="00BE1C21" w:rsidP="00D24CEF">
      <w:pPr>
        <w:pStyle w:val="ListBullet2"/>
        <w:numPr>
          <w:ilvl w:val="1"/>
          <w:numId w:val="97"/>
        </w:numPr>
        <w:rPr>
          <w:sz w:val="20"/>
          <w:szCs w:val="20"/>
        </w:rPr>
      </w:pPr>
      <w:r w:rsidRPr="0068236B">
        <w:rPr>
          <w:sz w:val="20"/>
          <w:szCs w:val="20"/>
        </w:rPr>
        <w:t>are responsible for the provision of a safe working environment and must provide workers all the required personal protective equipment</w:t>
      </w:r>
    </w:p>
    <w:p w14:paraId="18ECA98A" w14:textId="77777777" w:rsidR="00BE1C21" w:rsidRPr="0068236B" w:rsidRDefault="00BE1C21" w:rsidP="00D24CEF">
      <w:pPr>
        <w:pStyle w:val="ListBullet2"/>
        <w:numPr>
          <w:ilvl w:val="1"/>
          <w:numId w:val="97"/>
        </w:numPr>
        <w:rPr>
          <w:sz w:val="20"/>
          <w:szCs w:val="20"/>
        </w:rPr>
      </w:pPr>
      <w:r w:rsidRPr="0068236B">
        <w:rPr>
          <w:sz w:val="20"/>
          <w:szCs w:val="20"/>
        </w:rPr>
        <w:t>must regularly check this and all other health and safety equipment and ensure that it is in good working order</w:t>
      </w:r>
    </w:p>
    <w:p w14:paraId="4A30D4D9" w14:textId="77777777" w:rsidR="00BE1C21" w:rsidRPr="0068236B" w:rsidRDefault="00BE1C21" w:rsidP="00D24CEF">
      <w:pPr>
        <w:pStyle w:val="ListBullet2"/>
        <w:numPr>
          <w:ilvl w:val="1"/>
          <w:numId w:val="97"/>
        </w:numPr>
        <w:rPr>
          <w:sz w:val="20"/>
          <w:szCs w:val="20"/>
        </w:rPr>
      </w:pPr>
      <w:r w:rsidRPr="0068236B">
        <w:rPr>
          <w:sz w:val="20"/>
          <w:szCs w:val="20"/>
        </w:rPr>
        <w:t>must take necessary measures to prevent occupational illnesses</w:t>
      </w:r>
    </w:p>
    <w:p w14:paraId="0FEFA880" w14:textId="4E625346" w:rsidR="00BE1C21" w:rsidRPr="0068236B" w:rsidRDefault="00BE1C21" w:rsidP="00D24CEF">
      <w:pPr>
        <w:pStyle w:val="ListBullet2"/>
        <w:numPr>
          <w:ilvl w:val="1"/>
          <w:numId w:val="97"/>
        </w:numPr>
        <w:rPr>
          <w:sz w:val="20"/>
        </w:rPr>
      </w:pPr>
      <w:r w:rsidRPr="0068236B">
        <w:rPr>
          <w:sz w:val="20"/>
          <w:szCs w:val="20"/>
        </w:rPr>
        <w:t>must prepare a health and safety plan prior to the commencement of construction works.</w:t>
      </w:r>
    </w:p>
    <w:p w14:paraId="050222F4" w14:textId="2A162F74" w:rsidR="00BE1C21" w:rsidRPr="0068236B" w:rsidRDefault="00BE1C21" w:rsidP="00BE1C21">
      <w:pPr>
        <w:tabs>
          <w:tab w:val="left" w:pos="284"/>
        </w:tabs>
        <w:autoSpaceDE w:val="0"/>
        <w:autoSpaceDN w:val="0"/>
        <w:adjustRightInd w:val="0"/>
        <w:spacing w:line="240" w:lineRule="auto"/>
        <w:ind w:left="1134"/>
        <w:rPr>
          <w:rFonts w:cs="Tahoma"/>
          <w:sz w:val="20"/>
          <w:szCs w:val="20"/>
        </w:rPr>
      </w:pPr>
      <w:r w:rsidRPr="0068236B">
        <w:rPr>
          <w:rFonts w:cs="Tahoma"/>
          <w:sz w:val="20"/>
          <w:szCs w:val="20"/>
        </w:rPr>
        <w:t xml:space="preserve">Relevant subsidiary legislation to support implementation of this law includes, </w:t>
      </w:r>
      <w:r w:rsidRPr="0068236B">
        <w:rPr>
          <w:rFonts w:cs="Tahoma"/>
          <w:i/>
          <w:sz w:val="20"/>
          <w:szCs w:val="20"/>
        </w:rPr>
        <w:t>inter alia</w:t>
      </w:r>
      <w:r w:rsidRPr="0068236B">
        <w:rPr>
          <w:rFonts w:cs="Tahoma"/>
          <w:sz w:val="20"/>
          <w:szCs w:val="20"/>
        </w:rPr>
        <w:t>:</w:t>
      </w:r>
    </w:p>
    <w:p w14:paraId="3E038B16" w14:textId="633C01A0" w:rsidR="00BE1C21" w:rsidRPr="0068236B" w:rsidRDefault="00BE1C21" w:rsidP="00D24CEF">
      <w:pPr>
        <w:pStyle w:val="ListBullet2"/>
        <w:numPr>
          <w:ilvl w:val="1"/>
          <w:numId w:val="97"/>
        </w:numPr>
        <w:rPr>
          <w:sz w:val="20"/>
          <w:szCs w:val="20"/>
        </w:rPr>
      </w:pPr>
      <w:r w:rsidRPr="0068236B">
        <w:rPr>
          <w:sz w:val="20"/>
          <w:szCs w:val="20"/>
        </w:rPr>
        <w:t>Rulebook for personal protective equipment that uses employees at work</w:t>
      </w:r>
    </w:p>
    <w:p w14:paraId="28FB976C" w14:textId="70D66343" w:rsidR="00BE1C21" w:rsidRPr="0068236B" w:rsidRDefault="00BE1C21" w:rsidP="00D24CEF">
      <w:pPr>
        <w:pStyle w:val="ListBullet2"/>
        <w:numPr>
          <w:ilvl w:val="1"/>
          <w:numId w:val="97"/>
        </w:numPr>
        <w:rPr>
          <w:sz w:val="20"/>
          <w:szCs w:val="20"/>
        </w:rPr>
      </w:pPr>
      <w:r w:rsidRPr="0068236B">
        <w:rPr>
          <w:sz w:val="20"/>
          <w:szCs w:val="20"/>
        </w:rPr>
        <w:t>Rulebook on the minimal requirements for workers’ health and safety at workplace</w:t>
      </w:r>
    </w:p>
    <w:p w14:paraId="56ECC833" w14:textId="11F323FF" w:rsidR="00BE1C21" w:rsidRPr="0068236B" w:rsidRDefault="00BE1C21" w:rsidP="00D24CEF">
      <w:pPr>
        <w:pStyle w:val="ListBullet2"/>
        <w:numPr>
          <w:ilvl w:val="1"/>
          <w:numId w:val="97"/>
        </w:numPr>
        <w:rPr>
          <w:sz w:val="20"/>
          <w:szCs w:val="20"/>
        </w:rPr>
      </w:pPr>
      <w:r w:rsidRPr="0068236B">
        <w:rPr>
          <w:sz w:val="20"/>
          <w:szCs w:val="20"/>
        </w:rPr>
        <w:t>Rulebook on the minimal requirements for safety and health at work for temporary and mobile construction sites</w:t>
      </w:r>
    </w:p>
    <w:p w14:paraId="4AF8A93D" w14:textId="77777777" w:rsidR="00BE1C21" w:rsidRPr="0068236B" w:rsidRDefault="00BE1C21" w:rsidP="00D24CEF">
      <w:pPr>
        <w:pStyle w:val="ListBullet2"/>
        <w:numPr>
          <w:ilvl w:val="1"/>
          <w:numId w:val="97"/>
        </w:numPr>
        <w:rPr>
          <w:sz w:val="20"/>
          <w:szCs w:val="20"/>
        </w:rPr>
      </w:pPr>
      <w:r w:rsidRPr="0068236B">
        <w:rPr>
          <w:sz w:val="20"/>
          <w:szCs w:val="20"/>
        </w:rPr>
        <w:t>Rulebook for occupational health and safety at work for workers exposed on risk of noise</w:t>
      </w:r>
    </w:p>
    <w:p w14:paraId="6F8CBB80" w14:textId="4081628D" w:rsidR="00BE1C21" w:rsidRPr="0068236B" w:rsidRDefault="00BE1C21" w:rsidP="00D24CEF">
      <w:pPr>
        <w:pStyle w:val="ListBullet2"/>
        <w:numPr>
          <w:ilvl w:val="1"/>
          <w:numId w:val="97"/>
        </w:numPr>
        <w:rPr>
          <w:sz w:val="20"/>
          <w:szCs w:val="20"/>
        </w:rPr>
      </w:pPr>
      <w:r w:rsidRPr="0068236B">
        <w:rPr>
          <w:rFonts w:cs="Tahoma"/>
          <w:sz w:val="20"/>
          <w:szCs w:val="20"/>
        </w:rPr>
        <w:t>Other extensive list of subordinated Rulebooks covering working conditions in various env</w:t>
      </w:r>
      <w:r w:rsidRPr="0068236B">
        <w:rPr>
          <w:rFonts w:cs="Tahoma"/>
          <w:sz w:val="20"/>
          <w:szCs w:val="20"/>
        </w:rPr>
        <w:t>i</w:t>
      </w:r>
      <w:r w:rsidRPr="0068236B">
        <w:rPr>
          <w:rFonts w:cs="Tahoma"/>
          <w:sz w:val="20"/>
          <w:szCs w:val="20"/>
        </w:rPr>
        <w:t>ronments</w:t>
      </w:r>
    </w:p>
    <w:p w14:paraId="45364258" w14:textId="31792F13" w:rsidR="00341342" w:rsidRPr="0068236B" w:rsidRDefault="00BE1C21" w:rsidP="00D24CEF">
      <w:pPr>
        <w:pStyle w:val="ListBullet"/>
        <w:numPr>
          <w:ilvl w:val="0"/>
          <w:numId w:val="97"/>
        </w:numPr>
        <w:jc w:val="left"/>
        <w:rPr>
          <w:sz w:val="20"/>
          <w:szCs w:val="20"/>
        </w:rPr>
      </w:pPr>
      <w:r w:rsidRPr="0068236B">
        <w:rPr>
          <w:rFonts w:cs="Tahoma"/>
          <w:sz w:val="20"/>
          <w:szCs w:val="20"/>
        </w:rPr>
        <w:t>Law on Employment and Insurance in a case of Unemployment (</w:t>
      </w:r>
      <w:r w:rsidRPr="0068236B">
        <w:rPr>
          <w:rFonts w:cs="Arial"/>
          <w:sz w:val="20"/>
          <w:szCs w:val="20"/>
        </w:rPr>
        <w:t>Official Gazette of RM</w:t>
      </w:r>
      <w:r w:rsidRPr="0068236B">
        <w:rPr>
          <w:rFonts w:cs="Tahoma"/>
          <w:sz w:val="20"/>
          <w:szCs w:val="20"/>
        </w:rPr>
        <w:t xml:space="preserve"> no. 112/14 </w:t>
      </w:r>
      <w:r w:rsidRPr="0068236B">
        <w:rPr>
          <w:rFonts w:cs="Arial"/>
          <w:sz w:val="20"/>
          <w:szCs w:val="20"/>
        </w:rPr>
        <w:t>and its amendments)</w:t>
      </w:r>
      <w:r w:rsidRPr="0068236B">
        <w:rPr>
          <w:rFonts w:cs="Tahoma"/>
          <w:sz w:val="20"/>
          <w:szCs w:val="20"/>
        </w:rPr>
        <w:t>. This law regulates the issues of labor exchange, rights and obl</w:t>
      </w:r>
      <w:r w:rsidRPr="0068236B">
        <w:rPr>
          <w:rFonts w:cs="Tahoma"/>
          <w:sz w:val="20"/>
          <w:szCs w:val="20"/>
        </w:rPr>
        <w:t>i</w:t>
      </w:r>
      <w:r w:rsidRPr="0068236B">
        <w:rPr>
          <w:rFonts w:cs="Tahoma"/>
          <w:sz w:val="20"/>
          <w:szCs w:val="20"/>
        </w:rPr>
        <w:t>gations of employers, the unemployed, other job seekers and the obligation of the country, in relation with the employment and insurance related to unemployment and other issues i</w:t>
      </w:r>
      <w:r w:rsidRPr="0068236B">
        <w:rPr>
          <w:rFonts w:cs="Tahoma"/>
          <w:sz w:val="20"/>
          <w:szCs w:val="20"/>
        </w:rPr>
        <w:t>m</w:t>
      </w:r>
      <w:r w:rsidRPr="0068236B">
        <w:rPr>
          <w:rFonts w:cs="Tahoma"/>
          <w:sz w:val="20"/>
          <w:szCs w:val="20"/>
        </w:rPr>
        <w:t>portant for employment. Pursuant to the principle of equal treatment, it is prohibited emplo</w:t>
      </w:r>
      <w:r w:rsidRPr="0068236B">
        <w:rPr>
          <w:rFonts w:cs="Tahoma"/>
          <w:sz w:val="20"/>
          <w:szCs w:val="20"/>
        </w:rPr>
        <w:t>y</w:t>
      </w:r>
      <w:r w:rsidRPr="0068236B">
        <w:rPr>
          <w:rFonts w:cs="Tahoma"/>
          <w:sz w:val="20"/>
          <w:szCs w:val="20"/>
        </w:rPr>
        <w:t>ment discrimination on the basis of marital status, family status, color of skin, sex, language, political or other persuasion, trade union activity, nationality, social status, disability, age, ow</w:t>
      </w:r>
      <w:r w:rsidRPr="0068236B">
        <w:rPr>
          <w:rFonts w:cs="Tahoma"/>
          <w:sz w:val="20"/>
          <w:szCs w:val="20"/>
        </w:rPr>
        <w:t>n</w:t>
      </w:r>
      <w:r w:rsidRPr="0068236B">
        <w:rPr>
          <w:rFonts w:cs="Tahoma"/>
          <w:sz w:val="20"/>
          <w:szCs w:val="20"/>
        </w:rPr>
        <w:t>ership, social or other status.</w:t>
      </w:r>
    </w:p>
    <w:p w14:paraId="6ACE41F8" w14:textId="131FB996" w:rsidR="00BE1C21" w:rsidRPr="0068236B" w:rsidRDefault="00BE1C21" w:rsidP="00D24CEF">
      <w:pPr>
        <w:pStyle w:val="ListBullet"/>
        <w:numPr>
          <w:ilvl w:val="0"/>
          <w:numId w:val="97"/>
        </w:numPr>
        <w:jc w:val="left"/>
        <w:rPr>
          <w:sz w:val="20"/>
          <w:szCs w:val="20"/>
        </w:rPr>
      </w:pPr>
      <w:r w:rsidRPr="0068236B">
        <w:rPr>
          <w:rFonts w:cs="Tahoma"/>
          <w:sz w:val="20"/>
          <w:szCs w:val="20"/>
        </w:rPr>
        <w:t>Law on Protection from Harassment at Work (</w:t>
      </w:r>
      <w:r w:rsidRPr="0068236B">
        <w:rPr>
          <w:rFonts w:cs="Arial"/>
          <w:sz w:val="20"/>
          <w:szCs w:val="20"/>
        </w:rPr>
        <w:t>Official Gazette of RM</w:t>
      </w:r>
      <w:r w:rsidRPr="0068236B">
        <w:rPr>
          <w:rFonts w:cs="Tahoma"/>
          <w:sz w:val="20"/>
          <w:szCs w:val="20"/>
        </w:rPr>
        <w:t xml:space="preserve"> no. 79/13 and</w:t>
      </w:r>
      <w:r w:rsidRPr="0068236B">
        <w:rPr>
          <w:rFonts w:cs="Arial"/>
          <w:sz w:val="20"/>
          <w:szCs w:val="20"/>
        </w:rPr>
        <w:t xml:space="preserve"> its amen</w:t>
      </w:r>
      <w:r w:rsidRPr="0068236B">
        <w:rPr>
          <w:rFonts w:cs="Arial"/>
          <w:sz w:val="20"/>
          <w:szCs w:val="20"/>
        </w:rPr>
        <w:t>d</w:t>
      </w:r>
      <w:r w:rsidRPr="0068236B">
        <w:rPr>
          <w:rFonts w:cs="Arial"/>
          <w:sz w:val="20"/>
          <w:szCs w:val="20"/>
        </w:rPr>
        <w:t>ments).</w:t>
      </w:r>
      <w:r w:rsidRPr="0068236B">
        <w:rPr>
          <w:rFonts w:cs="Tahoma"/>
          <w:sz w:val="20"/>
          <w:szCs w:val="20"/>
        </w:rPr>
        <w:t xml:space="preserve"> This law regulates the rights, obligations and responsibilities of employers and emplo</w:t>
      </w:r>
      <w:r w:rsidRPr="0068236B">
        <w:rPr>
          <w:rFonts w:cs="Tahoma"/>
          <w:sz w:val="20"/>
          <w:szCs w:val="20"/>
        </w:rPr>
        <w:t>y</w:t>
      </w:r>
      <w:r w:rsidRPr="0068236B">
        <w:rPr>
          <w:rFonts w:cs="Tahoma"/>
          <w:sz w:val="20"/>
          <w:szCs w:val="20"/>
        </w:rPr>
        <w:t>ees related to the prevention of psychological and sexual harassment at work place and place of work, measures and procedures for protection against harassment in the workplace, as well as other issues related to the prevention and protection from harassment at work place.</w:t>
      </w:r>
    </w:p>
    <w:p w14:paraId="27C555A0" w14:textId="26F57920" w:rsidR="00341342" w:rsidRPr="0068236B" w:rsidRDefault="00341342" w:rsidP="00341342">
      <w:pPr>
        <w:pStyle w:val="ListBullet"/>
        <w:numPr>
          <w:ilvl w:val="0"/>
          <w:numId w:val="0"/>
        </w:numPr>
        <w:ind w:left="1134" w:firstLine="306"/>
        <w:jc w:val="left"/>
        <w:rPr>
          <w:rFonts w:cs="Tahoma"/>
          <w:sz w:val="20"/>
          <w:szCs w:val="20"/>
          <w:u w:val="single"/>
        </w:rPr>
      </w:pPr>
      <w:r w:rsidRPr="0068236B">
        <w:rPr>
          <w:rFonts w:cs="Tahoma"/>
          <w:sz w:val="20"/>
          <w:szCs w:val="20"/>
          <w:u w:val="single"/>
        </w:rPr>
        <w:t>Land Acquisition / Resettlement</w:t>
      </w:r>
    </w:p>
    <w:p w14:paraId="40BDFA1F" w14:textId="77777777" w:rsidR="00341342" w:rsidRPr="0068236B" w:rsidRDefault="00341342" w:rsidP="00D24CEF">
      <w:pPr>
        <w:pStyle w:val="ListBullet"/>
        <w:numPr>
          <w:ilvl w:val="0"/>
          <w:numId w:val="97"/>
        </w:numPr>
        <w:jc w:val="left"/>
        <w:rPr>
          <w:rFonts w:cs="Arial"/>
          <w:sz w:val="20"/>
          <w:szCs w:val="20"/>
        </w:rPr>
      </w:pPr>
      <w:r w:rsidRPr="0068236B">
        <w:rPr>
          <w:rFonts w:cs="Arial"/>
          <w:sz w:val="20"/>
          <w:szCs w:val="20"/>
        </w:rPr>
        <w:t xml:space="preserve">Law on Expropriation (Official Gazette of </w:t>
      </w:r>
      <w:r w:rsidRPr="0068236B">
        <w:rPr>
          <w:rFonts w:cs="Tahoma"/>
          <w:sz w:val="20"/>
          <w:szCs w:val="20"/>
        </w:rPr>
        <w:t>RM no. 95/12 and its amendments</w:t>
      </w:r>
      <w:r w:rsidRPr="0068236B">
        <w:rPr>
          <w:rFonts w:cs="Arial"/>
          <w:sz w:val="20"/>
          <w:szCs w:val="20"/>
        </w:rPr>
        <w:t xml:space="preserve">). </w:t>
      </w:r>
      <w:r w:rsidRPr="0068236B">
        <w:rPr>
          <w:rFonts w:cs="Tahoma"/>
          <w:sz w:val="20"/>
          <w:szCs w:val="20"/>
        </w:rPr>
        <w:t>This law regulates the procedure for expropriation of property for projects that are of public interest and the co</w:t>
      </w:r>
      <w:r w:rsidRPr="0068236B">
        <w:rPr>
          <w:rFonts w:cs="Tahoma"/>
          <w:sz w:val="20"/>
          <w:szCs w:val="20"/>
        </w:rPr>
        <w:t>n</w:t>
      </w:r>
      <w:r w:rsidRPr="0068236B">
        <w:rPr>
          <w:rFonts w:cs="Tahoma"/>
          <w:sz w:val="20"/>
          <w:szCs w:val="20"/>
        </w:rPr>
        <w:t>nected rights for real estates (immovable properties).</w:t>
      </w:r>
    </w:p>
    <w:p w14:paraId="5872A202" w14:textId="5E173BD5" w:rsidR="00341342" w:rsidRPr="0068236B" w:rsidRDefault="00341342" w:rsidP="00341342">
      <w:pPr>
        <w:pStyle w:val="ListBullet"/>
        <w:numPr>
          <w:ilvl w:val="0"/>
          <w:numId w:val="0"/>
        </w:numPr>
        <w:ind w:left="1134" w:firstLine="306"/>
        <w:jc w:val="left"/>
        <w:rPr>
          <w:sz w:val="20"/>
          <w:szCs w:val="20"/>
          <w:u w:val="single"/>
        </w:rPr>
      </w:pPr>
      <w:r w:rsidRPr="0068236B">
        <w:rPr>
          <w:rFonts w:cs="Tahoma"/>
          <w:sz w:val="20"/>
          <w:szCs w:val="20"/>
          <w:u w:val="single"/>
        </w:rPr>
        <w:t>Cultural Heritage</w:t>
      </w:r>
    </w:p>
    <w:p w14:paraId="67CEFEE0" w14:textId="7042DA70" w:rsidR="00341342" w:rsidRPr="0068236B" w:rsidRDefault="00341342" w:rsidP="00D24CEF">
      <w:pPr>
        <w:pStyle w:val="ListBullet"/>
        <w:numPr>
          <w:ilvl w:val="0"/>
          <w:numId w:val="97"/>
        </w:numPr>
        <w:jc w:val="left"/>
        <w:rPr>
          <w:sz w:val="20"/>
          <w:szCs w:val="20"/>
        </w:rPr>
      </w:pPr>
      <w:r w:rsidRPr="0068236B">
        <w:rPr>
          <w:rFonts w:cs="Tahoma"/>
          <w:sz w:val="20"/>
          <w:szCs w:val="20"/>
        </w:rPr>
        <w:t>Law on Protection of Cultural Heritage (</w:t>
      </w:r>
      <w:r w:rsidR="00BE1C21" w:rsidRPr="0068236B">
        <w:rPr>
          <w:rFonts w:cs="Arial"/>
          <w:sz w:val="20"/>
          <w:szCs w:val="20"/>
        </w:rPr>
        <w:t>Official Gazette of RM</w:t>
      </w:r>
      <w:r w:rsidR="00BE1C21" w:rsidRPr="0068236B">
        <w:rPr>
          <w:rFonts w:cs="Tahoma"/>
          <w:sz w:val="20"/>
          <w:szCs w:val="20"/>
        </w:rPr>
        <w:t xml:space="preserve"> </w:t>
      </w:r>
      <w:r w:rsidRPr="0068236B">
        <w:rPr>
          <w:rFonts w:cs="Tahoma"/>
          <w:sz w:val="20"/>
          <w:szCs w:val="20"/>
        </w:rPr>
        <w:t xml:space="preserve">no. 20/04 and its amendments). </w:t>
      </w:r>
      <w:r w:rsidRPr="0068236B">
        <w:rPr>
          <w:rFonts w:eastAsiaTheme="minorHAnsi" w:cs="Tahoma"/>
          <w:sz w:val="20"/>
          <w:szCs w:val="20"/>
          <w:lang w:eastAsia="en-US"/>
        </w:rPr>
        <w:t>This law specifies the types, categories, identification, manners of settling under protection and other instruments of the cultural heritage protection, the regime of protection and use of cu</w:t>
      </w:r>
      <w:r w:rsidRPr="0068236B">
        <w:rPr>
          <w:rFonts w:eastAsiaTheme="minorHAnsi" w:cs="Tahoma"/>
          <w:sz w:val="20"/>
          <w:szCs w:val="20"/>
          <w:lang w:eastAsia="en-US"/>
        </w:rPr>
        <w:t>l</w:t>
      </w:r>
      <w:r w:rsidRPr="0068236B">
        <w:rPr>
          <w:rFonts w:eastAsiaTheme="minorHAnsi" w:cs="Tahoma"/>
          <w:sz w:val="20"/>
          <w:szCs w:val="20"/>
          <w:lang w:eastAsia="en-US"/>
        </w:rPr>
        <w:t>tural heritage, rights and obligations of holders and limitations of the property right on the cu</w:t>
      </w:r>
      <w:r w:rsidRPr="0068236B">
        <w:rPr>
          <w:rFonts w:eastAsiaTheme="minorHAnsi" w:cs="Tahoma"/>
          <w:sz w:val="20"/>
          <w:szCs w:val="20"/>
          <w:lang w:eastAsia="en-US"/>
        </w:rPr>
        <w:t>l</w:t>
      </w:r>
      <w:r w:rsidRPr="0068236B">
        <w:rPr>
          <w:rFonts w:eastAsiaTheme="minorHAnsi" w:cs="Tahoma"/>
          <w:sz w:val="20"/>
          <w:szCs w:val="20"/>
          <w:lang w:eastAsia="en-US"/>
        </w:rPr>
        <w:t>tural heritage of public interest, the organisation, coordination and supervision, professional t</w:t>
      </w:r>
      <w:r w:rsidRPr="0068236B">
        <w:rPr>
          <w:rFonts w:eastAsiaTheme="minorHAnsi" w:cs="Tahoma"/>
          <w:sz w:val="20"/>
          <w:szCs w:val="20"/>
          <w:lang w:eastAsia="en-US"/>
        </w:rPr>
        <w:t>i</w:t>
      </w:r>
      <w:r w:rsidRPr="0068236B">
        <w:rPr>
          <w:rFonts w:eastAsiaTheme="minorHAnsi" w:cs="Tahoma"/>
          <w:sz w:val="20"/>
          <w:szCs w:val="20"/>
          <w:lang w:eastAsia="en-US"/>
        </w:rPr>
        <w:t>tles and other issues significant for the unity and the functioning of the cultural heritage prote</w:t>
      </w:r>
      <w:r w:rsidRPr="0068236B">
        <w:rPr>
          <w:rFonts w:eastAsiaTheme="minorHAnsi" w:cs="Tahoma"/>
          <w:sz w:val="20"/>
          <w:szCs w:val="20"/>
          <w:lang w:eastAsia="en-US"/>
        </w:rPr>
        <w:t>c</w:t>
      </w:r>
      <w:r w:rsidRPr="0068236B">
        <w:rPr>
          <w:rFonts w:eastAsiaTheme="minorHAnsi" w:cs="Tahoma"/>
          <w:sz w:val="20"/>
          <w:szCs w:val="20"/>
          <w:lang w:eastAsia="en-US"/>
        </w:rPr>
        <w:t>tion system in</w:t>
      </w:r>
      <w:r w:rsidR="00562E86" w:rsidRPr="0068236B">
        <w:rPr>
          <w:rFonts w:eastAsiaTheme="minorHAnsi" w:cs="Tahoma"/>
          <w:sz w:val="20"/>
          <w:szCs w:val="20"/>
          <w:lang w:eastAsia="en-US"/>
        </w:rPr>
        <w:t xml:space="preserve"> </w:t>
      </w:r>
      <w:r w:rsidRPr="0068236B">
        <w:rPr>
          <w:rFonts w:eastAsiaTheme="minorHAnsi" w:cs="Tahoma"/>
          <w:sz w:val="20"/>
          <w:szCs w:val="20"/>
          <w:lang w:eastAsia="en-US"/>
        </w:rPr>
        <w:t>Macedonia.</w:t>
      </w:r>
    </w:p>
    <w:p w14:paraId="71CCB222" w14:textId="54DAC09B" w:rsidR="00341342" w:rsidRPr="0068236B" w:rsidRDefault="00341342" w:rsidP="00341342">
      <w:pPr>
        <w:pStyle w:val="ListBullet"/>
        <w:numPr>
          <w:ilvl w:val="0"/>
          <w:numId w:val="0"/>
        </w:numPr>
        <w:ind w:left="981" w:firstLine="459"/>
        <w:jc w:val="left"/>
        <w:rPr>
          <w:sz w:val="20"/>
          <w:szCs w:val="20"/>
          <w:u w:val="single"/>
        </w:rPr>
      </w:pPr>
      <w:r w:rsidRPr="0068236B">
        <w:rPr>
          <w:rFonts w:cs="Tahoma"/>
          <w:sz w:val="20"/>
          <w:szCs w:val="20"/>
          <w:u w:val="single"/>
        </w:rPr>
        <w:t>Stakeholder Engagement</w:t>
      </w:r>
    </w:p>
    <w:p w14:paraId="0C89D5E7" w14:textId="46D8EF73" w:rsidR="005B1F2F" w:rsidRPr="0068236B" w:rsidRDefault="005B1F2F" w:rsidP="00D24CEF">
      <w:pPr>
        <w:pStyle w:val="ListBullet"/>
        <w:numPr>
          <w:ilvl w:val="0"/>
          <w:numId w:val="97"/>
        </w:numPr>
        <w:jc w:val="left"/>
        <w:rPr>
          <w:sz w:val="20"/>
          <w:szCs w:val="20"/>
        </w:rPr>
      </w:pPr>
      <w:r w:rsidRPr="0068236B">
        <w:rPr>
          <w:rFonts w:cs="Tahoma"/>
          <w:sz w:val="20"/>
          <w:szCs w:val="20"/>
        </w:rPr>
        <w:t>Package of legislation for public disclosure and consultation activities</w:t>
      </w:r>
      <w:r w:rsidRPr="0068236B">
        <w:rPr>
          <w:sz w:val="20"/>
        </w:rPr>
        <w:t xml:space="preserve">. </w:t>
      </w:r>
      <w:r w:rsidRPr="0068236B">
        <w:rPr>
          <w:rFonts w:cs="Tahoma"/>
          <w:sz w:val="20"/>
          <w:szCs w:val="20"/>
        </w:rPr>
        <w:t>Public disclosure and co</w:t>
      </w:r>
      <w:r w:rsidRPr="0068236B">
        <w:rPr>
          <w:rFonts w:cs="Tahoma"/>
          <w:sz w:val="20"/>
          <w:szCs w:val="20"/>
        </w:rPr>
        <w:t>n</w:t>
      </w:r>
      <w:r w:rsidRPr="0068236B">
        <w:rPr>
          <w:rFonts w:cs="Tahoma"/>
          <w:sz w:val="20"/>
          <w:szCs w:val="20"/>
        </w:rPr>
        <w:t>sultation activities are mandatory organized in connection to the preparation of project doc</w:t>
      </w:r>
      <w:r w:rsidRPr="0068236B">
        <w:rPr>
          <w:rFonts w:cs="Tahoma"/>
          <w:sz w:val="20"/>
          <w:szCs w:val="20"/>
        </w:rPr>
        <w:t>u</w:t>
      </w:r>
      <w:r w:rsidRPr="0068236B">
        <w:rPr>
          <w:rFonts w:cs="Tahoma"/>
          <w:sz w:val="20"/>
          <w:szCs w:val="20"/>
        </w:rPr>
        <w:t>mentation and related strategic and other studies, under the following laws:</w:t>
      </w:r>
    </w:p>
    <w:p w14:paraId="1EDFA9B4" w14:textId="3487DD25" w:rsidR="005B1F2F" w:rsidRPr="0068236B" w:rsidRDefault="005B1F2F" w:rsidP="00D24CEF">
      <w:pPr>
        <w:pStyle w:val="ListBullet2"/>
        <w:numPr>
          <w:ilvl w:val="1"/>
          <w:numId w:val="97"/>
        </w:numPr>
        <w:rPr>
          <w:sz w:val="20"/>
          <w:szCs w:val="20"/>
        </w:rPr>
      </w:pPr>
      <w:r w:rsidRPr="0068236B">
        <w:rPr>
          <w:sz w:val="20"/>
          <w:szCs w:val="20"/>
        </w:rPr>
        <w:t>Law on Urban and Spatial Planning (</w:t>
      </w:r>
      <w:r w:rsidRPr="0068236B">
        <w:rPr>
          <w:rFonts w:cs="Arial"/>
          <w:sz w:val="20"/>
          <w:szCs w:val="20"/>
        </w:rPr>
        <w:t>Official Gazette of RM</w:t>
      </w:r>
      <w:r w:rsidRPr="0068236B">
        <w:rPr>
          <w:sz w:val="20"/>
          <w:szCs w:val="20"/>
        </w:rPr>
        <w:t xml:space="preserve"> no. 51/05 and its amendments)</w:t>
      </w:r>
    </w:p>
    <w:p w14:paraId="057E2D5E" w14:textId="63EF85A8" w:rsidR="005B1F2F" w:rsidRPr="0068236B" w:rsidRDefault="005B1F2F" w:rsidP="00D24CEF">
      <w:pPr>
        <w:pStyle w:val="ListBullet2"/>
        <w:numPr>
          <w:ilvl w:val="1"/>
          <w:numId w:val="97"/>
        </w:numPr>
        <w:rPr>
          <w:b/>
          <w:sz w:val="20"/>
          <w:szCs w:val="20"/>
        </w:rPr>
      </w:pPr>
      <w:r w:rsidRPr="0068236B">
        <w:rPr>
          <w:sz w:val="20"/>
          <w:szCs w:val="20"/>
        </w:rPr>
        <w:t>Law on the Environment (</w:t>
      </w:r>
      <w:r w:rsidRPr="0068236B">
        <w:rPr>
          <w:rFonts w:cs="Arial"/>
          <w:sz w:val="20"/>
          <w:szCs w:val="20"/>
        </w:rPr>
        <w:t>Official Gazette of RM</w:t>
      </w:r>
      <w:r w:rsidRPr="0068236B">
        <w:rPr>
          <w:sz w:val="20"/>
          <w:szCs w:val="20"/>
        </w:rPr>
        <w:t xml:space="preserve"> no. 53/05 and its amendments)</w:t>
      </w:r>
    </w:p>
    <w:p w14:paraId="549F33DB" w14:textId="431F6B83" w:rsidR="005B1F2F" w:rsidRPr="0068236B" w:rsidRDefault="005B1F2F" w:rsidP="00D24CEF">
      <w:pPr>
        <w:pStyle w:val="ListBullet2"/>
        <w:numPr>
          <w:ilvl w:val="1"/>
          <w:numId w:val="97"/>
        </w:numPr>
        <w:rPr>
          <w:b/>
          <w:sz w:val="20"/>
          <w:szCs w:val="20"/>
        </w:rPr>
      </w:pPr>
      <w:r w:rsidRPr="0068236B">
        <w:rPr>
          <w:sz w:val="20"/>
          <w:szCs w:val="20"/>
        </w:rPr>
        <w:lastRenderedPageBreak/>
        <w:t>Law on Construction (</w:t>
      </w:r>
      <w:r w:rsidRPr="0068236B">
        <w:rPr>
          <w:rFonts w:cs="Arial"/>
          <w:sz w:val="20"/>
          <w:szCs w:val="20"/>
        </w:rPr>
        <w:t>Official Gazette of RM</w:t>
      </w:r>
      <w:r w:rsidRPr="0068236B">
        <w:rPr>
          <w:sz w:val="20"/>
          <w:szCs w:val="20"/>
        </w:rPr>
        <w:t xml:space="preserve"> </w:t>
      </w:r>
      <w:r w:rsidR="00341342" w:rsidRPr="0068236B">
        <w:rPr>
          <w:sz w:val="20"/>
          <w:szCs w:val="20"/>
        </w:rPr>
        <w:t xml:space="preserve">no. </w:t>
      </w:r>
      <w:r w:rsidRPr="0068236B">
        <w:rPr>
          <w:sz w:val="20"/>
          <w:szCs w:val="20"/>
        </w:rPr>
        <w:t>130/09 and its amendments)</w:t>
      </w:r>
    </w:p>
    <w:p w14:paraId="7A95480C" w14:textId="276C4706" w:rsidR="005B1F2F" w:rsidRPr="0068236B" w:rsidRDefault="005B1F2F" w:rsidP="00D24CEF">
      <w:pPr>
        <w:pStyle w:val="ListBullet2"/>
        <w:numPr>
          <w:ilvl w:val="1"/>
          <w:numId w:val="97"/>
        </w:numPr>
        <w:rPr>
          <w:sz w:val="20"/>
          <w:szCs w:val="20"/>
        </w:rPr>
      </w:pPr>
      <w:r w:rsidRPr="0068236B">
        <w:rPr>
          <w:sz w:val="20"/>
          <w:szCs w:val="20"/>
        </w:rPr>
        <w:t>Law on Expropriation (</w:t>
      </w:r>
      <w:r w:rsidRPr="0068236B">
        <w:rPr>
          <w:rFonts w:cs="Arial"/>
          <w:sz w:val="20"/>
          <w:szCs w:val="20"/>
        </w:rPr>
        <w:t>Official Gazette of RM</w:t>
      </w:r>
      <w:r w:rsidRPr="0068236B">
        <w:rPr>
          <w:sz w:val="20"/>
          <w:szCs w:val="20"/>
        </w:rPr>
        <w:t xml:space="preserve"> no. 95/12 and its amendments)</w:t>
      </w:r>
    </w:p>
    <w:p w14:paraId="4BF9FF5A" w14:textId="3CE3672A" w:rsidR="005B1F2F" w:rsidRPr="0068236B" w:rsidRDefault="005B1F2F" w:rsidP="00D24CEF">
      <w:pPr>
        <w:pStyle w:val="ListBullet2"/>
        <w:numPr>
          <w:ilvl w:val="1"/>
          <w:numId w:val="97"/>
        </w:numPr>
        <w:rPr>
          <w:sz w:val="20"/>
          <w:szCs w:val="20"/>
        </w:rPr>
      </w:pPr>
      <w:r w:rsidRPr="0068236B">
        <w:rPr>
          <w:sz w:val="20"/>
          <w:szCs w:val="20"/>
        </w:rPr>
        <w:t>Law on Access to Public Information (</w:t>
      </w:r>
      <w:r w:rsidRPr="0068236B">
        <w:rPr>
          <w:rFonts w:cs="Arial"/>
          <w:sz w:val="20"/>
          <w:szCs w:val="20"/>
        </w:rPr>
        <w:t>Official Gazette of RM</w:t>
      </w:r>
      <w:r w:rsidRPr="0068236B">
        <w:rPr>
          <w:sz w:val="20"/>
          <w:szCs w:val="20"/>
        </w:rPr>
        <w:t xml:space="preserve"> no. 13/06 and its amen</w:t>
      </w:r>
      <w:r w:rsidRPr="0068236B">
        <w:rPr>
          <w:sz w:val="20"/>
          <w:szCs w:val="20"/>
        </w:rPr>
        <w:t>d</w:t>
      </w:r>
      <w:r w:rsidRPr="0068236B">
        <w:rPr>
          <w:sz w:val="20"/>
          <w:szCs w:val="20"/>
        </w:rPr>
        <w:t>ments)</w:t>
      </w:r>
    </w:p>
    <w:p w14:paraId="7C8F2566" w14:textId="6634F27C" w:rsidR="00D670E7" w:rsidRPr="0068236B" w:rsidRDefault="005B1F2F" w:rsidP="00D24CEF">
      <w:pPr>
        <w:pStyle w:val="ListBullet2"/>
        <w:numPr>
          <w:ilvl w:val="1"/>
          <w:numId w:val="97"/>
        </w:numPr>
        <w:rPr>
          <w:sz w:val="20"/>
        </w:rPr>
      </w:pPr>
      <w:r w:rsidRPr="0068236B">
        <w:rPr>
          <w:sz w:val="20"/>
          <w:szCs w:val="20"/>
        </w:rPr>
        <w:t>Law on Acting upon Complaints and Proposals (</w:t>
      </w:r>
      <w:r w:rsidRPr="0068236B">
        <w:rPr>
          <w:rFonts w:cs="Arial"/>
          <w:sz w:val="20"/>
          <w:szCs w:val="20"/>
        </w:rPr>
        <w:t>Official Gazette of RM</w:t>
      </w:r>
      <w:r w:rsidRPr="0068236B">
        <w:rPr>
          <w:sz w:val="20"/>
          <w:szCs w:val="20"/>
        </w:rPr>
        <w:t xml:space="preserve"> no. 82/08 and its amendments).</w:t>
      </w:r>
    </w:p>
    <w:p w14:paraId="71F50CED" w14:textId="332C912E" w:rsidR="00860376" w:rsidRPr="0068236B" w:rsidRDefault="00860376" w:rsidP="00860376">
      <w:pPr>
        <w:pStyle w:val="Heading2"/>
        <w:spacing w:before="480" w:after="240"/>
        <w:ind w:left="576" w:hanging="576"/>
        <w:rPr>
          <w:szCs w:val="28"/>
        </w:rPr>
      </w:pPr>
      <w:bookmarkStart w:id="142" w:name="_Toc112852223"/>
      <w:r w:rsidRPr="0068236B">
        <w:rPr>
          <w:szCs w:val="28"/>
        </w:rPr>
        <w:t>International Requirements</w:t>
      </w:r>
      <w:bookmarkEnd w:id="142"/>
    </w:p>
    <w:p w14:paraId="2B32A5AE" w14:textId="62BEAE3E" w:rsidR="00860376" w:rsidRPr="0068236B" w:rsidRDefault="00860376" w:rsidP="00860376">
      <w:pPr>
        <w:pStyle w:val="Heading3"/>
        <w:tabs>
          <w:tab w:val="left" w:pos="1134"/>
        </w:tabs>
        <w:ind w:left="720" w:hanging="720"/>
      </w:pPr>
      <w:bookmarkStart w:id="143" w:name="_Toc66656141"/>
      <w:bookmarkStart w:id="144" w:name="_Toc112852224"/>
      <w:r w:rsidRPr="0068236B">
        <w:t>European Bank for Reconstruction and Development</w:t>
      </w:r>
      <w:bookmarkEnd w:id="143"/>
      <w:bookmarkEnd w:id="144"/>
    </w:p>
    <w:p w14:paraId="289F2E47" w14:textId="4CE7CC82" w:rsidR="00860376" w:rsidRPr="0068236B" w:rsidRDefault="00860376" w:rsidP="00860376">
      <w:pPr>
        <w:rPr>
          <w:sz w:val="20"/>
          <w:szCs w:val="20"/>
        </w:rPr>
      </w:pPr>
      <w:r w:rsidRPr="0068236B">
        <w:rPr>
          <w:sz w:val="20"/>
          <w:szCs w:val="20"/>
        </w:rPr>
        <w:t>In the current stage of Project development (feasibility study and Conceptual Design), this Project is being assessed against the requirements of the EBRD Environmental and Social Policy (2019). This policy sets out a series of Performance Requirements (PRs) (Table below) which provides clear guidance on the expect</w:t>
      </w:r>
      <w:r w:rsidRPr="0068236B">
        <w:rPr>
          <w:sz w:val="20"/>
          <w:szCs w:val="20"/>
        </w:rPr>
        <w:t>a</w:t>
      </w:r>
      <w:r w:rsidRPr="0068236B">
        <w:rPr>
          <w:sz w:val="20"/>
          <w:szCs w:val="20"/>
        </w:rPr>
        <w:t>tions of the EBRD in terms of project scope, assessment and environmental and social performance expect</w:t>
      </w:r>
      <w:r w:rsidRPr="0068236B">
        <w:rPr>
          <w:sz w:val="20"/>
          <w:szCs w:val="20"/>
        </w:rPr>
        <w:t>a</w:t>
      </w:r>
      <w:r w:rsidRPr="0068236B">
        <w:rPr>
          <w:sz w:val="20"/>
          <w:szCs w:val="20"/>
        </w:rPr>
        <w:t>tions.</w:t>
      </w:r>
    </w:p>
    <w:tbl>
      <w:tblPr>
        <w:tblStyle w:val="TableGrid"/>
        <w:tblW w:w="0" w:type="auto"/>
        <w:tblLook w:val="04A0" w:firstRow="1" w:lastRow="0" w:firstColumn="1" w:lastColumn="0" w:noHBand="0" w:noVBand="1"/>
      </w:tblPr>
      <w:tblGrid>
        <w:gridCol w:w="9747"/>
      </w:tblGrid>
      <w:tr w:rsidR="00860376" w:rsidRPr="0068236B" w14:paraId="26A353C6" w14:textId="77777777" w:rsidTr="00815DC2">
        <w:trPr>
          <w:tblHeader/>
        </w:trPr>
        <w:tc>
          <w:tcPr>
            <w:tcW w:w="9747" w:type="dxa"/>
            <w:shd w:val="clear" w:color="auto" w:fill="44697D"/>
          </w:tcPr>
          <w:p w14:paraId="7DBF155C" w14:textId="77777777" w:rsidR="00860376" w:rsidRPr="0068236B" w:rsidRDefault="00860376" w:rsidP="00D32910">
            <w:pPr>
              <w:pStyle w:val="TableHeading"/>
              <w:spacing w:before="0" w:after="0" w:line="240" w:lineRule="auto"/>
              <w:jc w:val="left"/>
              <w:rPr>
                <w:rFonts w:ascii="Tahoma" w:hAnsi="Tahoma" w:cs="Tahoma"/>
                <w:sz w:val="18"/>
                <w:szCs w:val="18"/>
              </w:rPr>
            </w:pPr>
            <w:r w:rsidRPr="0068236B">
              <w:rPr>
                <w:rFonts w:ascii="Tahoma" w:hAnsi="Tahoma" w:cs="Tahoma"/>
                <w:sz w:val="18"/>
                <w:szCs w:val="18"/>
              </w:rPr>
              <w:t>Performance Requirement</w:t>
            </w:r>
          </w:p>
        </w:tc>
      </w:tr>
      <w:tr w:rsidR="00860376" w:rsidRPr="0068236B" w14:paraId="1D573BD9" w14:textId="77777777" w:rsidTr="00815DC2">
        <w:tc>
          <w:tcPr>
            <w:tcW w:w="9747" w:type="dxa"/>
          </w:tcPr>
          <w:p w14:paraId="62D1953D" w14:textId="0AA83ED0" w:rsidR="00860376" w:rsidRPr="0068236B" w:rsidRDefault="00860376" w:rsidP="003B553E">
            <w:pPr>
              <w:spacing w:before="0" w:after="0" w:line="240" w:lineRule="auto"/>
              <w:jc w:val="left"/>
              <w:rPr>
                <w:rFonts w:cs="Tahoma"/>
                <w:sz w:val="18"/>
                <w:szCs w:val="18"/>
              </w:rPr>
            </w:pPr>
            <w:r w:rsidRPr="0068236B">
              <w:rPr>
                <w:rFonts w:cs="Tahoma"/>
                <w:sz w:val="18"/>
                <w:szCs w:val="18"/>
              </w:rPr>
              <w:t>PR 1: Assessment and Management of Environmental and Social</w:t>
            </w:r>
            <w:r w:rsidR="003B553E" w:rsidRPr="0068236B">
              <w:rPr>
                <w:rFonts w:cs="Tahoma"/>
                <w:sz w:val="18"/>
                <w:szCs w:val="18"/>
              </w:rPr>
              <w:t xml:space="preserve"> Risks and</w:t>
            </w:r>
            <w:r w:rsidRPr="0068236B">
              <w:rPr>
                <w:rFonts w:cs="Tahoma"/>
                <w:sz w:val="18"/>
                <w:szCs w:val="18"/>
              </w:rPr>
              <w:t xml:space="preserve"> Impacts – outlines the responsibilities of the client in the process of assessing the potential environmental and social impacts and issues associated with the Project, and developing and implementing procedures for managing and monitoring these impacts and issues.</w:t>
            </w:r>
            <w:r w:rsidR="00562E86" w:rsidRPr="0068236B">
              <w:rPr>
                <w:rFonts w:cs="Tahoma"/>
                <w:sz w:val="18"/>
                <w:szCs w:val="18"/>
              </w:rPr>
              <w:t xml:space="preserve"> </w:t>
            </w:r>
            <w:r w:rsidRPr="0068236B">
              <w:rPr>
                <w:rFonts w:cs="Tahoma"/>
                <w:sz w:val="18"/>
                <w:szCs w:val="18"/>
              </w:rPr>
              <w:t>This PR notes the key role of engagement with the Project stakeholders.</w:t>
            </w:r>
          </w:p>
        </w:tc>
      </w:tr>
      <w:tr w:rsidR="00860376" w:rsidRPr="0068236B" w14:paraId="2A0423C8" w14:textId="77777777" w:rsidTr="00815DC2">
        <w:tc>
          <w:tcPr>
            <w:tcW w:w="9747" w:type="dxa"/>
          </w:tcPr>
          <w:p w14:paraId="369FC2E2" w14:textId="77777777" w:rsidR="00860376" w:rsidRPr="0068236B" w:rsidRDefault="00860376" w:rsidP="00D32910">
            <w:pPr>
              <w:spacing w:before="0" w:after="0" w:line="240" w:lineRule="auto"/>
              <w:jc w:val="left"/>
              <w:rPr>
                <w:rFonts w:cs="Tahoma"/>
                <w:sz w:val="18"/>
                <w:szCs w:val="18"/>
              </w:rPr>
            </w:pPr>
            <w:r w:rsidRPr="0068236B">
              <w:rPr>
                <w:rFonts w:cs="Tahoma"/>
                <w:sz w:val="18"/>
                <w:szCs w:val="18"/>
              </w:rPr>
              <w:t xml:space="preserve">PR 2: Labour and Working Conditions – recognises that good human resources management and a sound worker-management relationship based on respect for workers’ rights, including freedom of association and right to collective bargaining, are key to the sustainability of business activities. </w:t>
            </w:r>
          </w:p>
        </w:tc>
      </w:tr>
      <w:tr w:rsidR="00860376" w:rsidRPr="0068236B" w14:paraId="79D182C2" w14:textId="77777777" w:rsidTr="00815DC2">
        <w:tc>
          <w:tcPr>
            <w:tcW w:w="9747" w:type="dxa"/>
          </w:tcPr>
          <w:p w14:paraId="7BDD74A9" w14:textId="557FA18F" w:rsidR="00860376" w:rsidRPr="0068236B" w:rsidRDefault="00860376" w:rsidP="00D32910">
            <w:pPr>
              <w:spacing w:before="0" w:after="0" w:line="240" w:lineRule="auto"/>
              <w:jc w:val="left"/>
              <w:rPr>
                <w:rFonts w:cs="Tahoma"/>
                <w:sz w:val="18"/>
                <w:szCs w:val="18"/>
              </w:rPr>
            </w:pPr>
            <w:r w:rsidRPr="0068236B">
              <w:rPr>
                <w:rFonts w:cs="Tahoma"/>
                <w:sz w:val="18"/>
                <w:szCs w:val="18"/>
              </w:rPr>
              <w:t>PR 3: Resource Efficiency and Pollution Prevention and Control – recognises that these are essential elements of env</w:t>
            </w:r>
            <w:r w:rsidRPr="0068236B">
              <w:rPr>
                <w:rFonts w:cs="Tahoma"/>
                <w:sz w:val="18"/>
                <w:szCs w:val="18"/>
              </w:rPr>
              <w:t>i</w:t>
            </w:r>
            <w:r w:rsidRPr="0068236B">
              <w:rPr>
                <w:rFonts w:cs="Tahoma"/>
                <w:sz w:val="18"/>
                <w:szCs w:val="18"/>
              </w:rPr>
              <w:t>ronmental and social sustainability and projects must meet good international practice (GIP) and use best available techniques.</w:t>
            </w:r>
            <w:r w:rsidR="00562E86" w:rsidRPr="0068236B">
              <w:rPr>
                <w:rFonts w:cs="Tahoma"/>
                <w:sz w:val="18"/>
                <w:szCs w:val="18"/>
              </w:rPr>
              <w:t xml:space="preserve"> </w:t>
            </w:r>
            <w:r w:rsidRPr="0068236B">
              <w:rPr>
                <w:rFonts w:cs="Tahoma"/>
                <w:sz w:val="18"/>
                <w:szCs w:val="18"/>
              </w:rPr>
              <w:t xml:space="preserve">Projects must implement the mitigation </w:t>
            </w:r>
            <w:r w:rsidR="005E6643" w:rsidRPr="0068236B">
              <w:rPr>
                <w:rFonts w:cs="Tahoma"/>
                <w:sz w:val="18"/>
                <w:szCs w:val="18"/>
              </w:rPr>
              <w:t>hierarchy;</w:t>
            </w:r>
            <w:r w:rsidRPr="0068236B">
              <w:rPr>
                <w:rFonts w:cs="Tahoma"/>
                <w:sz w:val="18"/>
                <w:szCs w:val="18"/>
              </w:rPr>
              <w:t xml:space="preserve"> rectify environmental damage at its source, and the “polluter pays” principle. The project-related impacts and issues associated with resource use, and the generation of waste and emissions need to be assessed in the context of project location and local environmental conditions.</w:t>
            </w:r>
          </w:p>
        </w:tc>
      </w:tr>
      <w:tr w:rsidR="00860376" w:rsidRPr="0068236B" w14:paraId="07BA0ACA" w14:textId="77777777" w:rsidTr="00815DC2">
        <w:tc>
          <w:tcPr>
            <w:tcW w:w="9747" w:type="dxa"/>
          </w:tcPr>
          <w:p w14:paraId="759246FB" w14:textId="737E55E6" w:rsidR="00860376" w:rsidRPr="0068236B" w:rsidRDefault="00860376" w:rsidP="003B553E">
            <w:pPr>
              <w:spacing w:before="0" w:after="0" w:line="240" w:lineRule="auto"/>
              <w:jc w:val="left"/>
              <w:rPr>
                <w:rFonts w:cs="Tahoma"/>
                <w:sz w:val="18"/>
                <w:szCs w:val="18"/>
              </w:rPr>
            </w:pPr>
            <w:r w:rsidRPr="0068236B">
              <w:rPr>
                <w:rFonts w:cs="Tahoma"/>
                <w:sz w:val="18"/>
                <w:szCs w:val="18"/>
              </w:rPr>
              <w:t>PR 4: Health</w:t>
            </w:r>
            <w:r w:rsidR="003B553E" w:rsidRPr="0068236B">
              <w:rPr>
                <w:rFonts w:cs="Tahoma"/>
                <w:sz w:val="18"/>
                <w:szCs w:val="18"/>
              </w:rPr>
              <w:t>,</w:t>
            </w:r>
            <w:r w:rsidRPr="0068236B">
              <w:rPr>
                <w:rFonts w:cs="Tahoma"/>
                <w:sz w:val="18"/>
                <w:szCs w:val="18"/>
              </w:rPr>
              <w:t xml:space="preserve"> Safety</w:t>
            </w:r>
            <w:r w:rsidR="003B553E" w:rsidRPr="0068236B">
              <w:rPr>
                <w:rFonts w:cs="Tahoma"/>
                <w:sz w:val="18"/>
                <w:szCs w:val="18"/>
              </w:rPr>
              <w:t xml:space="preserve"> and Security</w:t>
            </w:r>
            <w:r w:rsidRPr="0068236B">
              <w:rPr>
                <w:rFonts w:cs="Tahoma"/>
                <w:sz w:val="18"/>
                <w:szCs w:val="18"/>
              </w:rPr>
              <w:t xml:space="preserve"> – recognises the importance of avoiding or mitigating adverse health and safety i</w:t>
            </w:r>
            <w:r w:rsidRPr="0068236B">
              <w:rPr>
                <w:rFonts w:cs="Tahoma"/>
                <w:sz w:val="18"/>
                <w:szCs w:val="18"/>
              </w:rPr>
              <w:t>m</w:t>
            </w:r>
            <w:r w:rsidRPr="0068236B">
              <w:rPr>
                <w:rFonts w:cs="Tahoma"/>
                <w:sz w:val="18"/>
                <w:szCs w:val="18"/>
              </w:rPr>
              <w:t>pacts and issues associated with project activities on workers, project-affected communities and consumers.</w:t>
            </w:r>
          </w:p>
        </w:tc>
      </w:tr>
      <w:tr w:rsidR="00860376" w:rsidRPr="0068236B" w14:paraId="3CFC255A" w14:textId="77777777" w:rsidTr="00815DC2">
        <w:tc>
          <w:tcPr>
            <w:tcW w:w="9747" w:type="dxa"/>
          </w:tcPr>
          <w:p w14:paraId="073CA7C0" w14:textId="50B25C6E" w:rsidR="00860376" w:rsidRPr="0068236B" w:rsidRDefault="00860376" w:rsidP="003B553E">
            <w:pPr>
              <w:spacing w:before="0" w:after="0" w:line="240" w:lineRule="auto"/>
              <w:jc w:val="left"/>
              <w:rPr>
                <w:rFonts w:cs="Tahoma"/>
                <w:sz w:val="18"/>
                <w:szCs w:val="18"/>
              </w:rPr>
            </w:pPr>
            <w:r w:rsidRPr="0068236B">
              <w:rPr>
                <w:rFonts w:cs="Tahoma"/>
                <w:sz w:val="18"/>
                <w:szCs w:val="18"/>
              </w:rPr>
              <w:t xml:space="preserve">PR 5: Land Acquisition, </w:t>
            </w:r>
            <w:r w:rsidR="003B553E" w:rsidRPr="0068236B">
              <w:rPr>
                <w:rFonts w:cs="Tahoma"/>
                <w:sz w:val="18"/>
                <w:szCs w:val="18"/>
              </w:rPr>
              <w:t xml:space="preserve">Restrictions on Land Use and </w:t>
            </w:r>
            <w:r w:rsidRPr="0068236B">
              <w:rPr>
                <w:rFonts w:cs="Tahoma"/>
                <w:sz w:val="18"/>
                <w:szCs w:val="18"/>
              </w:rPr>
              <w:t>Involuntary Resettlement– recognises the long-term hardship and impoverishment for persons and communities affected by involuntary resettlement, as well as the environmental da</w:t>
            </w:r>
            <w:r w:rsidRPr="0068236B">
              <w:rPr>
                <w:rFonts w:cs="Tahoma"/>
                <w:sz w:val="18"/>
                <w:szCs w:val="18"/>
              </w:rPr>
              <w:t>m</w:t>
            </w:r>
            <w:r w:rsidRPr="0068236B">
              <w:rPr>
                <w:rFonts w:cs="Tahoma"/>
                <w:sz w:val="18"/>
                <w:szCs w:val="18"/>
              </w:rPr>
              <w:t>age, and adverse socio-economic impacts in areas to which they have been displaced. The PR requires that involuntary resettlement should be avoided. However, where it is unavoidable, resettlement should be minimised and appropriate measures to mitigate adverse impacts on displaced persons and host communities should be carefully planned and implemented.</w:t>
            </w:r>
          </w:p>
        </w:tc>
      </w:tr>
      <w:tr w:rsidR="00860376" w:rsidRPr="0068236B" w14:paraId="7DF204C5" w14:textId="77777777" w:rsidTr="00815DC2">
        <w:trPr>
          <w:cantSplit/>
        </w:trPr>
        <w:tc>
          <w:tcPr>
            <w:tcW w:w="9747" w:type="dxa"/>
          </w:tcPr>
          <w:p w14:paraId="3031B4CE" w14:textId="579EC1FA" w:rsidR="00860376" w:rsidRPr="0068236B" w:rsidRDefault="00860376" w:rsidP="00D32910">
            <w:pPr>
              <w:spacing w:before="0" w:after="0" w:line="240" w:lineRule="auto"/>
              <w:jc w:val="left"/>
              <w:rPr>
                <w:rFonts w:cs="Tahoma"/>
                <w:sz w:val="18"/>
                <w:szCs w:val="18"/>
              </w:rPr>
            </w:pPr>
            <w:r w:rsidRPr="0068236B">
              <w:rPr>
                <w:rFonts w:cs="Tahoma"/>
                <w:sz w:val="18"/>
                <w:szCs w:val="18"/>
              </w:rPr>
              <w:t>PR 6: Biodiversity Conservation and Sustainable Management of Living Natural Resources – recognises that the conse</w:t>
            </w:r>
            <w:r w:rsidRPr="0068236B">
              <w:rPr>
                <w:rFonts w:cs="Tahoma"/>
                <w:sz w:val="18"/>
                <w:szCs w:val="18"/>
              </w:rPr>
              <w:t>r</w:t>
            </w:r>
            <w:r w:rsidRPr="0068236B">
              <w:rPr>
                <w:rFonts w:cs="Tahoma"/>
                <w:sz w:val="18"/>
                <w:szCs w:val="18"/>
              </w:rPr>
              <w:t>vation of biodiversity and sustainable management of living natural resources are fundamental to environmental and social sustainability.</w:t>
            </w:r>
            <w:r w:rsidR="00562E86" w:rsidRPr="0068236B">
              <w:rPr>
                <w:rFonts w:cs="Tahoma"/>
                <w:sz w:val="18"/>
                <w:szCs w:val="18"/>
              </w:rPr>
              <w:t xml:space="preserve"> </w:t>
            </w:r>
            <w:r w:rsidRPr="0068236B">
              <w:rPr>
                <w:rFonts w:cs="Tahoma"/>
                <w:sz w:val="18"/>
                <w:szCs w:val="18"/>
              </w:rPr>
              <w:t>The objective of biodiversity conservation and sustainable management of living resources must be balanced with the potential for utilising the multiple economic, social and cultural values of biodiversity and living nat</w:t>
            </w:r>
            <w:r w:rsidRPr="0068236B">
              <w:rPr>
                <w:rFonts w:cs="Tahoma"/>
                <w:sz w:val="18"/>
                <w:szCs w:val="18"/>
              </w:rPr>
              <w:t>u</w:t>
            </w:r>
            <w:r w:rsidRPr="0068236B">
              <w:rPr>
                <w:rFonts w:cs="Tahoma"/>
                <w:sz w:val="18"/>
                <w:szCs w:val="18"/>
              </w:rPr>
              <w:t>ral resources in an optimised manner.</w:t>
            </w:r>
          </w:p>
        </w:tc>
      </w:tr>
      <w:tr w:rsidR="00860376" w:rsidRPr="0068236B" w14:paraId="546DD6A9" w14:textId="77777777" w:rsidTr="00815DC2">
        <w:tc>
          <w:tcPr>
            <w:tcW w:w="9747" w:type="dxa"/>
          </w:tcPr>
          <w:p w14:paraId="48ADF3C6" w14:textId="1DD1DBD8" w:rsidR="00860376" w:rsidRPr="0068236B" w:rsidRDefault="00860376" w:rsidP="005861E5">
            <w:pPr>
              <w:spacing w:before="0" w:after="0" w:line="240" w:lineRule="auto"/>
              <w:jc w:val="left"/>
              <w:rPr>
                <w:rFonts w:cs="Tahoma"/>
                <w:sz w:val="18"/>
                <w:szCs w:val="18"/>
              </w:rPr>
            </w:pPr>
            <w:r w:rsidRPr="0068236B">
              <w:rPr>
                <w:rFonts w:cs="Tahoma"/>
                <w:sz w:val="18"/>
                <w:szCs w:val="18"/>
              </w:rPr>
              <w:t>PR 7: Indigenous Peoples – recognises that the identities, cultures, lands and resources of Indigenous Peoples are uniquely intertwined and especially vulnerable to changes caused by some types of investments so that their la</w:t>
            </w:r>
            <w:r w:rsidRPr="0068236B">
              <w:rPr>
                <w:rFonts w:cs="Tahoma"/>
                <w:sz w:val="18"/>
                <w:szCs w:val="18"/>
              </w:rPr>
              <w:t>n</w:t>
            </w:r>
            <w:r w:rsidRPr="0068236B">
              <w:rPr>
                <w:rFonts w:cs="Tahoma"/>
                <w:sz w:val="18"/>
                <w:szCs w:val="18"/>
              </w:rPr>
              <w:t>guages, cultures, religions, spiritual beliefs and institutions may be threatened. These characteristics expose Indigenous Peoples to different types of risks and severity of impacts, including loss of identity, culture and natural resource-based livelihoods, as well as exposure to impoverishment and disease.</w:t>
            </w:r>
            <w:r w:rsidR="005861E5" w:rsidRPr="0068236B">
              <w:rPr>
                <w:rFonts w:cs="Tahoma"/>
                <w:sz w:val="18"/>
                <w:szCs w:val="18"/>
              </w:rPr>
              <w:t xml:space="preserve"> This PR is not applicable for the Project</w:t>
            </w:r>
          </w:p>
        </w:tc>
      </w:tr>
      <w:tr w:rsidR="00860376" w:rsidRPr="0068236B" w14:paraId="2C815E1E" w14:textId="77777777" w:rsidTr="00815DC2">
        <w:tc>
          <w:tcPr>
            <w:tcW w:w="9747" w:type="dxa"/>
          </w:tcPr>
          <w:p w14:paraId="14D0E22C" w14:textId="77777777" w:rsidR="00860376" w:rsidRPr="0068236B" w:rsidRDefault="00860376" w:rsidP="00D32910">
            <w:pPr>
              <w:spacing w:before="0" w:after="0" w:line="240" w:lineRule="auto"/>
              <w:jc w:val="left"/>
              <w:rPr>
                <w:rFonts w:cs="Tahoma"/>
                <w:sz w:val="18"/>
                <w:szCs w:val="18"/>
              </w:rPr>
            </w:pPr>
            <w:r w:rsidRPr="0068236B">
              <w:rPr>
                <w:rFonts w:cs="Tahoma"/>
                <w:sz w:val="18"/>
                <w:szCs w:val="18"/>
              </w:rPr>
              <w:t>PR 8: Cultural Heritage – recognises the importance of cultural heritage for present and future generations. The aim is to protect cultural heritage and to guide clients in avoiding or mitigating adverse impacts on cultural heritage in the course of their business operations. The clients are expected to be precautionary in their approach to the management and sustainable use of cultural heritage.</w:t>
            </w:r>
          </w:p>
        </w:tc>
      </w:tr>
      <w:tr w:rsidR="00860376" w:rsidRPr="0068236B" w14:paraId="196ACB3D" w14:textId="77777777" w:rsidTr="00815DC2">
        <w:tc>
          <w:tcPr>
            <w:tcW w:w="9747" w:type="dxa"/>
          </w:tcPr>
          <w:p w14:paraId="7A047E36" w14:textId="66CF54A8" w:rsidR="00860376" w:rsidRPr="0068236B" w:rsidRDefault="00860376" w:rsidP="005861E5">
            <w:pPr>
              <w:spacing w:before="0" w:after="0" w:line="240" w:lineRule="auto"/>
              <w:jc w:val="left"/>
              <w:rPr>
                <w:rFonts w:cs="Tahoma"/>
                <w:sz w:val="18"/>
                <w:szCs w:val="18"/>
              </w:rPr>
            </w:pPr>
            <w:r w:rsidRPr="0068236B">
              <w:rPr>
                <w:rFonts w:cs="Tahoma"/>
                <w:sz w:val="18"/>
                <w:szCs w:val="18"/>
              </w:rPr>
              <w:t>PR 9: Financial Intermediaries – recognises that FIs assume delegated responsibility for the environmental and social assessment, risk management and monitoring of the activities funded by them.</w:t>
            </w:r>
            <w:r w:rsidR="005861E5" w:rsidRPr="0068236B">
              <w:rPr>
                <w:rFonts w:cs="Tahoma"/>
                <w:sz w:val="18"/>
                <w:szCs w:val="18"/>
              </w:rPr>
              <w:t xml:space="preserve"> This PR is not applicable for the Pr</w:t>
            </w:r>
            <w:r w:rsidR="005861E5" w:rsidRPr="0068236B">
              <w:rPr>
                <w:rFonts w:cs="Tahoma"/>
                <w:sz w:val="18"/>
                <w:szCs w:val="18"/>
              </w:rPr>
              <w:t>o</w:t>
            </w:r>
            <w:r w:rsidR="005861E5" w:rsidRPr="0068236B">
              <w:rPr>
                <w:rFonts w:cs="Tahoma"/>
                <w:sz w:val="18"/>
                <w:szCs w:val="18"/>
              </w:rPr>
              <w:t>ject.</w:t>
            </w:r>
          </w:p>
        </w:tc>
      </w:tr>
      <w:tr w:rsidR="00860376" w:rsidRPr="0068236B" w14:paraId="75FB0BBD" w14:textId="77777777" w:rsidTr="00815DC2">
        <w:tc>
          <w:tcPr>
            <w:tcW w:w="9747" w:type="dxa"/>
          </w:tcPr>
          <w:p w14:paraId="3103B31C" w14:textId="77777777" w:rsidR="00860376" w:rsidRPr="0068236B" w:rsidRDefault="00860376" w:rsidP="00D32910">
            <w:pPr>
              <w:spacing w:before="0" w:after="0" w:line="240" w:lineRule="auto"/>
              <w:jc w:val="left"/>
              <w:rPr>
                <w:rFonts w:cs="Tahoma"/>
                <w:sz w:val="18"/>
                <w:szCs w:val="18"/>
              </w:rPr>
            </w:pPr>
            <w:r w:rsidRPr="0068236B">
              <w:rPr>
                <w:rFonts w:cs="Tahoma"/>
                <w:sz w:val="18"/>
                <w:szCs w:val="18"/>
              </w:rPr>
              <w:t>PR 10: Information Disclosure and Stakeholder Engagement – recognises the importance of an open and transparent engagement between the developer, its workers, the local communities directly affected by the Project and, where appropriate, other stakeholders. Such engagement is also a way of improving the environmental and social sustainabi</w:t>
            </w:r>
            <w:r w:rsidRPr="0068236B">
              <w:rPr>
                <w:rFonts w:cs="Tahoma"/>
                <w:sz w:val="18"/>
                <w:szCs w:val="18"/>
              </w:rPr>
              <w:t>l</w:t>
            </w:r>
            <w:r w:rsidRPr="0068236B">
              <w:rPr>
                <w:rFonts w:cs="Tahoma"/>
                <w:sz w:val="18"/>
                <w:szCs w:val="18"/>
              </w:rPr>
              <w:t>ity of projects and can lead to improved financial, social and environmental outcomes, together with enhanced comm</w:t>
            </w:r>
            <w:r w:rsidRPr="0068236B">
              <w:rPr>
                <w:rFonts w:cs="Tahoma"/>
                <w:sz w:val="18"/>
                <w:szCs w:val="18"/>
              </w:rPr>
              <w:t>u</w:t>
            </w:r>
            <w:r w:rsidRPr="0068236B">
              <w:rPr>
                <w:rFonts w:cs="Tahoma"/>
                <w:sz w:val="18"/>
                <w:szCs w:val="18"/>
              </w:rPr>
              <w:lastRenderedPageBreak/>
              <w:t>nity benefits. Stakeholder engagement is central to building strong, constructive and responsive relationships which are essential for the successful management of a project’s environmental and social impacts and issues. To be effective, stakeholder engagement should be initiated at an early stage of the project cycle.</w:t>
            </w:r>
          </w:p>
        </w:tc>
      </w:tr>
    </w:tbl>
    <w:p w14:paraId="0508813A" w14:textId="5C76E28A" w:rsidR="00860376" w:rsidRPr="0068236B" w:rsidRDefault="00860376" w:rsidP="00860376">
      <w:pPr>
        <w:overflowPunct w:val="0"/>
        <w:autoSpaceDE w:val="0"/>
        <w:autoSpaceDN w:val="0"/>
        <w:adjustRightInd w:val="0"/>
        <w:spacing w:after="240"/>
        <w:jc w:val="left"/>
        <w:textAlignment w:val="baseline"/>
        <w:rPr>
          <w:rFonts w:cs="Arial"/>
          <w:bCs/>
          <w:iCs/>
          <w:sz w:val="18"/>
          <w:szCs w:val="20"/>
        </w:rPr>
      </w:pPr>
      <w:bookmarkStart w:id="145" w:name="_Toc113018165"/>
      <w:bookmarkStart w:id="146" w:name="_Toc66656142"/>
      <w:r w:rsidRPr="0068236B">
        <w:rPr>
          <w:rFonts w:cs="Arial"/>
          <w:bCs/>
          <w:iCs/>
          <w:sz w:val="18"/>
          <w:szCs w:val="20"/>
        </w:rPr>
        <w:lastRenderedPageBreak/>
        <w:t xml:space="preserve">Table </w:t>
      </w:r>
      <w:r w:rsidRPr="0068236B">
        <w:rPr>
          <w:rFonts w:cs="Arial"/>
          <w:bCs/>
          <w:iCs/>
          <w:sz w:val="18"/>
          <w:szCs w:val="20"/>
        </w:rPr>
        <w:fldChar w:fldCharType="begin"/>
      </w:r>
      <w:r w:rsidRPr="0068236B">
        <w:rPr>
          <w:rFonts w:cs="Arial"/>
          <w:bCs/>
          <w:iCs/>
          <w:sz w:val="18"/>
          <w:szCs w:val="20"/>
        </w:rPr>
        <w:instrText xml:space="preserve"> STYLEREF 1 \s </w:instrText>
      </w:r>
      <w:r w:rsidRPr="0068236B">
        <w:rPr>
          <w:rFonts w:cs="Arial"/>
          <w:bCs/>
          <w:iCs/>
          <w:sz w:val="18"/>
          <w:szCs w:val="20"/>
        </w:rPr>
        <w:fldChar w:fldCharType="separate"/>
      </w:r>
      <w:r w:rsidR="00234EBE" w:rsidRPr="0068236B">
        <w:rPr>
          <w:rFonts w:cs="Arial"/>
          <w:bCs/>
          <w:iCs/>
          <w:noProof/>
          <w:sz w:val="18"/>
          <w:szCs w:val="20"/>
        </w:rPr>
        <w:t>4</w:t>
      </w:r>
      <w:r w:rsidRPr="0068236B">
        <w:rPr>
          <w:rFonts w:cs="Arial"/>
          <w:bCs/>
          <w:iCs/>
          <w:sz w:val="18"/>
          <w:szCs w:val="20"/>
        </w:rPr>
        <w:fldChar w:fldCharType="end"/>
      </w:r>
      <w:r w:rsidRPr="0068236B">
        <w:rPr>
          <w:rFonts w:cs="Arial"/>
          <w:bCs/>
          <w:iCs/>
          <w:sz w:val="18"/>
          <w:szCs w:val="20"/>
        </w:rPr>
        <w:t>.</w:t>
      </w:r>
      <w:r w:rsidRPr="0068236B">
        <w:rPr>
          <w:rFonts w:cs="Arial"/>
          <w:bCs/>
          <w:iCs/>
          <w:sz w:val="18"/>
          <w:szCs w:val="20"/>
        </w:rPr>
        <w:fldChar w:fldCharType="begin"/>
      </w:r>
      <w:r w:rsidRPr="0068236B">
        <w:rPr>
          <w:rFonts w:cs="Arial"/>
          <w:bCs/>
          <w:iCs/>
          <w:sz w:val="18"/>
          <w:szCs w:val="20"/>
        </w:rPr>
        <w:instrText xml:space="preserve"> SEQ Table \* ARABIC \s 1 </w:instrText>
      </w:r>
      <w:r w:rsidRPr="0068236B">
        <w:rPr>
          <w:rFonts w:cs="Arial"/>
          <w:bCs/>
          <w:iCs/>
          <w:sz w:val="18"/>
          <w:szCs w:val="20"/>
        </w:rPr>
        <w:fldChar w:fldCharType="separate"/>
      </w:r>
      <w:r w:rsidR="00234EBE" w:rsidRPr="0068236B">
        <w:rPr>
          <w:rFonts w:cs="Arial"/>
          <w:bCs/>
          <w:iCs/>
          <w:noProof/>
          <w:sz w:val="18"/>
          <w:szCs w:val="20"/>
        </w:rPr>
        <w:t>1</w:t>
      </w:r>
      <w:r w:rsidRPr="0068236B">
        <w:rPr>
          <w:rFonts w:cs="Arial"/>
          <w:bCs/>
          <w:iCs/>
          <w:sz w:val="18"/>
          <w:szCs w:val="20"/>
        </w:rPr>
        <w:fldChar w:fldCharType="end"/>
      </w:r>
      <w:r w:rsidRPr="0068236B">
        <w:rPr>
          <w:rFonts w:cs="Arial"/>
          <w:bCs/>
          <w:iCs/>
          <w:sz w:val="18"/>
          <w:szCs w:val="20"/>
        </w:rPr>
        <w:t xml:space="preserve">: </w:t>
      </w:r>
      <w:bookmarkStart w:id="147" w:name="_Toc66476756"/>
      <w:r w:rsidRPr="0068236B">
        <w:rPr>
          <w:sz w:val="18"/>
          <w:szCs w:val="20"/>
        </w:rPr>
        <w:t>Performance Requirements of the European Bank for Reconstruction and Development</w:t>
      </w:r>
      <w:bookmarkEnd w:id="145"/>
      <w:bookmarkEnd w:id="147"/>
    </w:p>
    <w:p w14:paraId="3AFE584F" w14:textId="0525CA23" w:rsidR="00860376" w:rsidRPr="0068236B" w:rsidRDefault="00860376" w:rsidP="00860376">
      <w:pPr>
        <w:pStyle w:val="Heading3"/>
        <w:tabs>
          <w:tab w:val="left" w:pos="1134"/>
        </w:tabs>
        <w:ind w:left="720" w:hanging="720"/>
      </w:pPr>
      <w:bookmarkStart w:id="148" w:name="_Toc112852225"/>
      <w:r w:rsidRPr="0068236B">
        <w:t>Key EU Directives</w:t>
      </w:r>
      <w:bookmarkEnd w:id="146"/>
      <w:bookmarkEnd w:id="148"/>
    </w:p>
    <w:p w14:paraId="4A8E91E9" w14:textId="77777777" w:rsidR="00860376" w:rsidRPr="0068236B" w:rsidRDefault="00860376" w:rsidP="00860376">
      <w:pPr>
        <w:ind w:firstLine="720"/>
        <w:rPr>
          <w:rFonts w:cs="Tahoma"/>
          <w:sz w:val="20"/>
          <w:szCs w:val="20"/>
          <w:u w:val="single"/>
          <w:lang w:val="fr-FR"/>
        </w:rPr>
      </w:pPr>
      <w:r w:rsidRPr="0068236B">
        <w:rPr>
          <w:rFonts w:cs="Tahoma"/>
          <w:sz w:val="20"/>
          <w:szCs w:val="20"/>
          <w:u w:val="single"/>
          <w:lang w:val="fr-FR"/>
        </w:rPr>
        <w:t>The EU Environmental Impact Assessment Directive</w:t>
      </w:r>
    </w:p>
    <w:p w14:paraId="5A806EDC" w14:textId="77777777" w:rsidR="00860376" w:rsidRPr="0068236B" w:rsidRDefault="00860376" w:rsidP="00860376">
      <w:pPr>
        <w:rPr>
          <w:rStyle w:val="tw4winMark"/>
          <w:rFonts w:cs="Tahoma"/>
          <w:sz w:val="20"/>
          <w:szCs w:val="20"/>
          <w:lang w:val="fr-FR"/>
        </w:rPr>
      </w:pPr>
    </w:p>
    <w:p w14:paraId="0C29D840" w14:textId="77777777" w:rsidR="00860376" w:rsidRPr="0068236B" w:rsidRDefault="00860376" w:rsidP="00860376">
      <w:pPr>
        <w:rPr>
          <w:rStyle w:val="tw4winMark"/>
          <w:rFonts w:cs="Tahoma"/>
          <w:sz w:val="20"/>
          <w:szCs w:val="20"/>
          <w:lang w:val="fr-FR"/>
        </w:rPr>
      </w:pPr>
    </w:p>
    <w:p w14:paraId="3C59B90F" w14:textId="77777777" w:rsidR="00860376" w:rsidRPr="0068236B" w:rsidRDefault="00860376" w:rsidP="00860376">
      <w:pPr>
        <w:rPr>
          <w:rFonts w:cs="Tahoma"/>
          <w:color w:val="000000"/>
          <w:sz w:val="20"/>
          <w:szCs w:val="20"/>
        </w:rPr>
      </w:pPr>
      <w:r w:rsidRPr="0068236B">
        <w:rPr>
          <w:rFonts w:cs="Tahoma"/>
          <w:sz w:val="20"/>
          <w:szCs w:val="20"/>
        </w:rPr>
        <w:t>The EU Directive on Environmental Impact Assessment (EIA Directive 2014/52/EU</w:t>
      </w:r>
      <w:r w:rsidRPr="0068236B">
        <w:rPr>
          <w:rStyle w:val="FootnoteReference"/>
          <w:rFonts w:cs="Tahoma"/>
          <w:sz w:val="20"/>
          <w:szCs w:val="20"/>
        </w:rPr>
        <w:footnoteReference w:id="57"/>
      </w:r>
      <w:r w:rsidRPr="0068236B">
        <w:rPr>
          <w:rFonts w:cs="Tahoma"/>
          <w:sz w:val="20"/>
          <w:szCs w:val="20"/>
        </w:rPr>
        <w:t>) defines the requir</w:t>
      </w:r>
      <w:r w:rsidRPr="0068236B">
        <w:rPr>
          <w:rFonts w:cs="Tahoma"/>
          <w:sz w:val="20"/>
          <w:szCs w:val="20"/>
        </w:rPr>
        <w:t>e</w:t>
      </w:r>
      <w:r w:rsidRPr="0068236B">
        <w:rPr>
          <w:rFonts w:cs="Tahoma"/>
          <w:sz w:val="20"/>
          <w:szCs w:val="20"/>
        </w:rPr>
        <w:t xml:space="preserve">ments for assessment of the potential effects on the environment by defined public and private development projects that are expected to have significant impact on the environment. </w:t>
      </w:r>
      <w:r w:rsidRPr="0068236B">
        <w:rPr>
          <w:rFonts w:cs="Tahoma"/>
          <w:color w:val="000000"/>
          <w:sz w:val="20"/>
          <w:szCs w:val="20"/>
        </w:rPr>
        <w:t>The public and other interested parties are to be consulted on the EIA as public c</w:t>
      </w:r>
      <w:r w:rsidRPr="0068236B">
        <w:rPr>
          <w:rFonts w:cs="Tahoma"/>
          <w:sz w:val="20"/>
          <w:szCs w:val="20"/>
        </w:rPr>
        <w:t>onsultation is a key feature of environmental assessment procedures.</w:t>
      </w:r>
      <w:r w:rsidRPr="0068236B">
        <w:rPr>
          <w:rFonts w:cs="Tahoma"/>
          <w:color w:val="000000"/>
          <w:sz w:val="20"/>
          <w:szCs w:val="20"/>
        </w:rPr>
        <w:t xml:space="preserve"> </w:t>
      </w:r>
    </w:p>
    <w:p w14:paraId="591D5BED" w14:textId="77777777" w:rsidR="00860376" w:rsidRPr="0068236B" w:rsidRDefault="00860376" w:rsidP="00860376">
      <w:pPr>
        <w:rPr>
          <w:rFonts w:cs="Tahoma"/>
          <w:color w:val="000000"/>
          <w:sz w:val="20"/>
          <w:szCs w:val="20"/>
        </w:rPr>
      </w:pPr>
      <w:r w:rsidRPr="0068236B">
        <w:rPr>
          <w:rFonts w:cs="Tahoma"/>
          <w:color w:val="000000"/>
          <w:sz w:val="20"/>
          <w:szCs w:val="20"/>
          <w:shd w:val="clear" w:color="auto" w:fill="FFFFFF"/>
        </w:rPr>
        <w:t>The EIA procedure as regulated by the EIA Directive can be summarized as follows: the developer may r</w:t>
      </w:r>
      <w:r w:rsidRPr="0068236B">
        <w:rPr>
          <w:rFonts w:cs="Tahoma"/>
          <w:color w:val="000000"/>
          <w:sz w:val="20"/>
          <w:szCs w:val="20"/>
          <w:shd w:val="clear" w:color="auto" w:fill="FFFFFF"/>
        </w:rPr>
        <w:t>e</w:t>
      </w:r>
      <w:r w:rsidRPr="0068236B">
        <w:rPr>
          <w:rFonts w:cs="Tahoma"/>
          <w:color w:val="000000"/>
          <w:sz w:val="20"/>
          <w:szCs w:val="20"/>
          <w:shd w:val="clear" w:color="auto" w:fill="FFFFFF"/>
        </w:rPr>
        <w:t>quest the competent authority to say what should be covered by the EIA information to be provided by the developer (scoping stage); the developer must provide information on the environmental impact (EIA R</w:t>
      </w:r>
      <w:r w:rsidRPr="0068236B">
        <w:rPr>
          <w:rFonts w:cs="Tahoma"/>
          <w:color w:val="000000"/>
          <w:sz w:val="20"/>
          <w:szCs w:val="20"/>
          <w:shd w:val="clear" w:color="auto" w:fill="FFFFFF"/>
        </w:rPr>
        <w:t>e</w:t>
      </w:r>
      <w:r w:rsidRPr="0068236B">
        <w:rPr>
          <w:rFonts w:cs="Tahoma"/>
          <w:color w:val="000000"/>
          <w:sz w:val="20"/>
          <w:szCs w:val="20"/>
          <w:shd w:val="clear" w:color="auto" w:fill="FFFFFF"/>
        </w:rPr>
        <w:t>port); the environmental authorities and the public must be informed and consulted (reviewing stage); the competent authority decides, taken into consideration the results of consultations. The public is informed of the decision afterwards and can challenge the decision before the courts.</w:t>
      </w:r>
    </w:p>
    <w:p w14:paraId="565C6704" w14:textId="77777777" w:rsidR="00860376" w:rsidRPr="0068236B" w:rsidRDefault="00860376" w:rsidP="00860376">
      <w:pPr>
        <w:rPr>
          <w:rFonts w:cs="Tahoma"/>
          <w:sz w:val="20"/>
          <w:szCs w:val="20"/>
        </w:rPr>
      </w:pPr>
      <w:r w:rsidRPr="0068236B">
        <w:rPr>
          <w:rFonts w:cs="Tahoma"/>
          <w:sz w:val="20"/>
          <w:szCs w:val="20"/>
        </w:rPr>
        <w:t xml:space="preserve">The approach to EIA set out by the EU EIA directive is closely aligned to the EBRD Environmental and Social Policy, insofar as there is a requirement to assess the potential impacts where likely significant effects are anticipated. The assessment must also provide a description of the mitigation measures to prevent, reduce and where possible offset any significant adverse effects on the environment. </w:t>
      </w:r>
    </w:p>
    <w:p w14:paraId="31E8EF14" w14:textId="77777777" w:rsidR="00860376" w:rsidRPr="0068236B" w:rsidRDefault="00860376" w:rsidP="00860376">
      <w:pPr>
        <w:autoSpaceDE w:val="0"/>
        <w:autoSpaceDN w:val="0"/>
        <w:adjustRightInd w:val="0"/>
        <w:ind w:firstLine="720"/>
        <w:rPr>
          <w:rFonts w:cs="Tahoma"/>
          <w:sz w:val="20"/>
          <w:szCs w:val="20"/>
          <w:u w:val="single"/>
        </w:rPr>
      </w:pPr>
      <w:r w:rsidRPr="0068236B">
        <w:rPr>
          <w:rFonts w:cs="Tahoma"/>
          <w:sz w:val="20"/>
          <w:szCs w:val="20"/>
          <w:u w:val="single"/>
        </w:rPr>
        <w:t>Other Key EU Directives</w:t>
      </w:r>
    </w:p>
    <w:p w14:paraId="502897F3" w14:textId="2179BB1B" w:rsidR="00860376" w:rsidRPr="0068236B" w:rsidRDefault="00124F64" w:rsidP="00D24CEF">
      <w:pPr>
        <w:pStyle w:val="ListBullet"/>
        <w:numPr>
          <w:ilvl w:val="0"/>
          <w:numId w:val="97"/>
        </w:numPr>
        <w:jc w:val="left"/>
        <w:rPr>
          <w:sz w:val="20"/>
          <w:szCs w:val="20"/>
        </w:rPr>
      </w:pPr>
      <w:r w:rsidRPr="0068236B">
        <w:rPr>
          <w:rFonts w:cs="Tahoma"/>
          <w:bCs/>
          <w:sz w:val="20"/>
          <w:szCs w:val="20"/>
          <w:shd w:val="clear" w:color="auto" w:fill="FFFFFF"/>
        </w:rPr>
        <w:t>Directive 2009/147/EC of the European Parliament and of the Council of 30 November 2009 on the conservation of wild birds</w:t>
      </w:r>
      <w:r w:rsidRPr="0068236B">
        <w:rPr>
          <w:rStyle w:val="FootnoteReference"/>
          <w:rFonts w:cs="Tahoma"/>
          <w:bCs/>
          <w:sz w:val="20"/>
          <w:szCs w:val="20"/>
          <w:shd w:val="clear" w:color="auto" w:fill="FFFFFF"/>
        </w:rPr>
        <w:footnoteReference w:id="58"/>
      </w:r>
      <w:r w:rsidR="005861E5" w:rsidRPr="0068236B">
        <w:rPr>
          <w:rFonts w:cs="Tahoma"/>
          <w:sz w:val="20"/>
          <w:szCs w:val="20"/>
        </w:rPr>
        <w:t>.</w:t>
      </w:r>
      <w:r w:rsidR="00860376" w:rsidRPr="0068236B">
        <w:rPr>
          <w:rFonts w:cs="Tahoma"/>
          <w:sz w:val="20"/>
          <w:szCs w:val="20"/>
        </w:rPr>
        <w:t xml:space="preserve">The </w:t>
      </w:r>
      <w:r w:rsidR="00860376" w:rsidRPr="0068236B">
        <w:rPr>
          <w:rFonts w:cs="Tahoma"/>
          <w:sz w:val="20"/>
          <w:szCs w:val="20"/>
          <w:shd w:val="clear" w:color="auto" w:fill="FFFFFF"/>
        </w:rPr>
        <w:t>Birds Directive aims to protect all wild bird species naturally occurring in the European Union.</w:t>
      </w:r>
    </w:p>
    <w:p w14:paraId="405A1C45" w14:textId="3C27117D" w:rsidR="00860376" w:rsidRPr="0068236B" w:rsidRDefault="00124F64" w:rsidP="00D24CEF">
      <w:pPr>
        <w:pStyle w:val="ListBullet"/>
        <w:numPr>
          <w:ilvl w:val="0"/>
          <w:numId w:val="97"/>
        </w:numPr>
        <w:jc w:val="left"/>
        <w:rPr>
          <w:sz w:val="20"/>
          <w:szCs w:val="20"/>
        </w:rPr>
      </w:pPr>
      <w:r w:rsidRPr="0068236B">
        <w:rPr>
          <w:rFonts w:cs="Tahoma"/>
          <w:bCs/>
          <w:sz w:val="20"/>
          <w:szCs w:val="20"/>
          <w:shd w:val="clear" w:color="auto" w:fill="FFFFFF"/>
        </w:rPr>
        <w:t>Council Directive 92/43/EEC of 21 May 1992 on the conservation of natural habitats and of wild fauna and flora</w:t>
      </w:r>
      <w:r w:rsidRPr="0068236B">
        <w:rPr>
          <w:rStyle w:val="FootnoteReference"/>
          <w:rFonts w:cs="Tahoma"/>
          <w:bCs/>
          <w:sz w:val="20"/>
          <w:szCs w:val="20"/>
          <w:shd w:val="clear" w:color="auto" w:fill="FFFFFF"/>
        </w:rPr>
        <w:footnoteReference w:id="59"/>
      </w:r>
      <w:r w:rsidR="00860376" w:rsidRPr="0068236B">
        <w:rPr>
          <w:rFonts w:cs="Tahoma"/>
          <w:sz w:val="20"/>
          <w:szCs w:val="20"/>
        </w:rPr>
        <w:t>. T</w:t>
      </w:r>
      <w:r w:rsidR="00860376" w:rsidRPr="0068236B">
        <w:rPr>
          <w:rFonts w:cs="Tahoma"/>
          <w:sz w:val="20"/>
          <w:szCs w:val="20"/>
          <w:shd w:val="clear" w:color="auto" w:fill="FFFFFF"/>
        </w:rPr>
        <w:t>he Habitats Directive ensures the conservation of a wide range of rare, threatened or endemic animal and plant species. The rare and characteristic habitat types are also targeted for conservation in their own right.</w:t>
      </w:r>
    </w:p>
    <w:p w14:paraId="5BFB587C" w14:textId="77777777" w:rsidR="00860376" w:rsidRPr="0068236B" w:rsidRDefault="00860376" w:rsidP="00860376">
      <w:pPr>
        <w:pStyle w:val="NumberedParagraph"/>
        <w:rPr>
          <w:rFonts w:cs="Tahoma"/>
          <w:sz w:val="20"/>
          <w:szCs w:val="20"/>
          <w:shd w:val="clear" w:color="auto" w:fill="FFFFFF"/>
        </w:rPr>
      </w:pPr>
      <w:r w:rsidRPr="0068236B">
        <w:rPr>
          <w:rFonts w:cs="Tahoma"/>
          <w:sz w:val="20"/>
          <w:szCs w:val="20"/>
        </w:rPr>
        <w:t>The EU Birds and Habitats Directives form the cornerstones of Europe’s legislation on nature conservation. The overall objective of the two directives is to ensure that the species and habitat types they protect are maintained, or restored, to a favourable conservation status throughout their natural range within the EU. Therefore, w</w:t>
      </w:r>
      <w:r w:rsidRPr="0068236B">
        <w:rPr>
          <w:rFonts w:cs="Tahoma"/>
          <w:sz w:val="20"/>
          <w:szCs w:val="20"/>
          <w:shd w:val="clear" w:color="auto" w:fill="FFFFFF"/>
        </w:rPr>
        <w:t>here EU law requires an environmental impact assessment of a proposed development project to be undertaken, that assessment will often consider the potential effects of the proposed development project upon protected habitats and species. </w:t>
      </w:r>
    </w:p>
    <w:p w14:paraId="29D02C21" w14:textId="77777777" w:rsidR="001A00C8" w:rsidRPr="0068236B" w:rsidRDefault="001A00C8" w:rsidP="001A00C8">
      <w:pPr>
        <w:pStyle w:val="NumberedParagraph"/>
        <w:rPr>
          <w:rFonts w:cs="Tahoma"/>
          <w:sz w:val="20"/>
          <w:szCs w:val="20"/>
          <w:shd w:val="clear" w:color="auto" w:fill="FFFFFF"/>
        </w:rPr>
      </w:pPr>
      <w:r w:rsidRPr="0068236B">
        <w:rPr>
          <w:rFonts w:cs="Tahoma"/>
          <w:sz w:val="20"/>
          <w:szCs w:val="20"/>
          <w:shd w:val="clear" w:color="auto" w:fill="FFFFFF"/>
        </w:rPr>
        <w:t>In addition the following EU Directives are considered as of key importance for the Project:</w:t>
      </w:r>
    </w:p>
    <w:p w14:paraId="3239C834" w14:textId="49E75338" w:rsidR="001A00C8" w:rsidRPr="0068236B" w:rsidRDefault="001A00C8" w:rsidP="00D24CEF">
      <w:pPr>
        <w:pStyle w:val="ListBullet"/>
        <w:numPr>
          <w:ilvl w:val="0"/>
          <w:numId w:val="97"/>
        </w:numPr>
        <w:jc w:val="left"/>
        <w:rPr>
          <w:sz w:val="20"/>
          <w:szCs w:val="20"/>
        </w:rPr>
      </w:pPr>
      <w:r w:rsidRPr="0068236B">
        <w:rPr>
          <w:rFonts w:cs="Tahoma"/>
          <w:bCs/>
          <w:sz w:val="20"/>
          <w:szCs w:val="21"/>
          <w:shd w:val="clear" w:color="auto" w:fill="FFFFFF"/>
        </w:rPr>
        <w:lastRenderedPageBreak/>
        <w:t>Directive (EU) 2018/851 of the European Parliament and of the Council of 30 May 2018 amen</w:t>
      </w:r>
      <w:r w:rsidRPr="0068236B">
        <w:rPr>
          <w:rFonts w:cs="Tahoma"/>
          <w:bCs/>
          <w:sz w:val="20"/>
          <w:szCs w:val="21"/>
          <w:shd w:val="clear" w:color="auto" w:fill="FFFFFF"/>
        </w:rPr>
        <w:t>d</w:t>
      </w:r>
      <w:r w:rsidRPr="0068236B">
        <w:rPr>
          <w:rFonts w:cs="Tahoma"/>
          <w:bCs/>
          <w:sz w:val="20"/>
          <w:szCs w:val="21"/>
          <w:shd w:val="clear" w:color="auto" w:fill="FFFFFF"/>
        </w:rPr>
        <w:t>ing Directive 2008/98/EC on waste</w:t>
      </w:r>
      <w:r w:rsidRPr="0068236B">
        <w:rPr>
          <w:rStyle w:val="FootnoteReference"/>
          <w:rFonts w:cs="Tahoma"/>
          <w:bCs/>
          <w:sz w:val="20"/>
          <w:szCs w:val="20"/>
          <w:shd w:val="clear" w:color="auto" w:fill="FFFFFF"/>
        </w:rPr>
        <w:footnoteReference w:id="60"/>
      </w:r>
      <w:r w:rsidRPr="0068236B">
        <w:rPr>
          <w:rFonts w:cs="Tahoma"/>
          <w:sz w:val="20"/>
          <w:szCs w:val="20"/>
        </w:rPr>
        <w:t>.</w:t>
      </w:r>
      <w:r w:rsidRPr="0068236B">
        <w:rPr>
          <w:rFonts w:cs="Tahoma"/>
          <w:sz w:val="20"/>
          <w:szCs w:val="20"/>
          <w:lang w:val="en-US" w:eastAsia="mk-MK"/>
        </w:rPr>
        <w:t xml:space="preserve"> The Waste Directive l</w:t>
      </w:r>
      <w:r w:rsidRPr="0068236B">
        <w:rPr>
          <w:rFonts w:cs="Tahoma"/>
          <w:sz w:val="20"/>
          <w:szCs w:val="20"/>
          <w:lang w:eastAsia="mk-MK"/>
        </w:rPr>
        <w:t>ays down some basic waste ma</w:t>
      </w:r>
      <w:r w:rsidRPr="0068236B">
        <w:rPr>
          <w:rFonts w:cs="Tahoma"/>
          <w:sz w:val="20"/>
          <w:szCs w:val="20"/>
          <w:lang w:eastAsia="mk-MK"/>
        </w:rPr>
        <w:t>n</w:t>
      </w:r>
      <w:r w:rsidRPr="0068236B">
        <w:rPr>
          <w:rFonts w:cs="Tahoma"/>
          <w:sz w:val="20"/>
          <w:szCs w:val="20"/>
          <w:lang w:eastAsia="mk-MK"/>
        </w:rPr>
        <w:t>agement principles.</w:t>
      </w:r>
    </w:p>
    <w:p w14:paraId="31E011F0" w14:textId="788E19E0" w:rsidR="00124F64" w:rsidRPr="0068236B" w:rsidRDefault="001A00C8" w:rsidP="00D24CEF">
      <w:pPr>
        <w:pStyle w:val="ListBullet"/>
        <w:numPr>
          <w:ilvl w:val="0"/>
          <w:numId w:val="97"/>
        </w:numPr>
        <w:jc w:val="left"/>
        <w:rPr>
          <w:rFonts w:cs="Tahoma"/>
          <w:sz w:val="20"/>
          <w:szCs w:val="20"/>
        </w:rPr>
      </w:pPr>
      <w:r w:rsidRPr="0068236B">
        <w:rPr>
          <w:rFonts w:cs="Tahoma"/>
          <w:bCs/>
          <w:sz w:val="20"/>
          <w:szCs w:val="20"/>
          <w:shd w:val="clear" w:color="auto" w:fill="FFFFFF"/>
        </w:rPr>
        <w:t>Directive 2012/19/EU of the European Parliament and of the Council of 4 July 2012 on waste electrical and electronic equipment (WEEE)</w:t>
      </w:r>
      <w:r w:rsidRPr="0068236B">
        <w:rPr>
          <w:rStyle w:val="FootnoteReference"/>
          <w:rFonts w:cs="Tahoma"/>
          <w:bCs/>
          <w:sz w:val="20"/>
          <w:szCs w:val="20"/>
          <w:shd w:val="clear" w:color="auto" w:fill="FFFFFF"/>
        </w:rPr>
        <w:footnoteReference w:id="61"/>
      </w:r>
      <w:r w:rsidRPr="0068236B">
        <w:rPr>
          <w:rFonts w:cs="Tahoma"/>
          <w:bCs/>
          <w:sz w:val="20"/>
          <w:szCs w:val="20"/>
          <w:shd w:val="clear" w:color="auto" w:fill="FFFFFF"/>
        </w:rPr>
        <w:t>. The WEEE Directive lays down the basic rules</w:t>
      </w:r>
      <w:r w:rsidRPr="0068236B">
        <w:rPr>
          <w:rFonts w:cs="Tahoma"/>
          <w:color w:val="404040"/>
          <w:sz w:val="20"/>
          <w:szCs w:val="20"/>
          <w:shd w:val="clear" w:color="auto" w:fill="FFFFFF"/>
        </w:rPr>
        <w:t xml:space="preserve"> on treating waste electrical and electronic equipment, to contribute to sustainable production and consumption.</w:t>
      </w:r>
    </w:p>
    <w:p w14:paraId="7E839DBB" w14:textId="162EC53E" w:rsidR="00055561" w:rsidRPr="0068236B" w:rsidRDefault="00055561" w:rsidP="00D24CEF">
      <w:pPr>
        <w:pStyle w:val="ListBullet"/>
        <w:numPr>
          <w:ilvl w:val="0"/>
          <w:numId w:val="97"/>
        </w:numPr>
        <w:jc w:val="left"/>
        <w:rPr>
          <w:rFonts w:cs="Tahoma"/>
          <w:sz w:val="20"/>
          <w:szCs w:val="20"/>
        </w:rPr>
      </w:pPr>
      <w:r w:rsidRPr="0068236B">
        <w:rPr>
          <w:rFonts w:cs="Tahoma"/>
          <w:bCs/>
          <w:sz w:val="20"/>
          <w:szCs w:val="20"/>
          <w:shd w:val="clear" w:color="auto" w:fill="FFFFFF"/>
        </w:rPr>
        <w:t>Directive 2000/60/EC of the European Parliament and of the Council of 23 October 2000 esta</w:t>
      </w:r>
      <w:r w:rsidRPr="0068236B">
        <w:rPr>
          <w:rFonts w:cs="Tahoma"/>
          <w:bCs/>
          <w:sz w:val="20"/>
          <w:szCs w:val="20"/>
          <w:shd w:val="clear" w:color="auto" w:fill="FFFFFF"/>
        </w:rPr>
        <w:t>b</w:t>
      </w:r>
      <w:r w:rsidRPr="0068236B">
        <w:rPr>
          <w:rFonts w:cs="Tahoma"/>
          <w:bCs/>
          <w:sz w:val="20"/>
          <w:szCs w:val="20"/>
          <w:shd w:val="clear" w:color="auto" w:fill="FFFFFF"/>
        </w:rPr>
        <w:t>lishing a framework for Community action in the field of water policy</w:t>
      </w:r>
      <w:r w:rsidRPr="0068236B">
        <w:rPr>
          <w:rStyle w:val="FootnoteReference"/>
          <w:rFonts w:cs="Tahoma"/>
          <w:bCs/>
          <w:sz w:val="20"/>
          <w:szCs w:val="20"/>
          <w:shd w:val="clear" w:color="auto" w:fill="FFFFFF"/>
        </w:rPr>
        <w:footnoteReference w:id="62"/>
      </w:r>
      <w:r w:rsidRPr="0068236B">
        <w:rPr>
          <w:rFonts w:cs="Tahoma"/>
          <w:bCs/>
          <w:sz w:val="20"/>
          <w:szCs w:val="20"/>
          <w:shd w:val="clear" w:color="auto" w:fill="FFFFFF"/>
        </w:rPr>
        <w:t xml:space="preserve">. The WFD Directive, </w:t>
      </w:r>
      <w:r w:rsidRPr="0068236B">
        <w:rPr>
          <w:rFonts w:cs="Tahoma"/>
          <w:sz w:val="20"/>
          <w:szCs w:val="20"/>
          <w:shd w:val="clear" w:color="auto" w:fill="FFFFFF"/>
        </w:rPr>
        <w:t>aimed at implementing comprehensive water protection in the European river districts.</w:t>
      </w:r>
    </w:p>
    <w:p w14:paraId="19668872" w14:textId="77777777" w:rsidR="00124F64" w:rsidRPr="0068236B" w:rsidRDefault="00124F64" w:rsidP="00860376">
      <w:pPr>
        <w:pStyle w:val="NumberedParagraph"/>
        <w:rPr>
          <w:sz w:val="20"/>
          <w:szCs w:val="20"/>
        </w:rPr>
      </w:pPr>
    </w:p>
    <w:p w14:paraId="552D1445" w14:textId="77777777" w:rsidR="00860376" w:rsidRPr="0068236B" w:rsidRDefault="00860376" w:rsidP="00860376">
      <w:pPr>
        <w:pStyle w:val="ListBullet2"/>
        <w:numPr>
          <w:ilvl w:val="0"/>
          <w:numId w:val="0"/>
        </w:numPr>
        <w:rPr>
          <w:sz w:val="20"/>
        </w:rPr>
      </w:pPr>
    </w:p>
    <w:p w14:paraId="28AE4F65" w14:textId="77777777" w:rsidR="00860376" w:rsidRPr="0068236B" w:rsidRDefault="00860376">
      <w:pPr>
        <w:spacing w:before="0" w:after="0" w:line="240" w:lineRule="auto"/>
        <w:jc w:val="left"/>
        <w:rPr>
          <w:rFonts w:ascii="Tahoma Bold" w:hAnsi="Tahoma Bold"/>
          <w:b/>
          <w:color w:val="44697D"/>
          <w:sz w:val="32"/>
          <w:szCs w:val="32"/>
          <w:u w:color="00B050"/>
        </w:rPr>
      </w:pPr>
      <w:r w:rsidRPr="0068236B">
        <w:rPr>
          <w:sz w:val="20"/>
        </w:rPr>
        <w:br w:type="page"/>
      </w:r>
    </w:p>
    <w:p w14:paraId="4596CE0A" w14:textId="76EACC58" w:rsidR="00240E6E" w:rsidRPr="0068236B" w:rsidRDefault="00240E6E" w:rsidP="00E44ED8">
      <w:pPr>
        <w:pStyle w:val="Heading1"/>
      </w:pPr>
      <w:bookmarkStart w:id="149" w:name="_Toc112852226"/>
      <w:r w:rsidRPr="0068236B">
        <w:lastRenderedPageBreak/>
        <w:t>Approach to Assessment</w:t>
      </w:r>
      <w:bookmarkEnd w:id="132"/>
      <w:bookmarkEnd w:id="133"/>
      <w:bookmarkEnd w:id="149"/>
    </w:p>
    <w:p w14:paraId="456B237C" w14:textId="77777777" w:rsidR="00240E6E" w:rsidRPr="0068236B" w:rsidRDefault="00240E6E" w:rsidP="00240E6E">
      <w:pPr>
        <w:pStyle w:val="Heading2"/>
        <w:spacing w:before="480" w:after="240"/>
        <w:ind w:left="576" w:hanging="576"/>
        <w:rPr>
          <w:szCs w:val="28"/>
        </w:rPr>
      </w:pPr>
      <w:bookmarkStart w:id="150" w:name="_Toc48829051"/>
      <w:bookmarkStart w:id="151" w:name="_Toc71559749"/>
      <w:bookmarkStart w:id="152" w:name="_Toc112852227"/>
      <w:r w:rsidRPr="0068236B">
        <w:rPr>
          <w:szCs w:val="28"/>
        </w:rPr>
        <w:t>Source of Information</w:t>
      </w:r>
      <w:bookmarkEnd w:id="150"/>
      <w:bookmarkEnd w:id="151"/>
      <w:bookmarkEnd w:id="152"/>
    </w:p>
    <w:p w14:paraId="3A3D1B52" w14:textId="03F58DC0" w:rsidR="00240E6E" w:rsidRPr="0068236B" w:rsidRDefault="00240E6E" w:rsidP="00240E6E">
      <w:pPr>
        <w:rPr>
          <w:sz w:val="20"/>
        </w:rPr>
      </w:pPr>
      <w:r w:rsidRPr="0068236B">
        <w:rPr>
          <w:sz w:val="20"/>
        </w:rPr>
        <w:t xml:space="preserve">The following sources of information </w:t>
      </w:r>
      <w:r w:rsidR="00C23C4A" w:rsidRPr="0068236B">
        <w:rPr>
          <w:sz w:val="20"/>
        </w:rPr>
        <w:t xml:space="preserve">were </w:t>
      </w:r>
      <w:r w:rsidRPr="0068236B">
        <w:rPr>
          <w:sz w:val="20"/>
        </w:rPr>
        <w:t xml:space="preserve">used in collating the </w:t>
      </w:r>
      <w:r w:rsidR="00C23C4A" w:rsidRPr="0068236B">
        <w:rPr>
          <w:sz w:val="20"/>
        </w:rPr>
        <w:t>E&amp;S assessment</w:t>
      </w:r>
      <w:r w:rsidRPr="0068236B">
        <w:rPr>
          <w:sz w:val="20"/>
        </w:rPr>
        <w:t xml:space="preserve"> documentation:</w:t>
      </w:r>
    </w:p>
    <w:p w14:paraId="554DF95F" w14:textId="77777777" w:rsidR="00240E6E" w:rsidRPr="0068236B" w:rsidRDefault="00240E6E" w:rsidP="00D24CEF">
      <w:pPr>
        <w:pStyle w:val="ListBullet"/>
        <w:numPr>
          <w:ilvl w:val="0"/>
          <w:numId w:val="97"/>
        </w:numPr>
        <w:jc w:val="left"/>
        <w:rPr>
          <w:sz w:val="20"/>
        </w:rPr>
      </w:pPr>
      <w:r w:rsidRPr="0068236B">
        <w:rPr>
          <w:sz w:val="20"/>
        </w:rPr>
        <w:t>Information from the Project Developer (MEPSO);</w:t>
      </w:r>
    </w:p>
    <w:p w14:paraId="2B649086" w14:textId="77777777" w:rsidR="00240E6E" w:rsidRPr="0068236B" w:rsidRDefault="00240E6E" w:rsidP="00D24CEF">
      <w:pPr>
        <w:pStyle w:val="ListBullet"/>
        <w:numPr>
          <w:ilvl w:val="0"/>
          <w:numId w:val="97"/>
        </w:numPr>
        <w:jc w:val="left"/>
        <w:rPr>
          <w:sz w:val="20"/>
        </w:rPr>
      </w:pPr>
      <w:r w:rsidRPr="0068236B">
        <w:rPr>
          <w:sz w:val="20"/>
        </w:rPr>
        <w:t>Information from the Project engineering team;</w:t>
      </w:r>
    </w:p>
    <w:p w14:paraId="4C092471" w14:textId="77777777" w:rsidR="00240E6E" w:rsidRPr="0068236B" w:rsidRDefault="00240E6E" w:rsidP="00D24CEF">
      <w:pPr>
        <w:pStyle w:val="ListBullet"/>
        <w:numPr>
          <w:ilvl w:val="0"/>
          <w:numId w:val="97"/>
        </w:numPr>
        <w:jc w:val="left"/>
        <w:rPr>
          <w:sz w:val="20"/>
        </w:rPr>
      </w:pPr>
      <w:r w:rsidRPr="0068236B">
        <w:rPr>
          <w:sz w:val="20"/>
        </w:rPr>
        <w:t>Information from statutory stakeholders and other interested parties;</w:t>
      </w:r>
    </w:p>
    <w:p w14:paraId="15C7F2FF" w14:textId="77777777" w:rsidR="00240E6E" w:rsidRPr="0068236B" w:rsidRDefault="00240E6E" w:rsidP="00D24CEF">
      <w:pPr>
        <w:pStyle w:val="ListBullet"/>
        <w:numPr>
          <w:ilvl w:val="0"/>
          <w:numId w:val="97"/>
        </w:numPr>
        <w:jc w:val="left"/>
        <w:rPr>
          <w:sz w:val="20"/>
        </w:rPr>
      </w:pPr>
      <w:r w:rsidRPr="0068236B">
        <w:rPr>
          <w:sz w:val="20"/>
        </w:rPr>
        <w:t>Published information, including relevant national / regional / local plans;</w:t>
      </w:r>
    </w:p>
    <w:p w14:paraId="32C1E25A" w14:textId="77777777" w:rsidR="00240E6E" w:rsidRPr="0068236B" w:rsidRDefault="00240E6E" w:rsidP="00D24CEF">
      <w:pPr>
        <w:pStyle w:val="ListBullet"/>
        <w:numPr>
          <w:ilvl w:val="0"/>
          <w:numId w:val="97"/>
        </w:numPr>
        <w:jc w:val="left"/>
        <w:rPr>
          <w:sz w:val="20"/>
        </w:rPr>
      </w:pPr>
      <w:r w:rsidRPr="0068236B">
        <w:rPr>
          <w:sz w:val="20"/>
        </w:rPr>
        <w:t>Unpublished records made available by stakeholders;</w:t>
      </w:r>
    </w:p>
    <w:p w14:paraId="531555A2" w14:textId="77777777" w:rsidR="00240E6E" w:rsidRPr="0068236B" w:rsidRDefault="00240E6E" w:rsidP="00D24CEF">
      <w:pPr>
        <w:pStyle w:val="ListBullet"/>
        <w:numPr>
          <w:ilvl w:val="0"/>
          <w:numId w:val="97"/>
        </w:numPr>
        <w:jc w:val="left"/>
        <w:rPr>
          <w:sz w:val="20"/>
        </w:rPr>
      </w:pPr>
      <w:r w:rsidRPr="0068236B">
        <w:rPr>
          <w:sz w:val="20"/>
        </w:rPr>
        <w:t>Relevant topographic and thematic maps; and</w:t>
      </w:r>
    </w:p>
    <w:p w14:paraId="748317DE" w14:textId="77777777" w:rsidR="00240E6E" w:rsidRPr="0068236B" w:rsidRDefault="00240E6E" w:rsidP="00D24CEF">
      <w:pPr>
        <w:pStyle w:val="ListBullet"/>
        <w:numPr>
          <w:ilvl w:val="0"/>
          <w:numId w:val="97"/>
        </w:numPr>
        <w:jc w:val="left"/>
        <w:rPr>
          <w:sz w:val="20"/>
        </w:rPr>
      </w:pPr>
      <w:r w:rsidRPr="0068236B">
        <w:rPr>
          <w:sz w:val="20"/>
        </w:rPr>
        <w:t>Field visits and surveys carried out during the E&amp;S assessment process.</w:t>
      </w:r>
    </w:p>
    <w:p w14:paraId="64378EB1" w14:textId="4D60AF40" w:rsidR="00240E6E" w:rsidRPr="0068236B" w:rsidRDefault="0070051C" w:rsidP="00240E6E">
      <w:pPr>
        <w:pStyle w:val="Heading2"/>
        <w:spacing w:before="480" w:after="240"/>
        <w:ind w:left="576" w:hanging="576"/>
        <w:rPr>
          <w:szCs w:val="28"/>
        </w:rPr>
      </w:pPr>
      <w:bookmarkStart w:id="153" w:name="_Toc48829052"/>
      <w:bookmarkStart w:id="154" w:name="_Toc71559750"/>
      <w:bookmarkStart w:id="155" w:name="_Toc112852228"/>
      <w:r w:rsidRPr="0068236B">
        <w:rPr>
          <w:rFonts w:cs="Tahoma"/>
        </w:rPr>
        <w:t xml:space="preserve">Project Design Status and </w:t>
      </w:r>
      <w:r w:rsidR="00240E6E" w:rsidRPr="0068236B">
        <w:rPr>
          <w:szCs w:val="28"/>
        </w:rPr>
        <w:t xml:space="preserve">Level of Details of the </w:t>
      </w:r>
      <w:bookmarkEnd w:id="153"/>
      <w:bookmarkEnd w:id="154"/>
      <w:r w:rsidR="001E342C" w:rsidRPr="0068236B">
        <w:rPr>
          <w:szCs w:val="28"/>
        </w:rPr>
        <w:t>Assessment</w:t>
      </w:r>
      <w:bookmarkEnd w:id="155"/>
    </w:p>
    <w:p w14:paraId="270C3B54" w14:textId="08383FAD" w:rsidR="0016799B" w:rsidRPr="0068236B" w:rsidRDefault="0016799B" w:rsidP="0016799B">
      <w:pPr>
        <w:rPr>
          <w:rFonts w:cs="Tahoma"/>
          <w:sz w:val="20"/>
        </w:rPr>
      </w:pPr>
      <w:bookmarkStart w:id="156" w:name="_Toc48829053"/>
      <w:bookmarkStart w:id="157" w:name="_Toc71559751"/>
      <w:r w:rsidRPr="0068236B">
        <w:rPr>
          <w:rFonts w:cs="Tahoma"/>
          <w:sz w:val="20"/>
        </w:rPr>
        <w:t>In this stage, the Project is developed to a feasibility level - to a detail considered sufficient to establish that the proposed developments are technically feasible and to allow initial assessment of their environmental and social integrity and effects, i.e. to a level of Technical Assessment (Conceptual Solution) that corr</w:t>
      </w:r>
      <w:r w:rsidRPr="0068236B">
        <w:rPr>
          <w:rFonts w:cs="Tahoma"/>
          <w:sz w:val="20"/>
        </w:rPr>
        <w:t>e</w:t>
      </w:r>
      <w:r w:rsidRPr="0068236B">
        <w:rPr>
          <w:rFonts w:cs="Tahoma"/>
          <w:sz w:val="20"/>
        </w:rPr>
        <w:t>sponds to a Feasibility Study. Therefore, the level of detail of the present E&amp;S assessment is compliant with that of the Project’s Conceptual Solution whose content and scope are not specifically regulated by the rel</w:t>
      </w:r>
      <w:r w:rsidRPr="0068236B">
        <w:rPr>
          <w:rFonts w:cs="Tahoma"/>
          <w:sz w:val="20"/>
        </w:rPr>
        <w:t>e</w:t>
      </w:r>
      <w:r w:rsidRPr="0068236B">
        <w:rPr>
          <w:rFonts w:cs="Tahoma"/>
          <w:sz w:val="20"/>
        </w:rPr>
        <w:t>vant Macedonian legislation</w:t>
      </w:r>
      <w:r w:rsidRPr="0068236B">
        <w:rPr>
          <w:rFonts w:cs="Tahoma"/>
          <w:sz w:val="20"/>
          <w:vertAlign w:val="superscript"/>
        </w:rPr>
        <w:footnoteReference w:id="63"/>
      </w:r>
      <w:r w:rsidRPr="0068236B">
        <w:rPr>
          <w:rFonts w:cs="Tahoma"/>
          <w:sz w:val="20"/>
        </w:rPr>
        <w:t>. As such, the Conceptual Solution is not considered as formalised design do</w:t>
      </w:r>
      <w:r w:rsidRPr="0068236B">
        <w:rPr>
          <w:rFonts w:cs="Tahoma"/>
          <w:sz w:val="20"/>
        </w:rPr>
        <w:t>c</w:t>
      </w:r>
      <w:r w:rsidRPr="0068236B">
        <w:rPr>
          <w:rFonts w:cs="Tahoma"/>
          <w:sz w:val="20"/>
        </w:rPr>
        <w:t>ument and no administrative consenting process for its adoption by the competent authorities is required. According to the general practice, this Conceptual Solution (in Macedonian: ‘Konceptualno reshenie’</w:t>
      </w:r>
      <w:r w:rsidRPr="0068236B">
        <w:rPr>
          <w:rStyle w:val="FootnoteReference"/>
          <w:rFonts w:cs="Tahoma"/>
          <w:sz w:val="20"/>
        </w:rPr>
        <w:footnoteReference w:id="64"/>
      </w:r>
      <w:r w:rsidRPr="0068236B">
        <w:rPr>
          <w:rFonts w:cs="Tahoma"/>
          <w:sz w:val="20"/>
        </w:rPr>
        <w:t>) co</w:t>
      </w:r>
      <w:r w:rsidRPr="0068236B">
        <w:rPr>
          <w:rFonts w:cs="Tahoma"/>
          <w:sz w:val="20"/>
        </w:rPr>
        <w:t>n</w:t>
      </w:r>
      <w:r w:rsidRPr="0068236B">
        <w:rPr>
          <w:rFonts w:cs="Tahoma"/>
          <w:sz w:val="20"/>
        </w:rPr>
        <w:t>tains in particular data on: macro-location and general disposition of the facility / infrastructure; technical-technological conception of the facility / infrastructure; the manner of providing the supporting infrastru</w:t>
      </w:r>
      <w:r w:rsidRPr="0068236B">
        <w:rPr>
          <w:rFonts w:cs="Tahoma"/>
          <w:sz w:val="20"/>
        </w:rPr>
        <w:t>c</w:t>
      </w:r>
      <w:r w:rsidRPr="0068236B">
        <w:rPr>
          <w:rFonts w:cs="Tahoma"/>
          <w:sz w:val="20"/>
        </w:rPr>
        <w:t xml:space="preserve">ture; possible variants of spatial and technical solutions from the point of view of fitting into space; natural conditions; functionality and rationality of the project solution.’ The Feasibility </w:t>
      </w:r>
      <w:r w:rsidR="005E6643" w:rsidRPr="0068236B">
        <w:rPr>
          <w:rFonts w:cs="Tahoma"/>
          <w:sz w:val="20"/>
        </w:rPr>
        <w:t>Study</w:t>
      </w:r>
      <w:r w:rsidRPr="0068236B">
        <w:rPr>
          <w:rFonts w:cs="Tahoma"/>
          <w:sz w:val="20"/>
        </w:rPr>
        <w:t xml:space="preserve"> and the Technical A</w:t>
      </w:r>
      <w:r w:rsidRPr="0068236B">
        <w:rPr>
          <w:rFonts w:cs="Tahoma"/>
          <w:sz w:val="20"/>
        </w:rPr>
        <w:t>s</w:t>
      </w:r>
      <w:r w:rsidRPr="0068236B">
        <w:rPr>
          <w:rFonts w:cs="Tahoma"/>
          <w:sz w:val="20"/>
        </w:rPr>
        <w:t>sessment (Conceptual Solution) comply with the respective EBRD requirements.</w:t>
      </w:r>
    </w:p>
    <w:p w14:paraId="1B4CD83D" w14:textId="5CE557DE" w:rsidR="0016799B" w:rsidRPr="0068236B" w:rsidRDefault="0016799B" w:rsidP="0016799B">
      <w:pPr>
        <w:rPr>
          <w:rFonts w:cs="Arial"/>
          <w:sz w:val="20"/>
          <w:szCs w:val="20"/>
        </w:rPr>
      </w:pPr>
      <w:r w:rsidRPr="0068236B">
        <w:rPr>
          <w:rFonts w:cs="Arial"/>
          <w:sz w:val="20"/>
          <w:szCs w:val="20"/>
        </w:rPr>
        <w:t>Further design, including precise location of towers and access roads will be undertaken once the more d</w:t>
      </w:r>
      <w:r w:rsidRPr="0068236B">
        <w:rPr>
          <w:rFonts w:cs="Arial"/>
          <w:sz w:val="20"/>
          <w:szCs w:val="20"/>
        </w:rPr>
        <w:t>e</w:t>
      </w:r>
      <w:r w:rsidRPr="0068236B">
        <w:rPr>
          <w:rFonts w:cs="Arial"/>
          <w:sz w:val="20"/>
          <w:szCs w:val="20"/>
        </w:rPr>
        <w:t>tailed technical design</w:t>
      </w:r>
      <w:r w:rsidRPr="0068236B">
        <w:rPr>
          <w:sz w:val="20"/>
          <w:szCs w:val="20"/>
        </w:rPr>
        <w:t xml:space="preserve"> </w:t>
      </w:r>
      <w:r w:rsidRPr="0068236B">
        <w:rPr>
          <w:rFonts w:cs="Arial"/>
          <w:sz w:val="20"/>
          <w:szCs w:val="20"/>
        </w:rPr>
        <w:t xml:space="preserve">(Preliminary Design and </w:t>
      </w:r>
      <w:r w:rsidR="003553E2" w:rsidRPr="0068236B">
        <w:rPr>
          <w:rFonts w:cs="Arial"/>
          <w:sz w:val="20"/>
          <w:szCs w:val="20"/>
        </w:rPr>
        <w:t>Detailed</w:t>
      </w:r>
      <w:r w:rsidRPr="0068236B">
        <w:rPr>
          <w:rFonts w:cs="Arial"/>
          <w:sz w:val="20"/>
          <w:szCs w:val="20"/>
        </w:rPr>
        <w:t xml:space="preserve"> Design) as required by the Macedonian relevant legislation are developed and prior to construction commencing. </w:t>
      </w:r>
      <w:r w:rsidRPr="0068236B">
        <w:rPr>
          <w:sz w:val="20"/>
        </w:rPr>
        <w:t xml:space="preserve">This change or refinement of the feasibility design (Conceptual Solution) will be within the limits of deviation defined as a 500 m wide </w:t>
      </w:r>
      <w:r w:rsidR="00352F26" w:rsidRPr="0068236B">
        <w:rPr>
          <w:sz w:val="20"/>
        </w:rPr>
        <w:t xml:space="preserve">planning </w:t>
      </w:r>
      <w:r w:rsidRPr="0068236B">
        <w:rPr>
          <w:sz w:val="20"/>
        </w:rPr>
        <w:t xml:space="preserve">corridor along the transmission lines where </w:t>
      </w:r>
      <w:r w:rsidRPr="0068236B">
        <w:rPr>
          <w:rFonts w:cs="Arial"/>
          <w:sz w:val="20"/>
          <w:szCs w:val="20"/>
        </w:rPr>
        <w:t xml:space="preserve">individual towers can be moved laterally or longitudinally </w:t>
      </w:r>
      <w:r w:rsidRPr="0068236B">
        <w:rPr>
          <w:sz w:val="20"/>
        </w:rPr>
        <w:t>and a 100 m buffer around proposed substation location.</w:t>
      </w:r>
      <w:r w:rsidRPr="0068236B">
        <w:rPr>
          <w:rFonts w:cs="Arial"/>
          <w:sz w:val="20"/>
          <w:szCs w:val="20"/>
        </w:rPr>
        <w:t xml:space="preserve"> </w:t>
      </w:r>
      <w:r w:rsidRPr="0068236B">
        <w:rPr>
          <w:sz w:val="20"/>
        </w:rPr>
        <w:t>It is anticipated that the majority of the refinement of the cu</w:t>
      </w:r>
      <w:r w:rsidRPr="0068236B">
        <w:rPr>
          <w:sz w:val="20"/>
        </w:rPr>
        <w:t>r</w:t>
      </w:r>
      <w:r w:rsidRPr="0068236B">
        <w:rPr>
          <w:sz w:val="20"/>
        </w:rPr>
        <w:t>rent feasibility design will</w:t>
      </w:r>
      <w:r w:rsidR="00AC2E02" w:rsidRPr="0068236B">
        <w:rPr>
          <w:sz w:val="20"/>
        </w:rPr>
        <w:t xml:space="preserve"> be within this corridor/buffer and, taken into the consideration the nature and the scale of Pro</w:t>
      </w:r>
      <w:r w:rsidR="00352F26" w:rsidRPr="0068236B">
        <w:rPr>
          <w:sz w:val="20"/>
        </w:rPr>
        <w:t xml:space="preserve">ject, </w:t>
      </w:r>
      <w:r w:rsidR="00352F26" w:rsidRPr="0068236B">
        <w:rPr>
          <w:rFonts w:cs="Tahoma"/>
          <w:sz w:val="20"/>
          <w:szCs w:val="20"/>
        </w:rPr>
        <w:t>further design development or refinement in this regard is not likely to be undertaken.</w:t>
      </w:r>
      <w:r w:rsidR="00352F26" w:rsidRPr="0068236B">
        <w:rPr>
          <w:rFonts w:cs="Arial"/>
          <w:sz w:val="20"/>
          <w:szCs w:val="20"/>
        </w:rPr>
        <w:t xml:space="preserve"> </w:t>
      </w:r>
      <w:r w:rsidRPr="0068236B">
        <w:rPr>
          <w:rFonts w:cs="Arial"/>
          <w:sz w:val="20"/>
          <w:szCs w:val="20"/>
        </w:rPr>
        <w:t>Where technical details of the Project have still to be finalized, such as detailed construction methods, etc., standard practice assumptions are made in the E&amp;S assessment to allow potential impacts to be identified and appropriate mitigation formulated</w:t>
      </w:r>
      <w:r w:rsidR="0055467F" w:rsidRPr="0068236B">
        <w:rPr>
          <w:rFonts w:cs="Arial"/>
          <w:sz w:val="20"/>
          <w:szCs w:val="20"/>
        </w:rPr>
        <w:t xml:space="preserve"> (see Section 5.9)</w:t>
      </w:r>
      <w:r w:rsidRPr="0068236B">
        <w:rPr>
          <w:rFonts w:cs="Arial"/>
          <w:sz w:val="20"/>
          <w:szCs w:val="20"/>
        </w:rPr>
        <w:t>.</w:t>
      </w:r>
    </w:p>
    <w:p w14:paraId="1902F33F" w14:textId="41A998AA" w:rsidR="00AC2E02" w:rsidRPr="0068236B" w:rsidRDefault="00AC2E02" w:rsidP="00AC2E02">
      <w:pPr>
        <w:pStyle w:val="Heading2"/>
        <w:spacing w:before="480" w:after="240"/>
        <w:ind w:left="576" w:hanging="576"/>
        <w:rPr>
          <w:szCs w:val="28"/>
        </w:rPr>
      </w:pPr>
      <w:bookmarkStart w:id="158" w:name="_Toc112852229"/>
      <w:r w:rsidRPr="0068236B">
        <w:rPr>
          <w:rFonts w:cs="Tahoma"/>
        </w:rPr>
        <w:lastRenderedPageBreak/>
        <w:t>Managing Changes to Design</w:t>
      </w:r>
      <w:bookmarkEnd w:id="158"/>
    </w:p>
    <w:p w14:paraId="11080723" w14:textId="73501F7C" w:rsidR="0099694E" w:rsidRPr="0068236B" w:rsidRDefault="0099694E" w:rsidP="0099694E">
      <w:pPr>
        <w:rPr>
          <w:rFonts w:cs="Tahoma"/>
          <w:sz w:val="20"/>
          <w:szCs w:val="20"/>
        </w:rPr>
      </w:pPr>
      <w:r w:rsidRPr="0068236B">
        <w:rPr>
          <w:rFonts w:cs="Tahoma"/>
          <w:sz w:val="20"/>
          <w:szCs w:val="20"/>
        </w:rPr>
        <w:t>This E&amp;S Assessment Report has been prepared based on the Project’s Technical Assessment</w:t>
      </w:r>
      <w:r w:rsidRPr="0068236B">
        <w:rPr>
          <w:rStyle w:val="FootnoteReference"/>
          <w:rFonts w:cs="Tahoma"/>
          <w:sz w:val="20"/>
          <w:szCs w:val="20"/>
        </w:rPr>
        <w:footnoteReference w:id="65"/>
      </w:r>
      <w:r w:rsidRPr="0068236B">
        <w:rPr>
          <w:rFonts w:cs="Tahoma"/>
          <w:sz w:val="20"/>
          <w:szCs w:val="20"/>
        </w:rPr>
        <w:t xml:space="preserve"> </w:t>
      </w:r>
      <w:r w:rsidRPr="0068236B">
        <w:rPr>
          <w:rFonts w:cs="Tahoma"/>
          <w:sz w:val="20"/>
        </w:rPr>
        <w:t xml:space="preserve">(Conceptual Solution) that corresponds to a Feasibility Study </w:t>
      </w:r>
      <w:r w:rsidRPr="0068236B">
        <w:rPr>
          <w:rFonts w:cs="Tahoma"/>
          <w:sz w:val="20"/>
          <w:szCs w:val="20"/>
        </w:rPr>
        <w:t xml:space="preserve">as described in the previous sub-section. As stated above, as usual for projects of this scale, further design development or refinement outside of the 500 metres wide planning corridor </w:t>
      </w:r>
      <w:r w:rsidRPr="0068236B">
        <w:rPr>
          <w:rFonts w:cs="Tahoma"/>
          <w:sz w:val="20"/>
        </w:rPr>
        <w:t>and the 100 m buffer around proposed substation location</w:t>
      </w:r>
      <w:r w:rsidRPr="0068236B">
        <w:rPr>
          <w:rFonts w:cs="Tahoma"/>
          <w:sz w:val="20"/>
          <w:szCs w:val="20"/>
        </w:rPr>
        <w:t xml:space="preserve"> is not likely to be undertaken.</w:t>
      </w:r>
      <w:r w:rsidR="00562E86" w:rsidRPr="0068236B">
        <w:rPr>
          <w:rFonts w:cs="Tahoma"/>
          <w:sz w:val="20"/>
          <w:szCs w:val="20"/>
        </w:rPr>
        <w:t xml:space="preserve"> </w:t>
      </w:r>
      <w:r w:rsidRPr="0068236B">
        <w:rPr>
          <w:rFonts w:cs="Tahoma"/>
          <w:sz w:val="20"/>
          <w:szCs w:val="20"/>
        </w:rPr>
        <w:t xml:space="preserve">Any changes to the design within these areas have been assessed by the E&amp;S assessment process and will not require re-assessment or approval by Project parties (including the Lender) as well as the Macedonian competent authorities. </w:t>
      </w:r>
    </w:p>
    <w:p w14:paraId="7C06935E" w14:textId="78730135" w:rsidR="0099694E" w:rsidRPr="0068236B" w:rsidRDefault="0099694E" w:rsidP="0099694E">
      <w:pPr>
        <w:rPr>
          <w:rFonts w:cs="Tahoma"/>
          <w:sz w:val="20"/>
          <w:szCs w:val="20"/>
        </w:rPr>
      </w:pPr>
      <w:r w:rsidRPr="0068236B">
        <w:rPr>
          <w:rFonts w:cs="Tahoma"/>
          <w:sz w:val="20"/>
          <w:szCs w:val="20"/>
        </w:rPr>
        <w:t>However, if changes to design beyond these limits occur, they will require further E&amp;S consideration and may be subject to supplementary assessment. If these changes are material, they may require approval by Project parties.</w:t>
      </w:r>
      <w:r w:rsidR="00562E86" w:rsidRPr="0068236B">
        <w:rPr>
          <w:rFonts w:cs="Tahoma"/>
          <w:sz w:val="20"/>
          <w:szCs w:val="20"/>
        </w:rPr>
        <w:t xml:space="preserve"> </w:t>
      </w:r>
      <w:r w:rsidRPr="0068236B">
        <w:rPr>
          <w:rFonts w:cs="Tahoma"/>
          <w:sz w:val="20"/>
          <w:szCs w:val="20"/>
        </w:rPr>
        <w:t>This process is described in the Management of Change Procedure (MCP) as described in the Project’s Environmental and Social Management Plan.</w:t>
      </w:r>
    </w:p>
    <w:p w14:paraId="235077B2" w14:textId="445269CE" w:rsidR="0099694E" w:rsidRPr="0068236B" w:rsidRDefault="0099694E" w:rsidP="0099694E">
      <w:pPr>
        <w:rPr>
          <w:rFonts w:cs="Tahoma"/>
          <w:sz w:val="20"/>
          <w:szCs w:val="20"/>
        </w:rPr>
      </w:pPr>
      <w:r w:rsidRPr="0068236B">
        <w:rPr>
          <w:rFonts w:cs="Tahoma"/>
          <w:sz w:val="20"/>
          <w:szCs w:val="20"/>
        </w:rPr>
        <w:t>The MCP sets out how the potential environmental and social implications of design changes would be a</w:t>
      </w:r>
      <w:r w:rsidRPr="0068236B">
        <w:rPr>
          <w:rFonts w:cs="Tahoma"/>
          <w:sz w:val="20"/>
          <w:szCs w:val="20"/>
        </w:rPr>
        <w:t>s</w:t>
      </w:r>
      <w:r w:rsidRPr="0068236B">
        <w:rPr>
          <w:rFonts w:cs="Tahoma"/>
          <w:sz w:val="20"/>
          <w:szCs w:val="20"/>
        </w:rPr>
        <w:t>sessed. The assessment of the design change would aim to ensure that adequate mitigation is adopted to minimise and avoid effects where any deviations to the Project described in the Technical Assessment and this E&amp;S Assessment Report are proposed.</w:t>
      </w:r>
      <w:r w:rsidR="00562E86" w:rsidRPr="0068236B">
        <w:rPr>
          <w:rFonts w:cs="Tahoma"/>
          <w:sz w:val="20"/>
          <w:szCs w:val="20"/>
        </w:rPr>
        <w:t xml:space="preserve"> </w:t>
      </w:r>
    </w:p>
    <w:p w14:paraId="610CB12B" w14:textId="367F05B2" w:rsidR="0099694E" w:rsidRPr="0068236B" w:rsidRDefault="0099694E" w:rsidP="0099694E">
      <w:pPr>
        <w:rPr>
          <w:rFonts w:cs="Tahoma"/>
          <w:sz w:val="20"/>
          <w:szCs w:val="20"/>
        </w:rPr>
      </w:pPr>
      <w:r w:rsidRPr="0068236B">
        <w:rPr>
          <w:rFonts w:cs="Tahoma"/>
          <w:sz w:val="20"/>
          <w:szCs w:val="20"/>
        </w:rPr>
        <w:t>Potential changes can be triggered at either the design stage of the Project implementation or during co</w:t>
      </w:r>
      <w:r w:rsidRPr="0068236B">
        <w:rPr>
          <w:rFonts w:cs="Tahoma"/>
          <w:sz w:val="20"/>
          <w:szCs w:val="20"/>
        </w:rPr>
        <w:t>n</w:t>
      </w:r>
      <w:r w:rsidRPr="0068236B">
        <w:rPr>
          <w:rFonts w:cs="Tahoma"/>
          <w:sz w:val="20"/>
          <w:szCs w:val="20"/>
        </w:rPr>
        <w:t>struction and can be initiated by various stakeholders (MEPSO, the Lender, concerned community or the Contractor). Regardless of the trigger source, any potential changes in design would be formally processed through the MCP.</w:t>
      </w:r>
      <w:r w:rsidR="00562E86" w:rsidRPr="0068236B">
        <w:rPr>
          <w:rFonts w:cs="Tahoma"/>
          <w:sz w:val="20"/>
          <w:szCs w:val="20"/>
        </w:rPr>
        <w:t xml:space="preserve"> </w:t>
      </w:r>
      <w:r w:rsidRPr="0068236B">
        <w:rPr>
          <w:rFonts w:cs="Tahoma"/>
          <w:sz w:val="20"/>
          <w:szCs w:val="20"/>
        </w:rPr>
        <w:t>MEPSO has the overall responsibility for the management of the MCP.</w:t>
      </w:r>
      <w:r w:rsidR="00562E86" w:rsidRPr="0068236B">
        <w:rPr>
          <w:rFonts w:cs="Tahoma"/>
          <w:sz w:val="20"/>
          <w:szCs w:val="20"/>
        </w:rPr>
        <w:t xml:space="preserve"> </w:t>
      </w:r>
      <w:r w:rsidRPr="0068236B">
        <w:rPr>
          <w:rFonts w:cs="Tahoma"/>
          <w:sz w:val="20"/>
          <w:szCs w:val="20"/>
        </w:rPr>
        <w:t>During the upco</w:t>
      </w:r>
      <w:r w:rsidRPr="0068236B">
        <w:rPr>
          <w:rFonts w:cs="Tahoma"/>
          <w:sz w:val="20"/>
          <w:szCs w:val="20"/>
        </w:rPr>
        <w:t>m</w:t>
      </w:r>
      <w:r w:rsidRPr="0068236B">
        <w:rPr>
          <w:rFonts w:cs="Tahoma"/>
          <w:sz w:val="20"/>
          <w:szCs w:val="20"/>
        </w:rPr>
        <w:t>i</w:t>
      </w:r>
      <w:r w:rsidR="003553E2" w:rsidRPr="0068236B">
        <w:rPr>
          <w:rFonts w:cs="Tahoma"/>
          <w:sz w:val="20"/>
          <w:szCs w:val="20"/>
        </w:rPr>
        <w:t>ng Project development phases (P</w:t>
      </w:r>
      <w:r w:rsidRPr="0068236B">
        <w:rPr>
          <w:rFonts w:cs="Tahoma"/>
          <w:sz w:val="20"/>
          <w:szCs w:val="20"/>
        </w:rPr>
        <w:t xml:space="preserve">reliminary </w:t>
      </w:r>
      <w:r w:rsidR="003553E2" w:rsidRPr="0068236B">
        <w:rPr>
          <w:rFonts w:cs="Tahoma"/>
          <w:sz w:val="20"/>
          <w:szCs w:val="20"/>
        </w:rPr>
        <w:t>D</w:t>
      </w:r>
      <w:r w:rsidRPr="0068236B">
        <w:rPr>
          <w:rFonts w:cs="Tahoma"/>
          <w:sz w:val="20"/>
          <w:szCs w:val="20"/>
        </w:rPr>
        <w:t xml:space="preserve">esign and </w:t>
      </w:r>
      <w:r w:rsidR="003553E2" w:rsidRPr="0068236B">
        <w:rPr>
          <w:rFonts w:cs="Tahoma"/>
          <w:sz w:val="20"/>
          <w:szCs w:val="20"/>
        </w:rPr>
        <w:t>D</w:t>
      </w:r>
      <w:r w:rsidRPr="0068236B">
        <w:rPr>
          <w:rFonts w:cs="Tahoma"/>
          <w:sz w:val="20"/>
          <w:szCs w:val="20"/>
        </w:rPr>
        <w:t xml:space="preserve">etailed </w:t>
      </w:r>
      <w:r w:rsidR="003553E2" w:rsidRPr="0068236B">
        <w:rPr>
          <w:rFonts w:cs="Tahoma"/>
          <w:sz w:val="20"/>
          <w:szCs w:val="20"/>
        </w:rPr>
        <w:t>D</w:t>
      </w:r>
      <w:r w:rsidRPr="0068236B">
        <w:rPr>
          <w:rFonts w:cs="Tahoma"/>
          <w:sz w:val="20"/>
          <w:szCs w:val="20"/>
        </w:rPr>
        <w:t xml:space="preserve">esign) and the construction period, MEPSO would play a key role in the implementation of the MCP. </w:t>
      </w:r>
    </w:p>
    <w:p w14:paraId="773407D0" w14:textId="77777777" w:rsidR="00240E6E" w:rsidRPr="0068236B" w:rsidRDefault="00240E6E" w:rsidP="00240E6E">
      <w:pPr>
        <w:pStyle w:val="Heading2"/>
        <w:spacing w:before="480" w:after="240"/>
        <w:ind w:left="576" w:hanging="576"/>
        <w:rPr>
          <w:szCs w:val="28"/>
        </w:rPr>
      </w:pPr>
      <w:bookmarkStart w:id="159" w:name="_Toc112852230"/>
      <w:r w:rsidRPr="0068236B">
        <w:rPr>
          <w:szCs w:val="28"/>
        </w:rPr>
        <w:t>Approach to the Assessment</w:t>
      </w:r>
      <w:bookmarkEnd w:id="156"/>
      <w:bookmarkEnd w:id="157"/>
      <w:bookmarkEnd w:id="159"/>
    </w:p>
    <w:p w14:paraId="221CC035" w14:textId="2973FE6C" w:rsidR="00240E6E" w:rsidRPr="0068236B" w:rsidRDefault="00240E6E" w:rsidP="00240E6E">
      <w:pPr>
        <w:rPr>
          <w:sz w:val="20"/>
        </w:rPr>
      </w:pPr>
      <w:r w:rsidRPr="0068236B">
        <w:rPr>
          <w:sz w:val="20"/>
        </w:rPr>
        <w:t xml:space="preserve">A common approach to the assessment of each </w:t>
      </w:r>
      <w:r w:rsidR="001E342C" w:rsidRPr="0068236B">
        <w:rPr>
          <w:sz w:val="20"/>
        </w:rPr>
        <w:t>E&amp;S</w:t>
      </w:r>
      <w:r w:rsidRPr="0068236B">
        <w:rPr>
          <w:sz w:val="20"/>
        </w:rPr>
        <w:t xml:space="preserve"> topic </w:t>
      </w:r>
      <w:r w:rsidR="00DB0324" w:rsidRPr="0068236B">
        <w:rPr>
          <w:sz w:val="20"/>
        </w:rPr>
        <w:t xml:space="preserve">was </w:t>
      </w:r>
      <w:r w:rsidRPr="0068236B">
        <w:rPr>
          <w:sz w:val="20"/>
        </w:rPr>
        <w:t xml:space="preserve">followed and reporting the assessment of each relevant topic in the </w:t>
      </w:r>
      <w:r w:rsidR="001E342C" w:rsidRPr="0068236B">
        <w:rPr>
          <w:sz w:val="20"/>
        </w:rPr>
        <w:t xml:space="preserve">E&amp;S appraisal </w:t>
      </w:r>
      <w:r w:rsidR="00DB0324" w:rsidRPr="0068236B">
        <w:rPr>
          <w:sz w:val="20"/>
        </w:rPr>
        <w:t>is</w:t>
      </w:r>
      <w:r w:rsidRPr="0068236B">
        <w:rPr>
          <w:sz w:val="20"/>
        </w:rPr>
        <w:t xml:space="preserve"> structured using a similar format as far as possible. This include</w:t>
      </w:r>
      <w:r w:rsidR="00DB0324" w:rsidRPr="0068236B">
        <w:rPr>
          <w:sz w:val="20"/>
        </w:rPr>
        <w:t>d</w:t>
      </w:r>
      <w:r w:rsidRPr="0068236B">
        <w:rPr>
          <w:sz w:val="20"/>
        </w:rPr>
        <w:t>:</w:t>
      </w:r>
    </w:p>
    <w:p w14:paraId="44067EA8" w14:textId="77777777" w:rsidR="00240E6E" w:rsidRPr="0068236B" w:rsidRDefault="00240E6E" w:rsidP="00D24CEF">
      <w:pPr>
        <w:pStyle w:val="ListBullet"/>
        <w:numPr>
          <w:ilvl w:val="0"/>
          <w:numId w:val="97"/>
        </w:numPr>
        <w:jc w:val="left"/>
        <w:rPr>
          <w:sz w:val="20"/>
        </w:rPr>
      </w:pPr>
      <w:r w:rsidRPr="0068236B">
        <w:rPr>
          <w:sz w:val="20"/>
        </w:rPr>
        <w:t>establishing the key baseline conditions of the receiving environment through a combination of desk review and site visits;</w:t>
      </w:r>
    </w:p>
    <w:p w14:paraId="4835BEDC" w14:textId="77777777" w:rsidR="00240E6E" w:rsidRPr="0068236B" w:rsidRDefault="00240E6E" w:rsidP="00D24CEF">
      <w:pPr>
        <w:pStyle w:val="ListBullet"/>
        <w:numPr>
          <w:ilvl w:val="0"/>
          <w:numId w:val="97"/>
        </w:numPr>
        <w:jc w:val="left"/>
        <w:rPr>
          <w:sz w:val="20"/>
        </w:rPr>
      </w:pPr>
      <w:r w:rsidRPr="0068236B">
        <w:rPr>
          <w:sz w:val="20"/>
        </w:rPr>
        <w:t>identifying and assessing the changes on that receiving environment (potential impacts) which the Project could have - adverse and beneficial – based on a set of assessment criteria;</w:t>
      </w:r>
    </w:p>
    <w:p w14:paraId="50E7D0DE" w14:textId="3D360635" w:rsidR="00240E6E" w:rsidRPr="0068236B" w:rsidRDefault="00240E6E" w:rsidP="00D24CEF">
      <w:pPr>
        <w:pStyle w:val="ListBullet"/>
        <w:numPr>
          <w:ilvl w:val="0"/>
          <w:numId w:val="97"/>
        </w:numPr>
        <w:jc w:val="left"/>
        <w:rPr>
          <w:b/>
          <w:sz w:val="20"/>
        </w:rPr>
      </w:pPr>
      <w:r w:rsidRPr="0068236B">
        <w:rPr>
          <w:sz w:val="20"/>
        </w:rPr>
        <w:t>determining the significance of those changes (potential impacts) as a function of their predic</w:t>
      </w:r>
      <w:r w:rsidRPr="0068236B">
        <w:rPr>
          <w:sz w:val="20"/>
        </w:rPr>
        <w:t>t</w:t>
      </w:r>
      <w:r w:rsidRPr="0068236B">
        <w:rPr>
          <w:sz w:val="20"/>
        </w:rPr>
        <w:t>ed magnitude and the sensitivity/ value of the resource/</w:t>
      </w:r>
      <w:r w:rsidR="00DB0324" w:rsidRPr="0068236B">
        <w:rPr>
          <w:sz w:val="20"/>
        </w:rPr>
        <w:t xml:space="preserve"> receptor being affected. This was an</w:t>
      </w:r>
      <w:r w:rsidRPr="0068236B">
        <w:rPr>
          <w:sz w:val="20"/>
        </w:rPr>
        <w:t xml:space="preserve"> iterative process, whereby the </w:t>
      </w:r>
      <w:r w:rsidR="001E342C" w:rsidRPr="0068236B">
        <w:rPr>
          <w:sz w:val="20"/>
        </w:rPr>
        <w:t>E&amp;S</w:t>
      </w:r>
      <w:r w:rsidRPr="0068236B">
        <w:rPr>
          <w:sz w:val="20"/>
        </w:rPr>
        <w:t xml:space="preserve"> team </w:t>
      </w:r>
      <w:r w:rsidR="00DB0324" w:rsidRPr="0068236B">
        <w:rPr>
          <w:sz w:val="20"/>
        </w:rPr>
        <w:t>was informing</w:t>
      </w:r>
      <w:r w:rsidRPr="0068236B">
        <w:rPr>
          <w:sz w:val="20"/>
        </w:rPr>
        <w:t xml:space="preserve"> the engineering team about the pote</w:t>
      </w:r>
      <w:r w:rsidRPr="0068236B">
        <w:rPr>
          <w:sz w:val="20"/>
        </w:rPr>
        <w:t>n</w:t>
      </w:r>
      <w:r w:rsidRPr="0068236B">
        <w:rPr>
          <w:sz w:val="20"/>
        </w:rPr>
        <w:t xml:space="preserve">tial for adverse effects from the Project and, consequently, the engineering team </w:t>
      </w:r>
      <w:r w:rsidR="00DB0324" w:rsidRPr="0068236B">
        <w:rPr>
          <w:sz w:val="20"/>
        </w:rPr>
        <w:t xml:space="preserve">was </w:t>
      </w:r>
      <w:r w:rsidRPr="0068236B">
        <w:rPr>
          <w:sz w:val="20"/>
        </w:rPr>
        <w:t>taking i</w:t>
      </w:r>
      <w:r w:rsidRPr="0068236B">
        <w:rPr>
          <w:sz w:val="20"/>
        </w:rPr>
        <w:t>n</w:t>
      </w:r>
      <w:r w:rsidRPr="0068236B">
        <w:rPr>
          <w:sz w:val="20"/>
        </w:rPr>
        <w:t xml:space="preserve">to account these issues in refining the Conceptual </w:t>
      </w:r>
      <w:r w:rsidR="001E342C" w:rsidRPr="0068236B">
        <w:rPr>
          <w:sz w:val="20"/>
        </w:rPr>
        <w:t>Solution</w:t>
      </w:r>
      <w:r w:rsidRPr="0068236B">
        <w:rPr>
          <w:sz w:val="20"/>
        </w:rPr>
        <w:t xml:space="preserve"> in order to avoid, as much as poss</w:t>
      </w:r>
      <w:r w:rsidRPr="0068236B">
        <w:rPr>
          <w:sz w:val="20"/>
        </w:rPr>
        <w:t>i</w:t>
      </w:r>
      <w:r w:rsidRPr="0068236B">
        <w:rPr>
          <w:sz w:val="20"/>
        </w:rPr>
        <w:t>ble, those effects; and</w:t>
      </w:r>
    </w:p>
    <w:p w14:paraId="6844B168" w14:textId="5E19B494" w:rsidR="00240E6E" w:rsidRPr="0068236B" w:rsidRDefault="00240E6E" w:rsidP="00D24CEF">
      <w:pPr>
        <w:pStyle w:val="ListBullet"/>
        <w:numPr>
          <w:ilvl w:val="0"/>
          <w:numId w:val="97"/>
        </w:numPr>
        <w:jc w:val="left"/>
        <w:rPr>
          <w:b/>
          <w:sz w:val="20"/>
        </w:rPr>
      </w:pPr>
      <w:r w:rsidRPr="0068236B">
        <w:rPr>
          <w:sz w:val="20"/>
        </w:rPr>
        <w:t>prescribing key mitigation for those impacts which are likely to have, either by themselves or in combination with other impacts, a significant adverse environmental or social effect. This mit</w:t>
      </w:r>
      <w:r w:rsidRPr="0068236B">
        <w:rPr>
          <w:sz w:val="20"/>
        </w:rPr>
        <w:t>i</w:t>
      </w:r>
      <w:r w:rsidRPr="0068236B">
        <w:rPr>
          <w:sz w:val="20"/>
        </w:rPr>
        <w:t xml:space="preserve">gation </w:t>
      </w:r>
      <w:r w:rsidR="00DB0324" w:rsidRPr="0068236B">
        <w:rPr>
          <w:sz w:val="20"/>
        </w:rPr>
        <w:t xml:space="preserve">is </w:t>
      </w:r>
      <w:r w:rsidRPr="0068236B">
        <w:rPr>
          <w:sz w:val="20"/>
        </w:rPr>
        <w:t>designed to prevent, reduce and, where possible, offset any significant adverse e</w:t>
      </w:r>
      <w:r w:rsidRPr="0068236B">
        <w:rPr>
          <w:sz w:val="20"/>
        </w:rPr>
        <w:t>f</w:t>
      </w:r>
      <w:r w:rsidRPr="0068236B">
        <w:rPr>
          <w:sz w:val="20"/>
        </w:rPr>
        <w:t>fects.</w:t>
      </w:r>
    </w:p>
    <w:p w14:paraId="2E56DE0A" w14:textId="77777777" w:rsidR="00240E6E" w:rsidRPr="0068236B" w:rsidRDefault="00240E6E" w:rsidP="00240E6E">
      <w:pPr>
        <w:pStyle w:val="Heading2"/>
        <w:spacing w:before="480" w:after="240"/>
        <w:ind w:left="576" w:hanging="576"/>
        <w:rPr>
          <w:rFonts w:cs="Arial"/>
          <w:szCs w:val="28"/>
        </w:rPr>
      </w:pPr>
      <w:bookmarkStart w:id="160" w:name="_Toc48829054"/>
      <w:bookmarkStart w:id="161" w:name="_Toc71559752"/>
      <w:bookmarkStart w:id="162" w:name="_Toc112852231"/>
      <w:r w:rsidRPr="0068236B">
        <w:rPr>
          <w:rFonts w:cs="Arial"/>
          <w:szCs w:val="28"/>
        </w:rPr>
        <w:lastRenderedPageBreak/>
        <w:t>Interaction with the Technical Design</w:t>
      </w:r>
      <w:bookmarkEnd w:id="160"/>
      <w:bookmarkEnd w:id="161"/>
      <w:bookmarkEnd w:id="162"/>
      <w:r w:rsidRPr="0068236B">
        <w:rPr>
          <w:rFonts w:cs="Arial"/>
          <w:szCs w:val="28"/>
        </w:rPr>
        <w:t xml:space="preserve"> </w:t>
      </w:r>
    </w:p>
    <w:p w14:paraId="5590F7C1" w14:textId="5C98F1AC" w:rsidR="00240E6E" w:rsidRPr="0068236B" w:rsidRDefault="00240E6E" w:rsidP="00240E6E">
      <w:pPr>
        <w:rPr>
          <w:sz w:val="20"/>
        </w:rPr>
      </w:pPr>
      <w:r w:rsidRPr="0068236B">
        <w:rPr>
          <w:sz w:val="20"/>
        </w:rPr>
        <w:t xml:space="preserve">The </w:t>
      </w:r>
      <w:r w:rsidR="001E342C" w:rsidRPr="0068236B">
        <w:rPr>
          <w:sz w:val="20"/>
        </w:rPr>
        <w:t>E&amp;S appraisal</w:t>
      </w:r>
      <w:r w:rsidRPr="0068236B">
        <w:rPr>
          <w:sz w:val="20"/>
        </w:rPr>
        <w:t xml:space="preserve"> and Conceptual </w:t>
      </w:r>
      <w:r w:rsidR="001E342C" w:rsidRPr="0068236B">
        <w:rPr>
          <w:sz w:val="20"/>
        </w:rPr>
        <w:t>Solution</w:t>
      </w:r>
      <w:r w:rsidRPr="0068236B">
        <w:rPr>
          <w:sz w:val="20"/>
        </w:rPr>
        <w:t xml:space="preserve"> processes interact with each other, with both being informed by two-way communication, combined with ongoing consultation and discussion with various relevant project stakeholders. </w:t>
      </w:r>
    </w:p>
    <w:p w14:paraId="357D83F3" w14:textId="044B24FE" w:rsidR="00240E6E" w:rsidRPr="0068236B" w:rsidRDefault="00240E6E" w:rsidP="00240E6E">
      <w:pPr>
        <w:rPr>
          <w:sz w:val="20"/>
        </w:rPr>
      </w:pPr>
      <w:r w:rsidRPr="0068236B">
        <w:rPr>
          <w:sz w:val="20"/>
        </w:rPr>
        <w:t xml:space="preserve">This process of synergy, based on the views / inputs from the </w:t>
      </w:r>
      <w:r w:rsidR="001E342C" w:rsidRPr="0068236B">
        <w:rPr>
          <w:sz w:val="20"/>
        </w:rPr>
        <w:t>E&amp;S appraisal</w:t>
      </w:r>
      <w:r w:rsidRPr="0068236B">
        <w:rPr>
          <w:sz w:val="20"/>
        </w:rPr>
        <w:t>, has interacted with the de</w:t>
      </w:r>
      <w:r w:rsidR="001E342C" w:rsidRPr="0068236B">
        <w:rPr>
          <w:sz w:val="20"/>
        </w:rPr>
        <w:t>sign process from the earliest P</w:t>
      </w:r>
      <w:r w:rsidRPr="0068236B">
        <w:rPr>
          <w:sz w:val="20"/>
        </w:rPr>
        <w:t xml:space="preserve">roject development stage. Such approach has informed the design process with relevant early E&amp;S-related proposals in the scope of the </w:t>
      </w:r>
      <w:r w:rsidR="00A863AB" w:rsidRPr="0068236B">
        <w:rPr>
          <w:sz w:val="20"/>
        </w:rPr>
        <w:t xml:space="preserve">process for </w:t>
      </w:r>
      <w:r w:rsidRPr="0068236B">
        <w:rPr>
          <w:sz w:val="20"/>
        </w:rPr>
        <w:t>selection</w:t>
      </w:r>
      <w:r w:rsidR="00A863AB" w:rsidRPr="0068236B">
        <w:rPr>
          <w:sz w:val="20"/>
        </w:rPr>
        <w:t xml:space="preserve"> of the preferred Project option</w:t>
      </w:r>
      <w:r w:rsidRPr="0068236B">
        <w:rPr>
          <w:sz w:val="20"/>
        </w:rPr>
        <w:t xml:space="preserve"> thus achieving ‘mitigation through design’ precautionary goal for impact avoidance. This approach further continue</w:t>
      </w:r>
      <w:r w:rsidR="00DB0324" w:rsidRPr="0068236B">
        <w:rPr>
          <w:sz w:val="20"/>
        </w:rPr>
        <w:t>d</w:t>
      </w:r>
      <w:r w:rsidRPr="0068236B">
        <w:rPr>
          <w:sz w:val="20"/>
        </w:rPr>
        <w:t xml:space="preserve"> throughout </w:t>
      </w:r>
      <w:r w:rsidR="00DB0324" w:rsidRPr="0068236B">
        <w:rPr>
          <w:sz w:val="20"/>
        </w:rPr>
        <w:t xml:space="preserve">the main E&amp;S appraisal stage </w:t>
      </w:r>
      <w:r w:rsidRPr="0068236B">
        <w:rPr>
          <w:sz w:val="20"/>
        </w:rPr>
        <w:t>in order to reduce the likelihood of the Project being designed on a basis that already has built-in negative E&amp;S effects which could have been avoided.</w:t>
      </w:r>
    </w:p>
    <w:p w14:paraId="2B3BDD24" w14:textId="15C96768" w:rsidR="00240E6E" w:rsidRPr="0068236B" w:rsidRDefault="00240E6E" w:rsidP="00240E6E">
      <w:pPr>
        <w:rPr>
          <w:sz w:val="20"/>
        </w:rPr>
      </w:pPr>
      <w:r w:rsidRPr="0068236B">
        <w:rPr>
          <w:sz w:val="20"/>
        </w:rPr>
        <w:t>The process of synergy continue</w:t>
      </w:r>
      <w:r w:rsidR="00DB0324" w:rsidRPr="0068236B">
        <w:rPr>
          <w:sz w:val="20"/>
        </w:rPr>
        <w:t>d</w:t>
      </w:r>
      <w:r w:rsidRPr="0068236B">
        <w:rPr>
          <w:sz w:val="20"/>
        </w:rPr>
        <w:t xml:space="preserve"> until the </w:t>
      </w:r>
      <w:r w:rsidR="00A863AB" w:rsidRPr="0068236B">
        <w:rPr>
          <w:sz w:val="20"/>
        </w:rPr>
        <w:t xml:space="preserve">engineering </w:t>
      </w:r>
      <w:r w:rsidRPr="0068236B">
        <w:rPr>
          <w:sz w:val="20"/>
        </w:rPr>
        <w:t xml:space="preserve">design </w:t>
      </w:r>
      <w:r w:rsidR="00A863AB" w:rsidRPr="0068236B">
        <w:rPr>
          <w:sz w:val="20"/>
        </w:rPr>
        <w:t xml:space="preserve">(Conceptual Solution) </w:t>
      </w:r>
      <w:r w:rsidR="00DB0324" w:rsidRPr="0068236B">
        <w:rPr>
          <w:sz w:val="20"/>
        </w:rPr>
        <w:t>was</w:t>
      </w:r>
      <w:r w:rsidRPr="0068236B">
        <w:rPr>
          <w:sz w:val="20"/>
        </w:rPr>
        <w:t xml:space="preserve"> optimised and sufficiently fixed for </w:t>
      </w:r>
      <w:r w:rsidR="00A863AB" w:rsidRPr="0068236B">
        <w:rPr>
          <w:sz w:val="20"/>
        </w:rPr>
        <w:t xml:space="preserve">E&amp;S appraisal </w:t>
      </w:r>
      <w:r w:rsidRPr="0068236B">
        <w:rPr>
          <w:sz w:val="20"/>
        </w:rPr>
        <w:t xml:space="preserve">to be finalised – so that </w:t>
      </w:r>
      <w:r w:rsidR="00DB0324" w:rsidRPr="0068236B">
        <w:rPr>
          <w:sz w:val="20"/>
        </w:rPr>
        <w:t>the E&amp;S assessment is</w:t>
      </w:r>
      <w:r w:rsidRPr="0068236B">
        <w:rPr>
          <w:sz w:val="20"/>
        </w:rPr>
        <w:t xml:space="preserve"> based on the likely signif</w:t>
      </w:r>
      <w:r w:rsidRPr="0068236B">
        <w:rPr>
          <w:sz w:val="20"/>
        </w:rPr>
        <w:t>i</w:t>
      </w:r>
      <w:r w:rsidRPr="0068236B">
        <w:rPr>
          <w:sz w:val="20"/>
        </w:rPr>
        <w:t xml:space="preserve">cant effects of the final optimised Conceptual </w:t>
      </w:r>
      <w:r w:rsidR="00A863AB" w:rsidRPr="0068236B">
        <w:rPr>
          <w:sz w:val="20"/>
        </w:rPr>
        <w:t>Solution</w:t>
      </w:r>
      <w:r w:rsidRPr="0068236B">
        <w:rPr>
          <w:sz w:val="20"/>
        </w:rPr>
        <w:t>.</w:t>
      </w:r>
    </w:p>
    <w:p w14:paraId="329F7C14" w14:textId="77777777" w:rsidR="00240E6E" w:rsidRPr="0068236B" w:rsidRDefault="00240E6E" w:rsidP="00240E6E">
      <w:pPr>
        <w:pStyle w:val="Heading2"/>
        <w:spacing w:before="480" w:after="240"/>
        <w:ind w:left="576" w:hanging="576"/>
        <w:rPr>
          <w:rFonts w:cs="Arial"/>
          <w:szCs w:val="28"/>
        </w:rPr>
      </w:pPr>
      <w:bookmarkStart w:id="163" w:name="_Toc48829055"/>
      <w:bookmarkStart w:id="164" w:name="_Toc71559753"/>
      <w:bookmarkStart w:id="165" w:name="_Toc112852232"/>
      <w:r w:rsidRPr="0068236B">
        <w:rPr>
          <w:rFonts w:cs="Arial"/>
          <w:szCs w:val="28"/>
        </w:rPr>
        <w:t>Study Area</w:t>
      </w:r>
      <w:bookmarkEnd w:id="163"/>
      <w:bookmarkEnd w:id="164"/>
      <w:bookmarkEnd w:id="165"/>
      <w:r w:rsidRPr="0068236B">
        <w:rPr>
          <w:rFonts w:cs="Arial"/>
          <w:szCs w:val="28"/>
        </w:rPr>
        <w:t xml:space="preserve"> </w:t>
      </w:r>
    </w:p>
    <w:p w14:paraId="2B67E87A" w14:textId="3311CC30" w:rsidR="00240E6E" w:rsidRPr="0068236B" w:rsidRDefault="00240E6E" w:rsidP="00240E6E">
      <w:pPr>
        <w:autoSpaceDE w:val="0"/>
        <w:autoSpaceDN w:val="0"/>
        <w:adjustRightInd w:val="0"/>
        <w:rPr>
          <w:rFonts w:cs="Tahoma"/>
          <w:sz w:val="20"/>
          <w:szCs w:val="20"/>
          <w:lang w:eastAsia="en-US"/>
        </w:rPr>
      </w:pPr>
      <w:r w:rsidRPr="0068236B">
        <w:rPr>
          <w:rFonts w:cs="Tahoma"/>
          <w:sz w:val="20"/>
          <w:szCs w:val="20"/>
        </w:rPr>
        <w:t xml:space="preserve">Study areas </w:t>
      </w:r>
      <w:r w:rsidR="00DB0324" w:rsidRPr="0068236B">
        <w:rPr>
          <w:rFonts w:cs="Tahoma"/>
          <w:sz w:val="20"/>
          <w:szCs w:val="20"/>
        </w:rPr>
        <w:t xml:space="preserve">were </w:t>
      </w:r>
      <w:r w:rsidRPr="0068236B">
        <w:rPr>
          <w:rFonts w:cs="Tahoma"/>
          <w:sz w:val="20"/>
          <w:szCs w:val="20"/>
        </w:rPr>
        <w:t>defined individually for each topic, according to the geographic scope of the potential i</w:t>
      </w:r>
      <w:r w:rsidRPr="0068236B">
        <w:rPr>
          <w:rFonts w:cs="Tahoma"/>
          <w:sz w:val="20"/>
          <w:szCs w:val="20"/>
        </w:rPr>
        <w:t>m</w:t>
      </w:r>
      <w:r w:rsidRPr="0068236B">
        <w:rPr>
          <w:rFonts w:cs="Tahoma"/>
          <w:sz w:val="20"/>
          <w:szCs w:val="20"/>
        </w:rPr>
        <w:t xml:space="preserve">pacts or of the information required to assess those impacts. They </w:t>
      </w:r>
      <w:r w:rsidR="00DB0324" w:rsidRPr="0068236B">
        <w:rPr>
          <w:rFonts w:cs="Tahoma"/>
          <w:sz w:val="20"/>
          <w:szCs w:val="20"/>
        </w:rPr>
        <w:t>were</w:t>
      </w:r>
      <w:r w:rsidRPr="0068236B">
        <w:rPr>
          <w:rFonts w:cs="Tahoma"/>
          <w:sz w:val="20"/>
          <w:szCs w:val="20"/>
        </w:rPr>
        <w:t xml:space="preserve"> based on the boundary of the SS location and the OHL corridor</w:t>
      </w:r>
      <w:r w:rsidR="00A863AB" w:rsidRPr="0068236B">
        <w:rPr>
          <w:rFonts w:cs="Tahoma"/>
          <w:sz w:val="20"/>
          <w:szCs w:val="20"/>
        </w:rPr>
        <w:t>(s)</w:t>
      </w:r>
      <w:r w:rsidRPr="0068236B">
        <w:rPr>
          <w:rFonts w:cs="Tahoma"/>
          <w:sz w:val="20"/>
          <w:szCs w:val="20"/>
        </w:rPr>
        <w:t xml:space="preserve">, i.e. the land </w:t>
      </w:r>
      <w:r w:rsidRPr="0068236B">
        <w:rPr>
          <w:rFonts w:cs="Tahoma"/>
          <w:sz w:val="20"/>
          <w:szCs w:val="20"/>
          <w:lang w:eastAsia="en-US"/>
        </w:rPr>
        <w:t>anticipated to be potentially required temporarily and/or pe</w:t>
      </w:r>
      <w:r w:rsidRPr="0068236B">
        <w:rPr>
          <w:rFonts w:cs="Tahoma"/>
          <w:sz w:val="20"/>
          <w:szCs w:val="20"/>
          <w:lang w:eastAsia="en-US"/>
        </w:rPr>
        <w:t>r</w:t>
      </w:r>
      <w:r w:rsidRPr="0068236B">
        <w:rPr>
          <w:rFonts w:cs="Tahoma"/>
          <w:sz w:val="20"/>
          <w:szCs w:val="20"/>
          <w:lang w:eastAsia="en-US"/>
        </w:rPr>
        <w:t>manently for the construction, operation</w:t>
      </w:r>
      <w:r w:rsidR="005159F4" w:rsidRPr="0068236B">
        <w:rPr>
          <w:rFonts w:cs="Tahoma"/>
          <w:sz w:val="20"/>
          <w:szCs w:val="20"/>
          <w:lang w:eastAsia="en-US"/>
        </w:rPr>
        <w:t xml:space="preserve"> (including land subject to restrictions)</w:t>
      </w:r>
      <w:r w:rsidRPr="0068236B">
        <w:rPr>
          <w:rFonts w:cs="Tahoma"/>
          <w:sz w:val="20"/>
          <w:szCs w:val="20"/>
          <w:lang w:eastAsia="en-US"/>
        </w:rPr>
        <w:t xml:space="preserve"> and maintenance of the Pr</w:t>
      </w:r>
      <w:r w:rsidRPr="0068236B">
        <w:rPr>
          <w:rFonts w:cs="Tahoma"/>
          <w:sz w:val="20"/>
          <w:szCs w:val="20"/>
          <w:lang w:eastAsia="en-US"/>
        </w:rPr>
        <w:t>o</w:t>
      </w:r>
      <w:r w:rsidRPr="0068236B">
        <w:rPr>
          <w:rFonts w:cs="Tahoma"/>
          <w:sz w:val="20"/>
          <w:szCs w:val="20"/>
          <w:lang w:eastAsia="en-US"/>
        </w:rPr>
        <w:t xml:space="preserve">ject at the time of preparation of this </w:t>
      </w:r>
      <w:r w:rsidR="00DB0324" w:rsidRPr="0068236B">
        <w:rPr>
          <w:rFonts w:cs="Tahoma"/>
          <w:sz w:val="20"/>
          <w:szCs w:val="20"/>
          <w:lang w:eastAsia="en-US"/>
        </w:rPr>
        <w:t xml:space="preserve">E&amp;S Assessment </w:t>
      </w:r>
      <w:r w:rsidRPr="0068236B">
        <w:rPr>
          <w:rFonts w:cs="Tahoma"/>
          <w:sz w:val="20"/>
          <w:szCs w:val="20"/>
          <w:lang w:eastAsia="en-US"/>
        </w:rPr>
        <w:t>Report and taking into consideration the specifics of the receptor / resource being assessed.</w:t>
      </w:r>
    </w:p>
    <w:p w14:paraId="4C4E68A9" w14:textId="77777777" w:rsidR="00240E6E" w:rsidRPr="0068236B" w:rsidRDefault="00240E6E" w:rsidP="00240E6E">
      <w:pPr>
        <w:pStyle w:val="Heading2"/>
        <w:spacing w:before="480" w:after="240"/>
        <w:ind w:left="576" w:hanging="576"/>
        <w:rPr>
          <w:rFonts w:cs="Arial"/>
          <w:szCs w:val="28"/>
        </w:rPr>
      </w:pPr>
      <w:bookmarkStart w:id="166" w:name="_Toc48829056"/>
      <w:bookmarkStart w:id="167" w:name="_Toc71559754"/>
      <w:bookmarkStart w:id="168" w:name="_Toc112852233"/>
      <w:r w:rsidRPr="0068236B">
        <w:rPr>
          <w:rFonts w:cs="Arial"/>
          <w:szCs w:val="28"/>
        </w:rPr>
        <w:t>Existing Baseline</w:t>
      </w:r>
      <w:bookmarkEnd w:id="166"/>
      <w:bookmarkEnd w:id="167"/>
      <w:bookmarkEnd w:id="168"/>
    </w:p>
    <w:p w14:paraId="61D3AF25" w14:textId="77777777" w:rsidR="001F38C5" w:rsidRPr="0068236B" w:rsidRDefault="001F38C5" w:rsidP="001F38C5">
      <w:pPr>
        <w:pStyle w:val="Heading3"/>
        <w:tabs>
          <w:tab w:val="left" w:pos="1134"/>
        </w:tabs>
        <w:ind w:left="720" w:hanging="720"/>
        <w:rPr>
          <w:rFonts w:cs="Arial"/>
        </w:rPr>
      </w:pPr>
      <w:bookmarkStart w:id="169" w:name="_Toc112852234"/>
      <w:r w:rsidRPr="0068236B">
        <w:rPr>
          <w:rFonts w:cs="Arial"/>
        </w:rPr>
        <w:t>Introduction</w:t>
      </w:r>
      <w:bookmarkEnd w:id="169"/>
    </w:p>
    <w:p w14:paraId="7711FB26" w14:textId="460AC589" w:rsidR="00240E6E" w:rsidRPr="0068236B" w:rsidRDefault="00240E6E" w:rsidP="00240E6E">
      <w:pPr>
        <w:autoSpaceDE w:val="0"/>
        <w:autoSpaceDN w:val="0"/>
        <w:adjustRightInd w:val="0"/>
        <w:rPr>
          <w:rFonts w:cs="Tahoma"/>
          <w:sz w:val="20"/>
          <w:szCs w:val="20"/>
          <w:lang w:eastAsia="zh-CN"/>
        </w:rPr>
      </w:pPr>
      <w:r w:rsidRPr="0068236B">
        <w:rPr>
          <w:rFonts w:cs="Tahoma"/>
          <w:sz w:val="20"/>
          <w:szCs w:val="20"/>
        </w:rPr>
        <w:t>A comprehensive understanding of existing environmental and societal baseline conditions in the Project region is essential prerequisite for sound identification and assessment of potential impacts from the pr</w:t>
      </w:r>
      <w:r w:rsidRPr="0068236B">
        <w:rPr>
          <w:rFonts w:cs="Tahoma"/>
          <w:sz w:val="20"/>
          <w:szCs w:val="20"/>
        </w:rPr>
        <w:t>o</w:t>
      </w:r>
      <w:r w:rsidRPr="0068236B">
        <w:rPr>
          <w:rFonts w:cs="Tahoma"/>
          <w:sz w:val="20"/>
          <w:szCs w:val="20"/>
        </w:rPr>
        <w:t>posed development</w:t>
      </w:r>
      <w:r w:rsidR="00A863AB" w:rsidRPr="0068236B">
        <w:rPr>
          <w:rFonts w:cs="Tahoma"/>
          <w:sz w:val="20"/>
          <w:szCs w:val="20"/>
        </w:rPr>
        <w:t>s</w:t>
      </w:r>
      <w:r w:rsidRPr="0068236B">
        <w:rPr>
          <w:rFonts w:cs="Tahoma"/>
          <w:sz w:val="20"/>
          <w:szCs w:val="20"/>
        </w:rPr>
        <w:t xml:space="preserve">. </w:t>
      </w:r>
      <w:r w:rsidRPr="0068236B">
        <w:rPr>
          <w:rFonts w:cs="Tahoma"/>
          <w:sz w:val="20"/>
          <w:szCs w:val="20"/>
          <w:lang w:eastAsia="en-US"/>
        </w:rPr>
        <w:t>Understanding the baseline allows the measurement of changes that would be caused by the Project.</w:t>
      </w:r>
      <w:r w:rsidRPr="0068236B">
        <w:rPr>
          <w:rFonts w:cs="Tahoma"/>
          <w:sz w:val="20"/>
          <w:szCs w:val="20"/>
        </w:rPr>
        <w:t xml:space="preserve"> The process for collecting the </w:t>
      </w:r>
      <w:r w:rsidRPr="0068236B">
        <w:rPr>
          <w:rFonts w:cs="Tahoma"/>
          <w:sz w:val="20"/>
          <w:szCs w:val="20"/>
          <w:lang w:eastAsia="zh-CN"/>
        </w:rPr>
        <w:t xml:space="preserve">baseline </w:t>
      </w:r>
      <w:r w:rsidR="00C57B1F" w:rsidRPr="0068236B">
        <w:rPr>
          <w:rFonts w:cs="Tahoma"/>
          <w:sz w:val="20"/>
          <w:szCs w:val="20"/>
          <w:lang w:eastAsia="zh-CN"/>
        </w:rPr>
        <w:t>environmental and social data was</w:t>
      </w:r>
      <w:r w:rsidRPr="0068236B">
        <w:rPr>
          <w:rFonts w:cs="Tahoma"/>
          <w:sz w:val="20"/>
          <w:szCs w:val="20"/>
          <w:lang w:eastAsia="zh-CN"/>
        </w:rPr>
        <w:t xml:space="preserve"> based on:</w:t>
      </w:r>
    </w:p>
    <w:p w14:paraId="07DCE641" w14:textId="77777777" w:rsidR="00240E6E" w:rsidRPr="0068236B" w:rsidRDefault="00240E6E" w:rsidP="00D24CEF">
      <w:pPr>
        <w:pStyle w:val="ListBullet"/>
        <w:numPr>
          <w:ilvl w:val="0"/>
          <w:numId w:val="97"/>
        </w:numPr>
        <w:jc w:val="left"/>
        <w:rPr>
          <w:sz w:val="20"/>
          <w:lang w:eastAsia="zh-CN"/>
        </w:rPr>
      </w:pPr>
      <w:r w:rsidRPr="0068236B">
        <w:rPr>
          <w:sz w:val="20"/>
          <w:lang w:eastAsia="zh-CN"/>
        </w:rPr>
        <w:t>Desk studies (i.e. l</w:t>
      </w:r>
      <w:r w:rsidRPr="0068236B">
        <w:rPr>
          <w:rFonts w:cs="Tahoma"/>
          <w:sz w:val="20"/>
          <w:szCs w:val="20"/>
          <w:lang w:eastAsia="zh-CN"/>
        </w:rPr>
        <w:t>egally defined quality standards for environmental media and emission limit values; existing literature, strategic / planning documents, statistics, databases and reports from various relevant organizations; as well as available internet sources and other similar pr</w:t>
      </w:r>
      <w:r w:rsidRPr="0068236B">
        <w:rPr>
          <w:rFonts w:cs="Tahoma"/>
          <w:sz w:val="20"/>
          <w:szCs w:val="20"/>
          <w:lang w:eastAsia="zh-CN"/>
        </w:rPr>
        <w:t>o</w:t>
      </w:r>
      <w:r w:rsidRPr="0068236B">
        <w:rPr>
          <w:rFonts w:cs="Tahoma"/>
          <w:sz w:val="20"/>
          <w:szCs w:val="20"/>
          <w:lang w:eastAsia="zh-CN"/>
        </w:rPr>
        <w:t>jects).</w:t>
      </w:r>
    </w:p>
    <w:p w14:paraId="407A126C" w14:textId="77777777" w:rsidR="00240E6E" w:rsidRPr="0068236B" w:rsidRDefault="00240E6E" w:rsidP="00D24CEF">
      <w:pPr>
        <w:pStyle w:val="ListBullet"/>
        <w:numPr>
          <w:ilvl w:val="0"/>
          <w:numId w:val="97"/>
        </w:numPr>
        <w:jc w:val="left"/>
        <w:rPr>
          <w:sz w:val="20"/>
          <w:lang w:eastAsia="zh-CN"/>
        </w:rPr>
      </w:pPr>
      <w:r w:rsidRPr="0068236B">
        <w:rPr>
          <w:rFonts w:cs="Tahoma"/>
          <w:sz w:val="20"/>
          <w:szCs w:val="20"/>
        </w:rPr>
        <w:t>Site visits and walkover observations to identify the area of influence (study area) and to collect required supplementary data at substation location and along the OHL corridor</w:t>
      </w:r>
      <w:r w:rsidR="00A863AB" w:rsidRPr="0068236B">
        <w:rPr>
          <w:rFonts w:cs="Tahoma"/>
          <w:sz w:val="20"/>
          <w:szCs w:val="20"/>
        </w:rPr>
        <w:t>(s)</w:t>
      </w:r>
      <w:r w:rsidRPr="0068236B">
        <w:rPr>
          <w:rFonts w:cs="Tahoma"/>
          <w:sz w:val="20"/>
          <w:szCs w:val="20"/>
        </w:rPr>
        <w:t xml:space="preserve"> (i.e. biodive</w:t>
      </w:r>
      <w:r w:rsidRPr="0068236B">
        <w:rPr>
          <w:rFonts w:cs="Tahoma"/>
          <w:sz w:val="20"/>
          <w:szCs w:val="20"/>
        </w:rPr>
        <w:t>r</w:t>
      </w:r>
      <w:r w:rsidRPr="0068236B">
        <w:rPr>
          <w:rFonts w:cs="Tahoma"/>
          <w:sz w:val="20"/>
          <w:szCs w:val="20"/>
        </w:rPr>
        <w:t>sity survey; landscape assessment; land-use observation; etc.), as well as benefiting from var</w:t>
      </w:r>
      <w:r w:rsidRPr="0068236B">
        <w:rPr>
          <w:rFonts w:cs="Tahoma"/>
          <w:sz w:val="20"/>
          <w:szCs w:val="20"/>
        </w:rPr>
        <w:t>i</w:t>
      </w:r>
      <w:r w:rsidRPr="0068236B">
        <w:rPr>
          <w:rFonts w:cs="Tahoma"/>
          <w:sz w:val="20"/>
          <w:szCs w:val="20"/>
        </w:rPr>
        <w:t>ous field surveys carried out for the purposes of the engineering design.</w:t>
      </w:r>
    </w:p>
    <w:p w14:paraId="0A125D41" w14:textId="57E1F04F" w:rsidR="001F38C5" w:rsidRPr="0068236B" w:rsidRDefault="0055467F" w:rsidP="001F38C5">
      <w:pPr>
        <w:pStyle w:val="Heading3"/>
        <w:tabs>
          <w:tab w:val="left" w:pos="1134"/>
        </w:tabs>
        <w:ind w:left="720" w:hanging="720"/>
        <w:rPr>
          <w:rFonts w:cs="Arial"/>
        </w:rPr>
      </w:pPr>
      <w:bookmarkStart w:id="170" w:name="_Toc112852235"/>
      <w:r w:rsidRPr="0068236B">
        <w:rPr>
          <w:rFonts w:cs="Arial"/>
        </w:rPr>
        <w:t xml:space="preserve">Summary of </w:t>
      </w:r>
      <w:r w:rsidR="001F38C5" w:rsidRPr="0068236B">
        <w:rPr>
          <w:rFonts w:cs="Arial"/>
        </w:rPr>
        <w:t>Baseline Surveys</w:t>
      </w:r>
      <w:bookmarkEnd w:id="170"/>
    </w:p>
    <w:p w14:paraId="6F1BF37D" w14:textId="2EF78353" w:rsidR="00C36920" w:rsidRPr="0068236B" w:rsidRDefault="00C36920" w:rsidP="00C36920">
      <w:pPr>
        <w:autoSpaceDE w:val="0"/>
        <w:autoSpaceDN w:val="0"/>
        <w:adjustRightInd w:val="0"/>
        <w:rPr>
          <w:rFonts w:cs="Tahoma"/>
          <w:sz w:val="20"/>
        </w:rPr>
      </w:pPr>
      <w:r w:rsidRPr="0068236B">
        <w:rPr>
          <w:rFonts w:cs="Tahoma"/>
          <w:sz w:val="20"/>
        </w:rPr>
        <w:t xml:space="preserve">In order to determine relevant baseline environmental and social conditions within the study areas detailed surveys were undertaken during the </w:t>
      </w:r>
      <w:r w:rsidR="00C57B1F" w:rsidRPr="0068236B">
        <w:rPr>
          <w:rFonts w:cs="Tahoma"/>
          <w:sz w:val="20"/>
        </w:rPr>
        <w:t>assessment</w:t>
      </w:r>
      <w:r w:rsidRPr="0068236B">
        <w:rPr>
          <w:rFonts w:cs="Tahoma"/>
          <w:sz w:val="20"/>
        </w:rPr>
        <w:t>.</w:t>
      </w:r>
      <w:r w:rsidR="0003364C" w:rsidRPr="0068236B">
        <w:rPr>
          <w:rFonts w:cs="Tahoma"/>
          <w:sz w:val="20"/>
        </w:rPr>
        <w:t xml:space="preserve"> These are</w:t>
      </w:r>
      <w:r w:rsidRPr="0068236B">
        <w:rPr>
          <w:rFonts w:cs="Tahoma"/>
          <w:sz w:val="20"/>
        </w:rPr>
        <w:t xml:space="preserve"> </w:t>
      </w:r>
      <w:r w:rsidR="0003364C" w:rsidRPr="0068236B">
        <w:rPr>
          <w:rFonts w:cs="Tahoma"/>
          <w:sz w:val="20"/>
        </w:rPr>
        <w:t xml:space="preserve">outlined in the Table below. </w:t>
      </w:r>
      <w:r w:rsidRPr="0068236B">
        <w:rPr>
          <w:rFonts w:cs="Tahoma"/>
          <w:sz w:val="20"/>
        </w:rPr>
        <w:t xml:space="preserve">The scope of these surveys was determined through desk study and an initial walkover survey, undertaken on 10 September 2020. The field surveys were undertaken from 25 and 28 May 2021 and from 18 and 20 August 2021. The </w:t>
      </w:r>
      <w:r w:rsidRPr="0068236B">
        <w:rPr>
          <w:rFonts w:cs="Tahoma"/>
          <w:sz w:val="20"/>
        </w:rPr>
        <w:lastRenderedPageBreak/>
        <w:t xml:space="preserve">findings obtained from these surveys for each relevant topic are reported in respective sections </w:t>
      </w:r>
      <w:r w:rsidR="00C57B1F" w:rsidRPr="0068236B">
        <w:rPr>
          <w:rFonts w:cs="Tahoma"/>
          <w:sz w:val="20"/>
        </w:rPr>
        <w:t xml:space="preserve">of </w:t>
      </w:r>
      <w:r w:rsidRPr="0068236B">
        <w:rPr>
          <w:rFonts w:cs="Tahoma"/>
          <w:sz w:val="20"/>
        </w:rPr>
        <w:t>this R</w:t>
      </w:r>
      <w:r w:rsidRPr="0068236B">
        <w:rPr>
          <w:rFonts w:cs="Tahoma"/>
          <w:sz w:val="20"/>
        </w:rPr>
        <w:t>e</w:t>
      </w:r>
      <w:r w:rsidRPr="0068236B">
        <w:rPr>
          <w:rFonts w:cs="Tahoma"/>
          <w:sz w:val="20"/>
        </w:rPr>
        <w:t xml:space="preserve">port. </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829"/>
        <w:gridCol w:w="6865"/>
      </w:tblGrid>
      <w:tr w:rsidR="00C36920" w:rsidRPr="0068236B" w14:paraId="60DDA566" w14:textId="77777777" w:rsidTr="00EF7697">
        <w:trPr>
          <w:cantSplit/>
          <w:tblHeader/>
        </w:trPr>
        <w:tc>
          <w:tcPr>
            <w:tcW w:w="1459" w:type="pct"/>
            <w:shd w:val="clear" w:color="auto" w:fill="D5DCE4"/>
            <w:vAlign w:val="center"/>
          </w:tcPr>
          <w:p w14:paraId="1E58EE16" w14:textId="77777777" w:rsidR="00C36920" w:rsidRPr="0068236B" w:rsidRDefault="00C36920" w:rsidP="00145532">
            <w:pPr>
              <w:keepLines/>
              <w:spacing w:before="0" w:after="0" w:line="240" w:lineRule="auto"/>
              <w:jc w:val="left"/>
              <w:rPr>
                <w:rFonts w:cs="Tahoma"/>
                <w:bCs/>
                <w:sz w:val="18"/>
                <w:szCs w:val="18"/>
              </w:rPr>
            </w:pPr>
            <w:r w:rsidRPr="0068236B">
              <w:rPr>
                <w:rFonts w:cs="Tahoma"/>
                <w:bCs/>
                <w:sz w:val="18"/>
                <w:szCs w:val="18"/>
              </w:rPr>
              <w:t>Baseline survey</w:t>
            </w:r>
          </w:p>
        </w:tc>
        <w:tc>
          <w:tcPr>
            <w:tcW w:w="3541" w:type="pct"/>
            <w:shd w:val="clear" w:color="auto" w:fill="D5DCE4"/>
            <w:vAlign w:val="center"/>
          </w:tcPr>
          <w:p w14:paraId="54B28D25" w14:textId="77777777" w:rsidR="00C36920" w:rsidRPr="0068236B" w:rsidRDefault="00C36920" w:rsidP="00C36920">
            <w:pPr>
              <w:keepLines/>
              <w:spacing w:before="0" w:after="0" w:line="240" w:lineRule="auto"/>
              <w:jc w:val="left"/>
              <w:rPr>
                <w:rFonts w:cs="Tahoma"/>
                <w:sz w:val="18"/>
                <w:szCs w:val="18"/>
              </w:rPr>
            </w:pPr>
            <w:r w:rsidRPr="0068236B">
              <w:rPr>
                <w:rFonts w:cs="Tahoma"/>
                <w:sz w:val="18"/>
                <w:szCs w:val="18"/>
              </w:rPr>
              <w:t>Goal and Scope</w:t>
            </w:r>
          </w:p>
        </w:tc>
      </w:tr>
      <w:tr w:rsidR="00C36920" w:rsidRPr="0068236B" w14:paraId="6CD35644" w14:textId="77777777" w:rsidTr="005F774D">
        <w:tc>
          <w:tcPr>
            <w:tcW w:w="1459" w:type="pct"/>
            <w:shd w:val="clear" w:color="auto" w:fill="auto"/>
            <w:vAlign w:val="center"/>
          </w:tcPr>
          <w:p w14:paraId="321F158B" w14:textId="77777777" w:rsidR="00C36920" w:rsidRPr="0068236B" w:rsidRDefault="00C36920" w:rsidP="00145532">
            <w:pPr>
              <w:spacing w:before="0" w:after="0" w:line="240" w:lineRule="auto"/>
              <w:jc w:val="left"/>
              <w:rPr>
                <w:rFonts w:cs="Tahoma"/>
                <w:sz w:val="18"/>
                <w:szCs w:val="18"/>
              </w:rPr>
            </w:pPr>
            <w:r w:rsidRPr="0068236B">
              <w:rPr>
                <w:rFonts w:cs="Tahoma"/>
                <w:sz w:val="18"/>
                <w:szCs w:val="18"/>
              </w:rPr>
              <w:t>Air quality</w:t>
            </w:r>
          </w:p>
        </w:tc>
        <w:tc>
          <w:tcPr>
            <w:tcW w:w="3541" w:type="pct"/>
            <w:vAlign w:val="center"/>
          </w:tcPr>
          <w:p w14:paraId="6D8A4704" w14:textId="6590B5CF" w:rsidR="00C36920" w:rsidRPr="0068236B" w:rsidRDefault="00C36920" w:rsidP="00244428">
            <w:pPr>
              <w:spacing w:before="0" w:after="0" w:line="240" w:lineRule="auto"/>
              <w:jc w:val="left"/>
              <w:rPr>
                <w:rFonts w:cs="Tahoma"/>
                <w:sz w:val="18"/>
                <w:szCs w:val="18"/>
              </w:rPr>
            </w:pPr>
            <w:r w:rsidRPr="0068236B">
              <w:rPr>
                <w:rFonts w:cs="Tahoma"/>
                <w:sz w:val="18"/>
                <w:szCs w:val="18"/>
              </w:rPr>
              <w:t>Key sources of air emission within 200 m of the centreline of the alignments of the transmission lines and 200 m around the proposed location of the substation - were observed to gain indicative air quality baseline situation. There are no measurements of the ambient air quality within the study area or in wider region. Key air pollution source is the traffic network. Other sources of seasonal air pollution in the enviro</w:t>
            </w:r>
            <w:r w:rsidRPr="0068236B">
              <w:rPr>
                <w:rFonts w:cs="Tahoma"/>
                <w:sz w:val="18"/>
                <w:szCs w:val="18"/>
              </w:rPr>
              <w:t>n</w:t>
            </w:r>
            <w:r w:rsidRPr="0068236B">
              <w:rPr>
                <w:rFonts w:cs="Tahoma"/>
                <w:sz w:val="18"/>
                <w:szCs w:val="18"/>
              </w:rPr>
              <w:t>ment are the air emissions during heating season and from agricultural activities. No significant industrial facilities are present in the area. The area is not densely pop</w:t>
            </w:r>
            <w:r w:rsidRPr="0068236B">
              <w:rPr>
                <w:rFonts w:cs="Tahoma"/>
                <w:sz w:val="18"/>
                <w:szCs w:val="18"/>
              </w:rPr>
              <w:t>u</w:t>
            </w:r>
            <w:r w:rsidRPr="0068236B">
              <w:rPr>
                <w:rFonts w:cs="Tahoma"/>
                <w:sz w:val="18"/>
                <w:szCs w:val="18"/>
              </w:rPr>
              <w:t>lated and is predominantly rural in nature.</w:t>
            </w:r>
          </w:p>
        </w:tc>
      </w:tr>
      <w:tr w:rsidR="00C36920" w:rsidRPr="0068236B" w14:paraId="2DD89A5C" w14:textId="77777777" w:rsidTr="005F774D">
        <w:tc>
          <w:tcPr>
            <w:tcW w:w="1459" w:type="pct"/>
            <w:shd w:val="clear" w:color="auto" w:fill="auto"/>
            <w:vAlign w:val="center"/>
          </w:tcPr>
          <w:p w14:paraId="02A16B9D" w14:textId="77777777" w:rsidR="00C36920" w:rsidRPr="0068236B" w:rsidRDefault="00C36920" w:rsidP="00145532">
            <w:pPr>
              <w:spacing w:before="0" w:after="0" w:line="240" w:lineRule="auto"/>
              <w:jc w:val="left"/>
              <w:rPr>
                <w:rFonts w:cs="Tahoma"/>
                <w:sz w:val="18"/>
                <w:szCs w:val="18"/>
              </w:rPr>
            </w:pPr>
            <w:r w:rsidRPr="0068236B">
              <w:rPr>
                <w:rFonts w:cs="Tahoma"/>
                <w:sz w:val="18"/>
                <w:szCs w:val="18"/>
              </w:rPr>
              <w:t>Geological and water environment</w:t>
            </w:r>
          </w:p>
        </w:tc>
        <w:tc>
          <w:tcPr>
            <w:tcW w:w="3541" w:type="pct"/>
            <w:vAlign w:val="center"/>
          </w:tcPr>
          <w:p w14:paraId="05AA11B9" w14:textId="77777777" w:rsidR="00C36920" w:rsidRPr="0068236B" w:rsidRDefault="00C36920" w:rsidP="00C36920">
            <w:pPr>
              <w:autoSpaceDE w:val="0"/>
              <w:autoSpaceDN w:val="0"/>
              <w:adjustRightInd w:val="0"/>
              <w:spacing w:before="0" w:after="0" w:line="240" w:lineRule="auto"/>
              <w:jc w:val="left"/>
              <w:rPr>
                <w:rFonts w:cs="Tahoma"/>
                <w:sz w:val="18"/>
                <w:szCs w:val="18"/>
              </w:rPr>
            </w:pPr>
            <w:r w:rsidRPr="0068236B">
              <w:rPr>
                <w:rFonts w:cs="Tahoma"/>
                <w:sz w:val="18"/>
                <w:szCs w:val="18"/>
              </w:rPr>
              <w:t xml:space="preserve">The geological environment within 500 m wide corridor along the transmission lines (within 250 m of the centreline of the alignments), including the proposed location of the substation was observed, with the expected characteristics of the rock masses, and any significant engineering-geological phenomena and processes. The terrain in the study area as a whole is considered as stable, without occurrence geological hazards (slips and landslides, erosion). Site specific issues may be possible but these were not taken into consideration in this Project development stage. </w:t>
            </w:r>
          </w:p>
          <w:p w14:paraId="687695B6" w14:textId="77777777" w:rsidR="00C36920" w:rsidRPr="0068236B" w:rsidRDefault="00C36920" w:rsidP="00C36920">
            <w:pPr>
              <w:spacing w:before="0" w:after="0" w:line="240" w:lineRule="auto"/>
              <w:jc w:val="left"/>
              <w:rPr>
                <w:rFonts w:cs="Tahoma"/>
                <w:sz w:val="18"/>
                <w:szCs w:val="18"/>
              </w:rPr>
            </w:pPr>
            <w:r w:rsidRPr="0068236B">
              <w:rPr>
                <w:rFonts w:cs="Tahoma"/>
                <w:sz w:val="18"/>
                <w:szCs w:val="18"/>
              </w:rPr>
              <w:t>Groundwater levels were registered within the expected range for periods of the year when the surveys were carried out.</w:t>
            </w:r>
          </w:p>
          <w:p w14:paraId="285A5E19" w14:textId="77777777" w:rsidR="00C36920" w:rsidRPr="0068236B" w:rsidRDefault="00C36920" w:rsidP="00C36920">
            <w:pPr>
              <w:spacing w:before="0" w:after="0" w:line="240" w:lineRule="auto"/>
              <w:jc w:val="left"/>
              <w:rPr>
                <w:rFonts w:cs="Tahoma"/>
                <w:sz w:val="18"/>
                <w:szCs w:val="18"/>
              </w:rPr>
            </w:pPr>
            <w:r w:rsidRPr="0068236B">
              <w:rPr>
                <w:rFonts w:cs="Tahoma"/>
                <w:sz w:val="18"/>
                <w:szCs w:val="18"/>
              </w:rPr>
              <w:t>In addition, to the already known prominent water bodies that would be affected by the Project, smaller watercourses, with their character of flow (continuous or occ</w:t>
            </w:r>
            <w:r w:rsidRPr="0068236B">
              <w:rPr>
                <w:rFonts w:cs="Tahoma"/>
                <w:sz w:val="18"/>
                <w:szCs w:val="18"/>
              </w:rPr>
              <w:t>a</w:t>
            </w:r>
            <w:r w:rsidRPr="0068236B">
              <w:rPr>
                <w:rFonts w:cs="Tahoma"/>
                <w:sz w:val="18"/>
                <w:szCs w:val="18"/>
              </w:rPr>
              <w:t xml:space="preserve">sional) were registered. </w:t>
            </w:r>
          </w:p>
        </w:tc>
      </w:tr>
      <w:tr w:rsidR="00C36920" w:rsidRPr="0068236B" w14:paraId="339C7343" w14:textId="77777777" w:rsidTr="005F774D">
        <w:tc>
          <w:tcPr>
            <w:tcW w:w="1459" w:type="pct"/>
            <w:shd w:val="clear" w:color="auto" w:fill="auto"/>
            <w:vAlign w:val="center"/>
          </w:tcPr>
          <w:p w14:paraId="69A67484" w14:textId="77777777" w:rsidR="00C36920" w:rsidRPr="0068236B" w:rsidRDefault="00C36920" w:rsidP="00145532">
            <w:pPr>
              <w:spacing w:before="0" w:after="0" w:line="240" w:lineRule="auto"/>
              <w:jc w:val="left"/>
              <w:rPr>
                <w:rFonts w:cs="Tahoma"/>
                <w:sz w:val="18"/>
                <w:szCs w:val="18"/>
              </w:rPr>
            </w:pPr>
            <w:r w:rsidRPr="0068236B">
              <w:rPr>
                <w:rFonts w:cs="Tahoma"/>
                <w:sz w:val="18"/>
                <w:szCs w:val="18"/>
              </w:rPr>
              <w:t>Noise</w:t>
            </w:r>
          </w:p>
        </w:tc>
        <w:tc>
          <w:tcPr>
            <w:tcW w:w="3541" w:type="pct"/>
            <w:vAlign w:val="center"/>
          </w:tcPr>
          <w:p w14:paraId="31D0D587" w14:textId="2CC6928F" w:rsidR="00C36920" w:rsidRPr="0068236B" w:rsidRDefault="00C36920" w:rsidP="008F262A">
            <w:pPr>
              <w:spacing w:before="0" w:after="0" w:line="240" w:lineRule="auto"/>
              <w:jc w:val="left"/>
              <w:rPr>
                <w:rFonts w:cs="Tahoma"/>
                <w:sz w:val="18"/>
                <w:szCs w:val="18"/>
              </w:rPr>
            </w:pPr>
            <w:r w:rsidRPr="0068236B">
              <w:rPr>
                <w:rFonts w:cs="Tahoma"/>
                <w:sz w:val="18"/>
                <w:szCs w:val="18"/>
              </w:rPr>
              <w:t>Key sources of noise within 2,000 m wide corridor along the transmission lines (wit</w:t>
            </w:r>
            <w:r w:rsidRPr="0068236B">
              <w:rPr>
                <w:rFonts w:cs="Tahoma"/>
                <w:sz w:val="18"/>
                <w:szCs w:val="18"/>
              </w:rPr>
              <w:t>h</w:t>
            </w:r>
            <w:r w:rsidRPr="0068236B">
              <w:rPr>
                <w:rFonts w:cs="Tahoma"/>
                <w:sz w:val="18"/>
                <w:szCs w:val="18"/>
              </w:rPr>
              <w:t>in 1,000 m of the centreline of the alignments), including the proposed location of the substation - were observed to gain indicative noise baseline situation. There are no measurements of the environmental noise neither within the study area nor in wider region. Key noise source is the traffic network, as well as agricultural activities. No significant industrial facilities are present in the area. The area is not densely populated and is predominantly rural in nature.</w:t>
            </w:r>
          </w:p>
        </w:tc>
      </w:tr>
      <w:tr w:rsidR="00C36920" w:rsidRPr="0068236B" w14:paraId="622B21EA" w14:textId="77777777" w:rsidTr="005F774D">
        <w:tc>
          <w:tcPr>
            <w:tcW w:w="1459" w:type="pct"/>
            <w:shd w:val="clear" w:color="auto" w:fill="auto"/>
            <w:vAlign w:val="center"/>
          </w:tcPr>
          <w:p w14:paraId="13FE954E" w14:textId="77777777" w:rsidR="00C36920" w:rsidRPr="0068236B" w:rsidRDefault="00C36920" w:rsidP="00145532">
            <w:pPr>
              <w:spacing w:before="0" w:after="0" w:line="240" w:lineRule="auto"/>
              <w:jc w:val="left"/>
              <w:rPr>
                <w:rFonts w:cs="Tahoma"/>
                <w:sz w:val="18"/>
                <w:szCs w:val="18"/>
              </w:rPr>
            </w:pPr>
            <w:r w:rsidRPr="0068236B">
              <w:rPr>
                <w:rFonts w:cs="Tahoma"/>
                <w:sz w:val="18"/>
                <w:szCs w:val="18"/>
              </w:rPr>
              <w:t>Land use / land cover</w:t>
            </w:r>
          </w:p>
        </w:tc>
        <w:tc>
          <w:tcPr>
            <w:tcW w:w="3541" w:type="pct"/>
            <w:vAlign w:val="center"/>
          </w:tcPr>
          <w:p w14:paraId="28B27B26" w14:textId="0C604298" w:rsidR="00C36920" w:rsidRPr="0068236B" w:rsidRDefault="00C36920" w:rsidP="00D24BAA">
            <w:pPr>
              <w:spacing w:before="0" w:after="0" w:line="240" w:lineRule="auto"/>
              <w:jc w:val="left"/>
              <w:rPr>
                <w:rFonts w:cs="Tahoma"/>
                <w:sz w:val="18"/>
                <w:szCs w:val="18"/>
              </w:rPr>
            </w:pPr>
            <w:r w:rsidRPr="0068236B">
              <w:rPr>
                <w:rFonts w:cs="Tahoma"/>
                <w:sz w:val="18"/>
                <w:szCs w:val="18"/>
              </w:rPr>
              <w:t xml:space="preserve">Land cover was assessed within 1,000 m wide corridor along the transmission lines (within 500 m of the centreline of the alignments), including the proposed location of the substation based on the Corine Land Cover (CLC 2018). The land cover was calculated in ArcGIS. A land cover map was also elaborated and presented in this </w:t>
            </w:r>
            <w:r w:rsidR="00D24BAA" w:rsidRPr="0068236B">
              <w:rPr>
                <w:rFonts w:cs="Tahoma"/>
                <w:sz w:val="18"/>
                <w:szCs w:val="18"/>
              </w:rPr>
              <w:t>R</w:t>
            </w:r>
            <w:r w:rsidRPr="0068236B">
              <w:rPr>
                <w:rFonts w:cs="Tahoma"/>
                <w:sz w:val="18"/>
                <w:szCs w:val="18"/>
              </w:rPr>
              <w:t>eport.</w:t>
            </w:r>
            <w:r w:rsidR="00562E86" w:rsidRPr="0068236B">
              <w:rPr>
                <w:rFonts w:cs="Tahoma"/>
                <w:sz w:val="18"/>
                <w:szCs w:val="18"/>
              </w:rPr>
              <w:t xml:space="preserve"> </w:t>
            </w:r>
            <w:r w:rsidRPr="0068236B">
              <w:rPr>
                <w:rFonts w:cs="Tahoma"/>
                <w:sz w:val="18"/>
                <w:szCs w:val="18"/>
              </w:rPr>
              <w:t xml:space="preserve">The land cover in </w:t>
            </w:r>
            <w:r w:rsidR="008F262A" w:rsidRPr="0068236B">
              <w:rPr>
                <w:rFonts w:cs="Tahoma"/>
                <w:sz w:val="18"/>
                <w:szCs w:val="18"/>
              </w:rPr>
              <w:t xml:space="preserve">the Project area </w:t>
            </w:r>
            <w:r w:rsidRPr="0068236B">
              <w:rPr>
                <w:rFonts w:cs="Tahoma"/>
                <w:sz w:val="18"/>
                <w:szCs w:val="18"/>
              </w:rPr>
              <w:t>is dominated by agricultural land (40%) and Sclerophyllous vegetation (29.5%).</w:t>
            </w:r>
          </w:p>
        </w:tc>
      </w:tr>
      <w:tr w:rsidR="00C36920" w:rsidRPr="0068236B" w14:paraId="1B5584C9" w14:textId="77777777" w:rsidTr="005F774D">
        <w:tc>
          <w:tcPr>
            <w:tcW w:w="1459" w:type="pct"/>
            <w:shd w:val="clear" w:color="auto" w:fill="auto"/>
            <w:vAlign w:val="center"/>
          </w:tcPr>
          <w:p w14:paraId="2BC1084B" w14:textId="77777777" w:rsidR="00C36920" w:rsidRPr="0068236B" w:rsidRDefault="00C36920" w:rsidP="00145532">
            <w:pPr>
              <w:spacing w:before="0" w:after="0" w:line="240" w:lineRule="auto"/>
              <w:jc w:val="left"/>
              <w:rPr>
                <w:rFonts w:cs="Tahoma"/>
                <w:sz w:val="18"/>
                <w:szCs w:val="18"/>
              </w:rPr>
            </w:pPr>
            <w:r w:rsidRPr="0068236B">
              <w:rPr>
                <w:rFonts w:cs="Tahoma"/>
                <w:sz w:val="18"/>
                <w:szCs w:val="18"/>
              </w:rPr>
              <w:t>Biodiversity and natural heritage</w:t>
            </w:r>
          </w:p>
        </w:tc>
        <w:tc>
          <w:tcPr>
            <w:tcW w:w="3541" w:type="pct"/>
            <w:vAlign w:val="center"/>
          </w:tcPr>
          <w:p w14:paraId="2767E982" w14:textId="12DD3260" w:rsidR="00C36920" w:rsidRPr="0068236B" w:rsidRDefault="00C36920" w:rsidP="00C36920">
            <w:pPr>
              <w:spacing w:before="0" w:after="0" w:line="240" w:lineRule="auto"/>
              <w:jc w:val="left"/>
              <w:rPr>
                <w:rFonts w:cs="Tahoma"/>
                <w:sz w:val="18"/>
                <w:szCs w:val="18"/>
              </w:rPr>
            </w:pPr>
            <w:r w:rsidRPr="0068236B">
              <w:rPr>
                <w:rFonts w:cs="Tahoma"/>
                <w:sz w:val="18"/>
                <w:szCs w:val="18"/>
              </w:rPr>
              <w:t>An area of 1,000 m wide corridor along the transmission lines (within 500 m of the centreline of the alignments), including the proposed location of the substation was used to present the biodiversity baseline in wider context, which is considered as representative and sufficient to identify the current biodiversity status in the broader area and to assess indirect impacts from the Project. The baseline is based on the desk-based information, map of ecosystems of Macedonia, and biodiversity field surveys. Most of the data on habitats and species presented in this report are from the field observations.</w:t>
            </w:r>
          </w:p>
          <w:p w14:paraId="5875E5E9" w14:textId="34ABF03C" w:rsidR="00C36920" w:rsidRPr="0068236B" w:rsidRDefault="008F262A" w:rsidP="00C36920">
            <w:pPr>
              <w:spacing w:before="0" w:after="0" w:line="240" w:lineRule="auto"/>
              <w:jc w:val="left"/>
              <w:rPr>
                <w:rFonts w:cs="Tahoma"/>
                <w:sz w:val="18"/>
                <w:szCs w:val="18"/>
              </w:rPr>
            </w:pPr>
            <w:r w:rsidRPr="0068236B">
              <w:rPr>
                <w:rFonts w:cs="Tahoma"/>
                <w:sz w:val="18"/>
                <w:szCs w:val="18"/>
              </w:rPr>
              <w:t>The Project was</w:t>
            </w:r>
            <w:r w:rsidR="00C36920" w:rsidRPr="0068236B">
              <w:rPr>
                <w:rFonts w:cs="Tahoma"/>
                <w:sz w:val="18"/>
                <w:szCs w:val="18"/>
              </w:rPr>
              <w:t xml:space="preserve"> analyzed from the aspect of </w:t>
            </w:r>
            <w:r w:rsidRPr="0068236B">
              <w:rPr>
                <w:rFonts w:cs="Tahoma"/>
                <w:sz w:val="18"/>
                <w:szCs w:val="18"/>
              </w:rPr>
              <w:t>the</w:t>
            </w:r>
            <w:r w:rsidR="00C36920" w:rsidRPr="0068236B">
              <w:rPr>
                <w:rFonts w:cs="Tahoma"/>
                <w:sz w:val="18"/>
                <w:szCs w:val="18"/>
              </w:rPr>
              <w:t xml:space="preserve"> vegetation, flora and habitats as well as presence of protected and designated sites (with national or international importance). Habitats were identified according to different classification systems (trivial, EUNIS, Bern Convention, EU Habitats Directive).</w:t>
            </w:r>
          </w:p>
          <w:p w14:paraId="3E01F2A3" w14:textId="5F38A08D" w:rsidR="00C36920" w:rsidRPr="0068236B" w:rsidRDefault="00C36920" w:rsidP="00C36920">
            <w:pPr>
              <w:spacing w:before="0" w:after="0" w:line="240" w:lineRule="auto"/>
              <w:jc w:val="left"/>
              <w:rPr>
                <w:rFonts w:cs="Tahoma"/>
                <w:sz w:val="18"/>
                <w:szCs w:val="18"/>
              </w:rPr>
            </w:pPr>
            <w:r w:rsidRPr="0068236B">
              <w:rPr>
                <w:rFonts w:cs="Tahoma"/>
                <w:sz w:val="18"/>
                <w:szCs w:val="18"/>
              </w:rPr>
              <w:t>Valorization of habitats was performed based primarily on EU Habitats Directiv</w:t>
            </w:r>
            <w:r w:rsidR="008F262A" w:rsidRPr="0068236B">
              <w:rPr>
                <w:rFonts w:cs="Tahoma"/>
                <w:sz w:val="18"/>
                <w:szCs w:val="18"/>
              </w:rPr>
              <w:t>e and Bern Convention.</w:t>
            </w:r>
          </w:p>
          <w:p w14:paraId="6BC62CA1" w14:textId="1A743417" w:rsidR="00C36920" w:rsidRPr="0068236B" w:rsidRDefault="00C36920" w:rsidP="00C36920">
            <w:pPr>
              <w:spacing w:before="0" w:after="0" w:line="240" w:lineRule="auto"/>
              <w:jc w:val="left"/>
              <w:rPr>
                <w:rFonts w:cs="Tahoma"/>
                <w:sz w:val="18"/>
                <w:szCs w:val="18"/>
              </w:rPr>
            </w:pPr>
            <w:r w:rsidRPr="0068236B">
              <w:rPr>
                <w:rFonts w:cs="Tahoma"/>
                <w:sz w:val="18"/>
                <w:szCs w:val="18"/>
              </w:rPr>
              <w:t xml:space="preserve">Valorization of flora was also performed on the basis of national and international criteria as well as expert assessment. </w:t>
            </w:r>
          </w:p>
          <w:p w14:paraId="2CAB1F64" w14:textId="77777777" w:rsidR="00C36920" w:rsidRPr="0068236B" w:rsidRDefault="00C36920" w:rsidP="00C36920">
            <w:pPr>
              <w:spacing w:before="0" w:after="0" w:line="240" w:lineRule="auto"/>
              <w:jc w:val="left"/>
              <w:rPr>
                <w:rFonts w:cs="Tahoma"/>
                <w:sz w:val="18"/>
                <w:szCs w:val="18"/>
              </w:rPr>
            </w:pPr>
            <w:r w:rsidRPr="0068236B">
              <w:rPr>
                <w:rFonts w:cs="Tahoma"/>
                <w:sz w:val="18"/>
                <w:szCs w:val="18"/>
              </w:rPr>
              <w:t xml:space="preserve">Valorization of fauna (Bern convention, EU Habitats Directive, EU Birds Directive, Global, European and national red lists, Law on hunting, Law on Nature Protection) showed presence of a number of important species. </w:t>
            </w:r>
          </w:p>
          <w:p w14:paraId="3BDFFF64" w14:textId="33C6C3EB" w:rsidR="00C36920" w:rsidRPr="0068236B" w:rsidRDefault="00C36920" w:rsidP="008F262A">
            <w:pPr>
              <w:spacing w:before="0" w:after="0" w:line="240" w:lineRule="auto"/>
              <w:jc w:val="left"/>
              <w:rPr>
                <w:rFonts w:cs="Tahoma"/>
                <w:b/>
                <w:sz w:val="18"/>
                <w:szCs w:val="18"/>
              </w:rPr>
            </w:pPr>
            <w:r w:rsidRPr="0068236B">
              <w:rPr>
                <w:rFonts w:cs="Tahoma"/>
                <w:sz w:val="18"/>
                <w:szCs w:val="18"/>
              </w:rPr>
              <w:t>Assessment of Critical Habitat (CH) and Priority Biodiversity Features (PBF) was pe</w:t>
            </w:r>
            <w:r w:rsidRPr="0068236B">
              <w:rPr>
                <w:rFonts w:cs="Tahoma"/>
                <w:sz w:val="18"/>
                <w:szCs w:val="18"/>
              </w:rPr>
              <w:t>r</w:t>
            </w:r>
            <w:r w:rsidRPr="0068236B">
              <w:rPr>
                <w:rFonts w:cs="Tahoma"/>
                <w:sz w:val="18"/>
                <w:szCs w:val="18"/>
              </w:rPr>
              <w:t xml:space="preserve">formed according to the </w:t>
            </w:r>
            <w:r w:rsidR="008F262A" w:rsidRPr="0068236B">
              <w:rPr>
                <w:rFonts w:cs="Tahoma"/>
                <w:sz w:val="18"/>
                <w:szCs w:val="18"/>
              </w:rPr>
              <w:t xml:space="preserve">EBRD </w:t>
            </w:r>
            <w:r w:rsidRPr="0068236B">
              <w:rPr>
                <w:rFonts w:cs="Tahoma"/>
                <w:sz w:val="18"/>
                <w:szCs w:val="18"/>
              </w:rPr>
              <w:t xml:space="preserve">PR6 guidelines. </w:t>
            </w:r>
          </w:p>
        </w:tc>
      </w:tr>
      <w:tr w:rsidR="00C36920" w:rsidRPr="0068236B" w14:paraId="0727C0DF" w14:textId="77777777" w:rsidTr="005F774D">
        <w:tc>
          <w:tcPr>
            <w:tcW w:w="1459" w:type="pct"/>
            <w:shd w:val="clear" w:color="auto" w:fill="auto"/>
            <w:vAlign w:val="center"/>
          </w:tcPr>
          <w:p w14:paraId="3AD3C440" w14:textId="77777777" w:rsidR="00C36920" w:rsidRPr="0068236B" w:rsidRDefault="00C36920" w:rsidP="00145532">
            <w:pPr>
              <w:spacing w:before="0" w:after="0" w:line="240" w:lineRule="auto"/>
              <w:jc w:val="left"/>
              <w:rPr>
                <w:rFonts w:cs="Tahoma"/>
                <w:sz w:val="18"/>
                <w:szCs w:val="18"/>
              </w:rPr>
            </w:pPr>
            <w:r w:rsidRPr="0068236B">
              <w:rPr>
                <w:rFonts w:cs="Tahoma"/>
                <w:sz w:val="18"/>
                <w:szCs w:val="18"/>
              </w:rPr>
              <w:t>Landscape</w:t>
            </w:r>
          </w:p>
        </w:tc>
        <w:tc>
          <w:tcPr>
            <w:tcW w:w="3541" w:type="pct"/>
            <w:vAlign w:val="center"/>
          </w:tcPr>
          <w:p w14:paraId="691C8BB0" w14:textId="477A2862" w:rsidR="00C36920" w:rsidRPr="0068236B" w:rsidRDefault="008F262A" w:rsidP="00C46838">
            <w:pPr>
              <w:spacing w:before="0" w:after="0" w:line="240" w:lineRule="auto"/>
              <w:jc w:val="left"/>
              <w:rPr>
                <w:rFonts w:cs="Tahoma"/>
                <w:sz w:val="18"/>
                <w:szCs w:val="18"/>
              </w:rPr>
            </w:pPr>
            <w:r w:rsidRPr="0068236B">
              <w:rPr>
                <w:rFonts w:cs="Tahoma"/>
                <w:sz w:val="18"/>
                <w:szCs w:val="18"/>
              </w:rPr>
              <w:t>Four</w:t>
            </w:r>
            <w:r w:rsidR="00C36920" w:rsidRPr="0068236B">
              <w:rPr>
                <w:rFonts w:cs="Tahoma"/>
                <w:sz w:val="18"/>
                <w:szCs w:val="18"/>
              </w:rPr>
              <w:t xml:space="preserve"> landscape types were identified within the study area - 1,000 m wide corridor along the transmission lines (within 500 m of the centreline of the alignments), i</w:t>
            </w:r>
            <w:r w:rsidR="00C36920" w:rsidRPr="0068236B">
              <w:rPr>
                <w:rFonts w:cs="Tahoma"/>
                <w:sz w:val="18"/>
                <w:szCs w:val="18"/>
              </w:rPr>
              <w:t>n</w:t>
            </w:r>
            <w:r w:rsidR="00C36920" w:rsidRPr="0068236B">
              <w:rPr>
                <w:rFonts w:cs="Tahoma"/>
                <w:sz w:val="18"/>
                <w:szCs w:val="18"/>
              </w:rPr>
              <w:t>cluding the proposed location of the substation. These are classified according to the Macedonian Strategy for Nature Protection as follows: 1) Rolling submediter</w:t>
            </w:r>
            <w:r w:rsidR="00C36920" w:rsidRPr="0068236B">
              <w:rPr>
                <w:rFonts w:cs="Tahoma"/>
                <w:sz w:val="18"/>
                <w:szCs w:val="18"/>
              </w:rPr>
              <w:softHyphen/>
              <w:t>ranean landscape (pseudo-maquis). 2)</w:t>
            </w:r>
            <w:r w:rsidR="00562E86" w:rsidRPr="0068236B">
              <w:rPr>
                <w:rFonts w:cs="Tahoma"/>
                <w:sz w:val="18"/>
                <w:szCs w:val="18"/>
              </w:rPr>
              <w:t xml:space="preserve"> </w:t>
            </w:r>
            <w:r w:rsidR="00C36920" w:rsidRPr="0068236B">
              <w:rPr>
                <w:rFonts w:cs="Tahoma"/>
                <w:sz w:val="18"/>
                <w:szCs w:val="18"/>
              </w:rPr>
              <w:t>Thermophilous degraded forests landscape. 3) Fla</w:t>
            </w:r>
            <w:r w:rsidR="00C36920" w:rsidRPr="0068236B">
              <w:rPr>
                <w:rFonts w:cs="Tahoma"/>
                <w:sz w:val="18"/>
                <w:szCs w:val="18"/>
              </w:rPr>
              <w:t>t</w:t>
            </w:r>
            <w:r w:rsidR="00C36920" w:rsidRPr="0068236B">
              <w:rPr>
                <w:rFonts w:cs="Tahoma"/>
                <w:sz w:val="18"/>
                <w:szCs w:val="18"/>
              </w:rPr>
              <w:t>land sub-Medite</w:t>
            </w:r>
            <w:r w:rsidRPr="0068236B">
              <w:rPr>
                <w:rFonts w:cs="Tahoma"/>
                <w:sz w:val="18"/>
                <w:szCs w:val="18"/>
              </w:rPr>
              <w:t xml:space="preserve">rranean agricultural landscape and </w:t>
            </w:r>
            <w:r w:rsidR="00C36920" w:rsidRPr="0068236B">
              <w:rPr>
                <w:rFonts w:cs="Tahoma"/>
                <w:sz w:val="18"/>
                <w:szCs w:val="18"/>
              </w:rPr>
              <w:t>4) Rolling rural landscape</w:t>
            </w:r>
            <w:r w:rsidRPr="0068236B">
              <w:rPr>
                <w:rFonts w:cs="Tahoma"/>
                <w:sz w:val="18"/>
                <w:szCs w:val="18"/>
              </w:rPr>
              <w:t>.</w:t>
            </w:r>
          </w:p>
        </w:tc>
      </w:tr>
      <w:tr w:rsidR="00C36920" w:rsidRPr="0068236B" w14:paraId="523A6321" w14:textId="77777777" w:rsidTr="005F774D">
        <w:tc>
          <w:tcPr>
            <w:tcW w:w="1459" w:type="pct"/>
            <w:shd w:val="clear" w:color="auto" w:fill="auto"/>
            <w:vAlign w:val="center"/>
          </w:tcPr>
          <w:p w14:paraId="1B1EEE00" w14:textId="77777777" w:rsidR="00C36920" w:rsidRPr="0068236B" w:rsidRDefault="00C36920" w:rsidP="00145532">
            <w:pPr>
              <w:spacing w:before="0" w:after="0" w:line="240" w:lineRule="auto"/>
              <w:jc w:val="left"/>
              <w:rPr>
                <w:rFonts w:cs="Tahoma"/>
                <w:sz w:val="18"/>
                <w:szCs w:val="18"/>
              </w:rPr>
            </w:pPr>
            <w:r w:rsidRPr="0068236B">
              <w:rPr>
                <w:rFonts w:cs="Tahoma"/>
                <w:sz w:val="18"/>
                <w:szCs w:val="18"/>
              </w:rPr>
              <w:t>Social-economic context: Settl</w:t>
            </w:r>
            <w:r w:rsidRPr="0068236B">
              <w:rPr>
                <w:rFonts w:cs="Tahoma"/>
                <w:sz w:val="18"/>
                <w:szCs w:val="18"/>
              </w:rPr>
              <w:t>e</w:t>
            </w:r>
            <w:r w:rsidRPr="0068236B">
              <w:rPr>
                <w:rFonts w:cs="Tahoma"/>
                <w:sz w:val="18"/>
                <w:szCs w:val="18"/>
              </w:rPr>
              <w:lastRenderedPageBreak/>
              <w:t>ments</w:t>
            </w:r>
          </w:p>
        </w:tc>
        <w:tc>
          <w:tcPr>
            <w:tcW w:w="3541" w:type="pct"/>
            <w:vAlign w:val="center"/>
          </w:tcPr>
          <w:p w14:paraId="0C9D3851" w14:textId="7BE20FAD" w:rsidR="00C36920" w:rsidRPr="0068236B" w:rsidRDefault="00C36920" w:rsidP="00C36920">
            <w:pPr>
              <w:spacing w:before="0" w:after="0" w:line="240" w:lineRule="auto"/>
              <w:jc w:val="left"/>
              <w:rPr>
                <w:rFonts w:cs="Tahoma"/>
                <w:sz w:val="18"/>
                <w:szCs w:val="18"/>
              </w:rPr>
            </w:pPr>
            <w:r w:rsidRPr="0068236B">
              <w:rPr>
                <w:rFonts w:cs="Tahoma"/>
                <w:sz w:val="18"/>
                <w:szCs w:val="18"/>
              </w:rPr>
              <w:lastRenderedPageBreak/>
              <w:t xml:space="preserve">All potentially affected settlements within the study area - 2,000 m wide corridor </w:t>
            </w:r>
            <w:r w:rsidRPr="0068236B">
              <w:rPr>
                <w:rFonts w:cs="Tahoma"/>
                <w:sz w:val="18"/>
                <w:szCs w:val="18"/>
              </w:rPr>
              <w:lastRenderedPageBreak/>
              <w:t>along the transmission lines (within 1,000 m of the centreline of the alignments), including the proposed location of the substation - were visited and on-site observ</w:t>
            </w:r>
            <w:r w:rsidRPr="0068236B">
              <w:rPr>
                <w:rFonts w:cs="Tahoma"/>
                <w:sz w:val="18"/>
                <w:szCs w:val="18"/>
              </w:rPr>
              <w:t>a</w:t>
            </w:r>
            <w:r w:rsidRPr="0068236B">
              <w:rPr>
                <w:rFonts w:cs="Tahoma"/>
                <w:sz w:val="18"/>
                <w:szCs w:val="18"/>
              </w:rPr>
              <w:t>tion was performed in order to determine the general way of life of the inhabitants, their way of livelihood provision, dwelling, state of the communal infrastructure, road connections, presence of social facilities and its use, administrative facilities and other features that will successfully ease in proper understanding of the local life and needs/aspirations of these people.</w:t>
            </w:r>
          </w:p>
          <w:p w14:paraId="63551603" w14:textId="5EC9B606" w:rsidR="00C36920" w:rsidRPr="0068236B" w:rsidRDefault="00C36920" w:rsidP="008F262A">
            <w:pPr>
              <w:spacing w:before="0" w:after="0" w:line="240" w:lineRule="auto"/>
              <w:jc w:val="left"/>
              <w:rPr>
                <w:rFonts w:cs="Tahoma"/>
                <w:sz w:val="18"/>
                <w:szCs w:val="18"/>
              </w:rPr>
            </w:pPr>
            <w:r w:rsidRPr="0068236B">
              <w:rPr>
                <w:rFonts w:cs="Tahoma"/>
                <w:sz w:val="18"/>
                <w:szCs w:val="18"/>
              </w:rPr>
              <w:t xml:space="preserve">Each of the rural settlements that are within the study area was examined, and in all potentially affected settlements local residents (1-3 people) unstructured interview was performed. </w:t>
            </w:r>
          </w:p>
        </w:tc>
      </w:tr>
      <w:tr w:rsidR="00C36920" w:rsidRPr="0068236B" w14:paraId="0F4DD3BF" w14:textId="77777777" w:rsidTr="005F774D">
        <w:tc>
          <w:tcPr>
            <w:tcW w:w="1459" w:type="pct"/>
            <w:shd w:val="clear" w:color="auto" w:fill="auto"/>
            <w:vAlign w:val="center"/>
          </w:tcPr>
          <w:p w14:paraId="24F9D45D" w14:textId="528A7BC7" w:rsidR="00C36920" w:rsidRPr="0068236B" w:rsidRDefault="00145532" w:rsidP="00145532">
            <w:pPr>
              <w:spacing w:before="0" w:after="0" w:line="240" w:lineRule="auto"/>
              <w:jc w:val="left"/>
              <w:rPr>
                <w:rFonts w:cs="Tahoma"/>
                <w:sz w:val="18"/>
                <w:szCs w:val="18"/>
              </w:rPr>
            </w:pPr>
            <w:r w:rsidRPr="0068236B">
              <w:rPr>
                <w:rFonts w:cs="Tahoma"/>
                <w:sz w:val="18"/>
                <w:szCs w:val="18"/>
              </w:rPr>
              <w:lastRenderedPageBreak/>
              <w:t xml:space="preserve">Social-economic context: </w:t>
            </w:r>
            <w:r w:rsidR="005E6643" w:rsidRPr="0068236B">
              <w:rPr>
                <w:rFonts w:cs="Tahoma"/>
                <w:sz w:val="18"/>
                <w:szCs w:val="18"/>
              </w:rPr>
              <w:t>Reside</w:t>
            </w:r>
            <w:r w:rsidR="005E6643" w:rsidRPr="0068236B">
              <w:rPr>
                <w:rFonts w:cs="Tahoma"/>
                <w:sz w:val="18"/>
                <w:szCs w:val="18"/>
              </w:rPr>
              <w:t>n</w:t>
            </w:r>
            <w:r w:rsidR="005E6643" w:rsidRPr="0068236B">
              <w:rPr>
                <w:rFonts w:cs="Tahoma"/>
                <w:sz w:val="18"/>
                <w:szCs w:val="18"/>
              </w:rPr>
              <w:t>tial</w:t>
            </w:r>
            <w:r w:rsidRPr="0068236B">
              <w:rPr>
                <w:rFonts w:cs="Tahoma"/>
                <w:sz w:val="18"/>
                <w:szCs w:val="18"/>
              </w:rPr>
              <w:t xml:space="preserve"> and other p</w:t>
            </w:r>
            <w:r w:rsidR="00C36920" w:rsidRPr="0068236B">
              <w:rPr>
                <w:rFonts w:cs="Tahoma"/>
                <w:sz w:val="18"/>
                <w:szCs w:val="18"/>
              </w:rPr>
              <w:t>roperties</w:t>
            </w:r>
          </w:p>
        </w:tc>
        <w:tc>
          <w:tcPr>
            <w:tcW w:w="3541" w:type="pct"/>
            <w:vAlign w:val="center"/>
          </w:tcPr>
          <w:p w14:paraId="1DBD58FB" w14:textId="1F60886A" w:rsidR="00C36074" w:rsidRPr="0068236B" w:rsidRDefault="00C36074" w:rsidP="00C36074">
            <w:pPr>
              <w:spacing w:before="0" w:after="0" w:line="240" w:lineRule="auto"/>
              <w:jc w:val="left"/>
              <w:rPr>
                <w:rFonts w:cs="Tahoma"/>
                <w:sz w:val="18"/>
                <w:szCs w:val="18"/>
              </w:rPr>
            </w:pPr>
            <w:r w:rsidRPr="0068236B">
              <w:rPr>
                <w:rFonts w:eastAsia="Calibri" w:cs="Tahoma"/>
                <w:sz w:val="18"/>
                <w:szCs w:val="18"/>
              </w:rPr>
              <w:t>No residential or other properties were identified in proximity to proposed location of the new substation that would pose constraints for its further development.</w:t>
            </w:r>
          </w:p>
          <w:p w14:paraId="1F54B26D" w14:textId="555E2026" w:rsidR="00C36920" w:rsidRPr="0068236B" w:rsidRDefault="00C36074" w:rsidP="008F262A">
            <w:pPr>
              <w:spacing w:before="0" w:after="0" w:line="240" w:lineRule="auto"/>
              <w:jc w:val="left"/>
              <w:rPr>
                <w:rFonts w:eastAsia="Calibri" w:cs="Tahoma"/>
                <w:sz w:val="18"/>
                <w:szCs w:val="18"/>
              </w:rPr>
            </w:pPr>
            <w:r w:rsidRPr="0068236B">
              <w:rPr>
                <w:rFonts w:cs="Tahoma"/>
                <w:sz w:val="18"/>
                <w:szCs w:val="18"/>
              </w:rPr>
              <w:t>Field surveys along the existing transmission lines, proposed for reconstruction, ind</w:t>
            </w:r>
            <w:r w:rsidRPr="0068236B">
              <w:rPr>
                <w:rFonts w:cs="Tahoma"/>
                <w:sz w:val="18"/>
                <w:szCs w:val="18"/>
              </w:rPr>
              <w:t>i</w:t>
            </w:r>
            <w:r w:rsidRPr="0068236B">
              <w:rPr>
                <w:rFonts w:cs="Tahoma"/>
                <w:sz w:val="18"/>
                <w:szCs w:val="18"/>
              </w:rPr>
              <w:t xml:space="preserve">cated that there are no residential properties that will be directly affected from the Project. All nearby dwelling and other objects are at a reasonable distance of at least 150 m from the lines. </w:t>
            </w:r>
          </w:p>
        </w:tc>
      </w:tr>
      <w:tr w:rsidR="00C36920" w:rsidRPr="0068236B" w14:paraId="5F9EF317" w14:textId="77777777" w:rsidTr="005F774D">
        <w:tc>
          <w:tcPr>
            <w:tcW w:w="1459" w:type="pct"/>
            <w:shd w:val="clear" w:color="auto" w:fill="auto"/>
            <w:vAlign w:val="center"/>
          </w:tcPr>
          <w:p w14:paraId="37C0F930" w14:textId="77777777" w:rsidR="00C36920" w:rsidRPr="0068236B" w:rsidRDefault="00C36920" w:rsidP="00145532">
            <w:pPr>
              <w:spacing w:before="0" w:after="0" w:line="240" w:lineRule="auto"/>
              <w:jc w:val="left"/>
              <w:rPr>
                <w:rFonts w:cs="Tahoma"/>
                <w:sz w:val="18"/>
                <w:szCs w:val="18"/>
              </w:rPr>
            </w:pPr>
            <w:r w:rsidRPr="0068236B">
              <w:rPr>
                <w:rFonts w:cs="Tahoma"/>
                <w:sz w:val="18"/>
                <w:szCs w:val="18"/>
              </w:rPr>
              <w:t>Social-economic context: Vulner</w:t>
            </w:r>
            <w:r w:rsidRPr="0068236B">
              <w:rPr>
                <w:rFonts w:cs="Tahoma"/>
                <w:sz w:val="18"/>
                <w:szCs w:val="18"/>
              </w:rPr>
              <w:t>a</w:t>
            </w:r>
            <w:r w:rsidRPr="0068236B">
              <w:rPr>
                <w:rFonts w:cs="Tahoma"/>
                <w:sz w:val="18"/>
                <w:szCs w:val="18"/>
              </w:rPr>
              <w:t>ble groups</w:t>
            </w:r>
          </w:p>
        </w:tc>
        <w:tc>
          <w:tcPr>
            <w:tcW w:w="3541" w:type="pct"/>
            <w:vAlign w:val="center"/>
          </w:tcPr>
          <w:p w14:paraId="713A2B60" w14:textId="3C92FF43" w:rsidR="00C36920" w:rsidRPr="0068236B" w:rsidRDefault="008F262A" w:rsidP="00C36920">
            <w:pPr>
              <w:spacing w:before="0" w:after="0" w:line="240" w:lineRule="auto"/>
              <w:jc w:val="left"/>
              <w:rPr>
                <w:rFonts w:cs="Tahoma"/>
                <w:sz w:val="18"/>
                <w:szCs w:val="18"/>
              </w:rPr>
            </w:pPr>
            <w:r w:rsidRPr="0068236B">
              <w:rPr>
                <w:rFonts w:cs="Tahoma"/>
                <w:sz w:val="18"/>
                <w:szCs w:val="18"/>
              </w:rPr>
              <w:t>No vulnerable groups that would be affected by the the Project implementation were</w:t>
            </w:r>
            <w:r w:rsidR="00C36920" w:rsidRPr="0068236B">
              <w:rPr>
                <w:rFonts w:cs="Tahoma"/>
                <w:sz w:val="18"/>
                <w:szCs w:val="18"/>
              </w:rPr>
              <w:t xml:space="preserve"> identified </w:t>
            </w:r>
            <w:r w:rsidRPr="0068236B">
              <w:rPr>
                <w:rFonts w:cs="Tahoma"/>
                <w:sz w:val="18"/>
                <w:szCs w:val="18"/>
              </w:rPr>
              <w:t>in the study area.</w:t>
            </w:r>
          </w:p>
        </w:tc>
      </w:tr>
      <w:tr w:rsidR="00C36920" w:rsidRPr="0068236B" w14:paraId="45675A7E" w14:textId="77777777" w:rsidTr="005F774D">
        <w:tc>
          <w:tcPr>
            <w:tcW w:w="1459" w:type="pct"/>
            <w:shd w:val="clear" w:color="auto" w:fill="auto"/>
            <w:vAlign w:val="center"/>
          </w:tcPr>
          <w:p w14:paraId="6FE0B06A" w14:textId="77777777" w:rsidR="00C36920" w:rsidRPr="0068236B" w:rsidRDefault="00C36920" w:rsidP="00145532">
            <w:pPr>
              <w:spacing w:before="0" w:after="0" w:line="240" w:lineRule="auto"/>
              <w:jc w:val="left"/>
              <w:rPr>
                <w:rFonts w:cs="Tahoma"/>
                <w:sz w:val="18"/>
                <w:szCs w:val="18"/>
              </w:rPr>
            </w:pPr>
            <w:r w:rsidRPr="0068236B">
              <w:rPr>
                <w:rFonts w:cs="Tahoma"/>
                <w:sz w:val="18"/>
                <w:szCs w:val="18"/>
              </w:rPr>
              <w:t>Cultural heritage</w:t>
            </w:r>
          </w:p>
        </w:tc>
        <w:tc>
          <w:tcPr>
            <w:tcW w:w="3541" w:type="pct"/>
            <w:vAlign w:val="center"/>
          </w:tcPr>
          <w:p w14:paraId="19DCC467" w14:textId="0EF9309B" w:rsidR="00C36920" w:rsidRPr="0068236B" w:rsidRDefault="00C36920" w:rsidP="008F262A">
            <w:pPr>
              <w:spacing w:before="0" w:after="0" w:line="240" w:lineRule="auto"/>
              <w:jc w:val="left"/>
              <w:rPr>
                <w:rFonts w:cs="Tahoma"/>
                <w:sz w:val="18"/>
                <w:szCs w:val="18"/>
              </w:rPr>
            </w:pPr>
            <w:r w:rsidRPr="0068236B">
              <w:rPr>
                <w:rFonts w:cs="Tahoma"/>
                <w:sz w:val="18"/>
                <w:szCs w:val="18"/>
              </w:rPr>
              <w:t xml:space="preserve">Both field surveys included detail inspection of the terrain against visible elements of presence of certain cultural heritage. Additionally, relevant information for </w:t>
            </w:r>
            <w:r w:rsidR="008F262A" w:rsidRPr="0068236B">
              <w:rPr>
                <w:rFonts w:cs="Tahoma"/>
                <w:sz w:val="18"/>
                <w:szCs w:val="18"/>
              </w:rPr>
              <w:t xml:space="preserve">the </w:t>
            </w:r>
            <w:r w:rsidRPr="0068236B">
              <w:rPr>
                <w:rFonts w:cs="Tahoma"/>
                <w:sz w:val="18"/>
                <w:szCs w:val="18"/>
              </w:rPr>
              <w:t>pote</w:t>
            </w:r>
            <w:r w:rsidRPr="0068236B">
              <w:rPr>
                <w:rFonts w:cs="Tahoma"/>
                <w:sz w:val="18"/>
                <w:szCs w:val="18"/>
              </w:rPr>
              <w:t>n</w:t>
            </w:r>
            <w:r w:rsidRPr="0068236B">
              <w:rPr>
                <w:rFonts w:cs="Tahoma"/>
                <w:sz w:val="18"/>
                <w:szCs w:val="18"/>
              </w:rPr>
              <w:t>tial archeological sites, were provided from the responsible institutions for protection of cultural heritage</w:t>
            </w:r>
            <w:r w:rsidR="008F262A" w:rsidRPr="0068236B">
              <w:rPr>
                <w:rFonts w:cs="Tahoma"/>
                <w:sz w:val="18"/>
                <w:szCs w:val="18"/>
              </w:rPr>
              <w:t>.</w:t>
            </w:r>
            <w:r w:rsidRPr="0068236B">
              <w:rPr>
                <w:rFonts w:cs="Tahoma"/>
                <w:sz w:val="18"/>
                <w:szCs w:val="18"/>
              </w:rPr>
              <w:t xml:space="preserve"> </w:t>
            </w:r>
          </w:p>
        </w:tc>
      </w:tr>
    </w:tbl>
    <w:p w14:paraId="15B8F187" w14:textId="67C2D195" w:rsidR="00C36920" w:rsidRPr="0068236B" w:rsidRDefault="00C36920" w:rsidP="00EF7697">
      <w:pPr>
        <w:overflowPunct w:val="0"/>
        <w:autoSpaceDE w:val="0"/>
        <w:autoSpaceDN w:val="0"/>
        <w:adjustRightInd w:val="0"/>
        <w:spacing w:before="60" w:after="240"/>
        <w:jc w:val="left"/>
        <w:textAlignment w:val="baseline"/>
        <w:rPr>
          <w:rFonts w:cs="Arial"/>
          <w:bCs/>
          <w:iCs/>
          <w:sz w:val="18"/>
          <w:szCs w:val="20"/>
        </w:rPr>
      </w:pPr>
      <w:bookmarkStart w:id="171" w:name="_Toc113018166"/>
      <w:r w:rsidRPr="0068236B">
        <w:rPr>
          <w:rFonts w:cs="Arial"/>
          <w:bCs/>
          <w:iCs/>
          <w:sz w:val="18"/>
          <w:szCs w:val="20"/>
        </w:rPr>
        <w:t xml:space="preserve">Table </w:t>
      </w:r>
      <w:r w:rsidRPr="0068236B">
        <w:rPr>
          <w:rFonts w:cs="Arial"/>
          <w:bCs/>
          <w:iCs/>
          <w:sz w:val="18"/>
          <w:szCs w:val="20"/>
        </w:rPr>
        <w:fldChar w:fldCharType="begin"/>
      </w:r>
      <w:r w:rsidRPr="0068236B">
        <w:rPr>
          <w:rFonts w:cs="Arial"/>
          <w:bCs/>
          <w:iCs/>
          <w:sz w:val="18"/>
          <w:szCs w:val="20"/>
        </w:rPr>
        <w:instrText xml:space="preserve"> STYLEREF 1 \s </w:instrText>
      </w:r>
      <w:r w:rsidRPr="0068236B">
        <w:rPr>
          <w:rFonts w:cs="Arial"/>
          <w:bCs/>
          <w:iCs/>
          <w:sz w:val="18"/>
          <w:szCs w:val="20"/>
        </w:rPr>
        <w:fldChar w:fldCharType="separate"/>
      </w:r>
      <w:r w:rsidR="00234EBE" w:rsidRPr="0068236B">
        <w:rPr>
          <w:rFonts w:cs="Arial"/>
          <w:bCs/>
          <w:iCs/>
          <w:noProof/>
          <w:sz w:val="18"/>
          <w:szCs w:val="20"/>
        </w:rPr>
        <w:t>5</w:t>
      </w:r>
      <w:r w:rsidRPr="0068236B">
        <w:rPr>
          <w:rFonts w:cs="Arial"/>
          <w:bCs/>
          <w:iCs/>
          <w:sz w:val="18"/>
          <w:szCs w:val="20"/>
        </w:rPr>
        <w:fldChar w:fldCharType="end"/>
      </w:r>
      <w:r w:rsidRPr="0068236B">
        <w:rPr>
          <w:rFonts w:cs="Arial"/>
          <w:bCs/>
          <w:iCs/>
          <w:sz w:val="18"/>
          <w:szCs w:val="20"/>
        </w:rPr>
        <w:t>.</w:t>
      </w:r>
      <w:r w:rsidRPr="0068236B">
        <w:rPr>
          <w:rFonts w:cs="Arial"/>
          <w:bCs/>
          <w:iCs/>
          <w:sz w:val="18"/>
          <w:szCs w:val="20"/>
        </w:rPr>
        <w:fldChar w:fldCharType="begin"/>
      </w:r>
      <w:r w:rsidRPr="0068236B">
        <w:rPr>
          <w:rFonts w:cs="Arial"/>
          <w:bCs/>
          <w:iCs/>
          <w:sz w:val="18"/>
          <w:szCs w:val="20"/>
        </w:rPr>
        <w:instrText xml:space="preserve"> SEQ Table \* ARABIC \s 1 </w:instrText>
      </w:r>
      <w:r w:rsidRPr="0068236B">
        <w:rPr>
          <w:rFonts w:cs="Arial"/>
          <w:bCs/>
          <w:iCs/>
          <w:sz w:val="18"/>
          <w:szCs w:val="20"/>
        </w:rPr>
        <w:fldChar w:fldCharType="separate"/>
      </w:r>
      <w:r w:rsidR="00234EBE" w:rsidRPr="0068236B">
        <w:rPr>
          <w:rFonts w:cs="Arial"/>
          <w:bCs/>
          <w:iCs/>
          <w:noProof/>
          <w:sz w:val="18"/>
          <w:szCs w:val="20"/>
        </w:rPr>
        <w:t>1</w:t>
      </w:r>
      <w:r w:rsidRPr="0068236B">
        <w:rPr>
          <w:rFonts w:cs="Arial"/>
          <w:bCs/>
          <w:iCs/>
          <w:sz w:val="18"/>
          <w:szCs w:val="20"/>
        </w:rPr>
        <w:fldChar w:fldCharType="end"/>
      </w:r>
      <w:r w:rsidRPr="0068236B">
        <w:rPr>
          <w:rFonts w:cs="Arial"/>
          <w:bCs/>
          <w:iCs/>
          <w:sz w:val="18"/>
          <w:szCs w:val="20"/>
        </w:rPr>
        <w:t xml:space="preserve">: Baseline surveys overtaken </w:t>
      </w:r>
      <w:r w:rsidR="00C46838" w:rsidRPr="0068236B">
        <w:rPr>
          <w:rFonts w:cs="Arial"/>
          <w:bCs/>
          <w:iCs/>
          <w:sz w:val="18"/>
          <w:szCs w:val="20"/>
        </w:rPr>
        <w:t>in the course of the environmental and social assessment</w:t>
      </w:r>
      <w:bookmarkEnd w:id="171"/>
    </w:p>
    <w:p w14:paraId="262185AA" w14:textId="77777777" w:rsidR="00240E6E" w:rsidRPr="0068236B" w:rsidRDefault="00240E6E" w:rsidP="00240E6E">
      <w:pPr>
        <w:pStyle w:val="Heading2"/>
        <w:spacing w:before="480" w:after="240"/>
        <w:ind w:left="576" w:hanging="576"/>
        <w:rPr>
          <w:szCs w:val="28"/>
        </w:rPr>
      </w:pPr>
      <w:bookmarkStart w:id="172" w:name="_Toc17988163"/>
      <w:bookmarkStart w:id="173" w:name="_Toc48829057"/>
      <w:bookmarkStart w:id="174" w:name="_Toc71559755"/>
      <w:bookmarkStart w:id="175" w:name="_Toc112852236"/>
      <w:r w:rsidRPr="0068236B">
        <w:rPr>
          <w:rFonts w:cs="Arial"/>
          <w:szCs w:val="28"/>
        </w:rPr>
        <w:t>Potential Significant Effects and Mitigation</w:t>
      </w:r>
      <w:bookmarkEnd w:id="172"/>
      <w:bookmarkEnd w:id="173"/>
      <w:bookmarkEnd w:id="174"/>
      <w:bookmarkEnd w:id="175"/>
    </w:p>
    <w:p w14:paraId="6F1188B9" w14:textId="77777777" w:rsidR="00240E6E" w:rsidRPr="0068236B" w:rsidRDefault="00240E6E" w:rsidP="00240E6E">
      <w:pPr>
        <w:pStyle w:val="Heading3"/>
        <w:tabs>
          <w:tab w:val="left" w:pos="1134"/>
        </w:tabs>
        <w:ind w:left="720" w:hanging="720"/>
        <w:rPr>
          <w:rFonts w:cs="Arial"/>
        </w:rPr>
      </w:pPr>
      <w:bookmarkStart w:id="176" w:name="_Toc474406382"/>
      <w:bookmarkStart w:id="177" w:name="_Toc48829058"/>
      <w:bookmarkStart w:id="178" w:name="_Toc71559756"/>
      <w:bookmarkStart w:id="179" w:name="_Toc112852237"/>
      <w:bookmarkStart w:id="180" w:name="_Toc451199326"/>
      <w:bookmarkStart w:id="181" w:name="_Toc13755608"/>
      <w:r w:rsidRPr="0068236B">
        <w:rPr>
          <w:rFonts w:cs="Arial"/>
        </w:rPr>
        <w:t>Significance of Impacts – Generic Approach</w:t>
      </w:r>
      <w:bookmarkEnd w:id="176"/>
      <w:bookmarkEnd w:id="177"/>
      <w:bookmarkEnd w:id="178"/>
      <w:bookmarkEnd w:id="179"/>
    </w:p>
    <w:p w14:paraId="0EB7035E" w14:textId="77777777" w:rsidR="00240E6E" w:rsidRPr="0068236B" w:rsidRDefault="00240E6E" w:rsidP="00240E6E">
      <w:pPr>
        <w:autoSpaceDE w:val="0"/>
        <w:autoSpaceDN w:val="0"/>
        <w:adjustRightInd w:val="0"/>
        <w:rPr>
          <w:rFonts w:cs="Tahoma"/>
          <w:sz w:val="20"/>
          <w:szCs w:val="20"/>
        </w:rPr>
      </w:pPr>
      <w:r w:rsidRPr="0068236B">
        <w:rPr>
          <w:rFonts w:cs="Tahoma"/>
          <w:sz w:val="20"/>
          <w:szCs w:val="20"/>
          <w:lang w:eastAsia="en-US"/>
        </w:rPr>
        <w:t>The significance of an environmental and social effect is typically a function of the “value” or “sensitivity” of the receptor and the “magnitude” or “scale” of the impact.</w:t>
      </w:r>
    </w:p>
    <w:bookmarkEnd w:id="180"/>
    <w:bookmarkEnd w:id="181"/>
    <w:p w14:paraId="1E08DED4" w14:textId="77777777" w:rsidR="00240E6E" w:rsidRPr="0068236B" w:rsidRDefault="00240E6E" w:rsidP="00240E6E">
      <w:pPr>
        <w:pStyle w:val="Heading4"/>
        <w:numPr>
          <w:ilvl w:val="3"/>
          <w:numId w:val="0"/>
        </w:numPr>
        <w:spacing w:line="240" w:lineRule="auto"/>
        <w:ind w:left="864" w:hanging="144"/>
        <w:rPr>
          <w:b w:val="0"/>
          <w:color w:val="auto"/>
          <w:sz w:val="20"/>
          <w:szCs w:val="20"/>
          <w:u w:val="single"/>
        </w:rPr>
      </w:pPr>
      <w:r w:rsidRPr="0068236B">
        <w:rPr>
          <w:b w:val="0"/>
          <w:color w:val="auto"/>
          <w:sz w:val="20"/>
          <w:u w:val="single"/>
        </w:rPr>
        <w:t>Receptor Sensitivity of Value</w:t>
      </w:r>
    </w:p>
    <w:p w14:paraId="55592EE6" w14:textId="77777777" w:rsidR="00240E6E" w:rsidRPr="0068236B" w:rsidRDefault="00240E6E" w:rsidP="00240E6E">
      <w:pPr>
        <w:autoSpaceDE w:val="0"/>
        <w:autoSpaceDN w:val="0"/>
        <w:adjustRightInd w:val="0"/>
        <w:rPr>
          <w:rFonts w:eastAsia="ArialMT" w:cs="Arial"/>
          <w:sz w:val="20"/>
          <w:szCs w:val="20"/>
        </w:rPr>
      </w:pPr>
      <w:r w:rsidRPr="0068236B">
        <w:rPr>
          <w:rFonts w:cs="Arial"/>
          <w:sz w:val="20"/>
          <w:szCs w:val="20"/>
        </w:rPr>
        <w:t xml:space="preserve">The sensitivity of a receptor refers to its importance i.e. its environmental value / attributes. </w:t>
      </w:r>
      <w:r w:rsidRPr="0068236B">
        <w:rPr>
          <w:rFonts w:eastAsia="ArialMT" w:cs="Arial"/>
          <w:sz w:val="20"/>
          <w:szCs w:val="20"/>
        </w:rPr>
        <w:t xml:space="preserve">The sensitivity is </w:t>
      </w:r>
      <w:r w:rsidRPr="0068236B">
        <w:rPr>
          <w:rFonts w:cs="Arial"/>
          <w:sz w:val="20"/>
          <w:szCs w:val="20"/>
        </w:rPr>
        <w:t>generally site specific</w:t>
      </w:r>
      <w:r w:rsidRPr="0068236B">
        <w:rPr>
          <w:rFonts w:eastAsia="ArialMT" w:cs="Arial"/>
          <w:sz w:val="20"/>
          <w:szCs w:val="20"/>
        </w:rPr>
        <w:t xml:space="preserve"> and is a function of receptor’s capacity to accommodate change. It reflects its ability to recover if it is affected, and is defined by the following factors:</w:t>
      </w:r>
    </w:p>
    <w:p w14:paraId="59691D1F" w14:textId="77777777" w:rsidR="00240E6E" w:rsidRPr="0068236B" w:rsidRDefault="00240E6E" w:rsidP="00D24CEF">
      <w:pPr>
        <w:pStyle w:val="ListBullet"/>
        <w:numPr>
          <w:ilvl w:val="0"/>
          <w:numId w:val="97"/>
        </w:numPr>
        <w:jc w:val="left"/>
        <w:rPr>
          <w:sz w:val="20"/>
        </w:rPr>
      </w:pPr>
      <w:r w:rsidRPr="0068236B">
        <w:rPr>
          <w:rFonts w:eastAsia="ArialMT" w:cs="Arial"/>
          <w:sz w:val="20"/>
          <w:szCs w:val="20"/>
        </w:rPr>
        <w:t>Adaptability – the degree to which a receptor can avoid, adapt to or recover from an effect.</w:t>
      </w:r>
    </w:p>
    <w:p w14:paraId="308F19DC" w14:textId="77777777" w:rsidR="00240E6E" w:rsidRPr="0068236B" w:rsidRDefault="00240E6E" w:rsidP="00D24CEF">
      <w:pPr>
        <w:pStyle w:val="ListBullet"/>
        <w:numPr>
          <w:ilvl w:val="0"/>
          <w:numId w:val="97"/>
        </w:numPr>
        <w:jc w:val="left"/>
        <w:rPr>
          <w:sz w:val="20"/>
        </w:rPr>
      </w:pPr>
      <w:r w:rsidRPr="0068236B">
        <w:rPr>
          <w:rFonts w:eastAsia="ArialMT" w:cs="Arial"/>
          <w:sz w:val="20"/>
          <w:szCs w:val="20"/>
        </w:rPr>
        <w:t>Tolerance – the ability of a receptor to accommodate temporary or permanent change.</w:t>
      </w:r>
    </w:p>
    <w:p w14:paraId="7CDFE077" w14:textId="77777777" w:rsidR="00240E6E" w:rsidRPr="0068236B" w:rsidRDefault="00240E6E" w:rsidP="00D24CEF">
      <w:pPr>
        <w:pStyle w:val="ListBullet"/>
        <w:numPr>
          <w:ilvl w:val="0"/>
          <w:numId w:val="97"/>
        </w:numPr>
        <w:jc w:val="left"/>
        <w:rPr>
          <w:rFonts w:eastAsia="ArialMT" w:cs="Arial"/>
          <w:sz w:val="20"/>
          <w:szCs w:val="20"/>
        </w:rPr>
      </w:pPr>
      <w:r w:rsidRPr="0068236B">
        <w:rPr>
          <w:rFonts w:eastAsia="ArialMT" w:cs="Arial"/>
          <w:sz w:val="20"/>
          <w:szCs w:val="20"/>
        </w:rPr>
        <w:t>Recoverability – the temporal scale over and extent to which a receptor will recover following an effect.</w:t>
      </w:r>
    </w:p>
    <w:p w14:paraId="33B32360" w14:textId="77777777" w:rsidR="00240E6E" w:rsidRPr="0068236B" w:rsidRDefault="00240E6E" w:rsidP="00240E6E">
      <w:pPr>
        <w:pStyle w:val="ListBullet"/>
        <w:numPr>
          <w:ilvl w:val="0"/>
          <w:numId w:val="0"/>
        </w:numPr>
        <w:spacing w:before="120" w:after="120"/>
        <w:rPr>
          <w:rFonts w:eastAsia="ArialMT" w:cs="Arial"/>
          <w:sz w:val="20"/>
          <w:szCs w:val="20"/>
        </w:rPr>
      </w:pPr>
      <w:r w:rsidRPr="0068236B">
        <w:rPr>
          <w:rFonts w:eastAsia="ArialMT" w:cs="Arial"/>
          <w:sz w:val="20"/>
          <w:szCs w:val="20"/>
        </w:rPr>
        <w:t xml:space="preserve">Generic </w:t>
      </w:r>
      <w:r w:rsidRPr="0068236B">
        <w:rPr>
          <w:rFonts w:cs="Arial"/>
          <w:sz w:val="20"/>
          <w:szCs w:val="20"/>
        </w:rPr>
        <w:t>criteria guidelines for assigning receptor sensitivity</w:t>
      </w:r>
      <w:r w:rsidRPr="0068236B">
        <w:rPr>
          <w:rFonts w:eastAsia="ArialMT" w:cs="Arial"/>
          <w:sz w:val="20"/>
          <w:szCs w:val="20"/>
        </w:rPr>
        <w:t xml:space="preserve"> for the purpose of the </w:t>
      </w:r>
      <w:r w:rsidR="00806391" w:rsidRPr="0068236B">
        <w:rPr>
          <w:rFonts w:eastAsia="ArialMT" w:cs="Arial"/>
          <w:sz w:val="20"/>
          <w:szCs w:val="20"/>
        </w:rPr>
        <w:t>assessment for the P</w:t>
      </w:r>
      <w:r w:rsidRPr="0068236B">
        <w:rPr>
          <w:rFonts w:eastAsia="ArialMT" w:cs="Arial"/>
          <w:sz w:val="20"/>
          <w:szCs w:val="20"/>
        </w:rPr>
        <w:t>roject are given in Table below. In principle, the assessment of receptor’s sensitivity is a matter of judgment a</w:t>
      </w:r>
      <w:r w:rsidRPr="0068236B">
        <w:rPr>
          <w:rFonts w:eastAsia="ArialMT" w:cs="Arial"/>
          <w:sz w:val="20"/>
          <w:szCs w:val="20"/>
        </w:rPr>
        <w:t>p</w:t>
      </w:r>
      <w:r w:rsidRPr="0068236B">
        <w:rPr>
          <w:rFonts w:eastAsia="ArialMT" w:cs="Arial"/>
          <w:sz w:val="20"/>
          <w:szCs w:val="20"/>
        </w:rPr>
        <w:t>plied by professional experts based on case by case approach within the relevant area affected by the pr</w:t>
      </w:r>
      <w:r w:rsidRPr="0068236B">
        <w:rPr>
          <w:rFonts w:eastAsia="ArialMT" w:cs="Arial"/>
          <w:sz w:val="20"/>
          <w:szCs w:val="20"/>
        </w:rPr>
        <w:t>o</w:t>
      </w:r>
      <w:r w:rsidRPr="0068236B">
        <w:rPr>
          <w:rFonts w:eastAsia="ArialMT" w:cs="Arial"/>
          <w:sz w:val="20"/>
          <w:szCs w:val="20"/>
        </w:rPr>
        <w:t>posed development.</w:t>
      </w:r>
    </w:p>
    <w:tbl>
      <w:tblPr>
        <w:tblW w:w="9742" w:type="dxa"/>
        <w:tblInd w:w="5" w:type="dxa"/>
        <w:tblBorders>
          <w:top w:val="single" w:sz="4" w:space="0" w:color="9DBCB0"/>
          <w:left w:val="single" w:sz="4" w:space="0" w:color="9DBCB0"/>
          <w:bottom w:val="single" w:sz="4" w:space="0" w:color="9DBCB0"/>
          <w:right w:val="single" w:sz="4" w:space="0" w:color="9DBCB0"/>
          <w:insideH w:val="single" w:sz="4" w:space="0" w:color="9DBCB0"/>
          <w:insideV w:val="single" w:sz="4" w:space="0" w:color="9DBCB0"/>
        </w:tblBorders>
        <w:tblLook w:val="04A0" w:firstRow="1" w:lastRow="0" w:firstColumn="1" w:lastColumn="0" w:noHBand="0" w:noVBand="1"/>
      </w:tblPr>
      <w:tblGrid>
        <w:gridCol w:w="2230"/>
        <w:gridCol w:w="7512"/>
      </w:tblGrid>
      <w:tr w:rsidR="00240E6E" w:rsidRPr="0068236B" w14:paraId="5A9E51D5" w14:textId="77777777" w:rsidTr="0015607A">
        <w:trPr>
          <w:cantSplit/>
          <w:tblHeader/>
        </w:trPr>
        <w:tc>
          <w:tcPr>
            <w:tcW w:w="2230" w:type="dxa"/>
            <w:shd w:val="clear" w:color="000000" w:fill="44697D"/>
            <w:noWrap/>
            <w:vAlign w:val="center"/>
            <w:hideMark/>
          </w:tcPr>
          <w:p w14:paraId="7A60F44F" w14:textId="77777777" w:rsidR="00240E6E" w:rsidRPr="0068236B" w:rsidRDefault="00240E6E" w:rsidP="0015607A">
            <w:pPr>
              <w:keepNext/>
              <w:spacing w:before="0" w:after="0" w:line="240" w:lineRule="auto"/>
              <w:jc w:val="center"/>
              <w:rPr>
                <w:rFonts w:cs="Tahoma"/>
                <w:bCs/>
                <w:color w:val="FFFFFF"/>
                <w:sz w:val="20"/>
                <w:szCs w:val="20"/>
                <w:lang w:eastAsia="el-GR"/>
              </w:rPr>
            </w:pPr>
            <w:r w:rsidRPr="0068236B">
              <w:rPr>
                <w:rFonts w:cs="Tahoma"/>
                <w:bCs/>
                <w:color w:val="FFFFFF"/>
                <w:sz w:val="20"/>
                <w:szCs w:val="20"/>
                <w:lang w:eastAsia="el-GR"/>
              </w:rPr>
              <w:t>Receptor sensitivity / value</w:t>
            </w:r>
          </w:p>
        </w:tc>
        <w:tc>
          <w:tcPr>
            <w:tcW w:w="7512" w:type="dxa"/>
            <w:shd w:val="clear" w:color="000000" w:fill="44697D"/>
            <w:noWrap/>
            <w:vAlign w:val="center"/>
            <w:hideMark/>
          </w:tcPr>
          <w:p w14:paraId="7489841D" w14:textId="77777777" w:rsidR="00240E6E" w:rsidRPr="0068236B" w:rsidRDefault="00240E6E" w:rsidP="0015607A">
            <w:pPr>
              <w:keepNext/>
              <w:spacing w:before="0" w:after="0" w:line="240" w:lineRule="auto"/>
              <w:jc w:val="left"/>
              <w:rPr>
                <w:rFonts w:cs="Tahoma"/>
                <w:bCs/>
                <w:color w:val="FFFFFF"/>
                <w:sz w:val="20"/>
                <w:szCs w:val="20"/>
                <w:lang w:eastAsia="el-GR"/>
              </w:rPr>
            </w:pPr>
            <w:r w:rsidRPr="0068236B">
              <w:rPr>
                <w:rFonts w:cs="Tahoma"/>
                <w:bCs/>
                <w:color w:val="FFFFFF"/>
                <w:sz w:val="20"/>
                <w:szCs w:val="20"/>
                <w:lang w:eastAsia="el-GR"/>
              </w:rPr>
              <w:t>Description - typical descriptors</w:t>
            </w:r>
          </w:p>
        </w:tc>
      </w:tr>
      <w:tr w:rsidR="00240E6E" w:rsidRPr="0068236B" w14:paraId="318B1AF9" w14:textId="77777777" w:rsidTr="0015607A">
        <w:trPr>
          <w:trHeight w:val="288"/>
        </w:trPr>
        <w:tc>
          <w:tcPr>
            <w:tcW w:w="2230" w:type="dxa"/>
            <w:shd w:val="clear" w:color="auto" w:fill="auto"/>
            <w:noWrap/>
            <w:hideMark/>
          </w:tcPr>
          <w:p w14:paraId="06B6379E" w14:textId="77777777" w:rsidR="00240E6E" w:rsidRPr="0068236B" w:rsidRDefault="00240E6E" w:rsidP="0015607A">
            <w:pPr>
              <w:pStyle w:val="Default"/>
              <w:rPr>
                <w:rFonts w:ascii="Tahoma" w:hAnsi="Tahoma" w:cs="Tahoma"/>
                <w:color w:val="auto"/>
                <w:sz w:val="20"/>
                <w:szCs w:val="20"/>
              </w:rPr>
            </w:pPr>
            <w:r w:rsidRPr="0068236B">
              <w:rPr>
                <w:rFonts w:ascii="Tahoma" w:hAnsi="Tahoma" w:cs="Tahoma"/>
                <w:bCs/>
                <w:color w:val="auto"/>
                <w:sz w:val="20"/>
                <w:szCs w:val="20"/>
              </w:rPr>
              <w:t xml:space="preserve">Very high </w:t>
            </w:r>
          </w:p>
        </w:tc>
        <w:tc>
          <w:tcPr>
            <w:tcW w:w="7512" w:type="dxa"/>
            <w:shd w:val="clear" w:color="auto" w:fill="auto"/>
            <w:noWrap/>
            <w:hideMark/>
          </w:tcPr>
          <w:p w14:paraId="178056B5" w14:textId="77777777" w:rsidR="00240E6E" w:rsidRPr="0068236B" w:rsidRDefault="00240E6E" w:rsidP="0015607A">
            <w:pPr>
              <w:pStyle w:val="Default"/>
              <w:rPr>
                <w:rFonts w:ascii="Tahoma" w:hAnsi="Tahoma" w:cs="Tahoma"/>
                <w:color w:val="auto"/>
                <w:sz w:val="20"/>
                <w:szCs w:val="20"/>
              </w:rPr>
            </w:pPr>
            <w:r w:rsidRPr="0068236B">
              <w:rPr>
                <w:rFonts w:ascii="Tahoma" w:hAnsi="Tahoma" w:cs="Tahoma"/>
                <w:color w:val="auto"/>
                <w:sz w:val="20"/>
                <w:szCs w:val="20"/>
              </w:rPr>
              <w:t xml:space="preserve">Receptor has very limited or no capacity to accommodate changes (impacts) - </w:t>
            </w:r>
            <w:r w:rsidRPr="0068236B">
              <w:rPr>
                <w:rFonts w:ascii="Tahoma" w:hAnsi="Tahoma" w:cs="Tahoma"/>
                <w:sz w:val="20"/>
                <w:szCs w:val="20"/>
              </w:rPr>
              <w:t>very high importance and rarity, international scale and very limited potential for substitution/ replacement.</w:t>
            </w:r>
          </w:p>
        </w:tc>
      </w:tr>
      <w:tr w:rsidR="00240E6E" w:rsidRPr="0068236B" w14:paraId="17BC641D" w14:textId="77777777" w:rsidTr="0015607A">
        <w:trPr>
          <w:trHeight w:val="288"/>
        </w:trPr>
        <w:tc>
          <w:tcPr>
            <w:tcW w:w="2230" w:type="dxa"/>
            <w:shd w:val="clear" w:color="auto" w:fill="auto"/>
            <w:noWrap/>
            <w:hideMark/>
          </w:tcPr>
          <w:p w14:paraId="4096854B" w14:textId="77777777" w:rsidR="00240E6E" w:rsidRPr="0068236B" w:rsidRDefault="00240E6E" w:rsidP="0015607A">
            <w:pPr>
              <w:pStyle w:val="Default"/>
              <w:rPr>
                <w:rFonts w:ascii="Tahoma" w:hAnsi="Tahoma" w:cs="Tahoma"/>
                <w:color w:val="auto"/>
                <w:sz w:val="20"/>
                <w:szCs w:val="20"/>
              </w:rPr>
            </w:pPr>
            <w:r w:rsidRPr="0068236B">
              <w:rPr>
                <w:rFonts w:ascii="Tahoma" w:hAnsi="Tahoma" w:cs="Tahoma"/>
                <w:bCs/>
                <w:color w:val="auto"/>
                <w:sz w:val="20"/>
                <w:szCs w:val="20"/>
              </w:rPr>
              <w:t xml:space="preserve">High </w:t>
            </w:r>
          </w:p>
        </w:tc>
        <w:tc>
          <w:tcPr>
            <w:tcW w:w="7512" w:type="dxa"/>
            <w:shd w:val="clear" w:color="auto" w:fill="auto"/>
            <w:noWrap/>
            <w:vAlign w:val="center"/>
            <w:hideMark/>
          </w:tcPr>
          <w:p w14:paraId="698468FB" w14:textId="77777777" w:rsidR="00240E6E" w:rsidRPr="0068236B" w:rsidRDefault="00240E6E" w:rsidP="0015607A">
            <w:pPr>
              <w:pStyle w:val="Default"/>
              <w:rPr>
                <w:rFonts w:ascii="Tahoma" w:hAnsi="Tahoma" w:cs="Tahoma"/>
                <w:color w:val="auto"/>
                <w:sz w:val="20"/>
                <w:szCs w:val="20"/>
              </w:rPr>
            </w:pPr>
            <w:r w:rsidRPr="0068236B">
              <w:rPr>
                <w:rFonts w:ascii="Tahoma" w:hAnsi="Tahoma" w:cs="Tahoma"/>
                <w:color w:val="auto"/>
                <w:sz w:val="20"/>
                <w:szCs w:val="20"/>
              </w:rPr>
              <w:t xml:space="preserve">Receptor has a limited capacity to accommodate changes (impacts) - </w:t>
            </w:r>
            <w:r w:rsidRPr="0068236B">
              <w:rPr>
                <w:rFonts w:ascii="Tahoma" w:hAnsi="Tahoma" w:cs="Tahoma"/>
                <w:sz w:val="20"/>
                <w:szCs w:val="20"/>
              </w:rPr>
              <w:t>high i</w:t>
            </w:r>
            <w:r w:rsidRPr="0068236B">
              <w:rPr>
                <w:rFonts w:ascii="Tahoma" w:hAnsi="Tahoma" w:cs="Tahoma"/>
                <w:sz w:val="20"/>
                <w:szCs w:val="20"/>
              </w:rPr>
              <w:t>m</w:t>
            </w:r>
            <w:r w:rsidRPr="0068236B">
              <w:rPr>
                <w:rFonts w:ascii="Tahoma" w:hAnsi="Tahoma" w:cs="Tahoma"/>
                <w:sz w:val="20"/>
                <w:szCs w:val="20"/>
              </w:rPr>
              <w:t>portance and rarity, national scale and limited potential for substit</w:t>
            </w:r>
            <w:r w:rsidRPr="0068236B">
              <w:rPr>
                <w:rFonts w:ascii="Tahoma" w:hAnsi="Tahoma" w:cs="Tahoma"/>
                <w:sz w:val="20"/>
                <w:szCs w:val="20"/>
              </w:rPr>
              <w:t>u</w:t>
            </w:r>
            <w:r w:rsidRPr="0068236B">
              <w:rPr>
                <w:rFonts w:ascii="Tahoma" w:hAnsi="Tahoma" w:cs="Tahoma"/>
                <w:sz w:val="20"/>
                <w:szCs w:val="20"/>
              </w:rPr>
              <w:t>tion/replacement.</w:t>
            </w:r>
          </w:p>
        </w:tc>
      </w:tr>
      <w:tr w:rsidR="00240E6E" w:rsidRPr="0068236B" w14:paraId="78983B15" w14:textId="77777777" w:rsidTr="0015607A">
        <w:trPr>
          <w:trHeight w:val="288"/>
        </w:trPr>
        <w:tc>
          <w:tcPr>
            <w:tcW w:w="2230" w:type="dxa"/>
            <w:shd w:val="clear" w:color="auto" w:fill="auto"/>
            <w:noWrap/>
            <w:hideMark/>
          </w:tcPr>
          <w:p w14:paraId="31597AD6" w14:textId="77777777" w:rsidR="00240E6E" w:rsidRPr="0068236B" w:rsidRDefault="00240E6E" w:rsidP="0015607A">
            <w:pPr>
              <w:pStyle w:val="Default"/>
              <w:rPr>
                <w:rFonts w:ascii="Tahoma" w:hAnsi="Tahoma" w:cs="Tahoma"/>
                <w:color w:val="auto"/>
                <w:sz w:val="20"/>
                <w:szCs w:val="20"/>
              </w:rPr>
            </w:pPr>
            <w:r w:rsidRPr="0068236B">
              <w:rPr>
                <w:rFonts w:ascii="Tahoma" w:hAnsi="Tahoma" w:cs="Tahoma"/>
                <w:bCs/>
                <w:color w:val="auto"/>
                <w:sz w:val="20"/>
                <w:szCs w:val="20"/>
              </w:rPr>
              <w:t xml:space="preserve">Medium </w:t>
            </w:r>
          </w:p>
        </w:tc>
        <w:tc>
          <w:tcPr>
            <w:tcW w:w="7512" w:type="dxa"/>
            <w:shd w:val="clear" w:color="auto" w:fill="auto"/>
            <w:noWrap/>
            <w:hideMark/>
          </w:tcPr>
          <w:p w14:paraId="50CA3676" w14:textId="77777777" w:rsidR="00240E6E" w:rsidRPr="0068236B" w:rsidRDefault="00240E6E" w:rsidP="0015607A">
            <w:pPr>
              <w:pStyle w:val="Default"/>
              <w:rPr>
                <w:rFonts w:ascii="Tahoma" w:hAnsi="Tahoma" w:cs="Tahoma"/>
                <w:color w:val="auto"/>
                <w:sz w:val="20"/>
                <w:szCs w:val="20"/>
              </w:rPr>
            </w:pPr>
            <w:r w:rsidRPr="0068236B">
              <w:rPr>
                <w:rFonts w:ascii="Tahoma" w:hAnsi="Tahoma" w:cs="Tahoma"/>
                <w:color w:val="auto"/>
                <w:sz w:val="20"/>
                <w:szCs w:val="20"/>
              </w:rPr>
              <w:t xml:space="preserve">Receptor has a limited capacity to accommodate changes (impacts) </w:t>
            </w:r>
            <w:r w:rsidRPr="0068236B">
              <w:rPr>
                <w:rFonts w:ascii="Tahoma" w:hAnsi="Tahoma" w:cs="Tahoma"/>
                <w:sz w:val="20"/>
                <w:szCs w:val="20"/>
              </w:rPr>
              <w:t>- high or m</w:t>
            </w:r>
            <w:r w:rsidRPr="0068236B">
              <w:rPr>
                <w:rFonts w:ascii="Tahoma" w:hAnsi="Tahoma" w:cs="Tahoma"/>
                <w:sz w:val="20"/>
                <w:szCs w:val="20"/>
              </w:rPr>
              <w:t>e</w:t>
            </w:r>
            <w:r w:rsidRPr="0068236B">
              <w:rPr>
                <w:rFonts w:ascii="Tahoma" w:hAnsi="Tahoma" w:cs="Tahoma"/>
                <w:sz w:val="20"/>
                <w:szCs w:val="20"/>
              </w:rPr>
              <w:lastRenderedPageBreak/>
              <w:t>dium importance and rarity, regional scale, limited potential for substitution/ r</w:t>
            </w:r>
            <w:r w:rsidRPr="0068236B">
              <w:rPr>
                <w:rFonts w:ascii="Tahoma" w:hAnsi="Tahoma" w:cs="Tahoma"/>
                <w:sz w:val="20"/>
                <w:szCs w:val="20"/>
              </w:rPr>
              <w:t>e</w:t>
            </w:r>
            <w:r w:rsidRPr="0068236B">
              <w:rPr>
                <w:rFonts w:ascii="Tahoma" w:hAnsi="Tahoma" w:cs="Tahoma"/>
                <w:sz w:val="20"/>
                <w:szCs w:val="20"/>
              </w:rPr>
              <w:t>placement.</w:t>
            </w:r>
          </w:p>
        </w:tc>
      </w:tr>
      <w:tr w:rsidR="00240E6E" w:rsidRPr="0068236B" w14:paraId="73AD5C07" w14:textId="77777777" w:rsidTr="0015607A">
        <w:trPr>
          <w:trHeight w:val="288"/>
        </w:trPr>
        <w:tc>
          <w:tcPr>
            <w:tcW w:w="2230" w:type="dxa"/>
            <w:shd w:val="clear" w:color="auto" w:fill="auto"/>
            <w:noWrap/>
            <w:hideMark/>
          </w:tcPr>
          <w:p w14:paraId="031F9C41" w14:textId="77777777" w:rsidR="00240E6E" w:rsidRPr="0068236B" w:rsidRDefault="00240E6E" w:rsidP="0015607A">
            <w:pPr>
              <w:pStyle w:val="Default"/>
              <w:rPr>
                <w:rFonts w:ascii="Tahoma" w:hAnsi="Tahoma" w:cs="Tahoma"/>
                <w:color w:val="auto"/>
                <w:sz w:val="20"/>
                <w:szCs w:val="20"/>
              </w:rPr>
            </w:pPr>
            <w:r w:rsidRPr="0068236B">
              <w:rPr>
                <w:rFonts w:ascii="Tahoma" w:hAnsi="Tahoma" w:cs="Tahoma"/>
                <w:bCs/>
                <w:color w:val="auto"/>
                <w:sz w:val="20"/>
                <w:szCs w:val="20"/>
              </w:rPr>
              <w:lastRenderedPageBreak/>
              <w:t xml:space="preserve">Low </w:t>
            </w:r>
          </w:p>
        </w:tc>
        <w:tc>
          <w:tcPr>
            <w:tcW w:w="7512" w:type="dxa"/>
            <w:shd w:val="clear" w:color="auto" w:fill="auto"/>
            <w:noWrap/>
            <w:hideMark/>
          </w:tcPr>
          <w:p w14:paraId="6EBA1465" w14:textId="77777777" w:rsidR="00240E6E" w:rsidRPr="0068236B" w:rsidRDefault="00240E6E" w:rsidP="0015607A">
            <w:pPr>
              <w:pStyle w:val="Default"/>
              <w:rPr>
                <w:rFonts w:ascii="Tahoma" w:hAnsi="Tahoma" w:cs="Tahoma"/>
                <w:color w:val="auto"/>
                <w:sz w:val="20"/>
                <w:szCs w:val="20"/>
              </w:rPr>
            </w:pPr>
            <w:r w:rsidRPr="0068236B">
              <w:rPr>
                <w:rFonts w:ascii="Tahoma" w:hAnsi="Tahoma" w:cs="Tahoma"/>
                <w:color w:val="auto"/>
                <w:sz w:val="20"/>
                <w:szCs w:val="20"/>
              </w:rPr>
              <w:t xml:space="preserve">Receptor has a moderate capacity to accommodate changes (impacts) - </w:t>
            </w:r>
            <w:r w:rsidRPr="0068236B">
              <w:rPr>
                <w:rFonts w:ascii="Tahoma" w:hAnsi="Tahoma" w:cs="Tahoma"/>
                <w:sz w:val="20"/>
                <w:szCs w:val="20"/>
              </w:rPr>
              <w:t>low or medium importance and rarity, local scale</w:t>
            </w:r>
            <w:r w:rsidRPr="0068236B">
              <w:rPr>
                <w:rFonts w:ascii="Tahoma" w:hAnsi="Tahoma" w:cs="Tahoma"/>
                <w:color w:val="auto"/>
                <w:sz w:val="20"/>
                <w:szCs w:val="20"/>
              </w:rPr>
              <w:t xml:space="preserve"> and potentially can be substituted / replaced. </w:t>
            </w:r>
          </w:p>
        </w:tc>
      </w:tr>
      <w:tr w:rsidR="00240E6E" w:rsidRPr="0068236B" w14:paraId="6A32FEDD" w14:textId="77777777" w:rsidTr="0015607A">
        <w:trPr>
          <w:trHeight w:val="288"/>
        </w:trPr>
        <w:tc>
          <w:tcPr>
            <w:tcW w:w="2230" w:type="dxa"/>
            <w:shd w:val="clear" w:color="auto" w:fill="auto"/>
            <w:noWrap/>
            <w:hideMark/>
          </w:tcPr>
          <w:p w14:paraId="5CB07AB1" w14:textId="77777777" w:rsidR="00240E6E" w:rsidRPr="0068236B" w:rsidRDefault="00240E6E" w:rsidP="0015607A">
            <w:pPr>
              <w:pStyle w:val="Default"/>
              <w:rPr>
                <w:rFonts w:ascii="Tahoma" w:hAnsi="Tahoma" w:cs="Tahoma"/>
                <w:color w:val="auto"/>
                <w:sz w:val="20"/>
                <w:szCs w:val="20"/>
              </w:rPr>
            </w:pPr>
            <w:r w:rsidRPr="0068236B">
              <w:rPr>
                <w:rFonts w:ascii="Tahoma" w:hAnsi="Tahoma" w:cs="Tahoma"/>
                <w:bCs/>
                <w:color w:val="auto"/>
                <w:sz w:val="20"/>
                <w:szCs w:val="20"/>
              </w:rPr>
              <w:t>Very low</w:t>
            </w:r>
          </w:p>
        </w:tc>
        <w:tc>
          <w:tcPr>
            <w:tcW w:w="7512" w:type="dxa"/>
            <w:shd w:val="clear" w:color="auto" w:fill="auto"/>
            <w:noWrap/>
            <w:hideMark/>
          </w:tcPr>
          <w:p w14:paraId="795FC5C5" w14:textId="77777777" w:rsidR="00240E6E" w:rsidRPr="0068236B" w:rsidRDefault="00240E6E" w:rsidP="0015607A">
            <w:pPr>
              <w:pStyle w:val="Default"/>
              <w:rPr>
                <w:rFonts w:ascii="Tahoma" w:hAnsi="Tahoma" w:cs="Tahoma"/>
                <w:color w:val="auto"/>
                <w:sz w:val="20"/>
                <w:szCs w:val="20"/>
              </w:rPr>
            </w:pPr>
            <w:r w:rsidRPr="0068236B">
              <w:rPr>
                <w:rFonts w:ascii="Tahoma" w:hAnsi="Tahoma" w:cs="Tahoma"/>
                <w:color w:val="auto"/>
                <w:sz w:val="20"/>
                <w:szCs w:val="20"/>
              </w:rPr>
              <w:t>Receptor is generally tolerant of and can accommodate changes or influences - v</w:t>
            </w:r>
            <w:r w:rsidRPr="0068236B">
              <w:rPr>
                <w:rFonts w:ascii="Tahoma" w:hAnsi="Tahoma" w:cs="Tahoma"/>
                <w:sz w:val="20"/>
                <w:szCs w:val="20"/>
              </w:rPr>
              <w:t>ery low importance and rarity, local scale and</w:t>
            </w:r>
            <w:r w:rsidRPr="0068236B">
              <w:rPr>
                <w:rFonts w:ascii="Tahoma" w:hAnsi="Tahoma" w:cs="Tahoma"/>
                <w:color w:val="auto"/>
                <w:sz w:val="20"/>
                <w:szCs w:val="20"/>
              </w:rPr>
              <w:t xml:space="preserve"> are not designated, and are easily substituted / replaced. </w:t>
            </w:r>
          </w:p>
        </w:tc>
      </w:tr>
    </w:tbl>
    <w:p w14:paraId="41685E7E" w14:textId="77777777" w:rsidR="00240E6E" w:rsidRPr="0068236B" w:rsidRDefault="00240E6E" w:rsidP="00240E6E">
      <w:pPr>
        <w:overflowPunct w:val="0"/>
        <w:autoSpaceDE w:val="0"/>
        <w:autoSpaceDN w:val="0"/>
        <w:adjustRightInd w:val="0"/>
        <w:spacing w:after="240"/>
        <w:jc w:val="left"/>
        <w:textAlignment w:val="baseline"/>
        <w:rPr>
          <w:rFonts w:cs="Arial"/>
          <w:bCs/>
          <w:iCs/>
          <w:sz w:val="18"/>
          <w:szCs w:val="20"/>
        </w:rPr>
      </w:pPr>
      <w:bookmarkStart w:id="182" w:name="_Toc71559815"/>
      <w:bookmarkStart w:id="183" w:name="_Toc113018167"/>
      <w:bookmarkStart w:id="184" w:name="_Toc48818847"/>
      <w:r w:rsidRPr="0068236B">
        <w:rPr>
          <w:rFonts w:cs="Arial"/>
          <w:bCs/>
          <w:iCs/>
          <w:sz w:val="18"/>
          <w:szCs w:val="20"/>
        </w:rPr>
        <w:t xml:space="preserve">Table </w:t>
      </w:r>
      <w:r w:rsidR="00377E43" w:rsidRPr="0068236B">
        <w:rPr>
          <w:rFonts w:cs="Arial"/>
          <w:bCs/>
          <w:iCs/>
          <w:sz w:val="18"/>
          <w:szCs w:val="20"/>
        </w:rPr>
        <w:fldChar w:fldCharType="begin"/>
      </w:r>
      <w:r w:rsidRPr="0068236B">
        <w:rPr>
          <w:rFonts w:cs="Arial"/>
          <w:bCs/>
          <w:iCs/>
          <w:sz w:val="18"/>
          <w:szCs w:val="20"/>
        </w:rPr>
        <w:instrText xml:space="preserve"> STYLEREF 1 \s </w:instrText>
      </w:r>
      <w:r w:rsidR="00377E43" w:rsidRPr="0068236B">
        <w:rPr>
          <w:rFonts w:cs="Arial"/>
          <w:bCs/>
          <w:iCs/>
          <w:sz w:val="18"/>
          <w:szCs w:val="20"/>
        </w:rPr>
        <w:fldChar w:fldCharType="separate"/>
      </w:r>
      <w:r w:rsidR="00234EBE" w:rsidRPr="0068236B">
        <w:rPr>
          <w:rFonts w:cs="Arial"/>
          <w:bCs/>
          <w:iCs/>
          <w:noProof/>
          <w:sz w:val="18"/>
          <w:szCs w:val="20"/>
        </w:rPr>
        <w:t>5</w:t>
      </w:r>
      <w:r w:rsidR="00377E43" w:rsidRPr="0068236B">
        <w:rPr>
          <w:rFonts w:cs="Arial"/>
          <w:bCs/>
          <w:iCs/>
          <w:sz w:val="18"/>
          <w:szCs w:val="20"/>
        </w:rPr>
        <w:fldChar w:fldCharType="end"/>
      </w:r>
      <w:r w:rsidRPr="0068236B">
        <w:rPr>
          <w:rFonts w:cs="Arial"/>
          <w:bCs/>
          <w:iCs/>
          <w:sz w:val="18"/>
          <w:szCs w:val="20"/>
        </w:rPr>
        <w:t>.</w:t>
      </w:r>
      <w:r w:rsidR="00377E43" w:rsidRPr="0068236B">
        <w:rPr>
          <w:rFonts w:cs="Arial"/>
          <w:bCs/>
          <w:iCs/>
          <w:sz w:val="18"/>
          <w:szCs w:val="20"/>
        </w:rPr>
        <w:fldChar w:fldCharType="begin"/>
      </w:r>
      <w:r w:rsidRPr="0068236B">
        <w:rPr>
          <w:rFonts w:cs="Arial"/>
          <w:bCs/>
          <w:iCs/>
          <w:sz w:val="18"/>
          <w:szCs w:val="20"/>
        </w:rPr>
        <w:instrText xml:space="preserve"> SEQ Table \* ARABIC \s 1 </w:instrText>
      </w:r>
      <w:r w:rsidR="00377E43" w:rsidRPr="0068236B">
        <w:rPr>
          <w:rFonts w:cs="Arial"/>
          <w:bCs/>
          <w:iCs/>
          <w:sz w:val="18"/>
          <w:szCs w:val="20"/>
        </w:rPr>
        <w:fldChar w:fldCharType="separate"/>
      </w:r>
      <w:r w:rsidR="00234EBE" w:rsidRPr="0068236B">
        <w:rPr>
          <w:rFonts w:cs="Arial"/>
          <w:bCs/>
          <w:iCs/>
          <w:noProof/>
          <w:sz w:val="18"/>
          <w:szCs w:val="20"/>
        </w:rPr>
        <w:t>2</w:t>
      </w:r>
      <w:r w:rsidR="00377E43" w:rsidRPr="0068236B">
        <w:rPr>
          <w:rFonts w:cs="Arial"/>
          <w:bCs/>
          <w:iCs/>
          <w:sz w:val="18"/>
          <w:szCs w:val="20"/>
        </w:rPr>
        <w:fldChar w:fldCharType="end"/>
      </w:r>
      <w:r w:rsidR="006E2AC4" w:rsidRPr="0068236B">
        <w:rPr>
          <w:rFonts w:cs="Arial"/>
          <w:bCs/>
          <w:iCs/>
          <w:sz w:val="18"/>
          <w:szCs w:val="20"/>
        </w:rPr>
        <w:t xml:space="preserve">: </w:t>
      </w:r>
      <w:r w:rsidRPr="0068236B">
        <w:rPr>
          <w:rFonts w:cs="Arial"/>
          <w:sz w:val="18"/>
          <w:szCs w:val="20"/>
        </w:rPr>
        <w:t>Generic criteria and typical descriptors for assigning receptor sensitivity</w:t>
      </w:r>
      <w:r w:rsidRPr="0068236B">
        <w:rPr>
          <w:sz w:val="18"/>
          <w:szCs w:val="20"/>
        </w:rPr>
        <w:t xml:space="preserve"> / value</w:t>
      </w:r>
      <w:bookmarkEnd w:id="182"/>
      <w:bookmarkEnd w:id="183"/>
    </w:p>
    <w:bookmarkEnd w:id="184"/>
    <w:p w14:paraId="5BFDEB6D" w14:textId="77777777" w:rsidR="00240E6E" w:rsidRPr="0068236B" w:rsidRDefault="00240E6E" w:rsidP="00240E6E">
      <w:pPr>
        <w:pStyle w:val="Heading4"/>
        <w:numPr>
          <w:ilvl w:val="3"/>
          <w:numId w:val="0"/>
        </w:numPr>
        <w:spacing w:line="240" w:lineRule="auto"/>
        <w:ind w:left="864"/>
        <w:rPr>
          <w:b w:val="0"/>
          <w:color w:val="auto"/>
          <w:sz w:val="20"/>
          <w:szCs w:val="20"/>
          <w:u w:val="single"/>
        </w:rPr>
      </w:pPr>
      <w:r w:rsidRPr="0068236B">
        <w:rPr>
          <w:b w:val="0"/>
          <w:color w:val="auto"/>
          <w:sz w:val="20"/>
          <w:u w:val="single"/>
        </w:rPr>
        <w:t>Impact Magnitude or Scale</w:t>
      </w:r>
    </w:p>
    <w:p w14:paraId="373DA4C4" w14:textId="77777777" w:rsidR="00240E6E" w:rsidRPr="0068236B" w:rsidRDefault="00240E6E" w:rsidP="00240E6E">
      <w:pPr>
        <w:autoSpaceDE w:val="0"/>
        <w:autoSpaceDN w:val="0"/>
        <w:adjustRightInd w:val="0"/>
        <w:rPr>
          <w:rFonts w:eastAsia="ArialMT" w:cs="Arial"/>
          <w:sz w:val="20"/>
          <w:szCs w:val="20"/>
        </w:rPr>
      </w:pPr>
      <w:r w:rsidRPr="0068236B">
        <w:rPr>
          <w:rFonts w:eastAsia="ArialMT" w:cs="Arial"/>
          <w:sz w:val="20"/>
          <w:szCs w:val="20"/>
        </w:rPr>
        <w:t>The magnitude of an effect is typically defined by number of factors including, but not limited to:</w:t>
      </w:r>
    </w:p>
    <w:p w14:paraId="52E6C9D2" w14:textId="77777777" w:rsidR="00240E6E" w:rsidRPr="0068236B" w:rsidRDefault="00240E6E" w:rsidP="00D24CEF">
      <w:pPr>
        <w:pStyle w:val="ListBullet"/>
        <w:numPr>
          <w:ilvl w:val="0"/>
          <w:numId w:val="97"/>
        </w:numPr>
        <w:jc w:val="left"/>
        <w:rPr>
          <w:sz w:val="20"/>
          <w:lang w:eastAsia="zh-CN"/>
        </w:rPr>
      </w:pPr>
      <w:r w:rsidRPr="0068236B">
        <w:rPr>
          <w:rFonts w:eastAsia="ArialMT" w:cs="Arial"/>
          <w:sz w:val="20"/>
          <w:szCs w:val="20"/>
        </w:rPr>
        <w:t>Spatial extent – the area over which an effect occurs.</w:t>
      </w:r>
    </w:p>
    <w:p w14:paraId="7AD9563A" w14:textId="77777777" w:rsidR="00240E6E" w:rsidRPr="0068236B" w:rsidRDefault="00240E6E" w:rsidP="00D24CEF">
      <w:pPr>
        <w:pStyle w:val="ListBullet"/>
        <w:numPr>
          <w:ilvl w:val="0"/>
          <w:numId w:val="97"/>
        </w:numPr>
        <w:jc w:val="left"/>
        <w:rPr>
          <w:sz w:val="20"/>
          <w:lang w:eastAsia="zh-CN"/>
        </w:rPr>
      </w:pPr>
      <w:r w:rsidRPr="0068236B">
        <w:rPr>
          <w:rFonts w:eastAsia="ArialMT" w:cs="Arial"/>
          <w:sz w:val="20"/>
          <w:szCs w:val="20"/>
        </w:rPr>
        <w:t>Duration – the time for which the effect occurs.</w:t>
      </w:r>
    </w:p>
    <w:p w14:paraId="7ECDE035" w14:textId="77777777" w:rsidR="00240E6E" w:rsidRPr="0068236B" w:rsidRDefault="00240E6E" w:rsidP="00D24CEF">
      <w:pPr>
        <w:pStyle w:val="ListBullet"/>
        <w:numPr>
          <w:ilvl w:val="0"/>
          <w:numId w:val="97"/>
        </w:numPr>
        <w:jc w:val="left"/>
        <w:rPr>
          <w:sz w:val="20"/>
          <w:lang w:eastAsia="zh-CN"/>
        </w:rPr>
      </w:pPr>
      <w:r w:rsidRPr="0068236B">
        <w:rPr>
          <w:rFonts w:eastAsia="ArialMT" w:cs="Arial"/>
          <w:sz w:val="20"/>
          <w:szCs w:val="20"/>
        </w:rPr>
        <w:t>Likelihood – probability of occurrence.</w:t>
      </w:r>
    </w:p>
    <w:p w14:paraId="3B1F5C3F" w14:textId="77777777" w:rsidR="00240E6E" w:rsidRPr="0068236B" w:rsidRDefault="00240E6E" w:rsidP="00D24CEF">
      <w:pPr>
        <w:pStyle w:val="ListBullet"/>
        <w:numPr>
          <w:ilvl w:val="0"/>
          <w:numId w:val="97"/>
        </w:numPr>
        <w:jc w:val="left"/>
        <w:rPr>
          <w:sz w:val="20"/>
          <w:lang w:eastAsia="zh-CN"/>
        </w:rPr>
      </w:pPr>
      <w:r w:rsidRPr="0068236B">
        <w:rPr>
          <w:rFonts w:eastAsia="ArialMT" w:cs="Arial"/>
          <w:sz w:val="20"/>
          <w:szCs w:val="20"/>
        </w:rPr>
        <w:t xml:space="preserve">Reversibility – ability </w:t>
      </w:r>
      <w:r w:rsidRPr="0068236B">
        <w:rPr>
          <w:rFonts w:cs="Arial"/>
          <w:sz w:val="20"/>
          <w:szCs w:val="20"/>
        </w:rPr>
        <w:t>to return to the original state.</w:t>
      </w:r>
    </w:p>
    <w:p w14:paraId="3D22B4A1" w14:textId="77777777" w:rsidR="00240E6E" w:rsidRPr="0068236B" w:rsidRDefault="00240E6E" w:rsidP="00D24CEF">
      <w:pPr>
        <w:pStyle w:val="ListBullet"/>
        <w:numPr>
          <w:ilvl w:val="0"/>
          <w:numId w:val="97"/>
        </w:numPr>
        <w:jc w:val="left"/>
        <w:rPr>
          <w:sz w:val="20"/>
          <w:lang w:eastAsia="zh-CN"/>
        </w:rPr>
      </w:pPr>
      <w:r w:rsidRPr="0068236B">
        <w:rPr>
          <w:rFonts w:eastAsia="ArialMT" w:cs="Arial"/>
          <w:sz w:val="20"/>
          <w:szCs w:val="20"/>
        </w:rPr>
        <w:t>Intensity – the degree of change relative to existing environmental conditions.</w:t>
      </w:r>
    </w:p>
    <w:p w14:paraId="777852DC" w14:textId="43DDE6F8" w:rsidR="00240E6E" w:rsidRPr="0068236B" w:rsidRDefault="00240E6E" w:rsidP="00240E6E">
      <w:pPr>
        <w:autoSpaceDE w:val="0"/>
        <w:autoSpaceDN w:val="0"/>
        <w:adjustRightInd w:val="0"/>
        <w:rPr>
          <w:rFonts w:cs="Arial"/>
          <w:sz w:val="20"/>
          <w:szCs w:val="20"/>
        </w:rPr>
      </w:pPr>
      <w:r w:rsidRPr="0068236B">
        <w:rPr>
          <w:rFonts w:cs="Arial"/>
          <w:sz w:val="20"/>
          <w:szCs w:val="20"/>
        </w:rPr>
        <w:t xml:space="preserve">A typical impact appraisal </w:t>
      </w:r>
      <w:r w:rsidRPr="0068236B">
        <w:rPr>
          <w:rFonts w:eastAsia="Calibri" w:cs="Arial"/>
          <w:sz w:val="20"/>
          <w:szCs w:val="20"/>
        </w:rPr>
        <w:t>matrix for differen</w:t>
      </w:r>
      <w:r w:rsidR="00C57B1F" w:rsidRPr="0068236B">
        <w:rPr>
          <w:rFonts w:eastAsia="Calibri" w:cs="Arial"/>
          <w:sz w:val="20"/>
          <w:szCs w:val="20"/>
        </w:rPr>
        <w:t>t elements of the environment was</w:t>
      </w:r>
      <w:r w:rsidRPr="0068236B">
        <w:rPr>
          <w:rFonts w:eastAsia="Calibri" w:cs="Arial"/>
          <w:sz w:val="20"/>
          <w:szCs w:val="20"/>
        </w:rPr>
        <w:t xml:space="preserve"> prepared</w:t>
      </w:r>
      <w:r w:rsidRPr="0068236B">
        <w:rPr>
          <w:rFonts w:cs="Arial"/>
          <w:sz w:val="20"/>
          <w:szCs w:val="20"/>
        </w:rPr>
        <w:t xml:space="preserve"> to guide the impact assessment exercise for the </w:t>
      </w:r>
      <w:r w:rsidR="00806391" w:rsidRPr="0068236B">
        <w:rPr>
          <w:rFonts w:cs="Arial"/>
          <w:sz w:val="20"/>
          <w:szCs w:val="20"/>
        </w:rPr>
        <w:t>P</w:t>
      </w:r>
      <w:r w:rsidRPr="0068236B">
        <w:rPr>
          <w:rFonts w:cs="Arial"/>
          <w:sz w:val="20"/>
          <w:szCs w:val="20"/>
        </w:rPr>
        <w:t xml:space="preserve">roject and presented </w:t>
      </w:r>
      <w:r w:rsidRPr="0068236B">
        <w:rPr>
          <w:rFonts w:eastAsia="ArialMT" w:cs="Arial"/>
          <w:sz w:val="20"/>
          <w:szCs w:val="20"/>
        </w:rPr>
        <w:t>in Table below</w:t>
      </w:r>
      <w:r w:rsidRPr="0068236B">
        <w:rPr>
          <w:rFonts w:cs="Arial"/>
          <w:sz w:val="20"/>
          <w:szCs w:val="20"/>
        </w:rPr>
        <w:t xml:space="preserve">. </w:t>
      </w:r>
    </w:p>
    <w:tbl>
      <w:tblPr>
        <w:tblW w:w="9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1E0" w:firstRow="1" w:lastRow="1" w:firstColumn="1" w:lastColumn="1" w:noHBand="0" w:noVBand="0"/>
      </w:tblPr>
      <w:tblGrid>
        <w:gridCol w:w="1758"/>
        <w:gridCol w:w="2410"/>
        <w:gridCol w:w="5528"/>
      </w:tblGrid>
      <w:tr w:rsidR="00240E6E" w:rsidRPr="0068236B" w14:paraId="6BDBA416" w14:textId="77777777" w:rsidTr="009766C6">
        <w:tc>
          <w:tcPr>
            <w:tcW w:w="1758" w:type="dxa"/>
            <w:shd w:val="clear" w:color="auto" w:fill="44697D"/>
            <w:vAlign w:val="center"/>
          </w:tcPr>
          <w:p w14:paraId="5E0FC1F9" w14:textId="77777777" w:rsidR="00240E6E" w:rsidRPr="0068236B" w:rsidRDefault="00240E6E" w:rsidP="0015607A">
            <w:pPr>
              <w:spacing w:before="0" w:after="0" w:line="240" w:lineRule="auto"/>
              <w:jc w:val="center"/>
              <w:rPr>
                <w:rFonts w:cs="Tahoma"/>
                <w:color w:val="FFFFFF" w:themeColor="background1"/>
                <w:sz w:val="18"/>
                <w:szCs w:val="18"/>
              </w:rPr>
            </w:pPr>
            <w:r w:rsidRPr="0068236B">
              <w:rPr>
                <w:rFonts w:cs="Tahoma"/>
                <w:color w:val="FFFFFF" w:themeColor="background1"/>
                <w:sz w:val="18"/>
                <w:szCs w:val="18"/>
              </w:rPr>
              <w:t>Impact magnitude factor</w:t>
            </w:r>
          </w:p>
        </w:tc>
        <w:tc>
          <w:tcPr>
            <w:tcW w:w="7938" w:type="dxa"/>
            <w:gridSpan w:val="2"/>
            <w:shd w:val="clear" w:color="auto" w:fill="44697D"/>
            <w:vAlign w:val="center"/>
          </w:tcPr>
          <w:p w14:paraId="1D9157A2" w14:textId="77777777" w:rsidR="00240E6E" w:rsidRPr="0068236B" w:rsidRDefault="00240E6E" w:rsidP="0015607A">
            <w:pPr>
              <w:spacing w:before="0" w:after="0" w:line="240" w:lineRule="auto"/>
              <w:jc w:val="left"/>
              <w:rPr>
                <w:rFonts w:cs="Tahoma"/>
                <w:color w:val="FFFFFF" w:themeColor="background1"/>
                <w:sz w:val="18"/>
                <w:szCs w:val="18"/>
              </w:rPr>
            </w:pPr>
            <w:r w:rsidRPr="0068236B">
              <w:rPr>
                <w:rFonts w:cs="Tahoma"/>
                <w:bCs/>
                <w:color w:val="FFFFFF"/>
                <w:sz w:val="18"/>
                <w:szCs w:val="18"/>
                <w:lang w:eastAsia="el-GR"/>
              </w:rPr>
              <w:t>Description - typical descriptors</w:t>
            </w:r>
          </w:p>
        </w:tc>
      </w:tr>
      <w:tr w:rsidR="00240E6E" w:rsidRPr="0068236B" w14:paraId="5FD5933E" w14:textId="77777777" w:rsidTr="00EF7697">
        <w:tc>
          <w:tcPr>
            <w:tcW w:w="1758" w:type="dxa"/>
            <w:vMerge w:val="restart"/>
            <w:shd w:val="clear" w:color="auto" w:fill="BFBFBF" w:themeFill="background1" w:themeFillShade="BF"/>
          </w:tcPr>
          <w:p w14:paraId="6432CFB5" w14:textId="77777777" w:rsidR="00240E6E" w:rsidRPr="0068236B" w:rsidRDefault="00240E6E" w:rsidP="0015607A">
            <w:pPr>
              <w:spacing w:before="0" w:after="0" w:line="240" w:lineRule="auto"/>
              <w:jc w:val="center"/>
              <w:rPr>
                <w:rFonts w:cs="Tahoma"/>
                <w:sz w:val="18"/>
                <w:szCs w:val="18"/>
              </w:rPr>
            </w:pPr>
            <w:r w:rsidRPr="0068236B">
              <w:rPr>
                <w:rFonts w:cs="Tahoma"/>
                <w:sz w:val="18"/>
                <w:szCs w:val="18"/>
              </w:rPr>
              <w:t>Spatial Extent</w:t>
            </w:r>
          </w:p>
          <w:p w14:paraId="0C574C5E" w14:textId="77777777" w:rsidR="00240E6E" w:rsidRPr="0068236B" w:rsidRDefault="00240E6E" w:rsidP="0015607A">
            <w:pPr>
              <w:spacing w:before="0" w:after="0" w:line="240" w:lineRule="auto"/>
              <w:jc w:val="center"/>
              <w:rPr>
                <w:rFonts w:cs="Tahoma"/>
                <w:sz w:val="18"/>
                <w:szCs w:val="18"/>
              </w:rPr>
            </w:pPr>
            <w:r w:rsidRPr="0068236B">
              <w:rPr>
                <w:rFonts w:cs="Tahoma"/>
                <w:sz w:val="18"/>
                <w:szCs w:val="18"/>
              </w:rPr>
              <w:t>(Area of influence)</w:t>
            </w:r>
          </w:p>
        </w:tc>
        <w:tc>
          <w:tcPr>
            <w:tcW w:w="2410" w:type="dxa"/>
            <w:shd w:val="clear" w:color="auto" w:fill="auto"/>
          </w:tcPr>
          <w:p w14:paraId="0C195E0F"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Limited</w:t>
            </w:r>
          </w:p>
          <w:p w14:paraId="443A29DC"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(on SS location or along OHL corridor)</w:t>
            </w:r>
          </w:p>
        </w:tc>
        <w:tc>
          <w:tcPr>
            <w:tcW w:w="5528" w:type="dxa"/>
            <w:shd w:val="clear" w:color="auto" w:fill="auto"/>
          </w:tcPr>
          <w:p w14:paraId="0664B08C"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Area on, and around the construction and operational location of the Project</w:t>
            </w:r>
          </w:p>
        </w:tc>
      </w:tr>
      <w:tr w:rsidR="00240E6E" w:rsidRPr="0068236B" w14:paraId="0132AA4D" w14:textId="77777777" w:rsidTr="00EF7697">
        <w:tc>
          <w:tcPr>
            <w:tcW w:w="1758" w:type="dxa"/>
            <w:vMerge/>
            <w:shd w:val="clear" w:color="auto" w:fill="BFBFBF" w:themeFill="background1" w:themeFillShade="BF"/>
          </w:tcPr>
          <w:p w14:paraId="1F7EAE0E" w14:textId="77777777" w:rsidR="00240E6E" w:rsidRPr="0068236B" w:rsidRDefault="00240E6E" w:rsidP="0015607A">
            <w:pPr>
              <w:spacing w:before="0" w:after="0" w:line="240" w:lineRule="auto"/>
              <w:jc w:val="center"/>
              <w:rPr>
                <w:rFonts w:cs="Tahoma"/>
                <w:sz w:val="18"/>
                <w:szCs w:val="18"/>
              </w:rPr>
            </w:pPr>
          </w:p>
        </w:tc>
        <w:tc>
          <w:tcPr>
            <w:tcW w:w="2410" w:type="dxa"/>
            <w:shd w:val="clear" w:color="auto" w:fill="auto"/>
          </w:tcPr>
          <w:p w14:paraId="59E82494"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Local</w:t>
            </w:r>
          </w:p>
        </w:tc>
        <w:tc>
          <w:tcPr>
            <w:tcW w:w="5528" w:type="dxa"/>
            <w:shd w:val="clear" w:color="auto" w:fill="auto"/>
          </w:tcPr>
          <w:p w14:paraId="39D02545"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In the range of municipality / neighbouring municipalities</w:t>
            </w:r>
          </w:p>
        </w:tc>
      </w:tr>
      <w:tr w:rsidR="00240E6E" w:rsidRPr="0068236B" w14:paraId="52E64A8B" w14:textId="77777777" w:rsidTr="00EF7697">
        <w:tc>
          <w:tcPr>
            <w:tcW w:w="1758" w:type="dxa"/>
            <w:vMerge/>
            <w:shd w:val="clear" w:color="auto" w:fill="BFBFBF" w:themeFill="background1" w:themeFillShade="BF"/>
          </w:tcPr>
          <w:p w14:paraId="0FBC0479" w14:textId="77777777" w:rsidR="00240E6E" w:rsidRPr="0068236B" w:rsidRDefault="00240E6E" w:rsidP="0015607A">
            <w:pPr>
              <w:spacing w:before="0" w:after="0" w:line="240" w:lineRule="auto"/>
              <w:jc w:val="center"/>
              <w:rPr>
                <w:rFonts w:cs="Tahoma"/>
                <w:sz w:val="18"/>
                <w:szCs w:val="18"/>
              </w:rPr>
            </w:pPr>
          </w:p>
        </w:tc>
        <w:tc>
          <w:tcPr>
            <w:tcW w:w="2410" w:type="dxa"/>
            <w:shd w:val="clear" w:color="auto" w:fill="auto"/>
          </w:tcPr>
          <w:p w14:paraId="3B0447C9"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Regional</w:t>
            </w:r>
          </w:p>
        </w:tc>
        <w:tc>
          <w:tcPr>
            <w:tcW w:w="5528" w:type="dxa"/>
            <w:shd w:val="clear" w:color="auto" w:fill="auto"/>
          </w:tcPr>
          <w:p w14:paraId="2E42C758" w14:textId="77777777" w:rsidR="00240E6E" w:rsidRPr="0068236B" w:rsidRDefault="00806391" w:rsidP="0015607A">
            <w:pPr>
              <w:spacing w:before="0" w:after="0" w:line="240" w:lineRule="auto"/>
              <w:jc w:val="left"/>
              <w:rPr>
                <w:rFonts w:cs="Tahoma"/>
                <w:sz w:val="18"/>
                <w:szCs w:val="18"/>
              </w:rPr>
            </w:pPr>
            <w:r w:rsidRPr="0068236B">
              <w:rPr>
                <w:rFonts w:cs="Tahoma"/>
                <w:sz w:val="18"/>
                <w:szCs w:val="18"/>
              </w:rPr>
              <w:t>Macedonia</w:t>
            </w:r>
            <w:r w:rsidR="00240E6E" w:rsidRPr="0068236B">
              <w:rPr>
                <w:rFonts w:cs="Tahoma"/>
                <w:sz w:val="18"/>
                <w:szCs w:val="18"/>
              </w:rPr>
              <w:t xml:space="preserve"> and neighbouring countries</w:t>
            </w:r>
          </w:p>
        </w:tc>
      </w:tr>
      <w:tr w:rsidR="00240E6E" w:rsidRPr="0068236B" w14:paraId="57CB9324" w14:textId="77777777" w:rsidTr="00EF7697">
        <w:tc>
          <w:tcPr>
            <w:tcW w:w="1758" w:type="dxa"/>
            <w:vMerge/>
            <w:shd w:val="clear" w:color="auto" w:fill="BFBFBF" w:themeFill="background1" w:themeFillShade="BF"/>
          </w:tcPr>
          <w:p w14:paraId="67C68C96" w14:textId="77777777" w:rsidR="00240E6E" w:rsidRPr="0068236B" w:rsidRDefault="00240E6E" w:rsidP="0015607A">
            <w:pPr>
              <w:spacing w:before="0" w:after="0" w:line="240" w:lineRule="auto"/>
              <w:jc w:val="center"/>
              <w:rPr>
                <w:rFonts w:cs="Tahoma"/>
                <w:sz w:val="18"/>
                <w:szCs w:val="18"/>
              </w:rPr>
            </w:pPr>
          </w:p>
        </w:tc>
        <w:tc>
          <w:tcPr>
            <w:tcW w:w="2410" w:type="dxa"/>
            <w:shd w:val="clear" w:color="auto" w:fill="auto"/>
          </w:tcPr>
          <w:p w14:paraId="470C4B61"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Global</w:t>
            </w:r>
          </w:p>
        </w:tc>
        <w:tc>
          <w:tcPr>
            <w:tcW w:w="5528" w:type="dxa"/>
            <w:shd w:val="clear" w:color="auto" w:fill="auto"/>
          </w:tcPr>
          <w:p w14:paraId="3DB4AFDD"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Continent and wider</w:t>
            </w:r>
          </w:p>
        </w:tc>
      </w:tr>
      <w:tr w:rsidR="00240E6E" w:rsidRPr="0068236B" w14:paraId="6BB4C84E" w14:textId="77777777" w:rsidTr="00EF7697">
        <w:tc>
          <w:tcPr>
            <w:tcW w:w="1758" w:type="dxa"/>
            <w:vMerge w:val="restart"/>
            <w:shd w:val="clear" w:color="auto" w:fill="BFBFBF" w:themeFill="background1" w:themeFillShade="BF"/>
          </w:tcPr>
          <w:p w14:paraId="37D8AE76" w14:textId="77777777" w:rsidR="00240E6E" w:rsidRPr="0068236B" w:rsidRDefault="00240E6E" w:rsidP="0015607A">
            <w:pPr>
              <w:spacing w:before="0" w:after="0" w:line="240" w:lineRule="auto"/>
              <w:jc w:val="center"/>
              <w:rPr>
                <w:rFonts w:cs="Tahoma"/>
                <w:sz w:val="18"/>
                <w:szCs w:val="18"/>
              </w:rPr>
            </w:pPr>
            <w:r w:rsidRPr="0068236B">
              <w:rPr>
                <w:rFonts w:cs="Tahoma"/>
                <w:sz w:val="18"/>
                <w:szCs w:val="18"/>
              </w:rPr>
              <w:t>Duration</w:t>
            </w:r>
          </w:p>
        </w:tc>
        <w:tc>
          <w:tcPr>
            <w:tcW w:w="2410" w:type="dxa"/>
            <w:shd w:val="clear" w:color="auto" w:fill="auto"/>
          </w:tcPr>
          <w:p w14:paraId="0EA9AB4E"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Very short</w:t>
            </w:r>
          </w:p>
        </w:tc>
        <w:tc>
          <w:tcPr>
            <w:tcW w:w="5528" w:type="dxa"/>
            <w:shd w:val="clear" w:color="auto" w:fill="auto"/>
          </w:tcPr>
          <w:p w14:paraId="1E1D78EC"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Few minutes to few hours</w:t>
            </w:r>
          </w:p>
        </w:tc>
      </w:tr>
      <w:tr w:rsidR="00240E6E" w:rsidRPr="0068236B" w14:paraId="3DAAB9CF" w14:textId="77777777" w:rsidTr="00EF7697">
        <w:tc>
          <w:tcPr>
            <w:tcW w:w="1758" w:type="dxa"/>
            <w:vMerge/>
            <w:shd w:val="clear" w:color="auto" w:fill="BFBFBF" w:themeFill="background1" w:themeFillShade="BF"/>
          </w:tcPr>
          <w:p w14:paraId="1175389F" w14:textId="77777777" w:rsidR="00240E6E" w:rsidRPr="0068236B" w:rsidRDefault="00240E6E" w:rsidP="0015607A">
            <w:pPr>
              <w:spacing w:before="0" w:after="0" w:line="240" w:lineRule="auto"/>
              <w:jc w:val="center"/>
              <w:rPr>
                <w:rFonts w:cs="Tahoma"/>
                <w:sz w:val="18"/>
                <w:szCs w:val="18"/>
              </w:rPr>
            </w:pPr>
          </w:p>
        </w:tc>
        <w:tc>
          <w:tcPr>
            <w:tcW w:w="2410" w:type="dxa"/>
            <w:shd w:val="clear" w:color="auto" w:fill="auto"/>
          </w:tcPr>
          <w:p w14:paraId="5909EEF9"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Short</w:t>
            </w:r>
          </w:p>
        </w:tc>
        <w:tc>
          <w:tcPr>
            <w:tcW w:w="5528" w:type="dxa"/>
            <w:shd w:val="clear" w:color="auto" w:fill="auto"/>
          </w:tcPr>
          <w:p w14:paraId="6D219DAC"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Few hours to few weeks</w:t>
            </w:r>
          </w:p>
        </w:tc>
      </w:tr>
      <w:tr w:rsidR="00240E6E" w:rsidRPr="0068236B" w14:paraId="742E55EA" w14:textId="77777777" w:rsidTr="00EF7697">
        <w:tc>
          <w:tcPr>
            <w:tcW w:w="1758" w:type="dxa"/>
            <w:vMerge/>
            <w:shd w:val="clear" w:color="auto" w:fill="BFBFBF" w:themeFill="background1" w:themeFillShade="BF"/>
          </w:tcPr>
          <w:p w14:paraId="59A70A72" w14:textId="77777777" w:rsidR="00240E6E" w:rsidRPr="0068236B" w:rsidRDefault="00240E6E" w:rsidP="0015607A">
            <w:pPr>
              <w:spacing w:before="0" w:after="0" w:line="240" w:lineRule="auto"/>
              <w:jc w:val="center"/>
              <w:rPr>
                <w:rFonts w:cs="Tahoma"/>
                <w:sz w:val="18"/>
                <w:szCs w:val="18"/>
              </w:rPr>
            </w:pPr>
          </w:p>
        </w:tc>
        <w:tc>
          <w:tcPr>
            <w:tcW w:w="2410" w:type="dxa"/>
            <w:shd w:val="clear" w:color="auto" w:fill="auto"/>
          </w:tcPr>
          <w:p w14:paraId="7848A5DB"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Average duration</w:t>
            </w:r>
          </w:p>
        </w:tc>
        <w:tc>
          <w:tcPr>
            <w:tcW w:w="5528" w:type="dxa"/>
            <w:shd w:val="clear" w:color="auto" w:fill="auto"/>
          </w:tcPr>
          <w:p w14:paraId="160FB8B9"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Few weeks to few months</w:t>
            </w:r>
          </w:p>
        </w:tc>
      </w:tr>
      <w:tr w:rsidR="00240E6E" w:rsidRPr="0068236B" w14:paraId="619E4996" w14:textId="77777777" w:rsidTr="00EF7697">
        <w:tc>
          <w:tcPr>
            <w:tcW w:w="1758" w:type="dxa"/>
            <w:vMerge/>
            <w:shd w:val="clear" w:color="auto" w:fill="BFBFBF" w:themeFill="background1" w:themeFillShade="BF"/>
          </w:tcPr>
          <w:p w14:paraId="30A2E181" w14:textId="77777777" w:rsidR="00240E6E" w:rsidRPr="0068236B" w:rsidRDefault="00240E6E" w:rsidP="0015607A">
            <w:pPr>
              <w:spacing w:before="0" w:after="0" w:line="240" w:lineRule="auto"/>
              <w:jc w:val="center"/>
              <w:rPr>
                <w:rFonts w:cs="Tahoma"/>
                <w:sz w:val="18"/>
                <w:szCs w:val="18"/>
              </w:rPr>
            </w:pPr>
          </w:p>
        </w:tc>
        <w:tc>
          <w:tcPr>
            <w:tcW w:w="2410" w:type="dxa"/>
            <w:shd w:val="clear" w:color="auto" w:fill="auto"/>
          </w:tcPr>
          <w:p w14:paraId="73B1D020"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Long</w:t>
            </w:r>
          </w:p>
        </w:tc>
        <w:tc>
          <w:tcPr>
            <w:tcW w:w="5528" w:type="dxa"/>
            <w:shd w:val="clear" w:color="auto" w:fill="auto"/>
          </w:tcPr>
          <w:p w14:paraId="078A59A8"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Few months to few years</w:t>
            </w:r>
          </w:p>
        </w:tc>
      </w:tr>
      <w:tr w:rsidR="00240E6E" w:rsidRPr="0068236B" w14:paraId="0BA6C2BA" w14:textId="77777777" w:rsidTr="00EF7697">
        <w:tc>
          <w:tcPr>
            <w:tcW w:w="1758" w:type="dxa"/>
            <w:vMerge/>
            <w:shd w:val="clear" w:color="auto" w:fill="BFBFBF" w:themeFill="background1" w:themeFillShade="BF"/>
          </w:tcPr>
          <w:p w14:paraId="1079EB3E" w14:textId="77777777" w:rsidR="00240E6E" w:rsidRPr="0068236B" w:rsidRDefault="00240E6E" w:rsidP="0015607A">
            <w:pPr>
              <w:spacing w:before="0" w:after="0" w:line="240" w:lineRule="auto"/>
              <w:jc w:val="center"/>
              <w:rPr>
                <w:rFonts w:cs="Tahoma"/>
                <w:sz w:val="18"/>
                <w:szCs w:val="18"/>
              </w:rPr>
            </w:pPr>
          </w:p>
        </w:tc>
        <w:tc>
          <w:tcPr>
            <w:tcW w:w="2410" w:type="dxa"/>
            <w:shd w:val="clear" w:color="auto" w:fill="auto"/>
          </w:tcPr>
          <w:p w14:paraId="304264A5"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Very long</w:t>
            </w:r>
          </w:p>
        </w:tc>
        <w:tc>
          <w:tcPr>
            <w:tcW w:w="5528" w:type="dxa"/>
            <w:shd w:val="clear" w:color="auto" w:fill="auto"/>
          </w:tcPr>
          <w:p w14:paraId="7E1BCD7A"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Decades / centuries</w:t>
            </w:r>
          </w:p>
        </w:tc>
      </w:tr>
      <w:tr w:rsidR="00240E6E" w:rsidRPr="0068236B" w14:paraId="38F76BCE" w14:textId="77777777" w:rsidTr="00EF7697">
        <w:tc>
          <w:tcPr>
            <w:tcW w:w="1758" w:type="dxa"/>
            <w:vMerge w:val="restart"/>
            <w:shd w:val="clear" w:color="auto" w:fill="BFBFBF" w:themeFill="background1" w:themeFillShade="BF"/>
          </w:tcPr>
          <w:p w14:paraId="1789015C" w14:textId="77777777" w:rsidR="00240E6E" w:rsidRPr="0068236B" w:rsidRDefault="00240E6E" w:rsidP="0015607A">
            <w:pPr>
              <w:spacing w:before="0" w:after="0" w:line="240" w:lineRule="auto"/>
              <w:jc w:val="center"/>
              <w:rPr>
                <w:rFonts w:cs="Tahoma"/>
                <w:sz w:val="18"/>
                <w:szCs w:val="18"/>
              </w:rPr>
            </w:pPr>
            <w:r w:rsidRPr="0068236B">
              <w:rPr>
                <w:rFonts w:cs="Tahoma"/>
                <w:sz w:val="18"/>
                <w:szCs w:val="18"/>
              </w:rPr>
              <w:t>Probability of occu</w:t>
            </w:r>
            <w:r w:rsidRPr="0068236B">
              <w:rPr>
                <w:rFonts w:cs="Tahoma"/>
                <w:sz w:val="18"/>
                <w:szCs w:val="18"/>
              </w:rPr>
              <w:t>r</w:t>
            </w:r>
            <w:r w:rsidRPr="0068236B">
              <w:rPr>
                <w:rFonts w:cs="Tahoma"/>
                <w:sz w:val="18"/>
                <w:szCs w:val="18"/>
              </w:rPr>
              <w:t>rence</w:t>
            </w:r>
          </w:p>
          <w:p w14:paraId="7E05EB34" w14:textId="77777777" w:rsidR="00240E6E" w:rsidRPr="0068236B" w:rsidRDefault="00240E6E" w:rsidP="0015607A">
            <w:pPr>
              <w:spacing w:before="0" w:after="0" w:line="240" w:lineRule="auto"/>
              <w:jc w:val="center"/>
              <w:rPr>
                <w:rFonts w:cs="Tahoma"/>
                <w:sz w:val="18"/>
                <w:szCs w:val="18"/>
              </w:rPr>
            </w:pPr>
            <w:r w:rsidRPr="0068236B">
              <w:rPr>
                <w:rFonts w:cs="Tahoma"/>
                <w:sz w:val="18"/>
                <w:szCs w:val="18"/>
              </w:rPr>
              <w:t>(Likelihood)</w:t>
            </w:r>
          </w:p>
        </w:tc>
        <w:tc>
          <w:tcPr>
            <w:tcW w:w="2410" w:type="dxa"/>
            <w:shd w:val="clear" w:color="auto" w:fill="auto"/>
          </w:tcPr>
          <w:p w14:paraId="441D205A"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No probability</w:t>
            </w:r>
          </w:p>
        </w:tc>
        <w:tc>
          <w:tcPr>
            <w:tcW w:w="5528" w:type="dxa"/>
            <w:shd w:val="clear" w:color="auto" w:fill="auto"/>
          </w:tcPr>
          <w:p w14:paraId="2C6EFD48"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 xml:space="preserve">Should not occur during normal operation and conditions </w:t>
            </w:r>
          </w:p>
        </w:tc>
      </w:tr>
      <w:tr w:rsidR="00240E6E" w:rsidRPr="0068236B" w14:paraId="4B34536A" w14:textId="77777777" w:rsidTr="00EF7697">
        <w:tc>
          <w:tcPr>
            <w:tcW w:w="1758" w:type="dxa"/>
            <w:vMerge/>
            <w:shd w:val="clear" w:color="auto" w:fill="BFBFBF" w:themeFill="background1" w:themeFillShade="BF"/>
          </w:tcPr>
          <w:p w14:paraId="06EF7D9B" w14:textId="77777777" w:rsidR="00240E6E" w:rsidRPr="0068236B" w:rsidRDefault="00240E6E" w:rsidP="0015607A">
            <w:pPr>
              <w:spacing w:before="0" w:after="0" w:line="240" w:lineRule="auto"/>
              <w:jc w:val="center"/>
              <w:rPr>
                <w:rFonts w:cs="Tahoma"/>
                <w:sz w:val="18"/>
                <w:szCs w:val="18"/>
              </w:rPr>
            </w:pPr>
          </w:p>
        </w:tc>
        <w:tc>
          <w:tcPr>
            <w:tcW w:w="2410" w:type="dxa"/>
            <w:shd w:val="clear" w:color="auto" w:fill="auto"/>
          </w:tcPr>
          <w:p w14:paraId="2CB24687"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Low probability</w:t>
            </w:r>
          </w:p>
        </w:tc>
        <w:tc>
          <w:tcPr>
            <w:tcW w:w="5528" w:type="dxa"/>
            <w:shd w:val="clear" w:color="auto" w:fill="auto"/>
          </w:tcPr>
          <w:p w14:paraId="4E486AC1"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Possible, but unlikely</w:t>
            </w:r>
          </w:p>
        </w:tc>
      </w:tr>
      <w:tr w:rsidR="00240E6E" w:rsidRPr="0068236B" w14:paraId="5D96F05B" w14:textId="77777777" w:rsidTr="00EF7697">
        <w:tc>
          <w:tcPr>
            <w:tcW w:w="1758" w:type="dxa"/>
            <w:vMerge/>
            <w:shd w:val="clear" w:color="auto" w:fill="BFBFBF" w:themeFill="background1" w:themeFillShade="BF"/>
          </w:tcPr>
          <w:p w14:paraId="3170F987" w14:textId="77777777" w:rsidR="00240E6E" w:rsidRPr="0068236B" w:rsidRDefault="00240E6E" w:rsidP="0015607A">
            <w:pPr>
              <w:spacing w:before="0" w:after="0" w:line="240" w:lineRule="auto"/>
              <w:jc w:val="center"/>
              <w:rPr>
                <w:rFonts w:cs="Tahoma"/>
                <w:sz w:val="18"/>
                <w:szCs w:val="18"/>
              </w:rPr>
            </w:pPr>
          </w:p>
        </w:tc>
        <w:tc>
          <w:tcPr>
            <w:tcW w:w="2410" w:type="dxa"/>
            <w:shd w:val="clear" w:color="auto" w:fill="auto"/>
          </w:tcPr>
          <w:p w14:paraId="562178B9"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Average probability</w:t>
            </w:r>
          </w:p>
        </w:tc>
        <w:tc>
          <w:tcPr>
            <w:tcW w:w="5528" w:type="dxa"/>
            <w:shd w:val="clear" w:color="auto" w:fill="auto"/>
          </w:tcPr>
          <w:p w14:paraId="5D213263"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 xml:space="preserve">May happen sometimes </w:t>
            </w:r>
          </w:p>
        </w:tc>
      </w:tr>
      <w:tr w:rsidR="00240E6E" w:rsidRPr="0068236B" w14:paraId="75FB52F2" w14:textId="77777777" w:rsidTr="00EF7697">
        <w:tc>
          <w:tcPr>
            <w:tcW w:w="1758" w:type="dxa"/>
            <w:vMerge/>
            <w:shd w:val="clear" w:color="auto" w:fill="BFBFBF" w:themeFill="background1" w:themeFillShade="BF"/>
          </w:tcPr>
          <w:p w14:paraId="028FBE96" w14:textId="77777777" w:rsidR="00240E6E" w:rsidRPr="0068236B" w:rsidRDefault="00240E6E" w:rsidP="0015607A">
            <w:pPr>
              <w:spacing w:before="0" w:after="0" w:line="240" w:lineRule="auto"/>
              <w:jc w:val="center"/>
              <w:rPr>
                <w:rFonts w:cs="Tahoma"/>
                <w:sz w:val="18"/>
                <w:szCs w:val="18"/>
              </w:rPr>
            </w:pPr>
          </w:p>
        </w:tc>
        <w:tc>
          <w:tcPr>
            <w:tcW w:w="2410" w:type="dxa"/>
            <w:shd w:val="clear" w:color="auto" w:fill="auto"/>
          </w:tcPr>
          <w:p w14:paraId="5F8F26B4"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High probability</w:t>
            </w:r>
          </w:p>
        </w:tc>
        <w:tc>
          <w:tcPr>
            <w:tcW w:w="5528" w:type="dxa"/>
            <w:shd w:val="clear" w:color="auto" w:fill="auto"/>
          </w:tcPr>
          <w:p w14:paraId="11CCB9A9"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Likely to occur during the life cycle of the project</w:t>
            </w:r>
          </w:p>
        </w:tc>
      </w:tr>
      <w:tr w:rsidR="00240E6E" w:rsidRPr="0068236B" w14:paraId="30F6DA31" w14:textId="77777777" w:rsidTr="00EF7697">
        <w:tc>
          <w:tcPr>
            <w:tcW w:w="1758" w:type="dxa"/>
            <w:vMerge/>
            <w:shd w:val="clear" w:color="auto" w:fill="BFBFBF" w:themeFill="background1" w:themeFillShade="BF"/>
          </w:tcPr>
          <w:p w14:paraId="45AA03DA" w14:textId="77777777" w:rsidR="00240E6E" w:rsidRPr="0068236B" w:rsidRDefault="00240E6E" w:rsidP="0015607A">
            <w:pPr>
              <w:spacing w:before="0" w:after="0" w:line="240" w:lineRule="auto"/>
              <w:jc w:val="center"/>
              <w:rPr>
                <w:rFonts w:cs="Tahoma"/>
                <w:sz w:val="18"/>
                <w:szCs w:val="18"/>
              </w:rPr>
            </w:pPr>
          </w:p>
        </w:tc>
        <w:tc>
          <w:tcPr>
            <w:tcW w:w="2410" w:type="dxa"/>
            <w:shd w:val="clear" w:color="auto" w:fill="auto"/>
          </w:tcPr>
          <w:p w14:paraId="26629871"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 xml:space="preserve">Reliable probability </w:t>
            </w:r>
          </w:p>
        </w:tc>
        <w:tc>
          <w:tcPr>
            <w:tcW w:w="5528" w:type="dxa"/>
            <w:shd w:val="clear" w:color="auto" w:fill="auto"/>
          </w:tcPr>
          <w:p w14:paraId="2F7EDD26"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Will certainly appear</w:t>
            </w:r>
          </w:p>
        </w:tc>
      </w:tr>
      <w:tr w:rsidR="00240E6E" w:rsidRPr="0068236B" w14:paraId="50BD54D6" w14:textId="77777777" w:rsidTr="00EF7697">
        <w:tc>
          <w:tcPr>
            <w:tcW w:w="1758" w:type="dxa"/>
            <w:vMerge w:val="restart"/>
            <w:shd w:val="clear" w:color="auto" w:fill="BFBFBF" w:themeFill="background1" w:themeFillShade="BF"/>
          </w:tcPr>
          <w:p w14:paraId="091D460C" w14:textId="77777777" w:rsidR="00240E6E" w:rsidRPr="0068236B" w:rsidRDefault="00240E6E" w:rsidP="0015607A">
            <w:pPr>
              <w:spacing w:before="0" w:after="0" w:line="240" w:lineRule="auto"/>
              <w:jc w:val="center"/>
              <w:rPr>
                <w:rFonts w:cs="Tahoma"/>
                <w:sz w:val="18"/>
                <w:szCs w:val="18"/>
              </w:rPr>
            </w:pPr>
            <w:r w:rsidRPr="0068236B">
              <w:rPr>
                <w:rFonts w:cs="Tahoma"/>
                <w:sz w:val="18"/>
                <w:szCs w:val="18"/>
              </w:rPr>
              <w:t>Reversibility</w:t>
            </w:r>
          </w:p>
        </w:tc>
        <w:tc>
          <w:tcPr>
            <w:tcW w:w="2410" w:type="dxa"/>
            <w:shd w:val="clear" w:color="auto" w:fill="auto"/>
            <w:vAlign w:val="center"/>
          </w:tcPr>
          <w:p w14:paraId="4314EF55"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Reversible</w:t>
            </w:r>
          </w:p>
          <w:p w14:paraId="152E79D5"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(impact)</w:t>
            </w:r>
          </w:p>
        </w:tc>
        <w:tc>
          <w:tcPr>
            <w:tcW w:w="5528" w:type="dxa"/>
            <w:shd w:val="clear" w:color="auto" w:fill="auto"/>
            <w:vAlign w:val="center"/>
          </w:tcPr>
          <w:p w14:paraId="33048DB6"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Reversible impact on the resource / receptor, i.e. impact upon which the environment will be able to return to the original state</w:t>
            </w:r>
          </w:p>
        </w:tc>
      </w:tr>
      <w:tr w:rsidR="00240E6E" w:rsidRPr="0068236B" w14:paraId="478BBBEA" w14:textId="77777777" w:rsidTr="00EF7697">
        <w:tc>
          <w:tcPr>
            <w:tcW w:w="1758" w:type="dxa"/>
            <w:vMerge/>
            <w:shd w:val="clear" w:color="auto" w:fill="BFBFBF" w:themeFill="background1" w:themeFillShade="BF"/>
          </w:tcPr>
          <w:p w14:paraId="0A6C67CB" w14:textId="77777777" w:rsidR="00240E6E" w:rsidRPr="0068236B" w:rsidRDefault="00240E6E" w:rsidP="0015607A">
            <w:pPr>
              <w:autoSpaceDE w:val="0"/>
              <w:autoSpaceDN w:val="0"/>
              <w:adjustRightInd w:val="0"/>
              <w:spacing w:before="0" w:after="0" w:line="240" w:lineRule="auto"/>
              <w:rPr>
                <w:rFonts w:cs="Tahoma"/>
                <w:bCs/>
                <w:sz w:val="18"/>
                <w:szCs w:val="18"/>
              </w:rPr>
            </w:pPr>
          </w:p>
        </w:tc>
        <w:tc>
          <w:tcPr>
            <w:tcW w:w="2410" w:type="dxa"/>
            <w:shd w:val="clear" w:color="auto" w:fill="auto"/>
            <w:vAlign w:val="center"/>
          </w:tcPr>
          <w:p w14:paraId="7BD6863F"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Irreversible</w:t>
            </w:r>
          </w:p>
          <w:p w14:paraId="6FE9253B"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(impact)</w:t>
            </w:r>
          </w:p>
        </w:tc>
        <w:tc>
          <w:tcPr>
            <w:tcW w:w="5528" w:type="dxa"/>
            <w:shd w:val="clear" w:color="auto" w:fill="auto"/>
            <w:vAlign w:val="center"/>
          </w:tcPr>
          <w:p w14:paraId="5E463C7F"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Irreversible impact on the resource / receptor, i.e. impact upon which the environment will not be able to return to its original state</w:t>
            </w:r>
          </w:p>
        </w:tc>
      </w:tr>
      <w:tr w:rsidR="00240E6E" w:rsidRPr="0068236B" w14:paraId="39796895" w14:textId="77777777" w:rsidTr="00EF7697">
        <w:trPr>
          <w:trHeight w:val="243"/>
        </w:trPr>
        <w:tc>
          <w:tcPr>
            <w:tcW w:w="1758" w:type="dxa"/>
            <w:vMerge w:val="restart"/>
            <w:shd w:val="clear" w:color="auto" w:fill="BFBFBF" w:themeFill="background1" w:themeFillShade="BF"/>
          </w:tcPr>
          <w:p w14:paraId="56B4C970" w14:textId="77777777" w:rsidR="00240E6E" w:rsidRPr="0068236B" w:rsidRDefault="00240E6E" w:rsidP="0015607A">
            <w:pPr>
              <w:spacing w:before="0" w:after="0" w:line="240" w:lineRule="auto"/>
              <w:jc w:val="center"/>
              <w:rPr>
                <w:rFonts w:cs="Tahoma"/>
                <w:sz w:val="18"/>
                <w:szCs w:val="18"/>
              </w:rPr>
            </w:pPr>
            <w:r w:rsidRPr="0068236B">
              <w:rPr>
                <w:rFonts w:cs="Tahoma"/>
                <w:sz w:val="18"/>
                <w:szCs w:val="18"/>
              </w:rPr>
              <w:t>Intensity</w:t>
            </w:r>
          </w:p>
        </w:tc>
        <w:tc>
          <w:tcPr>
            <w:tcW w:w="2410" w:type="dxa"/>
            <w:shd w:val="clear" w:color="auto" w:fill="auto"/>
            <w:vAlign w:val="center"/>
          </w:tcPr>
          <w:p w14:paraId="70A0A7D3"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А (very low / negligible)</w:t>
            </w:r>
          </w:p>
        </w:tc>
        <w:tc>
          <w:tcPr>
            <w:tcW w:w="5528" w:type="dxa"/>
            <w:shd w:val="clear" w:color="auto" w:fill="auto"/>
          </w:tcPr>
          <w:p w14:paraId="5E533732"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No change or negligible weak impact without damaging the r</w:t>
            </w:r>
            <w:r w:rsidRPr="0068236B">
              <w:rPr>
                <w:rFonts w:cs="Tahoma"/>
                <w:sz w:val="18"/>
                <w:szCs w:val="18"/>
              </w:rPr>
              <w:t>e</w:t>
            </w:r>
            <w:r w:rsidRPr="0068236B">
              <w:rPr>
                <w:rFonts w:cs="Tahoma"/>
                <w:sz w:val="18"/>
                <w:szCs w:val="18"/>
              </w:rPr>
              <w:t>source / receptor</w:t>
            </w:r>
          </w:p>
        </w:tc>
      </w:tr>
      <w:tr w:rsidR="00240E6E" w:rsidRPr="0068236B" w14:paraId="4A58DAC7" w14:textId="77777777" w:rsidTr="00EF7697">
        <w:tc>
          <w:tcPr>
            <w:tcW w:w="1758" w:type="dxa"/>
            <w:vMerge/>
            <w:shd w:val="clear" w:color="auto" w:fill="BFBFBF" w:themeFill="background1" w:themeFillShade="BF"/>
          </w:tcPr>
          <w:p w14:paraId="01ADF9CB" w14:textId="77777777" w:rsidR="00240E6E" w:rsidRPr="0068236B" w:rsidRDefault="00240E6E" w:rsidP="0015607A">
            <w:pPr>
              <w:spacing w:before="0" w:after="0" w:line="240" w:lineRule="auto"/>
              <w:jc w:val="center"/>
              <w:rPr>
                <w:rFonts w:cs="Tahoma"/>
                <w:sz w:val="18"/>
                <w:szCs w:val="18"/>
              </w:rPr>
            </w:pPr>
          </w:p>
        </w:tc>
        <w:tc>
          <w:tcPr>
            <w:tcW w:w="2410" w:type="dxa"/>
            <w:shd w:val="clear" w:color="auto" w:fill="auto"/>
            <w:vAlign w:val="center"/>
          </w:tcPr>
          <w:p w14:paraId="0A54962C"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B (low to medium)</w:t>
            </w:r>
          </w:p>
        </w:tc>
        <w:tc>
          <w:tcPr>
            <w:tcW w:w="5528" w:type="dxa"/>
            <w:shd w:val="clear" w:color="auto" w:fill="auto"/>
          </w:tcPr>
          <w:p w14:paraId="6A11DD04" w14:textId="77777777" w:rsidR="00240E6E" w:rsidRPr="0068236B" w:rsidRDefault="00240E6E" w:rsidP="0015607A">
            <w:pPr>
              <w:widowControl w:val="0"/>
              <w:spacing w:before="0" w:after="0" w:line="240" w:lineRule="auto"/>
              <w:jc w:val="left"/>
              <w:rPr>
                <w:rFonts w:cs="Tahoma"/>
                <w:sz w:val="18"/>
                <w:szCs w:val="18"/>
              </w:rPr>
            </w:pPr>
            <w:r w:rsidRPr="0068236B">
              <w:rPr>
                <w:rFonts w:cs="Tahoma"/>
                <w:sz w:val="18"/>
                <w:szCs w:val="18"/>
              </w:rPr>
              <w:t>Measurable impact, but with proper planning does not cause da</w:t>
            </w:r>
            <w:r w:rsidRPr="0068236B">
              <w:rPr>
                <w:rFonts w:cs="Tahoma"/>
                <w:sz w:val="18"/>
                <w:szCs w:val="18"/>
              </w:rPr>
              <w:t>m</w:t>
            </w:r>
            <w:r w:rsidRPr="0068236B">
              <w:rPr>
                <w:rFonts w:cs="Tahoma"/>
                <w:sz w:val="18"/>
                <w:szCs w:val="18"/>
              </w:rPr>
              <w:t>age to the resource / receptor</w:t>
            </w:r>
          </w:p>
        </w:tc>
      </w:tr>
      <w:tr w:rsidR="00240E6E" w:rsidRPr="0068236B" w14:paraId="750DE32F" w14:textId="77777777" w:rsidTr="00EF7697">
        <w:tc>
          <w:tcPr>
            <w:tcW w:w="1758" w:type="dxa"/>
            <w:vMerge/>
            <w:shd w:val="clear" w:color="auto" w:fill="BFBFBF" w:themeFill="background1" w:themeFillShade="BF"/>
          </w:tcPr>
          <w:p w14:paraId="4DCDEA45" w14:textId="77777777" w:rsidR="00240E6E" w:rsidRPr="0068236B" w:rsidRDefault="00240E6E" w:rsidP="0015607A">
            <w:pPr>
              <w:spacing w:before="0" w:after="0" w:line="240" w:lineRule="auto"/>
              <w:jc w:val="center"/>
              <w:rPr>
                <w:rFonts w:cs="Tahoma"/>
                <w:sz w:val="18"/>
                <w:szCs w:val="18"/>
              </w:rPr>
            </w:pPr>
          </w:p>
        </w:tc>
        <w:tc>
          <w:tcPr>
            <w:tcW w:w="2410" w:type="dxa"/>
            <w:shd w:val="clear" w:color="auto" w:fill="auto"/>
            <w:vAlign w:val="center"/>
          </w:tcPr>
          <w:p w14:paraId="6FA13B12"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C (medium to high)</w:t>
            </w:r>
          </w:p>
        </w:tc>
        <w:tc>
          <w:tcPr>
            <w:tcW w:w="5528" w:type="dxa"/>
            <w:shd w:val="clear" w:color="auto" w:fill="auto"/>
          </w:tcPr>
          <w:p w14:paraId="176411DC"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Significant impact, but can be controlled by implementing the a</w:t>
            </w:r>
            <w:r w:rsidRPr="0068236B">
              <w:rPr>
                <w:rFonts w:cs="Tahoma"/>
                <w:sz w:val="18"/>
                <w:szCs w:val="18"/>
              </w:rPr>
              <w:t>p</w:t>
            </w:r>
            <w:r w:rsidRPr="0068236B">
              <w:rPr>
                <w:rFonts w:cs="Tahoma"/>
                <w:sz w:val="18"/>
                <w:szCs w:val="18"/>
              </w:rPr>
              <w:t>propriate measures</w:t>
            </w:r>
          </w:p>
        </w:tc>
      </w:tr>
      <w:tr w:rsidR="00240E6E" w:rsidRPr="0068236B" w14:paraId="2978FD0A" w14:textId="77777777" w:rsidTr="00EF7697">
        <w:tc>
          <w:tcPr>
            <w:tcW w:w="1758" w:type="dxa"/>
            <w:vMerge/>
            <w:shd w:val="clear" w:color="auto" w:fill="BFBFBF" w:themeFill="background1" w:themeFillShade="BF"/>
          </w:tcPr>
          <w:p w14:paraId="30D1801B" w14:textId="77777777" w:rsidR="00240E6E" w:rsidRPr="0068236B" w:rsidRDefault="00240E6E" w:rsidP="0015607A">
            <w:pPr>
              <w:spacing w:before="0" w:after="0" w:line="240" w:lineRule="auto"/>
              <w:jc w:val="center"/>
              <w:rPr>
                <w:rFonts w:cs="Tahoma"/>
                <w:sz w:val="18"/>
                <w:szCs w:val="18"/>
              </w:rPr>
            </w:pPr>
          </w:p>
        </w:tc>
        <w:tc>
          <w:tcPr>
            <w:tcW w:w="2410" w:type="dxa"/>
            <w:shd w:val="clear" w:color="auto" w:fill="auto"/>
            <w:vAlign w:val="center"/>
          </w:tcPr>
          <w:p w14:paraId="702C535D"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D (very high)</w:t>
            </w:r>
          </w:p>
        </w:tc>
        <w:tc>
          <w:tcPr>
            <w:tcW w:w="5528" w:type="dxa"/>
            <w:shd w:val="clear" w:color="auto" w:fill="auto"/>
          </w:tcPr>
          <w:p w14:paraId="6F870288"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Impact that would be harmful to the resource / receptor</w:t>
            </w:r>
          </w:p>
        </w:tc>
      </w:tr>
      <w:tr w:rsidR="00240E6E" w:rsidRPr="0068236B" w14:paraId="0AC4AEB7" w14:textId="77777777" w:rsidTr="00EF7697">
        <w:tc>
          <w:tcPr>
            <w:tcW w:w="1758" w:type="dxa"/>
            <w:vMerge/>
            <w:shd w:val="clear" w:color="auto" w:fill="BFBFBF" w:themeFill="background1" w:themeFillShade="BF"/>
          </w:tcPr>
          <w:p w14:paraId="21903630" w14:textId="77777777" w:rsidR="00240E6E" w:rsidRPr="0068236B" w:rsidRDefault="00240E6E" w:rsidP="0015607A">
            <w:pPr>
              <w:spacing w:before="0" w:after="0" w:line="240" w:lineRule="auto"/>
              <w:jc w:val="center"/>
              <w:rPr>
                <w:rFonts w:cs="Tahoma"/>
                <w:sz w:val="18"/>
                <w:szCs w:val="18"/>
              </w:rPr>
            </w:pPr>
          </w:p>
        </w:tc>
        <w:tc>
          <w:tcPr>
            <w:tcW w:w="2410" w:type="dxa"/>
            <w:shd w:val="clear" w:color="auto" w:fill="auto"/>
            <w:vAlign w:val="center"/>
          </w:tcPr>
          <w:p w14:paraId="347B82D7"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E (compensation)</w:t>
            </w:r>
          </w:p>
        </w:tc>
        <w:tc>
          <w:tcPr>
            <w:tcW w:w="5528" w:type="dxa"/>
            <w:shd w:val="clear" w:color="auto" w:fill="auto"/>
          </w:tcPr>
          <w:p w14:paraId="01573CD0" w14:textId="77777777" w:rsidR="00240E6E" w:rsidRPr="0068236B" w:rsidRDefault="00240E6E" w:rsidP="0015607A">
            <w:pPr>
              <w:spacing w:before="0" w:after="0" w:line="240" w:lineRule="auto"/>
              <w:jc w:val="left"/>
              <w:rPr>
                <w:rFonts w:cs="Tahoma"/>
                <w:sz w:val="18"/>
                <w:szCs w:val="18"/>
              </w:rPr>
            </w:pPr>
            <w:r w:rsidRPr="0068236B">
              <w:rPr>
                <w:rFonts w:cs="Tahoma"/>
                <w:sz w:val="18"/>
                <w:szCs w:val="18"/>
              </w:rPr>
              <w:t>Impact that requires compensatory measures</w:t>
            </w:r>
          </w:p>
        </w:tc>
      </w:tr>
    </w:tbl>
    <w:p w14:paraId="366F49F8" w14:textId="77777777" w:rsidR="00240E6E" w:rsidRPr="0068236B" w:rsidRDefault="00240E6E" w:rsidP="00240E6E">
      <w:pPr>
        <w:overflowPunct w:val="0"/>
        <w:autoSpaceDE w:val="0"/>
        <w:autoSpaceDN w:val="0"/>
        <w:adjustRightInd w:val="0"/>
        <w:spacing w:after="240"/>
        <w:jc w:val="left"/>
        <w:textAlignment w:val="baseline"/>
        <w:rPr>
          <w:rFonts w:cs="Arial"/>
          <w:bCs/>
          <w:iCs/>
          <w:sz w:val="18"/>
          <w:szCs w:val="20"/>
        </w:rPr>
      </w:pPr>
      <w:bookmarkStart w:id="185" w:name="_Toc71559816"/>
      <w:bookmarkStart w:id="186" w:name="_Toc113018168"/>
      <w:r w:rsidRPr="0068236B">
        <w:rPr>
          <w:rFonts w:cs="Arial"/>
          <w:bCs/>
          <w:iCs/>
          <w:sz w:val="18"/>
          <w:szCs w:val="20"/>
        </w:rPr>
        <w:t xml:space="preserve">Table </w:t>
      </w:r>
      <w:r w:rsidR="00377E43" w:rsidRPr="0068236B">
        <w:rPr>
          <w:rFonts w:cs="Arial"/>
          <w:bCs/>
          <w:iCs/>
          <w:sz w:val="18"/>
          <w:szCs w:val="20"/>
        </w:rPr>
        <w:fldChar w:fldCharType="begin"/>
      </w:r>
      <w:r w:rsidRPr="0068236B">
        <w:rPr>
          <w:rFonts w:cs="Arial"/>
          <w:bCs/>
          <w:iCs/>
          <w:sz w:val="18"/>
          <w:szCs w:val="20"/>
        </w:rPr>
        <w:instrText xml:space="preserve"> STYLEREF 1 \s </w:instrText>
      </w:r>
      <w:r w:rsidR="00377E43" w:rsidRPr="0068236B">
        <w:rPr>
          <w:rFonts w:cs="Arial"/>
          <w:bCs/>
          <w:iCs/>
          <w:sz w:val="18"/>
          <w:szCs w:val="20"/>
        </w:rPr>
        <w:fldChar w:fldCharType="separate"/>
      </w:r>
      <w:r w:rsidR="00234EBE" w:rsidRPr="0068236B">
        <w:rPr>
          <w:rFonts w:cs="Arial"/>
          <w:bCs/>
          <w:iCs/>
          <w:noProof/>
          <w:sz w:val="18"/>
          <w:szCs w:val="20"/>
        </w:rPr>
        <w:t>5</w:t>
      </w:r>
      <w:r w:rsidR="00377E43" w:rsidRPr="0068236B">
        <w:rPr>
          <w:rFonts w:cs="Arial"/>
          <w:bCs/>
          <w:iCs/>
          <w:sz w:val="18"/>
          <w:szCs w:val="20"/>
        </w:rPr>
        <w:fldChar w:fldCharType="end"/>
      </w:r>
      <w:r w:rsidRPr="0068236B">
        <w:rPr>
          <w:rFonts w:cs="Arial"/>
          <w:bCs/>
          <w:iCs/>
          <w:sz w:val="18"/>
          <w:szCs w:val="20"/>
        </w:rPr>
        <w:t>.</w:t>
      </w:r>
      <w:r w:rsidR="00377E43" w:rsidRPr="0068236B">
        <w:rPr>
          <w:rFonts w:cs="Arial"/>
          <w:bCs/>
          <w:iCs/>
          <w:sz w:val="18"/>
          <w:szCs w:val="20"/>
        </w:rPr>
        <w:fldChar w:fldCharType="begin"/>
      </w:r>
      <w:r w:rsidRPr="0068236B">
        <w:rPr>
          <w:rFonts w:cs="Arial"/>
          <w:bCs/>
          <w:iCs/>
          <w:sz w:val="18"/>
          <w:szCs w:val="20"/>
        </w:rPr>
        <w:instrText xml:space="preserve"> SEQ Table \* ARABIC \s 1 </w:instrText>
      </w:r>
      <w:r w:rsidR="00377E43" w:rsidRPr="0068236B">
        <w:rPr>
          <w:rFonts w:cs="Arial"/>
          <w:bCs/>
          <w:iCs/>
          <w:sz w:val="18"/>
          <w:szCs w:val="20"/>
        </w:rPr>
        <w:fldChar w:fldCharType="separate"/>
      </w:r>
      <w:r w:rsidR="00234EBE" w:rsidRPr="0068236B">
        <w:rPr>
          <w:rFonts w:cs="Arial"/>
          <w:bCs/>
          <w:iCs/>
          <w:noProof/>
          <w:sz w:val="18"/>
          <w:szCs w:val="20"/>
        </w:rPr>
        <w:t>3</w:t>
      </w:r>
      <w:r w:rsidR="00377E43" w:rsidRPr="0068236B">
        <w:rPr>
          <w:rFonts w:cs="Arial"/>
          <w:bCs/>
          <w:iCs/>
          <w:sz w:val="18"/>
          <w:szCs w:val="20"/>
        </w:rPr>
        <w:fldChar w:fldCharType="end"/>
      </w:r>
      <w:r w:rsidR="006E2AC4" w:rsidRPr="0068236B">
        <w:rPr>
          <w:rFonts w:cs="Arial"/>
          <w:bCs/>
          <w:iCs/>
          <w:sz w:val="18"/>
          <w:szCs w:val="20"/>
        </w:rPr>
        <w:t xml:space="preserve">: </w:t>
      </w:r>
      <w:r w:rsidRPr="0068236B">
        <w:rPr>
          <w:rFonts w:cs="Arial"/>
          <w:sz w:val="18"/>
          <w:szCs w:val="20"/>
        </w:rPr>
        <w:t>Typical impact appraisal matrix</w:t>
      </w:r>
      <w:bookmarkEnd w:id="185"/>
      <w:bookmarkEnd w:id="186"/>
    </w:p>
    <w:p w14:paraId="667589DE" w14:textId="77777777" w:rsidR="00240E6E" w:rsidRPr="0068236B" w:rsidRDefault="00240E6E" w:rsidP="00240E6E">
      <w:pPr>
        <w:rPr>
          <w:rFonts w:eastAsia="ArialMT" w:cs="Arial"/>
          <w:sz w:val="20"/>
          <w:szCs w:val="20"/>
        </w:rPr>
      </w:pPr>
      <w:r w:rsidRPr="0068236B">
        <w:rPr>
          <w:rFonts w:eastAsia="ArialMT" w:cs="Arial"/>
          <w:sz w:val="20"/>
          <w:szCs w:val="20"/>
        </w:rPr>
        <w:lastRenderedPageBreak/>
        <w:t xml:space="preserve">Typical </w:t>
      </w:r>
      <w:r w:rsidRPr="0068236B">
        <w:rPr>
          <w:rFonts w:cs="Arial"/>
          <w:sz w:val="20"/>
          <w:szCs w:val="20"/>
        </w:rPr>
        <w:t xml:space="preserve">criteria descriptors for defining impact magnitude </w:t>
      </w:r>
      <w:r w:rsidRPr="0068236B">
        <w:rPr>
          <w:rFonts w:eastAsia="ArialMT" w:cs="Arial"/>
          <w:sz w:val="20"/>
          <w:szCs w:val="20"/>
        </w:rPr>
        <w:t xml:space="preserve">for the purpose of the </w:t>
      </w:r>
      <w:r w:rsidR="00806391" w:rsidRPr="0068236B">
        <w:rPr>
          <w:rFonts w:eastAsia="ArialMT" w:cs="Arial"/>
          <w:sz w:val="20"/>
          <w:szCs w:val="20"/>
        </w:rPr>
        <w:t>assessment</w:t>
      </w:r>
      <w:r w:rsidRPr="0068236B">
        <w:rPr>
          <w:rFonts w:eastAsia="ArialMT" w:cs="Arial"/>
          <w:sz w:val="20"/>
          <w:szCs w:val="20"/>
        </w:rPr>
        <w:t xml:space="preserve"> are gi</w:t>
      </w:r>
      <w:r w:rsidR="00806391" w:rsidRPr="0068236B">
        <w:rPr>
          <w:rFonts w:eastAsia="ArialMT" w:cs="Arial"/>
          <w:sz w:val="20"/>
          <w:szCs w:val="20"/>
        </w:rPr>
        <w:t>ven in Table below. While this T</w:t>
      </w:r>
      <w:r w:rsidRPr="0068236B">
        <w:rPr>
          <w:rFonts w:eastAsia="ArialMT" w:cs="Arial"/>
          <w:sz w:val="20"/>
          <w:szCs w:val="20"/>
        </w:rPr>
        <w:t>able provides guidelines of a generic nature, it should be noted that specific guid</w:t>
      </w:r>
      <w:r w:rsidRPr="0068236B">
        <w:rPr>
          <w:rFonts w:eastAsia="ArialMT" w:cs="Arial"/>
          <w:sz w:val="20"/>
          <w:szCs w:val="20"/>
        </w:rPr>
        <w:t>e</w:t>
      </w:r>
      <w:r w:rsidRPr="0068236B">
        <w:rPr>
          <w:rFonts w:eastAsia="ArialMT" w:cs="Arial"/>
          <w:sz w:val="20"/>
          <w:szCs w:val="20"/>
        </w:rPr>
        <w:t>lines in relation to impact magnitude may be required for the particular topics, where considered necessary.</w:t>
      </w:r>
    </w:p>
    <w:tbl>
      <w:tblPr>
        <w:tblW w:w="9742" w:type="dxa"/>
        <w:tblInd w:w="5" w:type="dxa"/>
        <w:tblBorders>
          <w:top w:val="single" w:sz="4" w:space="0" w:color="9DBCB0"/>
          <w:left w:val="single" w:sz="4" w:space="0" w:color="9DBCB0"/>
          <w:bottom w:val="single" w:sz="4" w:space="0" w:color="9DBCB0"/>
          <w:right w:val="single" w:sz="4" w:space="0" w:color="9DBCB0"/>
          <w:insideH w:val="single" w:sz="4" w:space="0" w:color="9DBCB0"/>
          <w:insideV w:val="single" w:sz="4" w:space="0" w:color="9DBCB0"/>
        </w:tblBorders>
        <w:tblLook w:val="04A0" w:firstRow="1" w:lastRow="0" w:firstColumn="1" w:lastColumn="0" w:noHBand="0" w:noVBand="1"/>
      </w:tblPr>
      <w:tblGrid>
        <w:gridCol w:w="1946"/>
        <w:gridCol w:w="7796"/>
      </w:tblGrid>
      <w:tr w:rsidR="00240E6E" w:rsidRPr="0068236B" w14:paraId="6C8755DB" w14:textId="77777777" w:rsidTr="0015607A">
        <w:trPr>
          <w:cantSplit/>
          <w:tblHeader/>
        </w:trPr>
        <w:tc>
          <w:tcPr>
            <w:tcW w:w="1946" w:type="dxa"/>
            <w:shd w:val="clear" w:color="000000" w:fill="44697D"/>
            <w:noWrap/>
            <w:vAlign w:val="center"/>
            <w:hideMark/>
          </w:tcPr>
          <w:p w14:paraId="4636F8D8" w14:textId="77777777" w:rsidR="00240E6E" w:rsidRPr="0068236B" w:rsidRDefault="00240E6E" w:rsidP="0015607A">
            <w:pPr>
              <w:keepNext/>
              <w:spacing w:before="0" w:after="0" w:line="240" w:lineRule="auto"/>
              <w:jc w:val="left"/>
              <w:rPr>
                <w:rFonts w:cs="Tahoma"/>
                <w:bCs/>
                <w:color w:val="FFFFFF"/>
                <w:sz w:val="20"/>
                <w:szCs w:val="20"/>
                <w:lang w:eastAsia="el-GR"/>
              </w:rPr>
            </w:pPr>
            <w:r w:rsidRPr="0068236B">
              <w:rPr>
                <w:rFonts w:cs="Tahoma"/>
                <w:bCs/>
                <w:color w:val="FFFFFF"/>
                <w:sz w:val="20"/>
                <w:szCs w:val="20"/>
                <w:lang w:eastAsia="el-GR"/>
              </w:rPr>
              <w:t>Impact magnitude</w:t>
            </w:r>
          </w:p>
        </w:tc>
        <w:tc>
          <w:tcPr>
            <w:tcW w:w="7796" w:type="dxa"/>
            <w:shd w:val="clear" w:color="000000" w:fill="44697D"/>
            <w:noWrap/>
            <w:vAlign w:val="center"/>
            <w:hideMark/>
          </w:tcPr>
          <w:p w14:paraId="45F53F39" w14:textId="77777777" w:rsidR="00240E6E" w:rsidRPr="0068236B" w:rsidRDefault="00240E6E" w:rsidP="0015607A">
            <w:pPr>
              <w:keepNext/>
              <w:spacing w:before="0" w:after="0" w:line="240" w:lineRule="auto"/>
              <w:jc w:val="left"/>
              <w:rPr>
                <w:rFonts w:cs="Tahoma"/>
                <w:bCs/>
                <w:color w:val="FFFFFF"/>
                <w:sz w:val="20"/>
                <w:szCs w:val="20"/>
                <w:lang w:eastAsia="el-GR"/>
              </w:rPr>
            </w:pPr>
            <w:r w:rsidRPr="0068236B">
              <w:rPr>
                <w:rFonts w:cs="Tahoma"/>
                <w:bCs/>
                <w:color w:val="FFFFFF"/>
                <w:sz w:val="20"/>
                <w:szCs w:val="20"/>
                <w:lang w:eastAsia="el-GR"/>
              </w:rPr>
              <w:t>Description - typical descriptors</w:t>
            </w:r>
          </w:p>
        </w:tc>
      </w:tr>
      <w:tr w:rsidR="00240E6E" w:rsidRPr="0068236B" w14:paraId="230DB7F0" w14:textId="77777777" w:rsidTr="0015607A">
        <w:trPr>
          <w:trHeight w:val="288"/>
        </w:trPr>
        <w:tc>
          <w:tcPr>
            <w:tcW w:w="1946" w:type="dxa"/>
            <w:vMerge w:val="restart"/>
            <w:shd w:val="clear" w:color="auto" w:fill="auto"/>
            <w:noWrap/>
            <w:hideMark/>
          </w:tcPr>
          <w:p w14:paraId="1EF59ED5" w14:textId="77777777" w:rsidR="00240E6E" w:rsidRPr="0068236B" w:rsidRDefault="00240E6E" w:rsidP="0015607A">
            <w:pPr>
              <w:tabs>
                <w:tab w:val="center" w:pos="4320"/>
                <w:tab w:val="right" w:pos="8640"/>
              </w:tabs>
              <w:spacing w:before="0" w:after="0" w:line="240" w:lineRule="auto"/>
              <w:jc w:val="left"/>
              <w:rPr>
                <w:rFonts w:cs="Tahoma"/>
                <w:sz w:val="20"/>
                <w:szCs w:val="20"/>
              </w:rPr>
            </w:pPr>
            <w:r w:rsidRPr="0068236B">
              <w:rPr>
                <w:rFonts w:cs="Tahoma"/>
                <w:sz w:val="20"/>
                <w:szCs w:val="20"/>
              </w:rPr>
              <w:t>High</w:t>
            </w:r>
          </w:p>
        </w:tc>
        <w:tc>
          <w:tcPr>
            <w:tcW w:w="7796" w:type="dxa"/>
            <w:shd w:val="clear" w:color="auto" w:fill="auto"/>
            <w:noWrap/>
            <w:vAlign w:val="center"/>
            <w:hideMark/>
          </w:tcPr>
          <w:p w14:paraId="4FDB16FD" w14:textId="77777777" w:rsidR="00240E6E" w:rsidRPr="0068236B" w:rsidRDefault="00240E6E" w:rsidP="0015607A">
            <w:pPr>
              <w:spacing w:before="0" w:after="0" w:line="240" w:lineRule="auto"/>
              <w:ind w:left="10"/>
              <w:jc w:val="left"/>
              <w:rPr>
                <w:rFonts w:cs="Arial"/>
                <w:color w:val="000000"/>
                <w:sz w:val="20"/>
                <w:szCs w:val="20"/>
              </w:rPr>
            </w:pPr>
            <w:r w:rsidRPr="0068236B">
              <w:rPr>
                <w:rFonts w:cs="Arial"/>
                <w:color w:val="000000"/>
                <w:sz w:val="20"/>
                <w:szCs w:val="20"/>
              </w:rPr>
              <w:t>Loss of resource and/or quality and integrity of resource; severe damage to key characteristics, features or elements (Adverse)</w:t>
            </w:r>
          </w:p>
        </w:tc>
      </w:tr>
      <w:tr w:rsidR="00240E6E" w:rsidRPr="0068236B" w14:paraId="4602F9CA" w14:textId="77777777" w:rsidTr="0015607A">
        <w:trPr>
          <w:trHeight w:val="288"/>
        </w:trPr>
        <w:tc>
          <w:tcPr>
            <w:tcW w:w="1946" w:type="dxa"/>
            <w:vMerge/>
            <w:shd w:val="clear" w:color="auto" w:fill="auto"/>
            <w:noWrap/>
            <w:hideMark/>
          </w:tcPr>
          <w:p w14:paraId="6056255D" w14:textId="77777777" w:rsidR="00240E6E" w:rsidRPr="0068236B" w:rsidRDefault="00240E6E" w:rsidP="0015607A">
            <w:pPr>
              <w:pStyle w:val="Default"/>
              <w:rPr>
                <w:rFonts w:ascii="Tahoma" w:hAnsi="Tahoma" w:cs="Tahoma"/>
                <w:bCs/>
                <w:color w:val="auto"/>
                <w:sz w:val="20"/>
                <w:szCs w:val="20"/>
              </w:rPr>
            </w:pPr>
          </w:p>
        </w:tc>
        <w:tc>
          <w:tcPr>
            <w:tcW w:w="7796" w:type="dxa"/>
            <w:shd w:val="clear" w:color="auto" w:fill="auto"/>
            <w:noWrap/>
            <w:vAlign w:val="center"/>
            <w:hideMark/>
          </w:tcPr>
          <w:p w14:paraId="63E43CF2" w14:textId="77777777" w:rsidR="00240E6E" w:rsidRPr="0068236B" w:rsidRDefault="00240E6E" w:rsidP="0015607A">
            <w:pPr>
              <w:spacing w:before="0" w:after="0" w:line="240" w:lineRule="auto"/>
              <w:ind w:left="10"/>
              <w:jc w:val="left"/>
              <w:rPr>
                <w:rFonts w:cs="Arial"/>
                <w:color w:val="000000"/>
                <w:sz w:val="20"/>
                <w:szCs w:val="20"/>
              </w:rPr>
            </w:pPr>
            <w:r w:rsidRPr="0068236B">
              <w:rPr>
                <w:rFonts w:cs="Arial"/>
                <w:color w:val="000000"/>
                <w:sz w:val="20"/>
                <w:szCs w:val="20"/>
              </w:rPr>
              <w:t>Large scale or major improvement of resource; extensive restoration or enhanc</w:t>
            </w:r>
            <w:r w:rsidRPr="0068236B">
              <w:rPr>
                <w:rFonts w:cs="Arial"/>
                <w:color w:val="000000"/>
                <w:sz w:val="20"/>
                <w:szCs w:val="20"/>
              </w:rPr>
              <w:t>e</w:t>
            </w:r>
            <w:r w:rsidRPr="0068236B">
              <w:rPr>
                <w:rFonts w:cs="Arial"/>
                <w:color w:val="000000"/>
                <w:sz w:val="20"/>
                <w:szCs w:val="20"/>
              </w:rPr>
              <w:t>ment, major improvement of attribute quality (Beneficial)</w:t>
            </w:r>
          </w:p>
        </w:tc>
      </w:tr>
      <w:tr w:rsidR="00240E6E" w:rsidRPr="0068236B" w14:paraId="72B89FD5" w14:textId="77777777" w:rsidTr="0015607A">
        <w:trPr>
          <w:trHeight w:val="288"/>
        </w:trPr>
        <w:tc>
          <w:tcPr>
            <w:tcW w:w="1946" w:type="dxa"/>
            <w:vMerge w:val="restart"/>
            <w:shd w:val="clear" w:color="auto" w:fill="auto"/>
            <w:noWrap/>
            <w:hideMark/>
          </w:tcPr>
          <w:p w14:paraId="7B35871B" w14:textId="77777777" w:rsidR="00240E6E" w:rsidRPr="0068236B" w:rsidRDefault="00240E6E" w:rsidP="0015607A">
            <w:pPr>
              <w:tabs>
                <w:tab w:val="center" w:pos="4320"/>
                <w:tab w:val="right" w:pos="8640"/>
              </w:tabs>
              <w:spacing w:before="0" w:after="0" w:line="240" w:lineRule="auto"/>
              <w:jc w:val="left"/>
              <w:rPr>
                <w:rFonts w:cs="Tahoma"/>
                <w:sz w:val="20"/>
                <w:szCs w:val="20"/>
              </w:rPr>
            </w:pPr>
            <w:r w:rsidRPr="0068236B">
              <w:rPr>
                <w:rFonts w:cs="Tahoma"/>
                <w:sz w:val="20"/>
                <w:szCs w:val="20"/>
              </w:rPr>
              <w:t>Medium</w:t>
            </w:r>
          </w:p>
        </w:tc>
        <w:tc>
          <w:tcPr>
            <w:tcW w:w="7796" w:type="dxa"/>
            <w:shd w:val="clear" w:color="auto" w:fill="auto"/>
            <w:noWrap/>
            <w:vAlign w:val="center"/>
            <w:hideMark/>
          </w:tcPr>
          <w:p w14:paraId="4F8D1703" w14:textId="77777777" w:rsidR="00240E6E" w:rsidRPr="0068236B" w:rsidRDefault="00240E6E" w:rsidP="0015607A">
            <w:pPr>
              <w:spacing w:before="0" w:after="0" w:line="240" w:lineRule="auto"/>
              <w:ind w:left="10"/>
              <w:jc w:val="left"/>
              <w:rPr>
                <w:rFonts w:cs="Arial"/>
                <w:color w:val="000000"/>
                <w:sz w:val="20"/>
                <w:szCs w:val="20"/>
              </w:rPr>
            </w:pPr>
            <w:r w:rsidRPr="0068236B">
              <w:rPr>
                <w:rFonts w:cs="Arial"/>
                <w:color w:val="000000"/>
                <w:sz w:val="20"/>
                <w:szCs w:val="20"/>
              </w:rPr>
              <w:t>Loss of resource, but not affecting integrity, partial loss of/damage to key characte</w:t>
            </w:r>
            <w:r w:rsidRPr="0068236B">
              <w:rPr>
                <w:rFonts w:cs="Arial"/>
                <w:color w:val="000000"/>
                <w:sz w:val="20"/>
                <w:szCs w:val="20"/>
              </w:rPr>
              <w:t>r</w:t>
            </w:r>
            <w:r w:rsidRPr="0068236B">
              <w:rPr>
                <w:rFonts w:cs="Arial"/>
                <w:color w:val="000000"/>
                <w:sz w:val="20"/>
                <w:szCs w:val="20"/>
              </w:rPr>
              <w:t>istics, features or elements (Adverse)</w:t>
            </w:r>
          </w:p>
        </w:tc>
      </w:tr>
      <w:tr w:rsidR="00240E6E" w:rsidRPr="0068236B" w14:paraId="03F85D18" w14:textId="77777777" w:rsidTr="0015607A">
        <w:trPr>
          <w:trHeight w:val="288"/>
        </w:trPr>
        <w:tc>
          <w:tcPr>
            <w:tcW w:w="1946" w:type="dxa"/>
            <w:vMerge/>
            <w:shd w:val="clear" w:color="auto" w:fill="auto"/>
            <w:noWrap/>
            <w:hideMark/>
          </w:tcPr>
          <w:p w14:paraId="2FD8B51A" w14:textId="77777777" w:rsidR="00240E6E" w:rsidRPr="0068236B" w:rsidRDefault="00240E6E" w:rsidP="0015607A">
            <w:pPr>
              <w:pStyle w:val="Default"/>
              <w:rPr>
                <w:rFonts w:ascii="Tahoma" w:hAnsi="Tahoma" w:cs="Tahoma"/>
                <w:bCs/>
                <w:color w:val="auto"/>
                <w:sz w:val="20"/>
                <w:szCs w:val="20"/>
              </w:rPr>
            </w:pPr>
          </w:p>
        </w:tc>
        <w:tc>
          <w:tcPr>
            <w:tcW w:w="7796" w:type="dxa"/>
            <w:shd w:val="clear" w:color="auto" w:fill="auto"/>
            <w:noWrap/>
            <w:vAlign w:val="center"/>
            <w:hideMark/>
          </w:tcPr>
          <w:p w14:paraId="27A870B3" w14:textId="77777777" w:rsidR="00240E6E" w:rsidRPr="0068236B" w:rsidRDefault="00240E6E" w:rsidP="0015607A">
            <w:pPr>
              <w:spacing w:before="0" w:after="0" w:line="240" w:lineRule="auto"/>
              <w:ind w:left="10"/>
              <w:jc w:val="left"/>
              <w:rPr>
                <w:rFonts w:cs="Arial"/>
                <w:color w:val="000000"/>
                <w:sz w:val="20"/>
                <w:szCs w:val="20"/>
              </w:rPr>
            </w:pPr>
            <w:r w:rsidRPr="0068236B">
              <w:rPr>
                <w:rFonts w:cs="Arial"/>
                <w:color w:val="000000"/>
                <w:sz w:val="20"/>
                <w:szCs w:val="20"/>
              </w:rPr>
              <w:t>Benefit to, or addition of, key characteristics, features or elements; improvement of attribute quality (Beneficial)</w:t>
            </w:r>
          </w:p>
        </w:tc>
      </w:tr>
      <w:tr w:rsidR="00240E6E" w:rsidRPr="0068236B" w14:paraId="6F736C8B" w14:textId="77777777" w:rsidTr="0015607A">
        <w:trPr>
          <w:trHeight w:val="288"/>
        </w:trPr>
        <w:tc>
          <w:tcPr>
            <w:tcW w:w="1946" w:type="dxa"/>
            <w:vMerge w:val="restart"/>
            <w:shd w:val="clear" w:color="auto" w:fill="auto"/>
            <w:noWrap/>
            <w:hideMark/>
          </w:tcPr>
          <w:p w14:paraId="6A1821EE" w14:textId="77777777" w:rsidR="00240E6E" w:rsidRPr="0068236B" w:rsidRDefault="00240E6E" w:rsidP="0015607A">
            <w:pPr>
              <w:tabs>
                <w:tab w:val="center" w:pos="4320"/>
                <w:tab w:val="right" w:pos="8640"/>
              </w:tabs>
              <w:spacing w:before="0" w:after="0" w:line="240" w:lineRule="auto"/>
              <w:jc w:val="left"/>
              <w:rPr>
                <w:rFonts w:cs="Tahoma"/>
                <w:sz w:val="20"/>
                <w:szCs w:val="20"/>
              </w:rPr>
            </w:pPr>
            <w:r w:rsidRPr="0068236B">
              <w:rPr>
                <w:rFonts w:cs="Tahoma"/>
                <w:sz w:val="20"/>
                <w:szCs w:val="20"/>
              </w:rPr>
              <w:t>Low</w:t>
            </w:r>
          </w:p>
        </w:tc>
        <w:tc>
          <w:tcPr>
            <w:tcW w:w="7796" w:type="dxa"/>
            <w:shd w:val="clear" w:color="auto" w:fill="auto"/>
            <w:noWrap/>
            <w:vAlign w:val="center"/>
            <w:hideMark/>
          </w:tcPr>
          <w:p w14:paraId="3ADA9ADA" w14:textId="77777777" w:rsidR="00240E6E" w:rsidRPr="0068236B" w:rsidRDefault="00240E6E" w:rsidP="0015607A">
            <w:pPr>
              <w:spacing w:before="0" w:after="0" w:line="240" w:lineRule="auto"/>
              <w:ind w:left="10"/>
              <w:jc w:val="left"/>
              <w:rPr>
                <w:rFonts w:cs="Arial"/>
                <w:color w:val="000000"/>
                <w:sz w:val="20"/>
                <w:szCs w:val="20"/>
              </w:rPr>
            </w:pPr>
            <w:r w:rsidRPr="0068236B">
              <w:rPr>
                <w:rFonts w:cs="Arial"/>
                <w:color w:val="000000"/>
                <w:sz w:val="20"/>
                <w:szCs w:val="20"/>
              </w:rPr>
              <w:t>Some measurable change in attributes, quality or vulnerability, minor loss of or alte</w:t>
            </w:r>
            <w:r w:rsidRPr="0068236B">
              <w:rPr>
                <w:rFonts w:cs="Arial"/>
                <w:color w:val="000000"/>
                <w:sz w:val="20"/>
                <w:szCs w:val="20"/>
              </w:rPr>
              <w:t>r</w:t>
            </w:r>
            <w:r w:rsidRPr="0068236B">
              <w:rPr>
                <w:rFonts w:cs="Arial"/>
                <w:color w:val="000000"/>
                <w:sz w:val="20"/>
                <w:szCs w:val="20"/>
              </w:rPr>
              <w:t>ation to one (possibly more) key characteristics, features or elements (Adverse)</w:t>
            </w:r>
          </w:p>
        </w:tc>
      </w:tr>
      <w:tr w:rsidR="00240E6E" w:rsidRPr="0068236B" w14:paraId="73227A21" w14:textId="77777777" w:rsidTr="0015607A">
        <w:trPr>
          <w:trHeight w:val="288"/>
        </w:trPr>
        <w:tc>
          <w:tcPr>
            <w:tcW w:w="1946" w:type="dxa"/>
            <w:vMerge/>
            <w:shd w:val="clear" w:color="auto" w:fill="auto"/>
            <w:noWrap/>
            <w:hideMark/>
          </w:tcPr>
          <w:p w14:paraId="3A17F80C" w14:textId="77777777" w:rsidR="00240E6E" w:rsidRPr="0068236B" w:rsidRDefault="00240E6E" w:rsidP="0015607A">
            <w:pPr>
              <w:pStyle w:val="Default"/>
              <w:rPr>
                <w:rFonts w:ascii="Tahoma" w:hAnsi="Tahoma" w:cs="Tahoma"/>
                <w:bCs/>
                <w:color w:val="auto"/>
                <w:sz w:val="20"/>
                <w:szCs w:val="20"/>
              </w:rPr>
            </w:pPr>
          </w:p>
        </w:tc>
        <w:tc>
          <w:tcPr>
            <w:tcW w:w="7796" w:type="dxa"/>
            <w:shd w:val="clear" w:color="auto" w:fill="auto"/>
            <w:noWrap/>
            <w:vAlign w:val="center"/>
            <w:hideMark/>
          </w:tcPr>
          <w:p w14:paraId="4493BF66" w14:textId="77777777" w:rsidR="00240E6E" w:rsidRPr="0068236B" w:rsidRDefault="00240E6E" w:rsidP="0015607A">
            <w:pPr>
              <w:spacing w:before="0" w:after="0" w:line="240" w:lineRule="auto"/>
              <w:ind w:left="10"/>
              <w:jc w:val="left"/>
              <w:rPr>
                <w:rFonts w:cs="Arial"/>
                <w:color w:val="000000"/>
                <w:sz w:val="20"/>
                <w:szCs w:val="20"/>
              </w:rPr>
            </w:pPr>
            <w:r w:rsidRPr="0068236B">
              <w:rPr>
                <w:rFonts w:cs="Arial"/>
                <w:color w:val="000000"/>
                <w:sz w:val="20"/>
                <w:szCs w:val="20"/>
              </w:rPr>
              <w:t>Minor benefit to, or addition of, one (possibly more) key characteristics, features or elements, some beneficial impact on attribute or a reduced risk of a negative impact occurring (Beneficial)</w:t>
            </w:r>
          </w:p>
        </w:tc>
      </w:tr>
      <w:tr w:rsidR="00240E6E" w:rsidRPr="0068236B" w14:paraId="2069711D" w14:textId="77777777" w:rsidTr="0015607A">
        <w:trPr>
          <w:trHeight w:val="288"/>
        </w:trPr>
        <w:tc>
          <w:tcPr>
            <w:tcW w:w="1946" w:type="dxa"/>
            <w:vMerge w:val="restart"/>
            <w:shd w:val="clear" w:color="auto" w:fill="auto"/>
            <w:noWrap/>
            <w:hideMark/>
          </w:tcPr>
          <w:p w14:paraId="0CB4282C" w14:textId="77777777" w:rsidR="00240E6E" w:rsidRPr="0068236B" w:rsidRDefault="00240E6E" w:rsidP="0015607A">
            <w:pPr>
              <w:tabs>
                <w:tab w:val="center" w:pos="4320"/>
                <w:tab w:val="right" w:pos="8640"/>
              </w:tabs>
              <w:spacing w:before="0" w:after="0" w:line="240" w:lineRule="auto"/>
              <w:jc w:val="left"/>
              <w:rPr>
                <w:rFonts w:cs="Tahoma"/>
                <w:sz w:val="20"/>
                <w:szCs w:val="20"/>
              </w:rPr>
            </w:pPr>
            <w:r w:rsidRPr="0068236B">
              <w:rPr>
                <w:rFonts w:cs="Tahoma"/>
                <w:bCs/>
                <w:sz w:val="20"/>
                <w:szCs w:val="20"/>
              </w:rPr>
              <w:t>Very low</w:t>
            </w:r>
          </w:p>
        </w:tc>
        <w:tc>
          <w:tcPr>
            <w:tcW w:w="7796" w:type="dxa"/>
            <w:shd w:val="clear" w:color="auto" w:fill="auto"/>
            <w:noWrap/>
            <w:vAlign w:val="center"/>
            <w:hideMark/>
          </w:tcPr>
          <w:p w14:paraId="7675CDEA" w14:textId="77777777" w:rsidR="00240E6E" w:rsidRPr="0068236B" w:rsidRDefault="00240E6E" w:rsidP="0015607A">
            <w:pPr>
              <w:spacing w:before="0" w:after="0" w:line="240" w:lineRule="auto"/>
              <w:ind w:left="10"/>
              <w:jc w:val="left"/>
              <w:rPr>
                <w:rFonts w:cs="Arial"/>
                <w:color w:val="000000"/>
                <w:sz w:val="20"/>
                <w:szCs w:val="20"/>
              </w:rPr>
            </w:pPr>
            <w:r w:rsidRPr="0068236B">
              <w:rPr>
                <w:rFonts w:cs="Arial"/>
                <w:color w:val="000000"/>
                <w:sz w:val="20"/>
                <w:szCs w:val="20"/>
              </w:rPr>
              <w:t>Very minor loss or detrimental alteration to one or more characteristics, features or elements (Adverse)</w:t>
            </w:r>
          </w:p>
        </w:tc>
      </w:tr>
      <w:tr w:rsidR="00240E6E" w:rsidRPr="0068236B" w14:paraId="0DDC2ABB" w14:textId="77777777" w:rsidTr="0015607A">
        <w:trPr>
          <w:trHeight w:val="288"/>
        </w:trPr>
        <w:tc>
          <w:tcPr>
            <w:tcW w:w="1946" w:type="dxa"/>
            <w:vMerge/>
            <w:shd w:val="clear" w:color="auto" w:fill="auto"/>
            <w:noWrap/>
            <w:hideMark/>
          </w:tcPr>
          <w:p w14:paraId="0825169E" w14:textId="77777777" w:rsidR="00240E6E" w:rsidRPr="0068236B" w:rsidRDefault="00240E6E" w:rsidP="0015607A">
            <w:pPr>
              <w:pStyle w:val="Default"/>
              <w:rPr>
                <w:rFonts w:ascii="Tahoma" w:hAnsi="Tahoma" w:cs="Tahoma"/>
                <w:bCs/>
                <w:color w:val="auto"/>
                <w:sz w:val="20"/>
                <w:szCs w:val="20"/>
              </w:rPr>
            </w:pPr>
          </w:p>
        </w:tc>
        <w:tc>
          <w:tcPr>
            <w:tcW w:w="7796" w:type="dxa"/>
            <w:shd w:val="clear" w:color="auto" w:fill="auto"/>
            <w:noWrap/>
            <w:vAlign w:val="center"/>
            <w:hideMark/>
          </w:tcPr>
          <w:p w14:paraId="11E15DE7" w14:textId="77777777" w:rsidR="00240E6E" w:rsidRPr="0068236B" w:rsidRDefault="00240E6E" w:rsidP="0015607A">
            <w:pPr>
              <w:spacing w:before="0" w:after="0" w:line="240" w:lineRule="auto"/>
              <w:ind w:left="10"/>
              <w:jc w:val="left"/>
              <w:rPr>
                <w:rFonts w:cs="Arial"/>
                <w:color w:val="000000"/>
                <w:sz w:val="20"/>
                <w:szCs w:val="20"/>
              </w:rPr>
            </w:pPr>
            <w:r w:rsidRPr="0068236B">
              <w:rPr>
                <w:rFonts w:cs="Arial"/>
                <w:color w:val="000000"/>
                <w:sz w:val="20"/>
                <w:szCs w:val="20"/>
              </w:rPr>
              <w:t>Very minor benefit to or positive addition of one or more characteristics, features or elements (Beneficial)</w:t>
            </w:r>
          </w:p>
        </w:tc>
      </w:tr>
      <w:tr w:rsidR="00240E6E" w:rsidRPr="0068236B" w14:paraId="5C53F3C6" w14:textId="77777777" w:rsidTr="0015607A">
        <w:trPr>
          <w:trHeight w:val="288"/>
        </w:trPr>
        <w:tc>
          <w:tcPr>
            <w:tcW w:w="1946" w:type="dxa"/>
            <w:shd w:val="clear" w:color="auto" w:fill="auto"/>
            <w:noWrap/>
            <w:hideMark/>
          </w:tcPr>
          <w:p w14:paraId="52600A2B" w14:textId="77777777" w:rsidR="00240E6E" w:rsidRPr="0068236B" w:rsidRDefault="00240E6E" w:rsidP="0015607A">
            <w:pPr>
              <w:tabs>
                <w:tab w:val="center" w:pos="4320"/>
                <w:tab w:val="right" w:pos="8640"/>
              </w:tabs>
              <w:spacing w:before="0" w:after="0" w:line="240" w:lineRule="auto"/>
              <w:jc w:val="left"/>
              <w:rPr>
                <w:rFonts w:cs="Tahoma"/>
                <w:sz w:val="20"/>
                <w:szCs w:val="20"/>
              </w:rPr>
            </w:pPr>
            <w:r w:rsidRPr="0068236B">
              <w:rPr>
                <w:rFonts w:cs="Tahoma"/>
                <w:sz w:val="20"/>
                <w:szCs w:val="20"/>
              </w:rPr>
              <w:t>None / no change</w:t>
            </w:r>
          </w:p>
        </w:tc>
        <w:tc>
          <w:tcPr>
            <w:tcW w:w="7796" w:type="dxa"/>
            <w:shd w:val="clear" w:color="auto" w:fill="auto"/>
            <w:noWrap/>
            <w:vAlign w:val="center"/>
            <w:hideMark/>
          </w:tcPr>
          <w:p w14:paraId="49730357" w14:textId="77777777" w:rsidR="00240E6E" w:rsidRPr="0068236B" w:rsidRDefault="00240E6E" w:rsidP="0015607A">
            <w:pPr>
              <w:spacing w:before="0" w:after="0" w:line="240" w:lineRule="auto"/>
              <w:ind w:left="10"/>
              <w:jc w:val="left"/>
              <w:rPr>
                <w:rFonts w:cs="Arial"/>
                <w:color w:val="000000"/>
                <w:sz w:val="20"/>
                <w:szCs w:val="20"/>
              </w:rPr>
            </w:pPr>
            <w:r w:rsidRPr="0068236B">
              <w:rPr>
                <w:rFonts w:cs="Arial"/>
                <w:color w:val="000000"/>
                <w:sz w:val="20"/>
                <w:szCs w:val="20"/>
              </w:rPr>
              <w:t>No loss or alteration of characteristics, features or elements, no</w:t>
            </w:r>
            <w:r w:rsidRPr="0068236B">
              <w:rPr>
                <w:rFonts w:cs="Arial"/>
                <w:color w:val="FFFFFF"/>
                <w:sz w:val="20"/>
                <w:szCs w:val="20"/>
              </w:rPr>
              <w:t xml:space="preserve"> </w:t>
            </w:r>
            <w:r w:rsidRPr="0068236B">
              <w:rPr>
                <w:rFonts w:cs="Arial"/>
                <w:color w:val="000000"/>
                <w:sz w:val="20"/>
                <w:szCs w:val="20"/>
              </w:rPr>
              <w:t>observable impact in either direction</w:t>
            </w:r>
          </w:p>
        </w:tc>
      </w:tr>
    </w:tbl>
    <w:p w14:paraId="1BBBE499" w14:textId="77777777" w:rsidR="00240E6E" w:rsidRPr="0068236B" w:rsidRDefault="00240E6E" w:rsidP="00240E6E">
      <w:pPr>
        <w:overflowPunct w:val="0"/>
        <w:autoSpaceDE w:val="0"/>
        <w:autoSpaceDN w:val="0"/>
        <w:adjustRightInd w:val="0"/>
        <w:spacing w:after="240"/>
        <w:jc w:val="left"/>
        <w:textAlignment w:val="baseline"/>
        <w:rPr>
          <w:rFonts w:cs="Arial"/>
          <w:bCs/>
          <w:iCs/>
          <w:sz w:val="18"/>
          <w:szCs w:val="20"/>
        </w:rPr>
      </w:pPr>
      <w:bookmarkStart w:id="187" w:name="_Toc71559817"/>
      <w:bookmarkStart w:id="188" w:name="_Toc113018169"/>
      <w:r w:rsidRPr="0068236B">
        <w:rPr>
          <w:rFonts w:cs="Arial"/>
          <w:bCs/>
          <w:iCs/>
          <w:sz w:val="18"/>
          <w:szCs w:val="20"/>
        </w:rPr>
        <w:t xml:space="preserve">Table </w:t>
      </w:r>
      <w:r w:rsidR="00377E43" w:rsidRPr="0068236B">
        <w:rPr>
          <w:rFonts w:cs="Arial"/>
          <w:bCs/>
          <w:iCs/>
          <w:sz w:val="18"/>
          <w:szCs w:val="20"/>
        </w:rPr>
        <w:fldChar w:fldCharType="begin"/>
      </w:r>
      <w:r w:rsidRPr="0068236B">
        <w:rPr>
          <w:rFonts w:cs="Arial"/>
          <w:bCs/>
          <w:iCs/>
          <w:sz w:val="18"/>
          <w:szCs w:val="20"/>
        </w:rPr>
        <w:instrText xml:space="preserve"> STYLEREF 1 \s </w:instrText>
      </w:r>
      <w:r w:rsidR="00377E43" w:rsidRPr="0068236B">
        <w:rPr>
          <w:rFonts w:cs="Arial"/>
          <w:bCs/>
          <w:iCs/>
          <w:sz w:val="18"/>
          <w:szCs w:val="20"/>
        </w:rPr>
        <w:fldChar w:fldCharType="separate"/>
      </w:r>
      <w:r w:rsidR="00234EBE" w:rsidRPr="0068236B">
        <w:rPr>
          <w:rFonts w:cs="Arial"/>
          <w:bCs/>
          <w:iCs/>
          <w:noProof/>
          <w:sz w:val="18"/>
          <w:szCs w:val="20"/>
        </w:rPr>
        <w:t>5</w:t>
      </w:r>
      <w:r w:rsidR="00377E43" w:rsidRPr="0068236B">
        <w:rPr>
          <w:rFonts w:cs="Arial"/>
          <w:bCs/>
          <w:iCs/>
          <w:sz w:val="18"/>
          <w:szCs w:val="20"/>
        </w:rPr>
        <w:fldChar w:fldCharType="end"/>
      </w:r>
      <w:r w:rsidRPr="0068236B">
        <w:rPr>
          <w:rFonts w:cs="Arial"/>
          <w:bCs/>
          <w:iCs/>
          <w:sz w:val="18"/>
          <w:szCs w:val="20"/>
        </w:rPr>
        <w:t>.</w:t>
      </w:r>
      <w:r w:rsidR="00377E43" w:rsidRPr="0068236B">
        <w:rPr>
          <w:rFonts w:cs="Arial"/>
          <w:bCs/>
          <w:iCs/>
          <w:sz w:val="18"/>
          <w:szCs w:val="20"/>
        </w:rPr>
        <w:fldChar w:fldCharType="begin"/>
      </w:r>
      <w:r w:rsidRPr="0068236B">
        <w:rPr>
          <w:rFonts w:cs="Arial"/>
          <w:bCs/>
          <w:iCs/>
          <w:sz w:val="18"/>
          <w:szCs w:val="20"/>
        </w:rPr>
        <w:instrText xml:space="preserve"> SEQ Table \* ARABIC \s 1 </w:instrText>
      </w:r>
      <w:r w:rsidR="00377E43" w:rsidRPr="0068236B">
        <w:rPr>
          <w:rFonts w:cs="Arial"/>
          <w:bCs/>
          <w:iCs/>
          <w:sz w:val="18"/>
          <w:szCs w:val="20"/>
        </w:rPr>
        <w:fldChar w:fldCharType="separate"/>
      </w:r>
      <w:r w:rsidR="00234EBE" w:rsidRPr="0068236B">
        <w:rPr>
          <w:rFonts w:cs="Arial"/>
          <w:bCs/>
          <w:iCs/>
          <w:noProof/>
          <w:sz w:val="18"/>
          <w:szCs w:val="20"/>
        </w:rPr>
        <w:t>4</w:t>
      </w:r>
      <w:r w:rsidR="00377E43" w:rsidRPr="0068236B">
        <w:rPr>
          <w:rFonts w:cs="Arial"/>
          <w:bCs/>
          <w:iCs/>
          <w:sz w:val="18"/>
          <w:szCs w:val="20"/>
        </w:rPr>
        <w:fldChar w:fldCharType="end"/>
      </w:r>
      <w:r w:rsidR="006E2AC4" w:rsidRPr="0068236B">
        <w:rPr>
          <w:rFonts w:cs="Arial"/>
          <w:bCs/>
          <w:iCs/>
          <w:sz w:val="18"/>
          <w:szCs w:val="20"/>
        </w:rPr>
        <w:t xml:space="preserve">: </w:t>
      </w:r>
      <w:r w:rsidRPr="0068236B">
        <w:rPr>
          <w:rFonts w:cs="Arial"/>
          <w:sz w:val="18"/>
          <w:szCs w:val="20"/>
        </w:rPr>
        <w:t>Generic criteria and typical descriptors for determining impact magnitude / scale</w:t>
      </w:r>
      <w:bookmarkEnd w:id="187"/>
      <w:bookmarkEnd w:id="188"/>
    </w:p>
    <w:p w14:paraId="123D8A1E" w14:textId="77777777" w:rsidR="00240E6E" w:rsidRPr="0068236B" w:rsidRDefault="00240E6E" w:rsidP="00240E6E">
      <w:pPr>
        <w:pStyle w:val="Heading4"/>
        <w:numPr>
          <w:ilvl w:val="3"/>
          <w:numId w:val="0"/>
        </w:numPr>
        <w:spacing w:line="240" w:lineRule="auto"/>
        <w:ind w:left="864"/>
        <w:rPr>
          <w:b w:val="0"/>
          <w:color w:val="auto"/>
          <w:sz w:val="20"/>
          <w:szCs w:val="20"/>
          <w:u w:val="single"/>
        </w:rPr>
      </w:pPr>
      <w:r w:rsidRPr="0068236B">
        <w:rPr>
          <w:b w:val="0"/>
          <w:color w:val="auto"/>
          <w:sz w:val="20"/>
          <w:u w:val="single"/>
        </w:rPr>
        <w:t>Impact Significance</w:t>
      </w:r>
    </w:p>
    <w:p w14:paraId="5DE84DC7" w14:textId="1D1AA36A" w:rsidR="00240E6E" w:rsidRPr="0068236B" w:rsidRDefault="00240E6E" w:rsidP="00240E6E">
      <w:pPr>
        <w:rPr>
          <w:sz w:val="20"/>
        </w:rPr>
      </w:pPr>
      <w:r w:rsidRPr="0068236B">
        <w:rPr>
          <w:rFonts w:cs="Arial"/>
          <w:sz w:val="20"/>
          <w:szCs w:val="20"/>
        </w:rPr>
        <w:t xml:space="preserve">The assessment of effects on the environment arising from the </w:t>
      </w:r>
      <w:r w:rsidR="00806391" w:rsidRPr="0068236B">
        <w:rPr>
          <w:rFonts w:cs="Arial"/>
          <w:sz w:val="20"/>
          <w:szCs w:val="20"/>
        </w:rPr>
        <w:t>P</w:t>
      </w:r>
      <w:r w:rsidRPr="0068236B">
        <w:rPr>
          <w:rFonts w:cs="Arial"/>
          <w:sz w:val="20"/>
          <w:szCs w:val="20"/>
        </w:rPr>
        <w:t>roject consider</w:t>
      </w:r>
      <w:r w:rsidR="00C57B1F" w:rsidRPr="0068236B">
        <w:rPr>
          <w:rFonts w:cs="Arial"/>
          <w:sz w:val="20"/>
          <w:szCs w:val="20"/>
        </w:rPr>
        <w:t>ed</w:t>
      </w:r>
      <w:r w:rsidRPr="0068236B">
        <w:rPr>
          <w:rFonts w:cs="Arial"/>
          <w:sz w:val="20"/>
          <w:szCs w:val="20"/>
        </w:rPr>
        <w:t xml:space="preserve"> their significance during both construction and operational phases.</w:t>
      </w:r>
      <w:r w:rsidRPr="0068236B">
        <w:rPr>
          <w:sz w:val="20"/>
        </w:rPr>
        <w:t xml:space="preserve"> Impacts are likely to be significant if they:</w:t>
      </w:r>
    </w:p>
    <w:p w14:paraId="33FCC3EE" w14:textId="77777777" w:rsidR="00240E6E" w:rsidRPr="0068236B" w:rsidRDefault="00240E6E" w:rsidP="00D24CEF">
      <w:pPr>
        <w:pStyle w:val="ListBullet"/>
        <w:numPr>
          <w:ilvl w:val="0"/>
          <w:numId w:val="97"/>
        </w:numPr>
        <w:jc w:val="left"/>
        <w:rPr>
          <w:sz w:val="20"/>
          <w:lang w:eastAsia="zh-CN"/>
        </w:rPr>
      </w:pPr>
      <w:r w:rsidRPr="0068236B">
        <w:rPr>
          <w:rFonts w:cs="Arial"/>
          <w:sz w:val="20"/>
          <w:lang w:eastAsia="zh-CN"/>
        </w:rPr>
        <w:t>Are extensive over space or time and are intensive in relation to assimilative capacity of the e</w:t>
      </w:r>
      <w:r w:rsidRPr="0068236B">
        <w:rPr>
          <w:rFonts w:cs="Arial"/>
          <w:sz w:val="20"/>
          <w:lang w:eastAsia="zh-CN"/>
        </w:rPr>
        <w:t>n</w:t>
      </w:r>
      <w:r w:rsidRPr="0068236B">
        <w:rPr>
          <w:rFonts w:cs="Arial"/>
          <w:sz w:val="20"/>
          <w:lang w:eastAsia="zh-CN"/>
        </w:rPr>
        <w:t>vironment</w:t>
      </w:r>
      <w:r w:rsidRPr="0068236B">
        <w:rPr>
          <w:rFonts w:eastAsia="ArialMT" w:cs="Arial"/>
          <w:sz w:val="20"/>
          <w:szCs w:val="20"/>
        </w:rPr>
        <w:t>.</w:t>
      </w:r>
    </w:p>
    <w:p w14:paraId="02F545E0" w14:textId="77777777" w:rsidR="00240E6E" w:rsidRPr="0068236B" w:rsidRDefault="00240E6E" w:rsidP="00D24CEF">
      <w:pPr>
        <w:pStyle w:val="ListBullet"/>
        <w:numPr>
          <w:ilvl w:val="0"/>
          <w:numId w:val="97"/>
        </w:numPr>
        <w:jc w:val="left"/>
        <w:rPr>
          <w:sz w:val="20"/>
          <w:lang w:eastAsia="zh-CN"/>
        </w:rPr>
      </w:pPr>
      <w:r w:rsidRPr="0068236B">
        <w:rPr>
          <w:rFonts w:cs="Arial"/>
          <w:sz w:val="20"/>
          <w:lang w:eastAsia="zh-CN"/>
        </w:rPr>
        <w:t>Exceed environmental or health standards or thresholds</w:t>
      </w:r>
      <w:r w:rsidRPr="0068236B">
        <w:rPr>
          <w:rFonts w:eastAsia="ArialMT" w:cs="Arial"/>
          <w:sz w:val="20"/>
          <w:szCs w:val="20"/>
        </w:rPr>
        <w:t>.</w:t>
      </w:r>
    </w:p>
    <w:p w14:paraId="16864FA2" w14:textId="77777777" w:rsidR="00240E6E" w:rsidRPr="0068236B" w:rsidRDefault="00240E6E" w:rsidP="00D24CEF">
      <w:pPr>
        <w:pStyle w:val="ListBullet"/>
        <w:numPr>
          <w:ilvl w:val="0"/>
          <w:numId w:val="97"/>
        </w:numPr>
        <w:jc w:val="left"/>
        <w:rPr>
          <w:sz w:val="20"/>
          <w:lang w:eastAsia="zh-CN"/>
        </w:rPr>
      </w:pPr>
      <w:r w:rsidRPr="0068236B">
        <w:rPr>
          <w:rFonts w:cs="Arial"/>
          <w:sz w:val="20"/>
          <w:lang w:eastAsia="zh-CN"/>
        </w:rPr>
        <w:t>Do not comply with environmental and social policies / land use plans</w:t>
      </w:r>
      <w:r w:rsidRPr="0068236B">
        <w:rPr>
          <w:rFonts w:eastAsia="ArialMT" w:cs="Arial"/>
          <w:sz w:val="20"/>
          <w:szCs w:val="20"/>
        </w:rPr>
        <w:t>.</w:t>
      </w:r>
    </w:p>
    <w:p w14:paraId="39A9C89B" w14:textId="77777777" w:rsidR="00240E6E" w:rsidRPr="0068236B" w:rsidRDefault="00240E6E" w:rsidP="00D24CEF">
      <w:pPr>
        <w:pStyle w:val="ListBullet"/>
        <w:numPr>
          <w:ilvl w:val="0"/>
          <w:numId w:val="97"/>
        </w:numPr>
        <w:jc w:val="left"/>
        <w:rPr>
          <w:sz w:val="20"/>
          <w:lang w:eastAsia="zh-CN"/>
        </w:rPr>
      </w:pPr>
      <w:r w:rsidRPr="0068236B">
        <w:rPr>
          <w:rFonts w:cs="Arial"/>
          <w:sz w:val="20"/>
          <w:lang w:eastAsia="zh-CN"/>
        </w:rPr>
        <w:t>Adversely affect ecological sensitive / important areas or natural heritage resources</w:t>
      </w:r>
      <w:r w:rsidRPr="0068236B">
        <w:rPr>
          <w:rFonts w:cs="Arial"/>
          <w:sz w:val="20"/>
          <w:szCs w:val="20"/>
        </w:rPr>
        <w:t>.</w:t>
      </w:r>
    </w:p>
    <w:p w14:paraId="4181A91E" w14:textId="77777777" w:rsidR="00240E6E" w:rsidRPr="0068236B" w:rsidRDefault="00240E6E" w:rsidP="00D24CEF">
      <w:pPr>
        <w:pStyle w:val="ListBullet"/>
        <w:numPr>
          <w:ilvl w:val="0"/>
          <w:numId w:val="97"/>
        </w:numPr>
        <w:jc w:val="left"/>
        <w:rPr>
          <w:sz w:val="20"/>
          <w:lang w:eastAsia="zh-CN"/>
        </w:rPr>
      </w:pPr>
      <w:r w:rsidRPr="0068236B">
        <w:rPr>
          <w:rFonts w:cs="Arial"/>
          <w:sz w:val="20"/>
          <w:lang w:eastAsia="zh-CN"/>
        </w:rPr>
        <w:t>Adversely affect community lifestyle, traditional land uses and values.</w:t>
      </w:r>
    </w:p>
    <w:p w14:paraId="2641B054" w14:textId="77777777" w:rsidR="00240E6E" w:rsidRPr="0068236B" w:rsidRDefault="00240E6E" w:rsidP="00240E6E">
      <w:pPr>
        <w:autoSpaceDE w:val="0"/>
        <w:autoSpaceDN w:val="0"/>
        <w:adjustRightInd w:val="0"/>
        <w:rPr>
          <w:rFonts w:eastAsia="ArialMT" w:cs="Arial"/>
          <w:sz w:val="20"/>
          <w:szCs w:val="20"/>
        </w:rPr>
      </w:pPr>
      <w:r w:rsidRPr="0068236B">
        <w:rPr>
          <w:rFonts w:cs="Arial"/>
          <w:sz w:val="20"/>
          <w:szCs w:val="20"/>
        </w:rPr>
        <w:t>The significance (or the level) of a potential effect is a function of its predicted magnitude and the sensitivity / value of the resource / receptor being affected. The greater the receptor sensitivity and the greater the impact magnitude, the impact is more significant. The impact significance has to be set in a context and could be relativistic and to a certain degree - subjective.</w:t>
      </w:r>
      <w:r w:rsidRPr="0068236B">
        <w:rPr>
          <w:rFonts w:eastAsia="ArialMT" w:cs="Arial"/>
          <w:sz w:val="20"/>
          <w:szCs w:val="20"/>
        </w:rPr>
        <w:t xml:space="preserve"> </w:t>
      </w:r>
    </w:p>
    <w:p w14:paraId="4116447B" w14:textId="77777777" w:rsidR="00240E6E" w:rsidRPr="0068236B" w:rsidRDefault="00240E6E" w:rsidP="00240E6E">
      <w:pPr>
        <w:rPr>
          <w:rFonts w:cs="Arial"/>
          <w:sz w:val="20"/>
          <w:szCs w:val="20"/>
        </w:rPr>
      </w:pPr>
      <w:r w:rsidRPr="0068236B">
        <w:rPr>
          <w:rFonts w:cs="Arial"/>
          <w:sz w:val="20"/>
          <w:szCs w:val="20"/>
        </w:rPr>
        <w:t>In general, an impact could be categorized into following significance categories (Table below):</w:t>
      </w:r>
    </w:p>
    <w:p w14:paraId="0E4E04D8" w14:textId="77777777" w:rsidR="00240E6E" w:rsidRPr="0068236B" w:rsidRDefault="00240E6E" w:rsidP="00D24CEF">
      <w:pPr>
        <w:pStyle w:val="ListBullet"/>
        <w:numPr>
          <w:ilvl w:val="0"/>
          <w:numId w:val="97"/>
        </w:numPr>
        <w:jc w:val="left"/>
        <w:rPr>
          <w:sz w:val="20"/>
          <w:lang w:eastAsia="zh-CN"/>
        </w:rPr>
      </w:pPr>
      <w:r w:rsidRPr="0068236B">
        <w:rPr>
          <w:rFonts w:cs="Arial"/>
          <w:sz w:val="20"/>
          <w:lang w:eastAsia="zh-CN"/>
        </w:rPr>
        <w:t>Negligible (or neutral): no detectable change to the environment;</w:t>
      </w:r>
    </w:p>
    <w:p w14:paraId="621C83FF" w14:textId="77777777" w:rsidR="00240E6E" w:rsidRPr="0068236B" w:rsidRDefault="00240E6E" w:rsidP="00D24CEF">
      <w:pPr>
        <w:pStyle w:val="ListBullet"/>
        <w:numPr>
          <w:ilvl w:val="0"/>
          <w:numId w:val="97"/>
        </w:numPr>
        <w:jc w:val="left"/>
        <w:rPr>
          <w:sz w:val="20"/>
          <w:lang w:eastAsia="zh-CN"/>
        </w:rPr>
      </w:pPr>
      <w:r w:rsidRPr="0068236B">
        <w:rPr>
          <w:rFonts w:cs="Arial"/>
          <w:sz w:val="20"/>
          <w:lang w:eastAsia="zh-CN"/>
        </w:rPr>
        <w:t>Minor: a detectable but non-material change to the environment;</w:t>
      </w:r>
    </w:p>
    <w:p w14:paraId="7B00A9F2" w14:textId="77777777" w:rsidR="00240E6E" w:rsidRPr="0068236B" w:rsidRDefault="00240E6E" w:rsidP="00D24CEF">
      <w:pPr>
        <w:pStyle w:val="ListBullet"/>
        <w:numPr>
          <w:ilvl w:val="0"/>
          <w:numId w:val="97"/>
        </w:numPr>
        <w:jc w:val="left"/>
        <w:rPr>
          <w:sz w:val="20"/>
          <w:lang w:eastAsia="zh-CN"/>
        </w:rPr>
      </w:pPr>
      <w:r w:rsidRPr="0068236B">
        <w:rPr>
          <w:rFonts w:cs="Arial"/>
          <w:sz w:val="20"/>
          <w:lang w:eastAsia="zh-CN"/>
        </w:rPr>
        <w:t>Moderate: a material but non-fundamental change to the environment;</w:t>
      </w:r>
    </w:p>
    <w:p w14:paraId="6384A0B9" w14:textId="77777777" w:rsidR="00240E6E" w:rsidRPr="0068236B" w:rsidRDefault="00240E6E" w:rsidP="00D24CEF">
      <w:pPr>
        <w:pStyle w:val="ListBullet"/>
        <w:numPr>
          <w:ilvl w:val="0"/>
          <w:numId w:val="97"/>
        </w:numPr>
        <w:jc w:val="left"/>
        <w:rPr>
          <w:sz w:val="20"/>
          <w:lang w:eastAsia="zh-CN"/>
        </w:rPr>
      </w:pPr>
      <w:r w:rsidRPr="0068236B">
        <w:rPr>
          <w:rFonts w:cs="Arial"/>
          <w:sz w:val="20"/>
          <w:lang w:eastAsia="zh-CN"/>
        </w:rPr>
        <w:t>Major: a fundamental change to the environment.</w:t>
      </w:r>
    </w:p>
    <w:tbl>
      <w:tblPr>
        <w:tblW w:w="8506" w:type="dxa"/>
        <w:tblInd w:w="108" w:type="dxa"/>
        <w:tblBorders>
          <w:top w:val="single" w:sz="4" w:space="0" w:color="9DBCB0"/>
          <w:left w:val="single" w:sz="4" w:space="0" w:color="9DBCB0"/>
          <w:bottom w:val="single" w:sz="4" w:space="0" w:color="9DBCB0"/>
          <w:right w:val="single" w:sz="4" w:space="0" w:color="9DBCB0"/>
          <w:insideH w:val="single" w:sz="4" w:space="0" w:color="9DBCB0"/>
          <w:insideV w:val="single" w:sz="4" w:space="0" w:color="9DBCB0"/>
        </w:tblBorders>
        <w:tblLayout w:type="fixed"/>
        <w:tblLook w:val="04A0" w:firstRow="1" w:lastRow="0" w:firstColumn="1" w:lastColumn="0" w:noHBand="0" w:noVBand="1"/>
      </w:tblPr>
      <w:tblGrid>
        <w:gridCol w:w="1418"/>
        <w:gridCol w:w="1134"/>
        <w:gridCol w:w="1434"/>
        <w:gridCol w:w="1685"/>
        <w:gridCol w:w="1417"/>
        <w:gridCol w:w="1418"/>
      </w:tblGrid>
      <w:tr w:rsidR="00240E6E" w:rsidRPr="0068236B" w14:paraId="34814C85" w14:textId="77777777" w:rsidTr="0015607A">
        <w:trPr>
          <w:cantSplit/>
          <w:trHeight w:val="20"/>
          <w:tblHeader/>
        </w:trPr>
        <w:tc>
          <w:tcPr>
            <w:tcW w:w="1418" w:type="dxa"/>
            <w:vMerge w:val="restart"/>
            <w:shd w:val="clear" w:color="auto" w:fill="44697D"/>
            <w:vAlign w:val="center"/>
          </w:tcPr>
          <w:p w14:paraId="7216C421" w14:textId="77777777" w:rsidR="00240E6E" w:rsidRPr="0068236B" w:rsidRDefault="00240E6E" w:rsidP="0015607A">
            <w:pPr>
              <w:spacing w:before="0" w:after="0" w:line="240" w:lineRule="auto"/>
              <w:jc w:val="center"/>
              <w:rPr>
                <w:rFonts w:cs="Tahoma"/>
                <w:color w:val="FFFFFF" w:themeColor="background1"/>
                <w:sz w:val="20"/>
                <w:szCs w:val="20"/>
              </w:rPr>
            </w:pPr>
            <w:r w:rsidRPr="0068236B">
              <w:rPr>
                <w:rFonts w:cs="Tahoma"/>
                <w:bCs/>
                <w:color w:val="FFFFFF" w:themeColor="background1"/>
                <w:sz w:val="20"/>
                <w:szCs w:val="20"/>
              </w:rPr>
              <w:t>Receptor sensitivity</w:t>
            </w:r>
          </w:p>
        </w:tc>
        <w:tc>
          <w:tcPr>
            <w:tcW w:w="7088" w:type="dxa"/>
            <w:gridSpan w:val="5"/>
            <w:shd w:val="clear" w:color="auto" w:fill="44697D"/>
            <w:vAlign w:val="center"/>
            <w:hideMark/>
          </w:tcPr>
          <w:p w14:paraId="6E6F078B" w14:textId="77777777" w:rsidR="00240E6E" w:rsidRPr="0068236B" w:rsidRDefault="00240E6E" w:rsidP="0015607A">
            <w:pPr>
              <w:spacing w:before="0" w:after="0" w:line="240" w:lineRule="auto"/>
              <w:jc w:val="center"/>
              <w:rPr>
                <w:rFonts w:cs="Tahoma"/>
                <w:bCs/>
                <w:color w:val="FFFFFF" w:themeColor="background1"/>
                <w:sz w:val="20"/>
                <w:szCs w:val="20"/>
              </w:rPr>
            </w:pPr>
            <w:r w:rsidRPr="0068236B">
              <w:rPr>
                <w:rFonts w:cs="Tahoma"/>
                <w:bCs/>
                <w:color w:val="FFFFFF" w:themeColor="background1"/>
                <w:sz w:val="20"/>
                <w:szCs w:val="20"/>
              </w:rPr>
              <w:t>Impact magnitude</w:t>
            </w:r>
          </w:p>
        </w:tc>
      </w:tr>
      <w:tr w:rsidR="00240E6E" w:rsidRPr="0068236B" w14:paraId="04FD17EF" w14:textId="77777777" w:rsidTr="0015607A">
        <w:trPr>
          <w:cantSplit/>
          <w:trHeight w:val="20"/>
          <w:tblHeader/>
        </w:trPr>
        <w:tc>
          <w:tcPr>
            <w:tcW w:w="1418" w:type="dxa"/>
            <w:vMerge/>
            <w:shd w:val="clear" w:color="auto" w:fill="44697D"/>
            <w:vAlign w:val="center"/>
          </w:tcPr>
          <w:p w14:paraId="5F6148E1" w14:textId="77777777" w:rsidR="00240E6E" w:rsidRPr="0068236B" w:rsidRDefault="00240E6E" w:rsidP="0015607A">
            <w:pPr>
              <w:spacing w:before="0" w:after="0" w:line="240" w:lineRule="auto"/>
              <w:ind w:left="33"/>
              <w:jc w:val="center"/>
              <w:rPr>
                <w:rFonts w:cs="Tahoma"/>
                <w:b/>
                <w:color w:val="FFFFFF" w:themeColor="background1"/>
                <w:sz w:val="20"/>
                <w:szCs w:val="20"/>
              </w:rPr>
            </w:pPr>
          </w:p>
        </w:tc>
        <w:tc>
          <w:tcPr>
            <w:tcW w:w="1134" w:type="dxa"/>
            <w:shd w:val="clear" w:color="auto" w:fill="BFBFBF" w:themeFill="background1" w:themeFillShade="BF"/>
            <w:vAlign w:val="center"/>
            <w:hideMark/>
          </w:tcPr>
          <w:p w14:paraId="3235D347" w14:textId="77777777" w:rsidR="00240E6E" w:rsidRPr="0068236B" w:rsidRDefault="00240E6E" w:rsidP="0015607A">
            <w:pPr>
              <w:spacing w:before="0" w:after="0" w:line="240" w:lineRule="auto"/>
              <w:ind w:left="33"/>
              <w:jc w:val="center"/>
              <w:rPr>
                <w:rFonts w:cs="Tahoma"/>
                <w:bCs/>
                <w:sz w:val="20"/>
                <w:szCs w:val="20"/>
              </w:rPr>
            </w:pPr>
            <w:r w:rsidRPr="0068236B">
              <w:rPr>
                <w:rFonts w:cs="Tahoma"/>
                <w:bCs/>
                <w:sz w:val="20"/>
                <w:szCs w:val="20"/>
              </w:rPr>
              <w:t>High</w:t>
            </w:r>
          </w:p>
        </w:tc>
        <w:tc>
          <w:tcPr>
            <w:tcW w:w="1434" w:type="dxa"/>
            <w:shd w:val="clear" w:color="auto" w:fill="BFBFBF" w:themeFill="background1" w:themeFillShade="BF"/>
            <w:vAlign w:val="center"/>
            <w:hideMark/>
          </w:tcPr>
          <w:p w14:paraId="55F72814" w14:textId="77777777" w:rsidR="00240E6E" w:rsidRPr="0068236B" w:rsidRDefault="00240E6E" w:rsidP="0015607A">
            <w:pPr>
              <w:spacing w:before="0" w:after="0" w:line="240" w:lineRule="auto"/>
              <w:ind w:left="33"/>
              <w:jc w:val="center"/>
              <w:rPr>
                <w:rFonts w:cs="Tahoma"/>
                <w:bCs/>
                <w:sz w:val="20"/>
                <w:szCs w:val="20"/>
              </w:rPr>
            </w:pPr>
            <w:r w:rsidRPr="0068236B">
              <w:rPr>
                <w:rFonts w:cs="Tahoma"/>
                <w:bCs/>
                <w:sz w:val="20"/>
                <w:szCs w:val="20"/>
              </w:rPr>
              <w:t>Medium</w:t>
            </w:r>
          </w:p>
        </w:tc>
        <w:tc>
          <w:tcPr>
            <w:tcW w:w="1685" w:type="dxa"/>
            <w:shd w:val="clear" w:color="auto" w:fill="BFBFBF" w:themeFill="background1" w:themeFillShade="BF"/>
            <w:vAlign w:val="center"/>
            <w:hideMark/>
          </w:tcPr>
          <w:p w14:paraId="05C96694" w14:textId="77777777" w:rsidR="00240E6E" w:rsidRPr="0068236B" w:rsidRDefault="00240E6E" w:rsidP="0015607A">
            <w:pPr>
              <w:spacing w:before="0" w:after="0" w:line="240" w:lineRule="auto"/>
              <w:ind w:left="33"/>
              <w:jc w:val="center"/>
              <w:rPr>
                <w:rFonts w:cs="Tahoma"/>
                <w:bCs/>
                <w:sz w:val="20"/>
                <w:szCs w:val="20"/>
              </w:rPr>
            </w:pPr>
            <w:r w:rsidRPr="0068236B">
              <w:rPr>
                <w:rFonts w:cs="Tahoma"/>
                <w:bCs/>
                <w:sz w:val="20"/>
                <w:szCs w:val="20"/>
              </w:rPr>
              <w:t>Low</w:t>
            </w:r>
          </w:p>
        </w:tc>
        <w:tc>
          <w:tcPr>
            <w:tcW w:w="1417" w:type="dxa"/>
            <w:shd w:val="clear" w:color="auto" w:fill="BFBFBF" w:themeFill="background1" w:themeFillShade="BF"/>
            <w:vAlign w:val="center"/>
            <w:hideMark/>
          </w:tcPr>
          <w:p w14:paraId="1A70F10B" w14:textId="77777777" w:rsidR="00240E6E" w:rsidRPr="0068236B" w:rsidRDefault="00240E6E" w:rsidP="0015607A">
            <w:pPr>
              <w:spacing w:before="0" w:after="0" w:line="240" w:lineRule="auto"/>
              <w:ind w:left="33"/>
              <w:jc w:val="center"/>
              <w:rPr>
                <w:rFonts w:cs="Tahoma"/>
                <w:bCs/>
                <w:sz w:val="20"/>
                <w:szCs w:val="20"/>
              </w:rPr>
            </w:pPr>
            <w:r w:rsidRPr="0068236B">
              <w:rPr>
                <w:rFonts w:cs="Tahoma"/>
                <w:bCs/>
                <w:sz w:val="20"/>
                <w:szCs w:val="20"/>
              </w:rPr>
              <w:t>Very low</w:t>
            </w:r>
          </w:p>
        </w:tc>
        <w:tc>
          <w:tcPr>
            <w:tcW w:w="1418" w:type="dxa"/>
            <w:shd w:val="clear" w:color="auto" w:fill="BFBFBF" w:themeFill="background1" w:themeFillShade="BF"/>
            <w:vAlign w:val="center"/>
            <w:hideMark/>
          </w:tcPr>
          <w:p w14:paraId="79DBEC17" w14:textId="77777777" w:rsidR="00240E6E" w:rsidRPr="0068236B" w:rsidRDefault="00240E6E" w:rsidP="0015607A">
            <w:pPr>
              <w:spacing w:before="0" w:after="0" w:line="240" w:lineRule="auto"/>
              <w:ind w:left="33"/>
              <w:jc w:val="center"/>
              <w:rPr>
                <w:rFonts w:cs="Tahoma"/>
                <w:bCs/>
                <w:sz w:val="20"/>
                <w:szCs w:val="20"/>
              </w:rPr>
            </w:pPr>
            <w:r w:rsidRPr="0068236B">
              <w:rPr>
                <w:rFonts w:cs="Tahoma"/>
                <w:bCs/>
                <w:sz w:val="20"/>
                <w:szCs w:val="20"/>
              </w:rPr>
              <w:t>None</w:t>
            </w:r>
          </w:p>
        </w:tc>
      </w:tr>
      <w:tr w:rsidR="00240E6E" w:rsidRPr="0068236B" w14:paraId="0129E185" w14:textId="77777777" w:rsidTr="0015607A">
        <w:trPr>
          <w:cantSplit/>
          <w:trHeight w:val="20"/>
        </w:trPr>
        <w:tc>
          <w:tcPr>
            <w:tcW w:w="1418" w:type="dxa"/>
            <w:shd w:val="clear" w:color="auto" w:fill="BFBFBF" w:themeFill="background1" w:themeFillShade="BF"/>
            <w:vAlign w:val="center"/>
            <w:hideMark/>
          </w:tcPr>
          <w:p w14:paraId="7C8BDCC0" w14:textId="77777777" w:rsidR="00240E6E" w:rsidRPr="0068236B" w:rsidRDefault="00240E6E" w:rsidP="0015607A">
            <w:pPr>
              <w:pStyle w:val="Default"/>
              <w:rPr>
                <w:rFonts w:ascii="Tahoma" w:hAnsi="Tahoma" w:cs="Tahoma"/>
                <w:color w:val="auto"/>
                <w:sz w:val="20"/>
                <w:szCs w:val="20"/>
              </w:rPr>
            </w:pPr>
            <w:r w:rsidRPr="0068236B">
              <w:rPr>
                <w:rFonts w:ascii="Tahoma" w:hAnsi="Tahoma" w:cs="Tahoma"/>
                <w:bCs/>
                <w:color w:val="auto"/>
                <w:sz w:val="20"/>
                <w:szCs w:val="20"/>
              </w:rPr>
              <w:t xml:space="preserve">Very high </w:t>
            </w:r>
          </w:p>
        </w:tc>
        <w:tc>
          <w:tcPr>
            <w:tcW w:w="1134" w:type="dxa"/>
            <w:shd w:val="clear" w:color="auto" w:fill="auto"/>
            <w:vAlign w:val="center"/>
            <w:hideMark/>
          </w:tcPr>
          <w:p w14:paraId="1CA0A30B" w14:textId="77777777" w:rsidR="00240E6E" w:rsidRPr="0068236B" w:rsidRDefault="00240E6E" w:rsidP="0015607A">
            <w:pPr>
              <w:spacing w:before="0" w:after="0" w:line="240" w:lineRule="auto"/>
              <w:jc w:val="center"/>
              <w:rPr>
                <w:rFonts w:cs="Tahoma"/>
                <w:color w:val="000000"/>
                <w:sz w:val="20"/>
                <w:szCs w:val="20"/>
              </w:rPr>
            </w:pPr>
            <w:r w:rsidRPr="0068236B">
              <w:rPr>
                <w:rFonts w:cs="Tahoma"/>
                <w:color w:val="000000"/>
                <w:sz w:val="20"/>
                <w:szCs w:val="20"/>
              </w:rPr>
              <w:t>Major</w:t>
            </w:r>
          </w:p>
        </w:tc>
        <w:tc>
          <w:tcPr>
            <w:tcW w:w="1434" w:type="dxa"/>
            <w:shd w:val="clear" w:color="auto" w:fill="auto"/>
            <w:vAlign w:val="center"/>
            <w:hideMark/>
          </w:tcPr>
          <w:p w14:paraId="599BA90C" w14:textId="77777777" w:rsidR="00240E6E" w:rsidRPr="0068236B" w:rsidRDefault="00240E6E" w:rsidP="0015607A">
            <w:pPr>
              <w:spacing w:before="0" w:after="0" w:line="240" w:lineRule="auto"/>
              <w:jc w:val="center"/>
              <w:rPr>
                <w:rFonts w:cs="Tahoma"/>
                <w:color w:val="000000"/>
                <w:sz w:val="20"/>
                <w:szCs w:val="20"/>
              </w:rPr>
            </w:pPr>
            <w:r w:rsidRPr="0068236B">
              <w:rPr>
                <w:rFonts w:cs="Tahoma"/>
                <w:color w:val="000000"/>
                <w:sz w:val="20"/>
                <w:szCs w:val="20"/>
              </w:rPr>
              <w:t>Major</w:t>
            </w:r>
          </w:p>
        </w:tc>
        <w:tc>
          <w:tcPr>
            <w:tcW w:w="1685" w:type="dxa"/>
            <w:shd w:val="clear" w:color="auto" w:fill="auto"/>
            <w:vAlign w:val="center"/>
            <w:hideMark/>
          </w:tcPr>
          <w:p w14:paraId="43B11936" w14:textId="77777777" w:rsidR="00240E6E" w:rsidRPr="0068236B" w:rsidRDefault="00240E6E" w:rsidP="0015607A">
            <w:pPr>
              <w:spacing w:before="0" w:after="0" w:line="240" w:lineRule="auto"/>
              <w:jc w:val="center"/>
              <w:rPr>
                <w:rFonts w:cs="Tahoma"/>
                <w:color w:val="000000"/>
                <w:sz w:val="20"/>
                <w:szCs w:val="20"/>
              </w:rPr>
            </w:pPr>
            <w:r w:rsidRPr="0068236B">
              <w:rPr>
                <w:rFonts w:cs="Tahoma"/>
                <w:color w:val="000000"/>
                <w:sz w:val="20"/>
                <w:szCs w:val="20"/>
              </w:rPr>
              <w:t>Moderate</w:t>
            </w:r>
          </w:p>
        </w:tc>
        <w:tc>
          <w:tcPr>
            <w:tcW w:w="1417" w:type="dxa"/>
            <w:shd w:val="clear" w:color="auto" w:fill="auto"/>
            <w:vAlign w:val="center"/>
            <w:hideMark/>
          </w:tcPr>
          <w:p w14:paraId="7C20FD03" w14:textId="77777777" w:rsidR="00240E6E" w:rsidRPr="0068236B" w:rsidRDefault="00240E6E" w:rsidP="0015607A">
            <w:pPr>
              <w:spacing w:before="0" w:after="0" w:line="240" w:lineRule="auto"/>
              <w:jc w:val="center"/>
              <w:rPr>
                <w:rFonts w:cs="Tahoma"/>
                <w:color w:val="000000"/>
                <w:sz w:val="20"/>
                <w:szCs w:val="20"/>
              </w:rPr>
            </w:pPr>
            <w:r w:rsidRPr="0068236B">
              <w:rPr>
                <w:rFonts w:cs="Tahoma"/>
                <w:color w:val="000000"/>
                <w:sz w:val="20"/>
                <w:szCs w:val="20"/>
              </w:rPr>
              <w:t>Moderate</w:t>
            </w:r>
          </w:p>
        </w:tc>
        <w:tc>
          <w:tcPr>
            <w:tcW w:w="1418" w:type="dxa"/>
            <w:shd w:val="clear" w:color="auto" w:fill="auto"/>
            <w:vAlign w:val="center"/>
            <w:hideMark/>
          </w:tcPr>
          <w:p w14:paraId="18975879" w14:textId="77777777" w:rsidR="00240E6E" w:rsidRPr="0068236B" w:rsidRDefault="00240E6E" w:rsidP="0015607A">
            <w:pPr>
              <w:spacing w:before="0" w:after="0" w:line="240" w:lineRule="auto"/>
              <w:jc w:val="center"/>
              <w:rPr>
                <w:rFonts w:cs="Tahoma"/>
                <w:color w:val="000000"/>
                <w:sz w:val="20"/>
                <w:szCs w:val="20"/>
              </w:rPr>
            </w:pPr>
            <w:r w:rsidRPr="0068236B">
              <w:rPr>
                <w:rFonts w:cs="Tahoma"/>
                <w:bCs/>
                <w:color w:val="000000"/>
                <w:sz w:val="20"/>
                <w:szCs w:val="20"/>
              </w:rPr>
              <w:t>Negligible</w:t>
            </w:r>
          </w:p>
        </w:tc>
      </w:tr>
      <w:tr w:rsidR="00240E6E" w:rsidRPr="0068236B" w14:paraId="535FC174" w14:textId="77777777" w:rsidTr="0015607A">
        <w:trPr>
          <w:cantSplit/>
          <w:trHeight w:val="20"/>
        </w:trPr>
        <w:tc>
          <w:tcPr>
            <w:tcW w:w="1418" w:type="dxa"/>
            <w:shd w:val="clear" w:color="auto" w:fill="BFBFBF" w:themeFill="background1" w:themeFillShade="BF"/>
            <w:vAlign w:val="center"/>
            <w:hideMark/>
          </w:tcPr>
          <w:p w14:paraId="3EBD4A56" w14:textId="77777777" w:rsidR="00240E6E" w:rsidRPr="0068236B" w:rsidRDefault="00240E6E" w:rsidP="0015607A">
            <w:pPr>
              <w:pStyle w:val="Default"/>
              <w:rPr>
                <w:rFonts w:ascii="Tahoma" w:hAnsi="Tahoma" w:cs="Tahoma"/>
                <w:color w:val="auto"/>
                <w:sz w:val="20"/>
                <w:szCs w:val="20"/>
              </w:rPr>
            </w:pPr>
            <w:r w:rsidRPr="0068236B">
              <w:rPr>
                <w:rFonts w:ascii="Tahoma" w:hAnsi="Tahoma" w:cs="Tahoma"/>
                <w:bCs/>
                <w:color w:val="auto"/>
                <w:sz w:val="20"/>
                <w:szCs w:val="20"/>
              </w:rPr>
              <w:t xml:space="preserve">High </w:t>
            </w:r>
          </w:p>
        </w:tc>
        <w:tc>
          <w:tcPr>
            <w:tcW w:w="1134" w:type="dxa"/>
            <w:shd w:val="clear" w:color="auto" w:fill="auto"/>
            <w:vAlign w:val="center"/>
            <w:hideMark/>
          </w:tcPr>
          <w:p w14:paraId="7ED9A6B9" w14:textId="77777777" w:rsidR="00240E6E" w:rsidRPr="0068236B" w:rsidRDefault="00240E6E" w:rsidP="0015607A">
            <w:pPr>
              <w:spacing w:before="0" w:after="0" w:line="240" w:lineRule="auto"/>
              <w:jc w:val="center"/>
              <w:rPr>
                <w:rFonts w:cs="Tahoma"/>
                <w:color w:val="000000"/>
                <w:sz w:val="20"/>
                <w:szCs w:val="20"/>
              </w:rPr>
            </w:pPr>
            <w:r w:rsidRPr="0068236B">
              <w:rPr>
                <w:rFonts w:cs="Tahoma"/>
                <w:color w:val="000000"/>
                <w:sz w:val="20"/>
                <w:szCs w:val="20"/>
              </w:rPr>
              <w:t>Major</w:t>
            </w:r>
          </w:p>
        </w:tc>
        <w:tc>
          <w:tcPr>
            <w:tcW w:w="1434" w:type="dxa"/>
            <w:shd w:val="clear" w:color="auto" w:fill="auto"/>
            <w:hideMark/>
          </w:tcPr>
          <w:p w14:paraId="7EDDF892" w14:textId="77777777" w:rsidR="00240E6E" w:rsidRPr="0068236B" w:rsidRDefault="00240E6E" w:rsidP="0015607A">
            <w:pPr>
              <w:spacing w:before="0" w:after="0" w:line="240" w:lineRule="auto"/>
              <w:jc w:val="center"/>
              <w:rPr>
                <w:rFonts w:cs="Tahoma"/>
                <w:sz w:val="20"/>
                <w:szCs w:val="20"/>
              </w:rPr>
            </w:pPr>
            <w:r w:rsidRPr="0068236B">
              <w:rPr>
                <w:rFonts w:cs="Tahoma"/>
                <w:color w:val="000000"/>
                <w:sz w:val="20"/>
                <w:szCs w:val="20"/>
              </w:rPr>
              <w:t>Moderate</w:t>
            </w:r>
          </w:p>
        </w:tc>
        <w:tc>
          <w:tcPr>
            <w:tcW w:w="1685" w:type="dxa"/>
            <w:shd w:val="clear" w:color="auto" w:fill="auto"/>
            <w:hideMark/>
          </w:tcPr>
          <w:p w14:paraId="2495F280" w14:textId="77777777" w:rsidR="00240E6E" w:rsidRPr="0068236B" w:rsidRDefault="00240E6E" w:rsidP="0015607A">
            <w:pPr>
              <w:spacing w:before="0" w:after="0" w:line="240" w:lineRule="auto"/>
              <w:jc w:val="center"/>
              <w:rPr>
                <w:rFonts w:cs="Tahoma"/>
                <w:sz w:val="20"/>
                <w:szCs w:val="20"/>
              </w:rPr>
            </w:pPr>
            <w:r w:rsidRPr="0068236B">
              <w:rPr>
                <w:rFonts w:cs="Tahoma"/>
                <w:color w:val="000000"/>
                <w:sz w:val="20"/>
                <w:szCs w:val="20"/>
              </w:rPr>
              <w:t>Moderate</w:t>
            </w:r>
          </w:p>
        </w:tc>
        <w:tc>
          <w:tcPr>
            <w:tcW w:w="1417" w:type="dxa"/>
            <w:shd w:val="clear" w:color="auto" w:fill="auto"/>
            <w:vAlign w:val="center"/>
            <w:hideMark/>
          </w:tcPr>
          <w:p w14:paraId="2784DCE9" w14:textId="77777777" w:rsidR="00240E6E" w:rsidRPr="0068236B" w:rsidRDefault="00240E6E" w:rsidP="0015607A">
            <w:pPr>
              <w:spacing w:before="0" w:after="0" w:line="240" w:lineRule="auto"/>
              <w:ind w:left="-108"/>
              <w:jc w:val="center"/>
              <w:rPr>
                <w:rFonts w:cs="Tahoma"/>
                <w:color w:val="000000"/>
                <w:sz w:val="20"/>
                <w:szCs w:val="20"/>
              </w:rPr>
            </w:pPr>
            <w:r w:rsidRPr="0068236B">
              <w:rPr>
                <w:rFonts w:cs="Tahoma"/>
                <w:color w:val="000000"/>
                <w:sz w:val="20"/>
                <w:szCs w:val="20"/>
              </w:rPr>
              <w:t>Minor</w:t>
            </w:r>
          </w:p>
        </w:tc>
        <w:tc>
          <w:tcPr>
            <w:tcW w:w="1418" w:type="dxa"/>
            <w:shd w:val="clear" w:color="auto" w:fill="auto"/>
            <w:hideMark/>
          </w:tcPr>
          <w:p w14:paraId="2F1BAA44" w14:textId="77777777" w:rsidR="00240E6E" w:rsidRPr="0068236B" w:rsidRDefault="00240E6E" w:rsidP="0015607A">
            <w:pPr>
              <w:spacing w:before="0" w:after="0" w:line="240" w:lineRule="auto"/>
              <w:jc w:val="center"/>
              <w:rPr>
                <w:rFonts w:cs="Tahoma"/>
                <w:sz w:val="20"/>
                <w:szCs w:val="20"/>
              </w:rPr>
            </w:pPr>
            <w:r w:rsidRPr="0068236B">
              <w:rPr>
                <w:rFonts w:cs="Tahoma"/>
                <w:bCs/>
                <w:color w:val="000000"/>
                <w:sz w:val="20"/>
                <w:szCs w:val="20"/>
              </w:rPr>
              <w:t>Negligible</w:t>
            </w:r>
          </w:p>
        </w:tc>
      </w:tr>
      <w:tr w:rsidR="00240E6E" w:rsidRPr="0068236B" w14:paraId="6612AD66" w14:textId="77777777" w:rsidTr="0015607A">
        <w:trPr>
          <w:cantSplit/>
          <w:trHeight w:val="20"/>
        </w:trPr>
        <w:tc>
          <w:tcPr>
            <w:tcW w:w="1418" w:type="dxa"/>
            <w:shd w:val="clear" w:color="auto" w:fill="BFBFBF" w:themeFill="background1" w:themeFillShade="BF"/>
            <w:vAlign w:val="center"/>
            <w:hideMark/>
          </w:tcPr>
          <w:p w14:paraId="1B8D5550" w14:textId="77777777" w:rsidR="00240E6E" w:rsidRPr="0068236B" w:rsidRDefault="00240E6E" w:rsidP="0015607A">
            <w:pPr>
              <w:pStyle w:val="Default"/>
              <w:rPr>
                <w:rFonts w:ascii="Tahoma" w:hAnsi="Tahoma" w:cs="Tahoma"/>
                <w:color w:val="auto"/>
                <w:sz w:val="20"/>
                <w:szCs w:val="20"/>
              </w:rPr>
            </w:pPr>
            <w:r w:rsidRPr="0068236B">
              <w:rPr>
                <w:rFonts w:ascii="Tahoma" w:hAnsi="Tahoma" w:cs="Tahoma"/>
                <w:bCs/>
                <w:color w:val="auto"/>
                <w:sz w:val="20"/>
                <w:szCs w:val="20"/>
              </w:rPr>
              <w:t xml:space="preserve">Medium </w:t>
            </w:r>
          </w:p>
        </w:tc>
        <w:tc>
          <w:tcPr>
            <w:tcW w:w="1134" w:type="dxa"/>
            <w:shd w:val="clear" w:color="auto" w:fill="auto"/>
            <w:hideMark/>
          </w:tcPr>
          <w:p w14:paraId="180E8D32" w14:textId="77777777" w:rsidR="00240E6E" w:rsidRPr="0068236B" w:rsidRDefault="00240E6E" w:rsidP="0015607A">
            <w:pPr>
              <w:spacing w:before="0" w:after="0" w:line="240" w:lineRule="auto"/>
              <w:jc w:val="center"/>
              <w:rPr>
                <w:rFonts w:cs="Tahoma"/>
                <w:sz w:val="20"/>
                <w:szCs w:val="20"/>
              </w:rPr>
            </w:pPr>
            <w:r w:rsidRPr="0068236B">
              <w:rPr>
                <w:rFonts w:cs="Tahoma"/>
                <w:color w:val="000000"/>
                <w:sz w:val="20"/>
                <w:szCs w:val="20"/>
              </w:rPr>
              <w:t>Moderate</w:t>
            </w:r>
          </w:p>
        </w:tc>
        <w:tc>
          <w:tcPr>
            <w:tcW w:w="1434" w:type="dxa"/>
            <w:shd w:val="clear" w:color="auto" w:fill="auto"/>
            <w:hideMark/>
          </w:tcPr>
          <w:p w14:paraId="014B744F" w14:textId="77777777" w:rsidR="00240E6E" w:rsidRPr="0068236B" w:rsidRDefault="00240E6E" w:rsidP="0015607A">
            <w:pPr>
              <w:spacing w:before="0" w:after="0" w:line="240" w:lineRule="auto"/>
              <w:jc w:val="center"/>
              <w:rPr>
                <w:rFonts w:cs="Tahoma"/>
                <w:sz w:val="20"/>
                <w:szCs w:val="20"/>
              </w:rPr>
            </w:pPr>
            <w:r w:rsidRPr="0068236B">
              <w:rPr>
                <w:rFonts w:cs="Tahoma"/>
                <w:color w:val="000000"/>
                <w:sz w:val="20"/>
                <w:szCs w:val="20"/>
              </w:rPr>
              <w:t>Moderate</w:t>
            </w:r>
          </w:p>
        </w:tc>
        <w:tc>
          <w:tcPr>
            <w:tcW w:w="1685" w:type="dxa"/>
            <w:shd w:val="clear" w:color="auto" w:fill="auto"/>
            <w:hideMark/>
          </w:tcPr>
          <w:p w14:paraId="46B9B691" w14:textId="77777777" w:rsidR="00240E6E" w:rsidRPr="0068236B" w:rsidRDefault="00240E6E" w:rsidP="0015607A">
            <w:pPr>
              <w:spacing w:before="0" w:after="0" w:line="240" w:lineRule="auto"/>
              <w:jc w:val="center"/>
              <w:rPr>
                <w:rFonts w:cs="Tahoma"/>
                <w:sz w:val="20"/>
                <w:szCs w:val="20"/>
              </w:rPr>
            </w:pPr>
            <w:r w:rsidRPr="0068236B">
              <w:rPr>
                <w:rFonts w:cs="Tahoma"/>
                <w:color w:val="000000"/>
                <w:sz w:val="20"/>
                <w:szCs w:val="20"/>
              </w:rPr>
              <w:t>Minor</w:t>
            </w:r>
          </w:p>
        </w:tc>
        <w:tc>
          <w:tcPr>
            <w:tcW w:w="1417" w:type="dxa"/>
            <w:shd w:val="clear" w:color="auto" w:fill="auto"/>
            <w:hideMark/>
          </w:tcPr>
          <w:p w14:paraId="5D9DB789" w14:textId="77777777" w:rsidR="00240E6E" w:rsidRPr="0068236B" w:rsidRDefault="00240E6E" w:rsidP="0015607A">
            <w:pPr>
              <w:spacing w:before="0" w:after="0" w:line="240" w:lineRule="auto"/>
              <w:jc w:val="center"/>
              <w:rPr>
                <w:rFonts w:cs="Tahoma"/>
                <w:sz w:val="20"/>
                <w:szCs w:val="20"/>
              </w:rPr>
            </w:pPr>
            <w:r w:rsidRPr="0068236B">
              <w:rPr>
                <w:rFonts w:cs="Tahoma"/>
                <w:color w:val="000000"/>
                <w:sz w:val="20"/>
                <w:szCs w:val="20"/>
              </w:rPr>
              <w:t>Minor</w:t>
            </w:r>
          </w:p>
        </w:tc>
        <w:tc>
          <w:tcPr>
            <w:tcW w:w="1418" w:type="dxa"/>
            <w:shd w:val="clear" w:color="auto" w:fill="auto"/>
            <w:hideMark/>
          </w:tcPr>
          <w:p w14:paraId="0696E66E" w14:textId="77777777" w:rsidR="00240E6E" w:rsidRPr="0068236B" w:rsidRDefault="00240E6E" w:rsidP="0015607A">
            <w:pPr>
              <w:spacing w:before="0" w:after="0" w:line="240" w:lineRule="auto"/>
              <w:jc w:val="center"/>
              <w:rPr>
                <w:rFonts w:cs="Tahoma"/>
                <w:sz w:val="20"/>
                <w:szCs w:val="20"/>
              </w:rPr>
            </w:pPr>
            <w:r w:rsidRPr="0068236B">
              <w:rPr>
                <w:rFonts w:cs="Tahoma"/>
                <w:bCs/>
                <w:color w:val="000000"/>
                <w:sz w:val="20"/>
                <w:szCs w:val="20"/>
              </w:rPr>
              <w:t>Negligible</w:t>
            </w:r>
          </w:p>
        </w:tc>
      </w:tr>
      <w:tr w:rsidR="00240E6E" w:rsidRPr="0068236B" w14:paraId="7175916A" w14:textId="77777777" w:rsidTr="0015607A">
        <w:trPr>
          <w:cantSplit/>
          <w:trHeight w:val="20"/>
        </w:trPr>
        <w:tc>
          <w:tcPr>
            <w:tcW w:w="1418" w:type="dxa"/>
            <w:shd w:val="clear" w:color="auto" w:fill="BFBFBF" w:themeFill="background1" w:themeFillShade="BF"/>
            <w:vAlign w:val="center"/>
            <w:hideMark/>
          </w:tcPr>
          <w:p w14:paraId="75931F08" w14:textId="77777777" w:rsidR="00240E6E" w:rsidRPr="0068236B" w:rsidRDefault="00240E6E" w:rsidP="0015607A">
            <w:pPr>
              <w:pStyle w:val="Default"/>
              <w:rPr>
                <w:rFonts w:ascii="Tahoma" w:hAnsi="Tahoma" w:cs="Tahoma"/>
                <w:color w:val="auto"/>
                <w:sz w:val="20"/>
                <w:szCs w:val="20"/>
              </w:rPr>
            </w:pPr>
            <w:r w:rsidRPr="0068236B">
              <w:rPr>
                <w:rFonts w:ascii="Tahoma" w:hAnsi="Tahoma" w:cs="Tahoma"/>
                <w:bCs/>
                <w:color w:val="auto"/>
                <w:sz w:val="20"/>
                <w:szCs w:val="20"/>
              </w:rPr>
              <w:t xml:space="preserve">Low </w:t>
            </w:r>
          </w:p>
        </w:tc>
        <w:tc>
          <w:tcPr>
            <w:tcW w:w="1134" w:type="dxa"/>
            <w:shd w:val="clear" w:color="auto" w:fill="auto"/>
            <w:hideMark/>
          </w:tcPr>
          <w:p w14:paraId="281A7536" w14:textId="77777777" w:rsidR="00240E6E" w:rsidRPr="0068236B" w:rsidRDefault="00240E6E" w:rsidP="0015607A">
            <w:pPr>
              <w:spacing w:before="0" w:after="0" w:line="240" w:lineRule="auto"/>
              <w:jc w:val="center"/>
              <w:rPr>
                <w:rFonts w:cs="Tahoma"/>
                <w:sz w:val="20"/>
                <w:szCs w:val="20"/>
              </w:rPr>
            </w:pPr>
            <w:r w:rsidRPr="0068236B">
              <w:rPr>
                <w:rFonts w:cs="Tahoma"/>
                <w:color w:val="000000"/>
                <w:sz w:val="20"/>
                <w:szCs w:val="20"/>
              </w:rPr>
              <w:t>Minor</w:t>
            </w:r>
          </w:p>
        </w:tc>
        <w:tc>
          <w:tcPr>
            <w:tcW w:w="1434" w:type="dxa"/>
            <w:shd w:val="clear" w:color="auto" w:fill="auto"/>
            <w:hideMark/>
          </w:tcPr>
          <w:p w14:paraId="1A0F6379" w14:textId="77777777" w:rsidR="00240E6E" w:rsidRPr="0068236B" w:rsidRDefault="00240E6E" w:rsidP="0015607A">
            <w:pPr>
              <w:spacing w:before="0" w:after="0" w:line="240" w:lineRule="auto"/>
              <w:jc w:val="center"/>
              <w:rPr>
                <w:rFonts w:cs="Tahoma"/>
                <w:sz w:val="20"/>
                <w:szCs w:val="20"/>
              </w:rPr>
            </w:pPr>
            <w:r w:rsidRPr="0068236B">
              <w:rPr>
                <w:rFonts w:cs="Tahoma"/>
                <w:color w:val="000000"/>
                <w:sz w:val="20"/>
                <w:szCs w:val="20"/>
              </w:rPr>
              <w:t>Minor</w:t>
            </w:r>
          </w:p>
        </w:tc>
        <w:tc>
          <w:tcPr>
            <w:tcW w:w="1685" w:type="dxa"/>
            <w:shd w:val="clear" w:color="auto" w:fill="auto"/>
            <w:hideMark/>
          </w:tcPr>
          <w:p w14:paraId="5B67DE0A" w14:textId="77777777" w:rsidR="00240E6E" w:rsidRPr="0068236B" w:rsidRDefault="00240E6E" w:rsidP="0015607A">
            <w:pPr>
              <w:spacing w:before="0" w:after="0" w:line="240" w:lineRule="auto"/>
              <w:jc w:val="center"/>
              <w:rPr>
                <w:rFonts w:cs="Tahoma"/>
                <w:sz w:val="20"/>
                <w:szCs w:val="20"/>
              </w:rPr>
            </w:pPr>
            <w:r w:rsidRPr="0068236B">
              <w:rPr>
                <w:rFonts w:cs="Tahoma"/>
                <w:color w:val="000000"/>
                <w:sz w:val="20"/>
                <w:szCs w:val="20"/>
              </w:rPr>
              <w:t>Minor</w:t>
            </w:r>
          </w:p>
        </w:tc>
        <w:tc>
          <w:tcPr>
            <w:tcW w:w="1417" w:type="dxa"/>
            <w:shd w:val="clear" w:color="auto" w:fill="auto"/>
            <w:hideMark/>
          </w:tcPr>
          <w:p w14:paraId="3ABE119B" w14:textId="77777777" w:rsidR="00240E6E" w:rsidRPr="0068236B" w:rsidRDefault="00240E6E" w:rsidP="0015607A">
            <w:pPr>
              <w:spacing w:before="0" w:after="0" w:line="240" w:lineRule="auto"/>
              <w:jc w:val="center"/>
              <w:rPr>
                <w:rFonts w:cs="Tahoma"/>
                <w:sz w:val="20"/>
                <w:szCs w:val="20"/>
              </w:rPr>
            </w:pPr>
            <w:r w:rsidRPr="0068236B">
              <w:rPr>
                <w:rFonts w:cs="Tahoma"/>
                <w:bCs/>
                <w:color w:val="000000"/>
                <w:sz w:val="20"/>
                <w:szCs w:val="20"/>
              </w:rPr>
              <w:t>Negligible</w:t>
            </w:r>
          </w:p>
        </w:tc>
        <w:tc>
          <w:tcPr>
            <w:tcW w:w="1418" w:type="dxa"/>
            <w:shd w:val="clear" w:color="auto" w:fill="auto"/>
            <w:hideMark/>
          </w:tcPr>
          <w:p w14:paraId="28B63755" w14:textId="77777777" w:rsidR="00240E6E" w:rsidRPr="0068236B" w:rsidRDefault="00240E6E" w:rsidP="0015607A">
            <w:pPr>
              <w:spacing w:before="0" w:after="0" w:line="240" w:lineRule="auto"/>
              <w:jc w:val="center"/>
              <w:rPr>
                <w:rFonts w:cs="Tahoma"/>
                <w:sz w:val="20"/>
                <w:szCs w:val="20"/>
              </w:rPr>
            </w:pPr>
            <w:r w:rsidRPr="0068236B">
              <w:rPr>
                <w:rFonts w:cs="Tahoma"/>
                <w:bCs/>
                <w:color w:val="000000"/>
                <w:sz w:val="20"/>
                <w:szCs w:val="20"/>
              </w:rPr>
              <w:t>Negligible</w:t>
            </w:r>
          </w:p>
        </w:tc>
      </w:tr>
      <w:tr w:rsidR="00240E6E" w:rsidRPr="0068236B" w14:paraId="291ABB9F" w14:textId="77777777" w:rsidTr="0015607A">
        <w:trPr>
          <w:cantSplit/>
          <w:trHeight w:val="20"/>
        </w:trPr>
        <w:tc>
          <w:tcPr>
            <w:tcW w:w="1418" w:type="dxa"/>
            <w:shd w:val="clear" w:color="auto" w:fill="BFBFBF" w:themeFill="background1" w:themeFillShade="BF"/>
            <w:vAlign w:val="center"/>
            <w:hideMark/>
          </w:tcPr>
          <w:p w14:paraId="46589208" w14:textId="77777777" w:rsidR="00240E6E" w:rsidRPr="0068236B" w:rsidRDefault="00240E6E" w:rsidP="0015607A">
            <w:pPr>
              <w:pStyle w:val="Default"/>
              <w:rPr>
                <w:rFonts w:ascii="Tahoma" w:hAnsi="Tahoma" w:cs="Tahoma"/>
                <w:color w:val="auto"/>
                <w:sz w:val="20"/>
                <w:szCs w:val="20"/>
              </w:rPr>
            </w:pPr>
            <w:r w:rsidRPr="0068236B">
              <w:rPr>
                <w:rFonts w:ascii="Tahoma" w:hAnsi="Tahoma" w:cs="Tahoma"/>
                <w:bCs/>
                <w:color w:val="auto"/>
                <w:sz w:val="20"/>
                <w:szCs w:val="20"/>
              </w:rPr>
              <w:lastRenderedPageBreak/>
              <w:t xml:space="preserve">Very low </w:t>
            </w:r>
          </w:p>
        </w:tc>
        <w:tc>
          <w:tcPr>
            <w:tcW w:w="1134" w:type="dxa"/>
            <w:shd w:val="clear" w:color="auto" w:fill="auto"/>
            <w:hideMark/>
          </w:tcPr>
          <w:p w14:paraId="4EE726EE" w14:textId="77777777" w:rsidR="00240E6E" w:rsidRPr="0068236B" w:rsidRDefault="00240E6E" w:rsidP="0015607A">
            <w:pPr>
              <w:spacing w:before="0" w:after="0" w:line="240" w:lineRule="auto"/>
              <w:jc w:val="center"/>
              <w:rPr>
                <w:rFonts w:cs="Tahoma"/>
                <w:sz w:val="20"/>
                <w:szCs w:val="20"/>
              </w:rPr>
            </w:pPr>
            <w:r w:rsidRPr="0068236B">
              <w:rPr>
                <w:rFonts w:cs="Tahoma"/>
                <w:color w:val="000000"/>
                <w:sz w:val="20"/>
                <w:szCs w:val="20"/>
              </w:rPr>
              <w:t>Minor</w:t>
            </w:r>
          </w:p>
        </w:tc>
        <w:tc>
          <w:tcPr>
            <w:tcW w:w="1434" w:type="dxa"/>
            <w:shd w:val="clear" w:color="auto" w:fill="auto"/>
            <w:hideMark/>
          </w:tcPr>
          <w:p w14:paraId="14CD5321" w14:textId="77777777" w:rsidR="00240E6E" w:rsidRPr="0068236B" w:rsidRDefault="00240E6E" w:rsidP="0015607A">
            <w:pPr>
              <w:spacing w:before="0" w:after="0" w:line="240" w:lineRule="auto"/>
              <w:jc w:val="center"/>
              <w:rPr>
                <w:rFonts w:cs="Tahoma"/>
                <w:sz w:val="20"/>
                <w:szCs w:val="20"/>
              </w:rPr>
            </w:pPr>
            <w:r w:rsidRPr="0068236B">
              <w:rPr>
                <w:rFonts w:cs="Tahoma"/>
                <w:bCs/>
                <w:color w:val="000000"/>
                <w:sz w:val="20"/>
                <w:szCs w:val="20"/>
              </w:rPr>
              <w:t>Negligible</w:t>
            </w:r>
          </w:p>
        </w:tc>
        <w:tc>
          <w:tcPr>
            <w:tcW w:w="1685" w:type="dxa"/>
            <w:shd w:val="clear" w:color="auto" w:fill="auto"/>
            <w:hideMark/>
          </w:tcPr>
          <w:p w14:paraId="23FAC439" w14:textId="77777777" w:rsidR="00240E6E" w:rsidRPr="0068236B" w:rsidRDefault="00240E6E" w:rsidP="0015607A">
            <w:pPr>
              <w:spacing w:before="0" w:after="0" w:line="240" w:lineRule="auto"/>
              <w:jc w:val="center"/>
              <w:rPr>
                <w:rFonts w:cs="Tahoma"/>
                <w:sz w:val="20"/>
                <w:szCs w:val="20"/>
              </w:rPr>
            </w:pPr>
            <w:r w:rsidRPr="0068236B">
              <w:rPr>
                <w:rFonts w:cs="Tahoma"/>
                <w:bCs/>
                <w:color w:val="000000"/>
                <w:sz w:val="20"/>
                <w:szCs w:val="20"/>
              </w:rPr>
              <w:t>Negligible</w:t>
            </w:r>
          </w:p>
        </w:tc>
        <w:tc>
          <w:tcPr>
            <w:tcW w:w="1417" w:type="dxa"/>
            <w:shd w:val="clear" w:color="auto" w:fill="auto"/>
            <w:hideMark/>
          </w:tcPr>
          <w:p w14:paraId="66469120" w14:textId="77777777" w:rsidR="00240E6E" w:rsidRPr="0068236B" w:rsidRDefault="00240E6E" w:rsidP="0015607A">
            <w:pPr>
              <w:spacing w:before="0" w:after="0" w:line="240" w:lineRule="auto"/>
              <w:jc w:val="center"/>
              <w:rPr>
                <w:rFonts w:cs="Tahoma"/>
                <w:sz w:val="20"/>
                <w:szCs w:val="20"/>
              </w:rPr>
            </w:pPr>
            <w:r w:rsidRPr="0068236B">
              <w:rPr>
                <w:rFonts w:cs="Tahoma"/>
                <w:bCs/>
                <w:color w:val="000000"/>
                <w:sz w:val="20"/>
                <w:szCs w:val="20"/>
              </w:rPr>
              <w:t>Negligible</w:t>
            </w:r>
          </w:p>
        </w:tc>
        <w:tc>
          <w:tcPr>
            <w:tcW w:w="1418" w:type="dxa"/>
            <w:shd w:val="clear" w:color="auto" w:fill="auto"/>
            <w:hideMark/>
          </w:tcPr>
          <w:p w14:paraId="3C3A7156" w14:textId="77777777" w:rsidR="00240E6E" w:rsidRPr="0068236B" w:rsidRDefault="00240E6E" w:rsidP="0015607A">
            <w:pPr>
              <w:spacing w:before="0" w:after="0" w:line="240" w:lineRule="auto"/>
              <w:jc w:val="center"/>
              <w:rPr>
                <w:rFonts w:cs="Tahoma"/>
                <w:sz w:val="20"/>
                <w:szCs w:val="20"/>
              </w:rPr>
            </w:pPr>
            <w:r w:rsidRPr="0068236B">
              <w:rPr>
                <w:rFonts w:cs="Tahoma"/>
                <w:bCs/>
                <w:color w:val="000000"/>
                <w:sz w:val="20"/>
                <w:szCs w:val="20"/>
              </w:rPr>
              <w:t>Negligible</w:t>
            </w:r>
          </w:p>
        </w:tc>
      </w:tr>
    </w:tbl>
    <w:p w14:paraId="019C9244" w14:textId="77777777" w:rsidR="00240E6E" w:rsidRPr="0068236B" w:rsidRDefault="00240E6E" w:rsidP="00240E6E">
      <w:pPr>
        <w:overflowPunct w:val="0"/>
        <w:autoSpaceDE w:val="0"/>
        <w:autoSpaceDN w:val="0"/>
        <w:adjustRightInd w:val="0"/>
        <w:spacing w:after="240"/>
        <w:jc w:val="left"/>
        <w:textAlignment w:val="baseline"/>
        <w:rPr>
          <w:rFonts w:cs="Arial"/>
          <w:bCs/>
          <w:iCs/>
          <w:sz w:val="18"/>
          <w:szCs w:val="20"/>
        </w:rPr>
      </w:pPr>
      <w:bookmarkStart w:id="189" w:name="_Toc71559818"/>
      <w:bookmarkStart w:id="190" w:name="_Toc113018170"/>
      <w:r w:rsidRPr="0068236B">
        <w:rPr>
          <w:rFonts w:cs="Arial"/>
          <w:bCs/>
          <w:iCs/>
          <w:sz w:val="18"/>
          <w:szCs w:val="20"/>
        </w:rPr>
        <w:t xml:space="preserve">Table </w:t>
      </w:r>
      <w:r w:rsidR="00377E43" w:rsidRPr="0068236B">
        <w:rPr>
          <w:rFonts w:cs="Arial"/>
          <w:bCs/>
          <w:iCs/>
          <w:sz w:val="18"/>
          <w:szCs w:val="20"/>
        </w:rPr>
        <w:fldChar w:fldCharType="begin"/>
      </w:r>
      <w:r w:rsidRPr="0068236B">
        <w:rPr>
          <w:rFonts w:cs="Arial"/>
          <w:bCs/>
          <w:iCs/>
          <w:sz w:val="18"/>
          <w:szCs w:val="20"/>
        </w:rPr>
        <w:instrText xml:space="preserve"> STYLEREF 1 \s </w:instrText>
      </w:r>
      <w:r w:rsidR="00377E43" w:rsidRPr="0068236B">
        <w:rPr>
          <w:rFonts w:cs="Arial"/>
          <w:bCs/>
          <w:iCs/>
          <w:sz w:val="18"/>
          <w:szCs w:val="20"/>
        </w:rPr>
        <w:fldChar w:fldCharType="separate"/>
      </w:r>
      <w:r w:rsidR="00234EBE" w:rsidRPr="0068236B">
        <w:rPr>
          <w:rFonts w:cs="Arial"/>
          <w:bCs/>
          <w:iCs/>
          <w:noProof/>
          <w:sz w:val="18"/>
          <w:szCs w:val="20"/>
        </w:rPr>
        <w:t>5</w:t>
      </w:r>
      <w:r w:rsidR="00377E43" w:rsidRPr="0068236B">
        <w:rPr>
          <w:rFonts w:cs="Arial"/>
          <w:bCs/>
          <w:iCs/>
          <w:sz w:val="18"/>
          <w:szCs w:val="20"/>
        </w:rPr>
        <w:fldChar w:fldCharType="end"/>
      </w:r>
      <w:r w:rsidRPr="0068236B">
        <w:rPr>
          <w:rFonts w:cs="Arial"/>
          <w:bCs/>
          <w:iCs/>
          <w:sz w:val="18"/>
          <w:szCs w:val="20"/>
        </w:rPr>
        <w:t>.</w:t>
      </w:r>
      <w:r w:rsidR="00377E43" w:rsidRPr="0068236B">
        <w:rPr>
          <w:rFonts w:cs="Arial"/>
          <w:bCs/>
          <w:iCs/>
          <w:sz w:val="18"/>
          <w:szCs w:val="20"/>
        </w:rPr>
        <w:fldChar w:fldCharType="begin"/>
      </w:r>
      <w:r w:rsidRPr="0068236B">
        <w:rPr>
          <w:rFonts w:cs="Arial"/>
          <w:bCs/>
          <w:iCs/>
          <w:sz w:val="18"/>
          <w:szCs w:val="20"/>
        </w:rPr>
        <w:instrText xml:space="preserve"> SEQ Table \* ARABIC \s 1 </w:instrText>
      </w:r>
      <w:r w:rsidR="00377E43" w:rsidRPr="0068236B">
        <w:rPr>
          <w:rFonts w:cs="Arial"/>
          <w:bCs/>
          <w:iCs/>
          <w:sz w:val="18"/>
          <w:szCs w:val="20"/>
        </w:rPr>
        <w:fldChar w:fldCharType="separate"/>
      </w:r>
      <w:r w:rsidR="00234EBE" w:rsidRPr="0068236B">
        <w:rPr>
          <w:rFonts w:cs="Arial"/>
          <w:bCs/>
          <w:iCs/>
          <w:noProof/>
          <w:sz w:val="18"/>
          <w:szCs w:val="20"/>
        </w:rPr>
        <w:t>5</w:t>
      </w:r>
      <w:r w:rsidR="00377E43" w:rsidRPr="0068236B">
        <w:rPr>
          <w:rFonts w:cs="Arial"/>
          <w:bCs/>
          <w:iCs/>
          <w:sz w:val="18"/>
          <w:szCs w:val="20"/>
        </w:rPr>
        <w:fldChar w:fldCharType="end"/>
      </w:r>
      <w:r w:rsidR="006E2AC4" w:rsidRPr="0068236B">
        <w:rPr>
          <w:rFonts w:cs="Arial"/>
          <w:bCs/>
          <w:iCs/>
          <w:sz w:val="18"/>
          <w:szCs w:val="20"/>
        </w:rPr>
        <w:t xml:space="preserve">: </w:t>
      </w:r>
      <w:r w:rsidRPr="0068236B">
        <w:rPr>
          <w:rFonts w:cs="Arial"/>
          <w:sz w:val="18"/>
          <w:szCs w:val="20"/>
        </w:rPr>
        <w:t>Typical impact significance matrix</w:t>
      </w:r>
      <w:bookmarkEnd w:id="189"/>
      <w:bookmarkEnd w:id="190"/>
    </w:p>
    <w:p w14:paraId="6EA3E376" w14:textId="77777777" w:rsidR="00240E6E" w:rsidRPr="0068236B" w:rsidRDefault="00240E6E" w:rsidP="00240E6E">
      <w:pPr>
        <w:autoSpaceDE w:val="0"/>
        <w:autoSpaceDN w:val="0"/>
        <w:adjustRightInd w:val="0"/>
        <w:rPr>
          <w:rFonts w:cs="Tahoma"/>
          <w:sz w:val="20"/>
          <w:szCs w:val="20"/>
        </w:rPr>
      </w:pPr>
      <w:r w:rsidRPr="0068236B">
        <w:rPr>
          <w:rFonts w:cs="Tahoma"/>
          <w:sz w:val="20"/>
          <w:szCs w:val="20"/>
          <w:lang w:eastAsia="en-US"/>
        </w:rPr>
        <w:t>The Table above demonstrates how combining the sensitivity / value of the resource or receptor with the magnitude of change produces a significance of effect category.</w:t>
      </w:r>
    </w:p>
    <w:p w14:paraId="205A1EE1" w14:textId="77777777" w:rsidR="00240E6E" w:rsidRPr="0068236B" w:rsidRDefault="00240E6E" w:rsidP="00240E6E">
      <w:pPr>
        <w:rPr>
          <w:rFonts w:cs="Arial"/>
          <w:sz w:val="20"/>
          <w:szCs w:val="20"/>
        </w:rPr>
      </w:pPr>
      <w:r w:rsidRPr="0068236B">
        <w:rPr>
          <w:rFonts w:cs="Tahoma"/>
          <w:sz w:val="20"/>
          <w:szCs w:val="20"/>
        </w:rPr>
        <w:t xml:space="preserve">For some topics, such as air or water quality, noise, </w:t>
      </w:r>
      <w:r w:rsidR="00806391" w:rsidRPr="0068236B">
        <w:rPr>
          <w:rFonts w:cs="Tahoma"/>
          <w:sz w:val="20"/>
          <w:szCs w:val="20"/>
        </w:rPr>
        <w:t xml:space="preserve">elector-magnetic radiation - </w:t>
      </w:r>
      <w:r w:rsidRPr="0068236B">
        <w:rPr>
          <w:rFonts w:cs="Tahoma"/>
          <w:sz w:val="20"/>
          <w:szCs w:val="20"/>
        </w:rPr>
        <w:t xml:space="preserve">quantifiable (measurable) thresholds or legally defined </w:t>
      </w:r>
      <w:r w:rsidRPr="0068236B">
        <w:rPr>
          <w:rFonts w:cs="Arial"/>
          <w:sz w:val="20"/>
          <w:szCs w:val="20"/>
        </w:rPr>
        <w:t>criteria could be used to determine the significance of an impact. However, for other topics, such as biodiversity or landscape, it is necessary to use combination of quantitative and qualit</w:t>
      </w:r>
      <w:r w:rsidRPr="0068236B">
        <w:rPr>
          <w:rFonts w:cs="Arial"/>
          <w:sz w:val="20"/>
          <w:szCs w:val="20"/>
        </w:rPr>
        <w:t>a</w:t>
      </w:r>
      <w:r w:rsidRPr="0068236B">
        <w:rPr>
          <w:rFonts w:cs="Arial"/>
          <w:sz w:val="20"/>
          <w:szCs w:val="20"/>
        </w:rPr>
        <w:t xml:space="preserve">tive criteria – professional judgment on case by case basis. </w:t>
      </w:r>
    </w:p>
    <w:p w14:paraId="3C5F6A3E" w14:textId="79F0E0ED" w:rsidR="00240E6E" w:rsidRPr="0068236B" w:rsidRDefault="00240E6E" w:rsidP="00240E6E">
      <w:pPr>
        <w:rPr>
          <w:rFonts w:cs="Arial"/>
          <w:sz w:val="20"/>
          <w:szCs w:val="20"/>
        </w:rPr>
      </w:pPr>
      <w:r w:rsidRPr="0068236B">
        <w:rPr>
          <w:rFonts w:cs="Arial"/>
          <w:sz w:val="20"/>
          <w:szCs w:val="20"/>
        </w:rPr>
        <w:t xml:space="preserve">Assigning impact significance relies on reasoned argument, professional judgment and consideration of the views and guidance of competent organisations. Assigning each impact to one of four significance categories enables different topic issues to be placed within the same scale to allow a </w:t>
      </w:r>
      <w:r w:rsidRPr="0068236B">
        <w:rPr>
          <w:rFonts w:cs="Tahoma"/>
          <w:sz w:val="20"/>
          <w:szCs w:val="20"/>
        </w:rPr>
        <w:t>direct comparison. The four si</w:t>
      </w:r>
      <w:r w:rsidRPr="0068236B">
        <w:rPr>
          <w:rFonts w:cs="Tahoma"/>
          <w:sz w:val="20"/>
          <w:szCs w:val="20"/>
        </w:rPr>
        <w:t>g</w:t>
      </w:r>
      <w:r w:rsidRPr="0068236B">
        <w:rPr>
          <w:rFonts w:cs="Tahoma"/>
          <w:sz w:val="20"/>
          <w:szCs w:val="20"/>
        </w:rPr>
        <w:t xml:space="preserve">nificance categories are described in Table below. </w:t>
      </w:r>
      <w:r w:rsidRPr="0068236B">
        <w:rPr>
          <w:rFonts w:cs="Tahoma"/>
          <w:sz w:val="20"/>
          <w:szCs w:val="20"/>
          <w:lang w:eastAsia="en-US"/>
        </w:rPr>
        <w:t xml:space="preserve">In arriving at the significance of effect, the assessor </w:t>
      </w:r>
      <w:r w:rsidR="00C57B1F" w:rsidRPr="0068236B">
        <w:rPr>
          <w:rFonts w:cs="Tahoma"/>
          <w:sz w:val="20"/>
          <w:szCs w:val="20"/>
          <w:lang w:eastAsia="en-US"/>
        </w:rPr>
        <w:t>has also</w:t>
      </w:r>
      <w:r w:rsidRPr="0068236B">
        <w:rPr>
          <w:rFonts w:cs="Tahoma"/>
          <w:sz w:val="20"/>
          <w:szCs w:val="20"/>
          <w:lang w:eastAsia="en-US"/>
        </w:rPr>
        <w:t xml:space="preserve"> consider</w:t>
      </w:r>
      <w:r w:rsidR="00C57B1F" w:rsidRPr="0068236B">
        <w:rPr>
          <w:rFonts w:cs="Tahoma"/>
          <w:sz w:val="20"/>
          <w:szCs w:val="20"/>
          <w:lang w:eastAsia="en-US"/>
        </w:rPr>
        <w:t>ed</w:t>
      </w:r>
      <w:r w:rsidRPr="0068236B">
        <w:rPr>
          <w:rFonts w:cs="Tahoma"/>
          <w:sz w:val="20"/>
          <w:szCs w:val="20"/>
          <w:lang w:eastAsia="en-US"/>
        </w:rPr>
        <w:t xml:space="preserve"> whether they are direct or indirect; short, medium or long-term; permanent or temporary, positive or negative, cumulative.</w:t>
      </w:r>
    </w:p>
    <w:tbl>
      <w:tblPr>
        <w:tblW w:w="9639" w:type="dxa"/>
        <w:tblInd w:w="108" w:type="dxa"/>
        <w:tblBorders>
          <w:top w:val="single" w:sz="4" w:space="0" w:color="9DBCB0"/>
          <w:left w:val="single" w:sz="4" w:space="0" w:color="9DBCB0"/>
          <w:bottom w:val="single" w:sz="4" w:space="0" w:color="9DBCB0"/>
          <w:right w:val="single" w:sz="4" w:space="0" w:color="9DBCB0"/>
          <w:insideH w:val="single" w:sz="4" w:space="0" w:color="9DBCB0"/>
          <w:insideV w:val="single" w:sz="4" w:space="0" w:color="9DBCB0"/>
        </w:tblBorders>
        <w:tblLook w:val="04A0" w:firstRow="1" w:lastRow="0" w:firstColumn="1" w:lastColumn="0" w:noHBand="0" w:noVBand="1"/>
      </w:tblPr>
      <w:tblGrid>
        <w:gridCol w:w="1295"/>
        <w:gridCol w:w="2249"/>
        <w:gridCol w:w="6095"/>
      </w:tblGrid>
      <w:tr w:rsidR="00240E6E" w:rsidRPr="0068236B" w14:paraId="540BBAD8" w14:textId="77777777" w:rsidTr="0015607A">
        <w:tc>
          <w:tcPr>
            <w:tcW w:w="1295" w:type="dxa"/>
            <w:shd w:val="clear" w:color="auto" w:fill="44697D"/>
          </w:tcPr>
          <w:p w14:paraId="337B9175" w14:textId="77777777" w:rsidR="00240E6E" w:rsidRPr="0068236B" w:rsidRDefault="00240E6E" w:rsidP="0015607A">
            <w:pPr>
              <w:tabs>
                <w:tab w:val="center" w:pos="4320"/>
                <w:tab w:val="right" w:pos="8640"/>
              </w:tabs>
              <w:spacing w:before="0" w:after="0" w:line="240" w:lineRule="auto"/>
              <w:rPr>
                <w:rFonts w:cs="Arial"/>
                <w:color w:val="FFFFFF" w:themeColor="background1"/>
                <w:sz w:val="20"/>
                <w:szCs w:val="20"/>
              </w:rPr>
            </w:pPr>
            <w:r w:rsidRPr="0068236B">
              <w:rPr>
                <w:rFonts w:cs="Arial"/>
                <w:bCs/>
                <w:color w:val="FFFFFF" w:themeColor="background1"/>
                <w:sz w:val="20"/>
                <w:szCs w:val="20"/>
              </w:rPr>
              <w:t>Impact significance category</w:t>
            </w:r>
          </w:p>
        </w:tc>
        <w:tc>
          <w:tcPr>
            <w:tcW w:w="2249" w:type="dxa"/>
            <w:shd w:val="clear" w:color="auto" w:fill="44697D"/>
            <w:vAlign w:val="center"/>
          </w:tcPr>
          <w:p w14:paraId="2688138A" w14:textId="77777777" w:rsidR="00240E6E" w:rsidRPr="0068236B" w:rsidRDefault="00240E6E" w:rsidP="0015607A">
            <w:pPr>
              <w:tabs>
                <w:tab w:val="center" w:pos="4320"/>
                <w:tab w:val="right" w:pos="8640"/>
              </w:tabs>
              <w:spacing w:before="0" w:after="0" w:line="240" w:lineRule="auto"/>
              <w:jc w:val="center"/>
              <w:rPr>
                <w:rFonts w:cs="Arial"/>
                <w:color w:val="FFFFFF" w:themeColor="background1"/>
                <w:sz w:val="20"/>
                <w:szCs w:val="20"/>
              </w:rPr>
            </w:pPr>
            <w:r w:rsidRPr="0068236B">
              <w:rPr>
                <w:rFonts w:cs="Arial"/>
                <w:color w:val="FFFFFF" w:themeColor="background1"/>
                <w:sz w:val="20"/>
                <w:szCs w:val="20"/>
              </w:rPr>
              <w:t>Typical criteria</w:t>
            </w:r>
          </w:p>
        </w:tc>
        <w:tc>
          <w:tcPr>
            <w:tcW w:w="6095" w:type="dxa"/>
            <w:shd w:val="clear" w:color="auto" w:fill="44697D"/>
            <w:vAlign w:val="center"/>
          </w:tcPr>
          <w:p w14:paraId="4D626D66" w14:textId="77777777" w:rsidR="00240E6E" w:rsidRPr="0068236B" w:rsidRDefault="00240E6E" w:rsidP="0015607A">
            <w:pPr>
              <w:tabs>
                <w:tab w:val="center" w:pos="4320"/>
                <w:tab w:val="right" w:pos="8640"/>
              </w:tabs>
              <w:spacing w:before="0" w:after="0" w:line="240" w:lineRule="auto"/>
              <w:jc w:val="center"/>
              <w:rPr>
                <w:rFonts w:cs="Arial"/>
                <w:color w:val="FFFFFF" w:themeColor="background1"/>
                <w:sz w:val="20"/>
                <w:szCs w:val="20"/>
              </w:rPr>
            </w:pPr>
            <w:r w:rsidRPr="0068236B">
              <w:rPr>
                <w:rFonts w:cs="Tahoma"/>
                <w:bCs/>
                <w:color w:val="FFFFFF"/>
                <w:sz w:val="20"/>
                <w:szCs w:val="20"/>
                <w:lang w:eastAsia="el-GR"/>
              </w:rPr>
              <w:t>Description - typical descriptors</w:t>
            </w:r>
          </w:p>
        </w:tc>
      </w:tr>
      <w:tr w:rsidR="00240E6E" w:rsidRPr="0068236B" w14:paraId="00D6107E" w14:textId="77777777" w:rsidTr="0015607A">
        <w:tc>
          <w:tcPr>
            <w:tcW w:w="1295" w:type="dxa"/>
          </w:tcPr>
          <w:p w14:paraId="610BD3AC" w14:textId="77777777" w:rsidR="00240E6E" w:rsidRPr="0068236B" w:rsidRDefault="00240E6E" w:rsidP="0015607A">
            <w:pPr>
              <w:tabs>
                <w:tab w:val="center" w:pos="4320"/>
                <w:tab w:val="right" w:pos="8640"/>
              </w:tabs>
              <w:spacing w:before="0" w:after="0" w:line="240" w:lineRule="auto"/>
              <w:rPr>
                <w:rFonts w:cs="Arial"/>
                <w:sz w:val="20"/>
                <w:szCs w:val="20"/>
              </w:rPr>
            </w:pPr>
            <w:r w:rsidRPr="0068236B">
              <w:rPr>
                <w:rFonts w:cs="Arial"/>
                <w:sz w:val="20"/>
                <w:szCs w:val="20"/>
              </w:rPr>
              <w:t>Major</w:t>
            </w:r>
          </w:p>
        </w:tc>
        <w:tc>
          <w:tcPr>
            <w:tcW w:w="2249" w:type="dxa"/>
          </w:tcPr>
          <w:p w14:paraId="1DC45A35" w14:textId="77777777" w:rsidR="00240E6E" w:rsidRPr="0068236B" w:rsidRDefault="00240E6E" w:rsidP="0015607A">
            <w:pPr>
              <w:autoSpaceDE w:val="0"/>
              <w:autoSpaceDN w:val="0"/>
              <w:adjustRightInd w:val="0"/>
              <w:spacing w:before="0" w:after="0" w:line="240" w:lineRule="auto"/>
              <w:contextualSpacing/>
              <w:rPr>
                <w:rFonts w:cs="Arial"/>
                <w:sz w:val="20"/>
                <w:szCs w:val="20"/>
              </w:rPr>
            </w:pPr>
            <w:r w:rsidRPr="0068236B">
              <w:rPr>
                <w:rFonts w:cs="Arial"/>
                <w:sz w:val="20"/>
                <w:szCs w:val="20"/>
              </w:rPr>
              <w:t>A fundamental change to the environment</w:t>
            </w:r>
          </w:p>
        </w:tc>
        <w:tc>
          <w:tcPr>
            <w:tcW w:w="6095" w:type="dxa"/>
            <w:vAlign w:val="center"/>
          </w:tcPr>
          <w:p w14:paraId="10C56C3D" w14:textId="5776D1FD" w:rsidR="00240E6E" w:rsidRPr="0068236B" w:rsidRDefault="00240E6E" w:rsidP="0015607A">
            <w:pPr>
              <w:spacing w:before="0" w:after="0" w:line="240" w:lineRule="auto"/>
              <w:rPr>
                <w:rFonts w:cs="Arial"/>
                <w:color w:val="000000"/>
                <w:sz w:val="20"/>
                <w:szCs w:val="20"/>
              </w:rPr>
            </w:pPr>
            <w:r w:rsidRPr="0068236B">
              <w:rPr>
                <w:rFonts w:cs="Arial"/>
                <w:color w:val="000000"/>
                <w:sz w:val="20"/>
                <w:szCs w:val="20"/>
              </w:rPr>
              <w:t xml:space="preserve">Only </w:t>
            </w:r>
            <w:r w:rsidR="002179D6" w:rsidRPr="0068236B">
              <w:rPr>
                <w:rFonts w:cs="Arial"/>
                <w:color w:val="000000"/>
                <w:sz w:val="20"/>
                <w:szCs w:val="20"/>
              </w:rPr>
              <w:t xml:space="preserve">beneficial or </w:t>
            </w:r>
            <w:r w:rsidRPr="0068236B">
              <w:rPr>
                <w:rFonts w:cs="Arial"/>
                <w:color w:val="000000"/>
                <w:sz w:val="20"/>
                <w:szCs w:val="20"/>
              </w:rPr>
              <w:t>adverse impacts are normally assigned this level of significance, and represents key factors in decision-making process. These impacts are generally but not exclusively associa</w:t>
            </w:r>
            <w:r w:rsidRPr="0068236B">
              <w:rPr>
                <w:rFonts w:cs="Arial"/>
                <w:color w:val="000000"/>
                <w:sz w:val="20"/>
                <w:szCs w:val="20"/>
              </w:rPr>
              <w:t>t</w:t>
            </w:r>
            <w:r w:rsidRPr="0068236B">
              <w:rPr>
                <w:rFonts w:cs="Arial"/>
                <w:color w:val="000000"/>
                <w:sz w:val="20"/>
                <w:szCs w:val="20"/>
              </w:rPr>
              <w:t>ed with sites or features of International, National or Regional importance that are likely to suffer a most damaging impact and loss of integrity. However, a major change in a site or feature of local importance may also enter this category.</w:t>
            </w:r>
          </w:p>
        </w:tc>
      </w:tr>
      <w:tr w:rsidR="00240E6E" w:rsidRPr="0068236B" w14:paraId="6A36D262" w14:textId="77777777" w:rsidTr="0015607A">
        <w:tc>
          <w:tcPr>
            <w:tcW w:w="1295" w:type="dxa"/>
          </w:tcPr>
          <w:p w14:paraId="2F436B52" w14:textId="77777777" w:rsidR="00240E6E" w:rsidRPr="0068236B" w:rsidRDefault="00240E6E" w:rsidP="0015607A">
            <w:pPr>
              <w:tabs>
                <w:tab w:val="center" w:pos="4320"/>
                <w:tab w:val="right" w:pos="8640"/>
              </w:tabs>
              <w:spacing w:before="0" w:after="0" w:line="240" w:lineRule="auto"/>
              <w:rPr>
                <w:rFonts w:cs="Arial"/>
                <w:sz w:val="20"/>
                <w:szCs w:val="20"/>
              </w:rPr>
            </w:pPr>
            <w:r w:rsidRPr="0068236B">
              <w:rPr>
                <w:rFonts w:cs="Arial"/>
                <w:sz w:val="20"/>
                <w:szCs w:val="20"/>
              </w:rPr>
              <w:t>Moderate</w:t>
            </w:r>
          </w:p>
        </w:tc>
        <w:tc>
          <w:tcPr>
            <w:tcW w:w="2249" w:type="dxa"/>
          </w:tcPr>
          <w:p w14:paraId="4878EF73" w14:textId="77777777" w:rsidR="00240E6E" w:rsidRPr="0068236B" w:rsidRDefault="00240E6E" w:rsidP="0015607A">
            <w:pPr>
              <w:autoSpaceDE w:val="0"/>
              <w:autoSpaceDN w:val="0"/>
              <w:adjustRightInd w:val="0"/>
              <w:spacing w:before="0" w:after="0" w:line="240" w:lineRule="auto"/>
              <w:rPr>
                <w:rFonts w:cs="Arial"/>
                <w:sz w:val="20"/>
                <w:szCs w:val="20"/>
              </w:rPr>
            </w:pPr>
            <w:r w:rsidRPr="0068236B">
              <w:rPr>
                <w:rFonts w:cs="Arial"/>
                <w:sz w:val="20"/>
                <w:szCs w:val="20"/>
              </w:rPr>
              <w:t>A material but non-fundamental change to the environment</w:t>
            </w:r>
          </w:p>
        </w:tc>
        <w:tc>
          <w:tcPr>
            <w:tcW w:w="6095" w:type="dxa"/>
            <w:vAlign w:val="center"/>
          </w:tcPr>
          <w:p w14:paraId="6286D8C4" w14:textId="77777777" w:rsidR="00240E6E" w:rsidRPr="0068236B" w:rsidRDefault="00240E6E" w:rsidP="0015607A">
            <w:pPr>
              <w:spacing w:before="0" w:after="0" w:line="240" w:lineRule="auto"/>
              <w:rPr>
                <w:rFonts w:cs="Arial"/>
                <w:color w:val="000000"/>
                <w:sz w:val="20"/>
                <w:szCs w:val="20"/>
              </w:rPr>
            </w:pPr>
            <w:r w:rsidRPr="0068236B">
              <w:rPr>
                <w:rFonts w:cs="Arial"/>
                <w:color w:val="000000"/>
                <w:sz w:val="20"/>
                <w:szCs w:val="20"/>
              </w:rPr>
              <w:t>These beneficial or adverse impacts may be important, but are not likely to be key decision-making factors. The cumulative e</w:t>
            </w:r>
            <w:r w:rsidRPr="0068236B">
              <w:rPr>
                <w:rFonts w:cs="Arial"/>
                <w:color w:val="000000"/>
                <w:sz w:val="20"/>
                <w:szCs w:val="20"/>
              </w:rPr>
              <w:t>f</w:t>
            </w:r>
            <w:r w:rsidRPr="0068236B">
              <w:rPr>
                <w:rFonts w:cs="Arial"/>
                <w:color w:val="000000"/>
                <w:sz w:val="20"/>
                <w:szCs w:val="20"/>
              </w:rPr>
              <w:t>fects of such factors may influence decision-making if they lead to an increase in the overall adverse impact on a particular resource or receptor.</w:t>
            </w:r>
          </w:p>
        </w:tc>
      </w:tr>
      <w:tr w:rsidR="00240E6E" w:rsidRPr="0068236B" w14:paraId="563E3D8E" w14:textId="77777777" w:rsidTr="0015607A">
        <w:tc>
          <w:tcPr>
            <w:tcW w:w="1295" w:type="dxa"/>
          </w:tcPr>
          <w:p w14:paraId="5431EB1E" w14:textId="77777777" w:rsidR="00240E6E" w:rsidRPr="0068236B" w:rsidRDefault="00240E6E" w:rsidP="0015607A">
            <w:pPr>
              <w:tabs>
                <w:tab w:val="center" w:pos="4320"/>
                <w:tab w:val="right" w:pos="8640"/>
              </w:tabs>
              <w:spacing w:before="0" w:after="0" w:line="240" w:lineRule="auto"/>
              <w:rPr>
                <w:rFonts w:cs="Arial"/>
                <w:sz w:val="20"/>
                <w:szCs w:val="20"/>
              </w:rPr>
            </w:pPr>
            <w:r w:rsidRPr="0068236B">
              <w:rPr>
                <w:rFonts w:cs="Arial"/>
                <w:sz w:val="20"/>
                <w:szCs w:val="20"/>
              </w:rPr>
              <w:t>Minor</w:t>
            </w:r>
          </w:p>
        </w:tc>
        <w:tc>
          <w:tcPr>
            <w:tcW w:w="2249" w:type="dxa"/>
          </w:tcPr>
          <w:p w14:paraId="1A15BEDC" w14:textId="77777777" w:rsidR="00240E6E" w:rsidRPr="0068236B" w:rsidRDefault="00240E6E" w:rsidP="0015607A">
            <w:pPr>
              <w:autoSpaceDE w:val="0"/>
              <w:autoSpaceDN w:val="0"/>
              <w:adjustRightInd w:val="0"/>
              <w:spacing w:before="0" w:after="0" w:line="240" w:lineRule="auto"/>
              <w:rPr>
                <w:rFonts w:cs="Arial"/>
                <w:sz w:val="20"/>
                <w:szCs w:val="20"/>
              </w:rPr>
            </w:pPr>
            <w:r w:rsidRPr="0068236B">
              <w:rPr>
                <w:rFonts w:cs="Arial"/>
                <w:sz w:val="20"/>
                <w:szCs w:val="20"/>
              </w:rPr>
              <w:t>A detectable but non-material change to the</w:t>
            </w:r>
          </w:p>
          <w:p w14:paraId="4F47B30C" w14:textId="77777777" w:rsidR="00240E6E" w:rsidRPr="0068236B" w:rsidRDefault="00240E6E" w:rsidP="0015607A">
            <w:pPr>
              <w:autoSpaceDE w:val="0"/>
              <w:autoSpaceDN w:val="0"/>
              <w:adjustRightInd w:val="0"/>
              <w:spacing w:before="0" w:after="0" w:line="240" w:lineRule="auto"/>
              <w:rPr>
                <w:rFonts w:cs="Arial"/>
                <w:sz w:val="20"/>
                <w:szCs w:val="20"/>
              </w:rPr>
            </w:pPr>
            <w:r w:rsidRPr="0068236B">
              <w:rPr>
                <w:rFonts w:cs="Arial"/>
                <w:sz w:val="20"/>
                <w:szCs w:val="20"/>
              </w:rPr>
              <w:t>Environment</w:t>
            </w:r>
          </w:p>
        </w:tc>
        <w:tc>
          <w:tcPr>
            <w:tcW w:w="6095" w:type="dxa"/>
            <w:vAlign w:val="center"/>
          </w:tcPr>
          <w:p w14:paraId="0CACA4E3" w14:textId="77777777" w:rsidR="00240E6E" w:rsidRPr="0068236B" w:rsidRDefault="00240E6E" w:rsidP="0015607A">
            <w:pPr>
              <w:spacing w:before="0" w:after="0" w:line="240" w:lineRule="auto"/>
              <w:rPr>
                <w:rFonts w:cs="Arial"/>
                <w:color w:val="000000"/>
                <w:sz w:val="20"/>
                <w:szCs w:val="20"/>
              </w:rPr>
            </w:pPr>
            <w:r w:rsidRPr="0068236B">
              <w:rPr>
                <w:rFonts w:cs="Arial"/>
                <w:color w:val="000000"/>
                <w:sz w:val="20"/>
                <w:szCs w:val="20"/>
              </w:rPr>
              <w:t>These beneficial or adverse impacts may be raised as local fa</w:t>
            </w:r>
            <w:r w:rsidRPr="0068236B">
              <w:rPr>
                <w:rFonts w:cs="Arial"/>
                <w:color w:val="000000"/>
                <w:sz w:val="20"/>
                <w:szCs w:val="20"/>
              </w:rPr>
              <w:t>c</w:t>
            </w:r>
            <w:r w:rsidRPr="0068236B">
              <w:rPr>
                <w:rFonts w:cs="Arial"/>
                <w:color w:val="000000"/>
                <w:sz w:val="20"/>
                <w:szCs w:val="20"/>
              </w:rPr>
              <w:t>tors. They are unlikely to be critical in the decision-making pr</w:t>
            </w:r>
            <w:r w:rsidRPr="0068236B">
              <w:rPr>
                <w:rFonts w:cs="Arial"/>
                <w:color w:val="000000"/>
                <w:sz w:val="20"/>
                <w:szCs w:val="20"/>
              </w:rPr>
              <w:t>o</w:t>
            </w:r>
            <w:r w:rsidRPr="0068236B">
              <w:rPr>
                <w:rFonts w:cs="Arial"/>
                <w:color w:val="000000"/>
                <w:sz w:val="20"/>
                <w:szCs w:val="20"/>
              </w:rPr>
              <w:t>cess, but are important in enhancing the subsequent design of the project.</w:t>
            </w:r>
          </w:p>
        </w:tc>
      </w:tr>
      <w:tr w:rsidR="00240E6E" w:rsidRPr="0068236B" w14:paraId="76E91114" w14:textId="77777777" w:rsidTr="0015607A">
        <w:trPr>
          <w:trHeight w:val="519"/>
        </w:trPr>
        <w:tc>
          <w:tcPr>
            <w:tcW w:w="1295" w:type="dxa"/>
          </w:tcPr>
          <w:p w14:paraId="2CCC470E" w14:textId="77777777" w:rsidR="00240E6E" w:rsidRPr="0068236B" w:rsidRDefault="00240E6E" w:rsidP="0015607A">
            <w:pPr>
              <w:tabs>
                <w:tab w:val="center" w:pos="4320"/>
                <w:tab w:val="right" w:pos="8640"/>
              </w:tabs>
              <w:spacing w:before="0" w:after="0" w:line="240" w:lineRule="auto"/>
              <w:rPr>
                <w:rFonts w:cs="Arial"/>
                <w:sz w:val="20"/>
                <w:szCs w:val="20"/>
              </w:rPr>
            </w:pPr>
            <w:r w:rsidRPr="0068236B">
              <w:rPr>
                <w:rFonts w:cs="Arial"/>
                <w:sz w:val="20"/>
                <w:szCs w:val="20"/>
              </w:rPr>
              <w:t>Negligible</w:t>
            </w:r>
          </w:p>
          <w:p w14:paraId="33CEAF17" w14:textId="77777777" w:rsidR="00240E6E" w:rsidRPr="0068236B" w:rsidRDefault="00240E6E" w:rsidP="0015607A">
            <w:pPr>
              <w:tabs>
                <w:tab w:val="center" w:pos="4320"/>
                <w:tab w:val="right" w:pos="8640"/>
              </w:tabs>
              <w:spacing w:before="0" w:after="0" w:line="240" w:lineRule="auto"/>
              <w:rPr>
                <w:rFonts w:cs="Arial"/>
                <w:sz w:val="20"/>
                <w:szCs w:val="20"/>
              </w:rPr>
            </w:pPr>
            <w:r w:rsidRPr="0068236B">
              <w:rPr>
                <w:rFonts w:cs="Arial"/>
                <w:sz w:val="20"/>
                <w:szCs w:val="20"/>
              </w:rPr>
              <w:t>(or neutral)</w:t>
            </w:r>
          </w:p>
        </w:tc>
        <w:tc>
          <w:tcPr>
            <w:tcW w:w="2249" w:type="dxa"/>
          </w:tcPr>
          <w:p w14:paraId="1B1FD861" w14:textId="77777777" w:rsidR="00240E6E" w:rsidRPr="0068236B" w:rsidRDefault="00240E6E" w:rsidP="0015607A">
            <w:pPr>
              <w:tabs>
                <w:tab w:val="center" w:pos="4320"/>
                <w:tab w:val="right" w:pos="8640"/>
              </w:tabs>
              <w:autoSpaceDE w:val="0"/>
              <w:autoSpaceDN w:val="0"/>
              <w:adjustRightInd w:val="0"/>
              <w:spacing w:before="0" w:after="0" w:line="240" w:lineRule="auto"/>
              <w:rPr>
                <w:rFonts w:cs="Arial"/>
                <w:sz w:val="20"/>
                <w:szCs w:val="20"/>
              </w:rPr>
            </w:pPr>
            <w:r w:rsidRPr="0068236B">
              <w:rPr>
                <w:rFonts w:cs="Arial"/>
                <w:sz w:val="20"/>
                <w:szCs w:val="20"/>
              </w:rPr>
              <w:t>No detectable change to the environment</w:t>
            </w:r>
          </w:p>
        </w:tc>
        <w:tc>
          <w:tcPr>
            <w:tcW w:w="6095" w:type="dxa"/>
            <w:vAlign w:val="center"/>
          </w:tcPr>
          <w:p w14:paraId="2FBCBE9B" w14:textId="77777777" w:rsidR="00240E6E" w:rsidRPr="0068236B" w:rsidRDefault="00240E6E" w:rsidP="0015607A">
            <w:pPr>
              <w:spacing w:before="0" w:after="0" w:line="240" w:lineRule="auto"/>
              <w:rPr>
                <w:rFonts w:cs="Arial"/>
                <w:color w:val="000000"/>
                <w:sz w:val="20"/>
                <w:szCs w:val="20"/>
              </w:rPr>
            </w:pPr>
            <w:r w:rsidRPr="0068236B">
              <w:rPr>
                <w:rFonts w:cs="Arial"/>
                <w:color w:val="000000"/>
                <w:sz w:val="20"/>
                <w:szCs w:val="20"/>
              </w:rPr>
              <w:t>No impacts or those that are beneath levels of perception, within normal bounds of variation or within the margin of forecasting error.</w:t>
            </w:r>
          </w:p>
        </w:tc>
      </w:tr>
    </w:tbl>
    <w:p w14:paraId="6641251F" w14:textId="77777777" w:rsidR="00240E6E" w:rsidRPr="0068236B" w:rsidRDefault="00240E6E" w:rsidP="00240E6E">
      <w:pPr>
        <w:overflowPunct w:val="0"/>
        <w:autoSpaceDE w:val="0"/>
        <w:autoSpaceDN w:val="0"/>
        <w:adjustRightInd w:val="0"/>
        <w:spacing w:after="240"/>
        <w:jc w:val="left"/>
        <w:textAlignment w:val="baseline"/>
        <w:rPr>
          <w:rFonts w:cs="Arial"/>
          <w:bCs/>
          <w:iCs/>
          <w:sz w:val="18"/>
          <w:szCs w:val="20"/>
        </w:rPr>
      </w:pPr>
      <w:bookmarkStart w:id="191" w:name="_Toc71559819"/>
      <w:bookmarkStart w:id="192" w:name="_Toc113018171"/>
      <w:bookmarkStart w:id="193" w:name="_Toc48818851"/>
      <w:r w:rsidRPr="0068236B">
        <w:rPr>
          <w:rFonts w:cs="Arial"/>
          <w:bCs/>
          <w:iCs/>
          <w:sz w:val="18"/>
          <w:szCs w:val="20"/>
        </w:rPr>
        <w:t xml:space="preserve">Table </w:t>
      </w:r>
      <w:r w:rsidR="00377E43" w:rsidRPr="0068236B">
        <w:rPr>
          <w:rFonts w:cs="Arial"/>
          <w:bCs/>
          <w:iCs/>
          <w:sz w:val="18"/>
          <w:szCs w:val="20"/>
        </w:rPr>
        <w:fldChar w:fldCharType="begin"/>
      </w:r>
      <w:r w:rsidRPr="0068236B">
        <w:rPr>
          <w:rFonts w:cs="Arial"/>
          <w:bCs/>
          <w:iCs/>
          <w:sz w:val="18"/>
          <w:szCs w:val="20"/>
        </w:rPr>
        <w:instrText xml:space="preserve"> STYLEREF 1 \s </w:instrText>
      </w:r>
      <w:r w:rsidR="00377E43" w:rsidRPr="0068236B">
        <w:rPr>
          <w:rFonts w:cs="Arial"/>
          <w:bCs/>
          <w:iCs/>
          <w:sz w:val="18"/>
          <w:szCs w:val="20"/>
        </w:rPr>
        <w:fldChar w:fldCharType="separate"/>
      </w:r>
      <w:r w:rsidR="00234EBE" w:rsidRPr="0068236B">
        <w:rPr>
          <w:rFonts w:cs="Arial"/>
          <w:bCs/>
          <w:iCs/>
          <w:noProof/>
          <w:sz w:val="18"/>
          <w:szCs w:val="20"/>
        </w:rPr>
        <w:t>5</w:t>
      </w:r>
      <w:r w:rsidR="00377E43" w:rsidRPr="0068236B">
        <w:rPr>
          <w:rFonts w:cs="Arial"/>
          <w:bCs/>
          <w:iCs/>
          <w:sz w:val="18"/>
          <w:szCs w:val="20"/>
        </w:rPr>
        <w:fldChar w:fldCharType="end"/>
      </w:r>
      <w:r w:rsidRPr="0068236B">
        <w:rPr>
          <w:rFonts w:cs="Arial"/>
          <w:bCs/>
          <w:iCs/>
          <w:sz w:val="18"/>
          <w:szCs w:val="20"/>
        </w:rPr>
        <w:t>.</w:t>
      </w:r>
      <w:r w:rsidR="00377E43" w:rsidRPr="0068236B">
        <w:rPr>
          <w:rFonts w:cs="Arial"/>
          <w:bCs/>
          <w:iCs/>
          <w:sz w:val="18"/>
          <w:szCs w:val="20"/>
        </w:rPr>
        <w:fldChar w:fldCharType="begin"/>
      </w:r>
      <w:r w:rsidRPr="0068236B">
        <w:rPr>
          <w:rFonts w:cs="Arial"/>
          <w:bCs/>
          <w:iCs/>
          <w:sz w:val="18"/>
          <w:szCs w:val="20"/>
        </w:rPr>
        <w:instrText xml:space="preserve"> SEQ Table \* ARABIC \s 1 </w:instrText>
      </w:r>
      <w:r w:rsidR="00377E43" w:rsidRPr="0068236B">
        <w:rPr>
          <w:rFonts w:cs="Arial"/>
          <w:bCs/>
          <w:iCs/>
          <w:sz w:val="18"/>
          <w:szCs w:val="20"/>
        </w:rPr>
        <w:fldChar w:fldCharType="separate"/>
      </w:r>
      <w:r w:rsidR="00234EBE" w:rsidRPr="0068236B">
        <w:rPr>
          <w:rFonts w:cs="Arial"/>
          <w:bCs/>
          <w:iCs/>
          <w:noProof/>
          <w:sz w:val="18"/>
          <w:szCs w:val="20"/>
        </w:rPr>
        <w:t>6</w:t>
      </w:r>
      <w:r w:rsidR="00377E43" w:rsidRPr="0068236B">
        <w:rPr>
          <w:rFonts w:cs="Arial"/>
          <w:bCs/>
          <w:iCs/>
          <w:sz w:val="18"/>
          <w:szCs w:val="20"/>
        </w:rPr>
        <w:fldChar w:fldCharType="end"/>
      </w:r>
      <w:r w:rsidR="006E2AC4" w:rsidRPr="0068236B">
        <w:rPr>
          <w:rFonts w:cs="Arial"/>
          <w:bCs/>
          <w:iCs/>
          <w:sz w:val="18"/>
          <w:szCs w:val="20"/>
        </w:rPr>
        <w:t xml:space="preserve">: </w:t>
      </w:r>
      <w:r w:rsidRPr="0068236B">
        <w:rPr>
          <w:rFonts w:cs="Arial"/>
          <w:sz w:val="18"/>
          <w:szCs w:val="20"/>
        </w:rPr>
        <w:t>Typical impact significance categories and their decision-making aspects</w:t>
      </w:r>
      <w:bookmarkEnd w:id="191"/>
      <w:bookmarkEnd w:id="192"/>
    </w:p>
    <w:bookmarkEnd w:id="193"/>
    <w:p w14:paraId="6C3A1603" w14:textId="4509A5B8" w:rsidR="00240E6E" w:rsidRPr="0068236B" w:rsidRDefault="00240E6E" w:rsidP="00240E6E">
      <w:pPr>
        <w:autoSpaceDE w:val="0"/>
        <w:autoSpaceDN w:val="0"/>
        <w:adjustRightInd w:val="0"/>
        <w:rPr>
          <w:rFonts w:eastAsia="ArialMT" w:cs="Tahoma"/>
          <w:sz w:val="20"/>
          <w:szCs w:val="20"/>
        </w:rPr>
      </w:pPr>
      <w:r w:rsidRPr="0068236B">
        <w:rPr>
          <w:rFonts w:cs="Tahoma"/>
          <w:sz w:val="20"/>
          <w:szCs w:val="20"/>
          <w:lang w:eastAsia="en-US"/>
        </w:rPr>
        <w:t xml:space="preserve">Impacts determined to be minor or negligible (neutral) are not deemed to be significant, and as such </w:t>
      </w:r>
      <w:r w:rsidR="00C57B1F" w:rsidRPr="0068236B">
        <w:rPr>
          <w:rFonts w:cs="Tahoma"/>
          <w:sz w:val="20"/>
          <w:szCs w:val="20"/>
          <w:lang w:eastAsia="en-US"/>
        </w:rPr>
        <w:t>are</w:t>
      </w:r>
      <w:r w:rsidRPr="0068236B">
        <w:rPr>
          <w:rFonts w:cs="Tahoma"/>
          <w:sz w:val="20"/>
          <w:szCs w:val="20"/>
          <w:lang w:eastAsia="en-US"/>
        </w:rPr>
        <w:t xml:space="preserve"> not </w:t>
      </w:r>
      <w:r w:rsidR="00C57B1F" w:rsidRPr="0068236B">
        <w:rPr>
          <w:rFonts w:cs="Tahoma"/>
          <w:sz w:val="20"/>
          <w:szCs w:val="20"/>
          <w:lang w:eastAsia="en-US"/>
        </w:rPr>
        <w:t>reported in detail in this E&amp;S Assessment Report</w:t>
      </w:r>
      <w:r w:rsidRPr="0068236B">
        <w:rPr>
          <w:rFonts w:cs="Tahoma"/>
          <w:sz w:val="20"/>
          <w:szCs w:val="20"/>
          <w:lang w:eastAsia="en-US"/>
        </w:rPr>
        <w:t xml:space="preserve"> and </w:t>
      </w:r>
      <w:r w:rsidR="00C57B1F" w:rsidRPr="0068236B">
        <w:rPr>
          <w:rFonts w:cs="Tahoma"/>
          <w:sz w:val="20"/>
          <w:szCs w:val="20"/>
          <w:lang w:eastAsia="en-US"/>
        </w:rPr>
        <w:t>do not</w:t>
      </w:r>
      <w:r w:rsidRPr="0068236B">
        <w:rPr>
          <w:rFonts w:cs="Tahoma"/>
          <w:sz w:val="20"/>
          <w:szCs w:val="20"/>
          <w:lang w:eastAsia="en-US"/>
        </w:rPr>
        <w:t xml:space="preserve"> require specific mitigation. The exception to this is where the combination of multiple minor effects has the potential to lead to a significant (i.e. moderate or above) cumulative effect.</w:t>
      </w:r>
    </w:p>
    <w:p w14:paraId="0B6B65AF" w14:textId="77777777" w:rsidR="00240E6E" w:rsidRPr="0068236B" w:rsidRDefault="00240E6E" w:rsidP="00240E6E">
      <w:pPr>
        <w:autoSpaceDE w:val="0"/>
        <w:autoSpaceDN w:val="0"/>
        <w:adjustRightInd w:val="0"/>
        <w:rPr>
          <w:rFonts w:cs="Tahoma"/>
          <w:sz w:val="20"/>
          <w:szCs w:val="20"/>
          <w:lang w:eastAsia="en-US"/>
        </w:rPr>
      </w:pPr>
      <w:r w:rsidRPr="0068236B">
        <w:rPr>
          <w:rFonts w:eastAsia="ArialMT" w:cs="Tahoma"/>
          <w:sz w:val="20"/>
          <w:szCs w:val="20"/>
        </w:rPr>
        <w:t xml:space="preserve">It should be noted that, although the above describes overall generic approach proposed for the </w:t>
      </w:r>
      <w:r w:rsidR="00806391" w:rsidRPr="0068236B">
        <w:rPr>
          <w:rFonts w:eastAsia="ArialMT" w:cs="Tahoma"/>
          <w:sz w:val="20"/>
          <w:szCs w:val="20"/>
        </w:rPr>
        <w:t>E&amp;S a</w:t>
      </w:r>
      <w:r w:rsidR="00806391" w:rsidRPr="0068236B">
        <w:rPr>
          <w:rFonts w:eastAsia="ArialMT" w:cs="Tahoma"/>
          <w:sz w:val="20"/>
          <w:szCs w:val="20"/>
        </w:rPr>
        <w:t>p</w:t>
      </w:r>
      <w:r w:rsidR="00806391" w:rsidRPr="0068236B">
        <w:rPr>
          <w:rFonts w:eastAsia="ArialMT" w:cs="Tahoma"/>
          <w:sz w:val="20"/>
          <w:szCs w:val="20"/>
        </w:rPr>
        <w:t xml:space="preserve">praisal </w:t>
      </w:r>
      <w:r w:rsidRPr="0068236B">
        <w:rPr>
          <w:rFonts w:eastAsia="ArialMT" w:cs="Tahoma"/>
          <w:sz w:val="20"/>
          <w:szCs w:val="20"/>
        </w:rPr>
        <w:t>for the Project – using sensitivity and magnitude to determine the significance of impact – some pa</w:t>
      </w:r>
      <w:r w:rsidRPr="0068236B">
        <w:rPr>
          <w:rFonts w:eastAsia="ArialMT" w:cs="Tahoma"/>
          <w:sz w:val="20"/>
          <w:szCs w:val="20"/>
        </w:rPr>
        <w:t>r</w:t>
      </w:r>
      <w:r w:rsidRPr="0068236B">
        <w:rPr>
          <w:rFonts w:eastAsia="ArialMT" w:cs="Tahoma"/>
          <w:sz w:val="20"/>
          <w:szCs w:val="20"/>
        </w:rPr>
        <w:t>ticular topics may imply different approach which reflects topic’s specifics in more appropriate way or vari</w:t>
      </w:r>
      <w:r w:rsidRPr="0068236B">
        <w:rPr>
          <w:rFonts w:eastAsia="ArialMT" w:cs="Tahoma"/>
          <w:sz w:val="20"/>
          <w:szCs w:val="20"/>
        </w:rPr>
        <w:t>a</w:t>
      </w:r>
      <w:r w:rsidRPr="0068236B">
        <w:rPr>
          <w:rFonts w:eastAsia="ArialMT" w:cs="Tahoma"/>
          <w:sz w:val="20"/>
          <w:szCs w:val="20"/>
        </w:rPr>
        <w:t xml:space="preserve">tions in terms to the sensitivity or magnitude categories. </w:t>
      </w:r>
    </w:p>
    <w:p w14:paraId="32288FF7" w14:textId="77777777" w:rsidR="00240E6E" w:rsidRPr="0068236B" w:rsidRDefault="00240E6E" w:rsidP="00240E6E">
      <w:pPr>
        <w:pStyle w:val="Heading3"/>
        <w:tabs>
          <w:tab w:val="left" w:pos="1134"/>
        </w:tabs>
        <w:ind w:left="720" w:hanging="720"/>
        <w:rPr>
          <w:rFonts w:cs="Arial"/>
        </w:rPr>
      </w:pPr>
      <w:bookmarkStart w:id="194" w:name="_Toc48829059"/>
      <w:bookmarkStart w:id="195" w:name="_Toc71559757"/>
      <w:bookmarkStart w:id="196" w:name="_Toc112852238"/>
      <w:r w:rsidRPr="0068236B">
        <w:rPr>
          <w:rFonts w:cs="Arial"/>
        </w:rPr>
        <w:lastRenderedPageBreak/>
        <w:t>Impact Mitigation Measures, Enhancement and Residual Effects</w:t>
      </w:r>
      <w:bookmarkEnd w:id="194"/>
      <w:bookmarkEnd w:id="195"/>
      <w:bookmarkEnd w:id="196"/>
    </w:p>
    <w:p w14:paraId="5927C2B5" w14:textId="63A7A305" w:rsidR="00240E6E" w:rsidRPr="0068236B" w:rsidRDefault="00240E6E" w:rsidP="00240E6E">
      <w:pPr>
        <w:autoSpaceDE w:val="0"/>
        <w:autoSpaceDN w:val="0"/>
        <w:adjustRightInd w:val="0"/>
        <w:rPr>
          <w:rFonts w:eastAsia="ArialMT" w:cs="Arial"/>
          <w:sz w:val="20"/>
          <w:szCs w:val="20"/>
        </w:rPr>
      </w:pPr>
      <w:r w:rsidRPr="0068236B">
        <w:rPr>
          <w:rFonts w:eastAsia="ArialMT" w:cs="Arial"/>
          <w:sz w:val="20"/>
          <w:szCs w:val="20"/>
        </w:rPr>
        <w:t xml:space="preserve">Mitigation measures </w:t>
      </w:r>
      <w:r w:rsidR="00C57B1F" w:rsidRPr="0068236B">
        <w:rPr>
          <w:rFonts w:eastAsia="ArialMT" w:cs="Arial"/>
          <w:sz w:val="20"/>
          <w:szCs w:val="20"/>
        </w:rPr>
        <w:t xml:space="preserve">have been </w:t>
      </w:r>
      <w:r w:rsidRPr="0068236B">
        <w:rPr>
          <w:rFonts w:eastAsia="ArialMT" w:cs="Arial"/>
          <w:sz w:val="20"/>
          <w:szCs w:val="20"/>
        </w:rPr>
        <w:t>proposed, where they are available and practical, in those cases where si</w:t>
      </w:r>
      <w:r w:rsidRPr="0068236B">
        <w:rPr>
          <w:rFonts w:eastAsia="ArialMT" w:cs="Arial"/>
          <w:sz w:val="20"/>
          <w:szCs w:val="20"/>
        </w:rPr>
        <w:t>g</w:t>
      </w:r>
      <w:r w:rsidRPr="0068236B">
        <w:rPr>
          <w:rFonts w:eastAsia="ArialMT" w:cs="Arial"/>
          <w:sz w:val="20"/>
          <w:szCs w:val="20"/>
        </w:rPr>
        <w:t xml:space="preserve">nificant adverse impacts are identified. These measures </w:t>
      </w:r>
      <w:r w:rsidR="00C57B1F" w:rsidRPr="0068236B">
        <w:rPr>
          <w:rFonts w:eastAsia="ArialMT" w:cs="Arial"/>
          <w:sz w:val="20"/>
          <w:szCs w:val="20"/>
        </w:rPr>
        <w:t>are</w:t>
      </w:r>
      <w:r w:rsidRPr="0068236B">
        <w:rPr>
          <w:rFonts w:cs="Arial"/>
          <w:sz w:val="20"/>
          <w:szCs w:val="20"/>
        </w:rPr>
        <w:t xml:space="preserve"> consistent with the requirements of the relevant legislation and policies as well as with best international practice and </w:t>
      </w:r>
      <w:r w:rsidR="00C57B1F" w:rsidRPr="0068236B">
        <w:rPr>
          <w:rFonts w:eastAsia="ArialMT" w:cs="Arial"/>
          <w:sz w:val="20"/>
          <w:szCs w:val="20"/>
        </w:rPr>
        <w:t>are</w:t>
      </w:r>
      <w:r w:rsidRPr="0068236B">
        <w:rPr>
          <w:rFonts w:eastAsia="ArialMT" w:cs="Arial"/>
          <w:sz w:val="20"/>
          <w:szCs w:val="20"/>
        </w:rPr>
        <w:t xml:space="preserve"> proportional to the level of the impact predicted.</w:t>
      </w:r>
    </w:p>
    <w:p w14:paraId="65657AA2" w14:textId="1C340207" w:rsidR="00240E6E" w:rsidRPr="0068236B" w:rsidRDefault="00806391" w:rsidP="00240E6E">
      <w:pPr>
        <w:autoSpaceDE w:val="0"/>
        <w:autoSpaceDN w:val="0"/>
        <w:adjustRightInd w:val="0"/>
        <w:rPr>
          <w:rFonts w:eastAsia="ArialMT" w:cs="Arial"/>
          <w:sz w:val="20"/>
          <w:szCs w:val="20"/>
        </w:rPr>
      </w:pPr>
      <w:r w:rsidRPr="0068236B">
        <w:rPr>
          <w:rFonts w:eastAsia="ArialMT" w:cs="Arial"/>
          <w:sz w:val="20"/>
          <w:szCs w:val="20"/>
        </w:rPr>
        <w:t>During the past P</w:t>
      </w:r>
      <w:r w:rsidR="00240E6E" w:rsidRPr="0068236B">
        <w:rPr>
          <w:rFonts w:eastAsia="ArialMT" w:cs="Arial"/>
          <w:sz w:val="20"/>
          <w:szCs w:val="20"/>
        </w:rPr>
        <w:t xml:space="preserve">roject stage, ‘mitigation through design’ was employed as an important factor in ensuring that the environmental </w:t>
      </w:r>
      <w:r w:rsidRPr="0068236B">
        <w:rPr>
          <w:rFonts w:eastAsia="ArialMT" w:cs="Arial"/>
          <w:sz w:val="20"/>
          <w:szCs w:val="20"/>
        </w:rPr>
        <w:t xml:space="preserve">and social </w:t>
      </w:r>
      <w:r w:rsidR="00240E6E" w:rsidRPr="0068236B">
        <w:rPr>
          <w:rFonts w:eastAsia="ArialMT" w:cs="Arial"/>
          <w:sz w:val="20"/>
          <w:szCs w:val="20"/>
        </w:rPr>
        <w:t xml:space="preserve">impacts of the </w:t>
      </w:r>
      <w:r w:rsidRPr="0068236B">
        <w:rPr>
          <w:rFonts w:eastAsia="ArialMT" w:cs="Arial"/>
          <w:sz w:val="20"/>
          <w:szCs w:val="20"/>
        </w:rPr>
        <w:t>P</w:t>
      </w:r>
      <w:r w:rsidR="00240E6E" w:rsidRPr="0068236B">
        <w:rPr>
          <w:rFonts w:eastAsia="ArialMT" w:cs="Arial"/>
          <w:sz w:val="20"/>
          <w:szCs w:val="20"/>
        </w:rPr>
        <w:t xml:space="preserve">roject are avoided as much as possible and minimized throughout alternative sound </w:t>
      </w:r>
      <w:r w:rsidRPr="0068236B">
        <w:rPr>
          <w:rFonts w:eastAsia="ArialMT" w:cs="Arial"/>
          <w:sz w:val="20"/>
          <w:szCs w:val="20"/>
        </w:rPr>
        <w:t>selection of the Project’s preferred development option</w:t>
      </w:r>
      <w:r w:rsidR="00240E6E" w:rsidRPr="0068236B">
        <w:rPr>
          <w:rFonts w:eastAsia="ArialMT" w:cs="Arial"/>
          <w:sz w:val="20"/>
          <w:szCs w:val="20"/>
        </w:rPr>
        <w:t xml:space="preserve">. Therefore, </w:t>
      </w:r>
      <w:r w:rsidRPr="0068236B">
        <w:rPr>
          <w:rFonts w:eastAsia="ArialMT" w:cs="Arial"/>
          <w:sz w:val="20"/>
          <w:szCs w:val="20"/>
        </w:rPr>
        <w:t>through the development of the P</w:t>
      </w:r>
      <w:r w:rsidR="00240E6E" w:rsidRPr="0068236B">
        <w:rPr>
          <w:rFonts w:eastAsia="ArialMT" w:cs="Arial"/>
          <w:sz w:val="20"/>
          <w:szCs w:val="20"/>
        </w:rPr>
        <w:t>roject so far and the iterative approach used by engineering and E</w:t>
      </w:r>
      <w:r w:rsidRPr="0068236B">
        <w:rPr>
          <w:rFonts w:eastAsia="ArialMT" w:cs="Arial"/>
          <w:sz w:val="20"/>
          <w:szCs w:val="20"/>
        </w:rPr>
        <w:t>&amp;</w:t>
      </w:r>
      <w:r w:rsidR="00240E6E" w:rsidRPr="0068236B">
        <w:rPr>
          <w:rFonts w:eastAsia="ArialMT" w:cs="Arial"/>
          <w:sz w:val="20"/>
          <w:szCs w:val="20"/>
        </w:rPr>
        <w:t xml:space="preserve">S teams, mitigation has been built into the technical design (embedded mitigation measures to avoid adverse E&amp;S effects). Where significant impacts potentially remain, further specific mitigation measures </w:t>
      </w:r>
      <w:r w:rsidR="00C57B1F" w:rsidRPr="0068236B">
        <w:rPr>
          <w:rFonts w:eastAsia="ArialMT" w:cs="Arial"/>
          <w:sz w:val="20"/>
          <w:szCs w:val="20"/>
        </w:rPr>
        <w:t xml:space="preserve">are </w:t>
      </w:r>
      <w:r w:rsidR="00240E6E" w:rsidRPr="0068236B">
        <w:rPr>
          <w:rFonts w:eastAsia="ArialMT" w:cs="Arial"/>
          <w:sz w:val="20"/>
          <w:szCs w:val="20"/>
        </w:rPr>
        <w:t xml:space="preserve">proposed in the </w:t>
      </w:r>
      <w:r w:rsidRPr="0068236B">
        <w:rPr>
          <w:rFonts w:eastAsia="ArialMT" w:cs="Arial"/>
          <w:sz w:val="20"/>
          <w:szCs w:val="20"/>
        </w:rPr>
        <w:t>a</w:t>
      </w:r>
      <w:r w:rsidRPr="0068236B">
        <w:rPr>
          <w:rFonts w:eastAsia="ArialMT" w:cs="Arial"/>
          <w:sz w:val="20"/>
          <w:szCs w:val="20"/>
        </w:rPr>
        <w:t>s</w:t>
      </w:r>
      <w:r w:rsidRPr="0068236B">
        <w:rPr>
          <w:rFonts w:eastAsia="ArialMT" w:cs="Arial"/>
          <w:sz w:val="20"/>
          <w:szCs w:val="20"/>
        </w:rPr>
        <w:t>sessment</w:t>
      </w:r>
      <w:r w:rsidR="00240E6E" w:rsidRPr="0068236B">
        <w:rPr>
          <w:rFonts w:eastAsia="ArialMT" w:cs="Arial"/>
          <w:sz w:val="20"/>
          <w:szCs w:val="20"/>
        </w:rPr>
        <w:t>.</w:t>
      </w:r>
    </w:p>
    <w:p w14:paraId="011E93BD" w14:textId="77777777" w:rsidR="00240E6E" w:rsidRPr="0068236B" w:rsidRDefault="00240E6E" w:rsidP="00240E6E">
      <w:pPr>
        <w:rPr>
          <w:rFonts w:cs="Arial"/>
          <w:sz w:val="20"/>
          <w:szCs w:val="20"/>
        </w:rPr>
      </w:pPr>
      <w:r w:rsidRPr="0068236B">
        <w:rPr>
          <w:rFonts w:cs="Arial"/>
          <w:sz w:val="20"/>
          <w:szCs w:val="20"/>
        </w:rPr>
        <w:t>The principles of mitigation, including its hierarchical manner are as follows (Figure below):</w:t>
      </w:r>
    </w:p>
    <w:p w14:paraId="0D1668F1" w14:textId="77777777" w:rsidR="00240E6E" w:rsidRPr="0068236B" w:rsidRDefault="00240E6E" w:rsidP="00D24CEF">
      <w:pPr>
        <w:pStyle w:val="ListBullet"/>
        <w:numPr>
          <w:ilvl w:val="0"/>
          <w:numId w:val="97"/>
        </w:numPr>
        <w:jc w:val="left"/>
        <w:rPr>
          <w:sz w:val="20"/>
          <w:lang w:eastAsia="zh-CN"/>
        </w:rPr>
      </w:pPr>
      <w:r w:rsidRPr="0068236B">
        <w:rPr>
          <w:rFonts w:cs="Tahoma"/>
          <w:sz w:val="20"/>
          <w:szCs w:val="20"/>
          <w:lang w:eastAsia="zh-CN"/>
        </w:rPr>
        <w:t xml:space="preserve">Avoidance and prevention measures - </w:t>
      </w:r>
      <w:r w:rsidRPr="0068236B">
        <w:rPr>
          <w:rFonts w:cs="Tahoma"/>
          <w:sz w:val="20"/>
          <w:szCs w:val="20"/>
          <w:lang w:eastAsia="en-US"/>
        </w:rPr>
        <w:t>incorporate measures to avoid the effect (e.g. alternative design options or modifying the proposed project construction programme to avoid enviro</w:t>
      </w:r>
      <w:r w:rsidRPr="0068236B">
        <w:rPr>
          <w:rFonts w:cs="Tahoma"/>
          <w:sz w:val="20"/>
          <w:szCs w:val="20"/>
          <w:lang w:eastAsia="en-US"/>
        </w:rPr>
        <w:t>n</w:t>
      </w:r>
      <w:r w:rsidRPr="0068236B">
        <w:rPr>
          <w:rFonts w:cs="Tahoma"/>
          <w:sz w:val="20"/>
          <w:szCs w:val="20"/>
          <w:lang w:eastAsia="en-US"/>
        </w:rPr>
        <w:t>mentally sensitive periods).</w:t>
      </w:r>
    </w:p>
    <w:p w14:paraId="2FC4B0A2" w14:textId="77777777" w:rsidR="00240E6E" w:rsidRPr="0068236B" w:rsidRDefault="00240E6E" w:rsidP="00D24CEF">
      <w:pPr>
        <w:pStyle w:val="ListBullet"/>
        <w:numPr>
          <w:ilvl w:val="0"/>
          <w:numId w:val="97"/>
        </w:numPr>
        <w:jc w:val="left"/>
        <w:rPr>
          <w:sz w:val="20"/>
          <w:lang w:eastAsia="zh-CN"/>
        </w:rPr>
      </w:pPr>
      <w:r w:rsidRPr="0068236B">
        <w:rPr>
          <w:rFonts w:cs="Tahoma"/>
          <w:sz w:val="20"/>
          <w:szCs w:val="20"/>
          <w:lang w:eastAsia="zh-CN"/>
        </w:rPr>
        <w:t>Reduction -</w:t>
      </w:r>
      <w:r w:rsidRPr="0068236B">
        <w:rPr>
          <w:rFonts w:cs="Tahoma"/>
          <w:sz w:val="20"/>
          <w:szCs w:val="20"/>
          <w:lang w:eastAsia="en-US"/>
        </w:rPr>
        <w:t xml:space="preserve"> incorporate measures to lessen the effect (e.g. fencing off sensitive areas during construction and implementing a Construction Environmental and Social Management Plan (CESMP) to reduce the potential impacts from construction activities).</w:t>
      </w:r>
    </w:p>
    <w:p w14:paraId="27B8F5FB" w14:textId="77777777" w:rsidR="00240E6E" w:rsidRPr="0068236B" w:rsidRDefault="00240E6E" w:rsidP="00D24CEF">
      <w:pPr>
        <w:pStyle w:val="ListBullet"/>
        <w:numPr>
          <w:ilvl w:val="0"/>
          <w:numId w:val="97"/>
        </w:numPr>
        <w:jc w:val="left"/>
        <w:rPr>
          <w:sz w:val="20"/>
          <w:lang w:eastAsia="zh-CN"/>
        </w:rPr>
      </w:pPr>
      <w:r w:rsidRPr="0068236B">
        <w:rPr>
          <w:rFonts w:cs="Tahoma"/>
          <w:sz w:val="20"/>
          <w:szCs w:val="20"/>
          <w:lang w:eastAsia="en-US"/>
        </w:rPr>
        <w:t>Compensation / remediation as last resort – where it is not possible to avoid or reduce a signif</w:t>
      </w:r>
      <w:r w:rsidRPr="0068236B">
        <w:rPr>
          <w:rFonts w:cs="Tahoma"/>
          <w:sz w:val="20"/>
          <w:szCs w:val="20"/>
          <w:lang w:eastAsia="en-US"/>
        </w:rPr>
        <w:t>i</w:t>
      </w:r>
      <w:r w:rsidRPr="0068236B">
        <w:rPr>
          <w:rFonts w:cs="Tahoma"/>
          <w:sz w:val="20"/>
          <w:szCs w:val="20"/>
          <w:lang w:eastAsia="en-US"/>
        </w:rPr>
        <w:t>cant effect then offsetting measures should be considered (e.g. provision of replacement of habitat to replace that lost to the proposed project or remediation such as the clean-up of co</w:t>
      </w:r>
      <w:r w:rsidRPr="0068236B">
        <w:rPr>
          <w:rFonts w:cs="Tahoma"/>
          <w:sz w:val="20"/>
          <w:szCs w:val="20"/>
          <w:lang w:eastAsia="en-US"/>
        </w:rPr>
        <w:t>n</w:t>
      </w:r>
      <w:r w:rsidRPr="0068236B">
        <w:rPr>
          <w:rFonts w:cs="Tahoma"/>
          <w:sz w:val="20"/>
          <w:szCs w:val="20"/>
          <w:lang w:eastAsia="en-US"/>
        </w:rPr>
        <w:t xml:space="preserve">taminated soils). </w:t>
      </w:r>
      <w:r w:rsidRPr="0068236B">
        <w:rPr>
          <w:rFonts w:cs="Tahoma"/>
          <w:sz w:val="20"/>
          <w:szCs w:val="20"/>
        </w:rPr>
        <w:t>It should be noted that compensation or remediation does not automatically make an impact ‘acceptable’ or excuse the need to consider other forms of mitigation as di</w:t>
      </w:r>
      <w:r w:rsidRPr="0068236B">
        <w:rPr>
          <w:rFonts w:cs="Tahoma"/>
          <w:sz w:val="20"/>
          <w:szCs w:val="20"/>
        </w:rPr>
        <w:t>s</w:t>
      </w:r>
      <w:r w:rsidRPr="0068236B">
        <w:rPr>
          <w:rFonts w:cs="Tahoma"/>
          <w:sz w:val="20"/>
          <w:szCs w:val="20"/>
        </w:rPr>
        <w:t>cussed in the hierarchy.</w:t>
      </w:r>
    </w:p>
    <w:p w14:paraId="7DC16613" w14:textId="77777777" w:rsidR="00240E6E" w:rsidRPr="0068236B" w:rsidRDefault="00240E6E" w:rsidP="00D24CEF">
      <w:pPr>
        <w:pStyle w:val="ListBullet"/>
        <w:numPr>
          <w:ilvl w:val="0"/>
          <w:numId w:val="97"/>
        </w:numPr>
        <w:jc w:val="left"/>
        <w:rPr>
          <w:rFonts w:cs="Arial"/>
          <w:sz w:val="20"/>
          <w:lang w:eastAsia="zh-CN"/>
        </w:rPr>
      </w:pPr>
      <w:r w:rsidRPr="0068236B">
        <w:rPr>
          <w:rFonts w:cs="Tahoma"/>
          <w:noProof/>
          <w:sz w:val="20"/>
          <w:szCs w:val="20"/>
          <w:lang w:val="mk-MK" w:eastAsia="mk-MK"/>
        </w:rPr>
        <w:drawing>
          <wp:anchor distT="0" distB="0" distL="114300" distR="114300" simplePos="0" relativeHeight="251658241" behindDoc="0" locked="0" layoutInCell="1" allowOverlap="1" wp14:anchorId="32FE6BA1" wp14:editId="6573C552">
            <wp:simplePos x="0" y="0"/>
            <wp:positionH relativeFrom="column">
              <wp:posOffset>-81915</wp:posOffset>
            </wp:positionH>
            <wp:positionV relativeFrom="paragraph">
              <wp:posOffset>366395</wp:posOffset>
            </wp:positionV>
            <wp:extent cx="4829175" cy="2228850"/>
            <wp:effectExtent l="19050" t="0" r="9525" b="0"/>
            <wp:wrapTopAndBottom/>
            <wp:docPr id="204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cstate="email">
                      <a:extLst>
                        <a:ext uri="{28A0092B-C50C-407E-A947-70E740481C1C}">
                          <a14:useLocalDpi xmlns:a14="http://schemas.microsoft.com/office/drawing/2010/main" val="0"/>
                        </a:ext>
                      </a:extLst>
                    </a:blip>
                    <a:stretch>
                      <a:fillRect/>
                    </a:stretch>
                  </pic:blipFill>
                  <pic:spPr>
                    <a:xfrm>
                      <a:off x="0" y="0"/>
                      <a:ext cx="4829175" cy="2228850"/>
                    </a:xfrm>
                    <a:prstGeom prst="rect">
                      <a:avLst/>
                    </a:prstGeom>
                  </pic:spPr>
                </pic:pic>
              </a:graphicData>
            </a:graphic>
          </wp:anchor>
        </w:drawing>
      </w:r>
      <w:r w:rsidRPr="0068236B">
        <w:rPr>
          <w:rFonts w:cs="Tahoma"/>
          <w:sz w:val="20"/>
          <w:szCs w:val="20"/>
          <w:lang w:eastAsia="zh-CN"/>
        </w:rPr>
        <w:t>Enhancement of eventual positive project effects.</w:t>
      </w:r>
    </w:p>
    <w:p w14:paraId="7F75DED2" w14:textId="77777777" w:rsidR="00240E6E" w:rsidRPr="0068236B" w:rsidRDefault="00240E6E" w:rsidP="00240E6E">
      <w:pPr>
        <w:pStyle w:val="Caption"/>
        <w:spacing w:after="240"/>
        <w:jc w:val="both"/>
        <w:rPr>
          <w:rFonts w:cs="Tahoma"/>
          <w:b w:val="0"/>
          <w:szCs w:val="20"/>
        </w:rPr>
      </w:pPr>
      <w:bookmarkStart w:id="197" w:name="_Toc48818890"/>
      <w:bookmarkStart w:id="198" w:name="_Toc71559834"/>
      <w:bookmarkStart w:id="199" w:name="_Toc112928871"/>
      <w:r w:rsidRPr="0068236B">
        <w:rPr>
          <w:b w:val="0"/>
          <w:szCs w:val="20"/>
        </w:rPr>
        <w:t xml:space="preserve">Figure </w:t>
      </w:r>
      <w:r w:rsidR="00377E43" w:rsidRPr="0068236B">
        <w:rPr>
          <w:b w:val="0"/>
          <w:szCs w:val="20"/>
        </w:rPr>
        <w:fldChar w:fldCharType="begin"/>
      </w:r>
      <w:r w:rsidRPr="0068236B">
        <w:rPr>
          <w:b w:val="0"/>
          <w:szCs w:val="20"/>
        </w:rPr>
        <w:instrText xml:space="preserve"> STYLEREF 1 \s </w:instrText>
      </w:r>
      <w:r w:rsidR="00377E43" w:rsidRPr="0068236B">
        <w:rPr>
          <w:b w:val="0"/>
          <w:szCs w:val="20"/>
        </w:rPr>
        <w:fldChar w:fldCharType="separate"/>
      </w:r>
      <w:r w:rsidR="00234EBE" w:rsidRPr="0068236B">
        <w:rPr>
          <w:b w:val="0"/>
          <w:noProof/>
          <w:szCs w:val="20"/>
        </w:rPr>
        <w:t>5</w:t>
      </w:r>
      <w:r w:rsidR="00377E43" w:rsidRPr="0068236B">
        <w:rPr>
          <w:b w:val="0"/>
          <w:szCs w:val="20"/>
        </w:rPr>
        <w:fldChar w:fldCharType="end"/>
      </w:r>
      <w:r w:rsidRPr="0068236B">
        <w:rPr>
          <w:b w:val="0"/>
          <w:szCs w:val="20"/>
        </w:rPr>
        <w:t>.</w:t>
      </w:r>
      <w:r w:rsidR="00377E43" w:rsidRPr="0068236B">
        <w:rPr>
          <w:b w:val="0"/>
          <w:szCs w:val="20"/>
        </w:rPr>
        <w:fldChar w:fldCharType="begin"/>
      </w:r>
      <w:r w:rsidRPr="0068236B">
        <w:rPr>
          <w:b w:val="0"/>
          <w:szCs w:val="20"/>
        </w:rPr>
        <w:instrText xml:space="preserve"> SEQ Figure \* ARABIC \s 1 </w:instrText>
      </w:r>
      <w:r w:rsidR="00377E43" w:rsidRPr="0068236B">
        <w:rPr>
          <w:b w:val="0"/>
          <w:szCs w:val="20"/>
        </w:rPr>
        <w:fldChar w:fldCharType="separate"/>
      </w:r>
      <w:r w:rsidR="00234EBE" w:rsidRPr="0068236B">
        <w:rPr>
          <w:b w:val="0"/>
          <w:noProof/>
          <w:szCs w:val="20"/>
        </w:rPr>
        <w:t>1</w:t>
      </w:r>
      <w:r w:rsidR="00377E43" w:rsidRPr="0068236B">
        <w:rPr>
          <w:b w:val="0"/>
          <w:szCs w:val="20"/>
        </w:rPr>
        <w:fldChar w:fldCharType="end"/>
      </w:r>
      <w:r w:rsidR="006E2AC4" w:rsidRPr="0068236B">
        <w:rPr>
          <w:b w:val="0"/>
          <w:szCs w:val="20"/>
        </w:rPr>
        <w:t>:</w:t>
      </w:r>
      <w:r w:rsidRPr="0068236B">
        <w:rPr>
          <w:b w:val="0"/>
          <w:szCs w:val="20"/>
        </w:rPr>
        <w:t xml:space="preserve"> Impact mitigation hierarchy</w:t>
      </w:r>
      <w:bookmarkEnd w:id="197"/>
      <w:bookmarkEnd w:id="198"/>
      <w:bookmarkEnd w:id="199"/>
      <w:r w:rsidRPr="0068236B">
        <w:rPr>
          <w:b w:val="0"/>
          <w:bCs w:val="0"/>
          <w:szCs w:val="20"/>
        </w:rPr>
        <w:t xml:space="preserve"> </w:t>
      </w:r>
    </w:p>
    <w:p w14:paraId="5612262F" w14:textId="77777777" w:rsidR="0007768C" w:rsidRDefault="0007768C">
      <w:pPr>
        <w:spacing w:before="0" w:after="0" w:line="240" w:lineRule="auto"/>
        <w:jc w:val="left"/>
        <w:rPr>
          <w:rFonts w:cs="Arial"/>
          <w:b/>
          <w:color w:val="44697D"/>
          <w:sz w:val="28"/>
          <w:szCs w:val="28"/>
        </w:rPr>
      </w:pPr>
      <w:bookmarkStart w:id="200" w:name="_Toc48829061"/>
      <w:bookmarkStart w:id="201" w:name="_Toc71559759"/>
      <w:r>
        <w:rPr>
          <w:rFonts w:cs="Arial"/>
          <w:szCs w:val="28"/>
        </w:rPr>
        <w:br w:type="page"/>
      </w:r>
    </w:p>
    <w:p w14:paraId="66A7E1C1" w14:textId="0A14ABDE" w:rsidR="00240E6E" w:rsidRPr="0068236B" w:rsidRDefault="00240E6E" w:rsidP="00240E6E">
      <w:pPr>
        <w:pStyle w:val="Heading2"/>
        <w:spacing w:before="480" w:after="240"/>
        <w:ind w:left="576" w:hanging="576"/>
        <w:rPr>
          <w:rFonts w:cs="Arial"/>
          <w:szCs w:val="28"/>
        </w:rPr>
      </w:pPr>
      <w:bookmarkStart w:id="202" w:name="_Toc112852239"/>
      <w:r w:rsidRPr="0068236B">
        <w:rPr>
          <w:rFonts w:cs="Arial"/>
          <w:szCs w:val="28"/>
        </w:rPr>
        <w:lastRenderedPageBreak/>
        <w:t>Assumptions and Limitations</w:t>
      </w:r>
      <w:bookmarkEnd w:id="200"/>
      <w:bookmarkEnd w:id="201"/>
      <w:bookmarkEnd w:id="202"/>
    </w:p>
    <w:p w14:paraId="518C8473" w14:textId="73E52E54" w:rsidR="00240E6E" w:rsidRPr="0068236B" w:rsidRDefault="00240E6E" w:rsidP="00240E6E">
      <w:pPr>
        <w:autoSpaceDE w:val="0"/>
        <w:autoSpaceDN w:val="0"/>
        <w:adjustRightInd w:val="0"/>
        <w:jc w:val="left"/>
        <w:rPr>
          <w:rFonts w:cs="Tahoma"/>
          <w:sz w:val="20"/>
          <w:szCs w:val="20"/>
          <w:lang w:eastAsia="en-US"/>
        </w:rPr>
      </w:pPr>
      <w:r w:rsidRPr="0068236B">
        <w:rPr>
          <w:rFonts w:cs="Tahoma"/>
          <w:sz w:val="20"/>
          <w:szCs w:val="20"/>
          <w:lang w:eastAsia="en-US"/>
        </w:rPr>
        <w:t xml:space="preserve">Throughout this </w:t>
      </w:r>
      <w:r w:rsidR="00DA0976" w:rsidRPr="0068236B">
        <w:rPr>
          <w:rFonts w:cs="Tahoma"/>
          <w:sz w:val="20"/>
          <w:szCs w:val="20"/>
          <w:lang w:eastAsia="en-US"/>
        </w:rPr>
        <w:t xml:space="preserve">environmental and social assessment </w:t>
      </w:r>
      <w:r w:rsidRPr="0068236B">
        <w:rPr>
          <w:rFonts w:cs="Tahoma"/>
          <w:sz w:val="20"/>
          <w:szCs w:val="20"/>
          <w:lang w:eastAsia="en-US"/>
        </w:rPr>
        <w:t>the following generic assumptions have been made:</w:t>
      </w:r>
    </w:p>
    <w:p w14:paraId="7FACEBC2" w14:textId="03064DD6" w:rsidR="00935D61" w:rsidRPr="0068236B" w:rsidRDefault="00935D61" w:rsidP="00D24CEF">
      <w:pPr>
        <w:pStyle w:val="ListBullet"/>
        <w:numPr>
          <w:ilvl w:val="0"/>
          <w:numId w:val="97"/>
        </w:numPr>
        <w:jc w:val="left"/>
        <w:rPr>
          <w:rFonts w:cs="Tahoma"/>
          <w:sz w:val="20"/>
          <w:szCs w:val="20"/>
          <w:lang w:eastAsia="zh-CN"/>
        </w:rPr>
      </w:pPr>
      <w:r w:rsidRPr="0068236B">
        <w:rPr>
          <w:rFonts w:cs="Tahoma"/>
          <w:sz w:val="20"/>
          <w:szCs w:val="20"/>
        </w:rPr>
        <w:t xml:space="preserve">This E&amp;S Assessment Report has been prepared based on the </w:t>
      </w:r>
      <w:r w:rsidRPr="0068236B">
        <w:rPr>
          <w:rFonts w:cs="Tahoma"/>
          <w:sz w:val="20"/>
          <w:szCs w:val="20"/>
          <w:lang w:eastAsia="en-US"/>
        </w:rPr>
        <w:t>current available technical (eng</w:t>
      </w:r>
      <w:r w:rsidRPr="0068236B">
        <w:rPr>
          <w:rFonts w:cs="Tahoma"/>
          <w:sz w:val="20"/>
          <w:szCs w:val="20"/>
          <w:lang w:eastAsia="en-US"/>
        </w:rPr>
        <w:t>i</w:t>
      </w:r>
      <w:r w:rsidRPr="0068236B">
        <w:rPr>
          <w:rFonts w:cs="Tahoma"/>
          <w:sz w:val="20"/>
          <w:szCs w:val="20"/>
          <w:lang w:eastAsia="en-US"/>
        </w:rPr>
        <w:t xml:space="preserve">neering) design (Conceptual Solution as reported in the </w:t>
      </w:r>
      <w:r w:rsidRPr="0068236B">
        <w:rPr>
          <w:rFonts w:cs="Tahoma"/>
          <w:sz w:val="20"/>
          <w:szCs w:val="20"/>
        </w:rPr>
        <w:t>Project’s Technical Assessment</w:t>
      </w:r>
      <w:r w:rsidRPr="0068236B">
        <w:rPr>
          <w:rStyle w:val="FootnoteReference"/>
          <w:rFonts w:cs="Tahoma"/>
          <w:sz w:val="20"/>
          <w:szCs w:val="20"/>
        </w:rPr>
        <w:footnoteReference w:id="66"/>
      </w:r>
      <w:r w:rsidRPr="0068236B">
        <w:rPr>
          <w:rFonts w:cs="Tahoma"/>
          <w:sz w:val="20"/>
          <w:szCs w:val="20"/>
        </w:rPr>
        <w:t>)</w:t>
      </w:r>
      <w:r w:rsidRPr="0068236B">
        <w:rPr>
          <w:rFonts w:cs="Tahoma"/>
          <w:sz w:val="20"/>
        </w:rPr>
        <w:t xml:space="preserve"> that corresponds to a Feasibility Study </w:t>
      </w:r>
      <w:r w:rsidRPr="0068236B">
        <w:rPr>
          <w:rFonts w:cs="Tahoma"/>
          <w:sz w:val="20"/>
          <w:szCs w:val="20"/>
        </w:rPr>
        <w:t xml:space="preserve">as described in the previous sub-section. As usual for projects of this scale, further design development or refinement outside of the 500 metres wide planning corridor </w:t>
      </w:r>
      <w:r w:rsidRPr="0068236B">
        <w:rPr>
          <w:rFonts w:cs="Tahoma"/>
          <w:sz w:val="20"/>
        </w:rPr>
        <w:t>and the 100 m buffer around proposed substation location</w:t>
      </w:r>
      <w:r w:rsidRPr="0068236B">
        <w:rPr>
          <w:rFonts w:cs="Tahoma"/>
          <w:sz w:val="20"/>
          <w:szCs w:val="20"/>
        </w:rPr>
        <w:t xml:space="preserve"> is not likely to be underta</w:t>
      </w:r>
      <w:r w:rsidRPr="0068236B">
        <w:rPr>
          <w:rFonts w:cs="Tahoma"/>
          <w:sz w:val="20"/>
          <w:szCs w:val="20"/>
        </w:rPr>
        <w:t>k</w:t>
      </w:r>
      <w:r w:rsidRPr="0068236B">
        <w:rPr>
          <w:rFonts w:cs="Tahoma"/>
          <w:sz w:val="20"/>
          <w:szCs w:val="20"/>
        </w:rPr>
        <w:t>en. Any changes to the design within these areas have been assessed by the E&amp;S assessment process and will not require re-assessment or approval by Project parties (including the Lender) as well as the Macedonian competent authorities. However, if changes to design beyond these limits occur, they will require further E&amp;S consideration and may be subject to supplementary assessment. If these changes are material, they may require approval by Project parties. This process is described in the Management of Change Procedure as described in this report.</w:t>
      </w:r>
    </w:p>
    <w:p w14:paraId="16C219BB" w14:textId="5A900FCD" w:rsidR="00240E6E" w:rsidRPr="0068236B" w:rsidRDefault="00240E6E" w:rsidP="00D24CEF">
      <w:pPr>
        <w:pStyle w:val="ListBullet"/>
        <w:numPr>
          <w:ilvl w:val="0"/>
          <w:numId w:val="97"/>
        </w:numPr>
        <w:jc w:val="left"/>
        <w:rPr>
          <w:rFonts w:cs="Tahoma"/>
          <w:sz w:val="20"/>
          <w:szCs w:val="20"/>
          <w:lang w:eastAsia="zh-CN"/>
        </w:rPr>
      </w:pPr>
      <w:r w:rsidRPr="0068236B">
        <w:rPr>
          <w:rFonts w:cs="Tahoma"/>
          <w:sz w:val="20"/>
          <w:szCs w:val="20"/>
          <w:lang w:eastAsia="en-US"/>
        </w:rPr>
        <w:t xml:space="preserve">This </w:t>
      </w:r>
      <w:r w:rsidR="00DA0976" w:rsidRPr="0068236B">
        <w:rPr>
          <w:rFonts w:cs="Tahoma"/>
          <w:sz w:val="20"/>
          <w:szCs w:val="20"/>
          <w:lang w:eastAsia="en-US"/>
        </w:rPr>
        <w:t>E&amp;S Assessment Report</w:t>
      </w:r>
      <w:r w:rsidRPr="0068236B">
        <w:rPr>
          <w:rFonts w:cs="Tahoma"/>
          <w:sz w:val="20"/>
          <w:szCs w:val="20"/>
          <w:lang w:eastAsia="en-US"/>
        </w:rPr>
        <w:t xml:space="preserve"> has been prepared based on the </w:t>
      </w:r>
      <w:r w:rsidR="00E60CCF" w:rsidRPr="0068236B">
        <w:rPr>
          <w:rFonts w:cs="Tahoma"/>
          <w:sz w:val="20"/>
          <w:szCs w:val="20"/>
          <w:lang w:eastAsia="en-US"/>
        </w:rPr>
        <w:t>selected</w:t>
      </w:r>
      <w:r w:rsidRPr="0068236B">
        <w:rPr>
          <w:rFonts w:cs="Tahoma"/>
          <w:sz w:val="20"/>
          <w:szCs w:val="20"/>
          <w:lang w:eastAsia="en-US"/>
        </w:rPr>
        <w:t xml:space="preserve"> SS location and OHL corridor</w:t>
      </w:r>
      <w:r w:rsidR="00075DA9" w:rsidRPr="0068236B">
        <w:rPr>
          <w:rFonts w:cs="Tahoma"/>
          <w:sz w:val="20"/>
          <w:szCs w:val="20"/>
          <w:lang w:eastAsia="en-US"/>
        </w:rPr>
        <w:t>(s)</w:t>
      </w:r>
      <w:r w:rsidRPr="0068236B">
        <w:rPr>
          <w:rFonts w:cs="Tahoma"/>
          <w:sz w:val="20"/>
          <w:szCs w:val="20"/>
          <w:lang w:eastAsia="en-US"/>
        </w:rPr>
        <w:t xml:space="preserve"> (as presented in Annex 1), the environmental and social baseline information avail</w:t>
      </w:r>
      <w:r w:rsidRPr="0068236B">
        <w:rPr>
          <w:rFonts w:cs="Tahoma"/>
          <w:sz w:val="20"/>
          <w:szCs w:val="20"/>
          <w:lang w:eastAsia="en-US"/>
        </w:rPr>
        <w:t>a</w:t>
      </w:r>
      <w:r w:rsidRPr="0068236B">
        <w:rPr>
          <w:rFonts w:cs="Tahoma"/>
          <w:sz w:val="20"/>
          <w:szCs w:val="20"/>
          <w:lang w:eastAsia="en-US"/>
        </w:rPr>
        <w:t xml:space="preserve">ble at the time of writing and the current available technical (engineering) design (Conceptual </w:t>
      </w:r>
      <w:r w:rsidR="00075DA9" w:rsidRPr="0068236B">
        <w:rPr>
          <w:rFonts w:cs="Tahoma"/>
          <w:sz w:val="20"/>
          <w:szCs w:val="20"/>
          <w:lang w:eastAsia="en-US"/>
        </w:rPr>
        <w:t>Solution</w:t>
      </w:r>
      <w:r w:rsidRPr="0068236B">
        <w:rPr>
          <w:rFonts w:cs="Tahoma"/>
          <w:sz w:val="20"/>
          <w:szCs w:val="20"/>
          <w:lang w:eastAsia="en-US"/>
        </w:rPr>
        <w:t>). Further information will become available as the iterative technical (engineering) d</w:t>
      </w:r>
      <w:r w:rsidRPr="0068236B">
        <w:rPr>
          <w:rFonts w:cs="Tahoma"/>
          <w:sz w:val="20"/>
          <w:szCs w:val="20"/>
          <w:lang w:eastAsia="en-US"/>
        </w:rPr>
        <w:t>e</w:t>
      </w:r>
      <w:r w:rsidRPr="0068236B">
        <w:rPr>
          <w:rFonts w:cs="Tahoma"/>
          <w:sz w:val="20"/>
          <w:szCs w:val="20"/>
          <w:lang w:eastAsia="en-US"/>
        </w:rPr>
        <w:t>sign and E&amp;S assessment process proceed through preliminary and detailed design and, subs</w:t>
      </w:r>
      <w:r w:rsidRPr="0068236B">
        <w:rPr>
          <w:rFonts w:cs="Tahoma"/>
          <w:sz w:val="20"/>
          <w:szCs w:val="20"/>
          <w:lang w:eastAsia="en-US"/>
        </w:rPr>
        <w:t>e</w:t>
      </w:r>
      <w:r w:rsidRPr="0068236B">
        <w:rPr>
          <w:rFonts w:cs="Tahoma"/>
          <w:sz w:val="20"/>
          <w:szCs w:val="20"/>
          <w:lang w:eastAsia="en-US"/>
        </w:rPr>
        <w:t xml:space="preserve">quently, the scope of </w:t>
      </w:r>
      <w:r w:rsidR="00DA0976" w:rsidRPr="0068236B">
        <w:rPr>
          <w:rFonts w:cs="Tahoma"/>
          <w:sz w:val="20"/>
          <w:szCs w:val="20"/>
          <w:lang w:eastAsia="en-US"/>
        </w:rPr>
        <w:t>the assessment</w:t>
      </w:r>
      <w:r w:rsidRPr="0068236B">
        <w:rPr>
          <w:rFonts w:cs="Tahoma"/>
          <w:sz w:val="20"/>
          <w:szCs w:val="20"/>
          <w:lang w:eastAsia="en-US"/>
        </w:rPr>
        <w:t xml:space="preserve"> will need to be reviewed and updated as process evolves, if necessary.</w:t>
      </w:r>
    </w:p>
    <w:p w14:paraId="2F61C844" w14:textId="395687F9" w:rsidR="00240E6E" w:rsidRPr="0068236B" w:rsidRDefault="00240E6E" w:rsidP="00D24CEF">
      <w:pPr>
        <w:pStyle w:val="ListBullet"/>
        <w:numPr>
          <w:ilvl w:val="0"/>
          <w:numId w:val="97"/>
        </w:numPr>
        <w:jc w:val="left"/>
        <w:rPr>
          <w:rFonts w:cs="Tahoma"/>
          <w:sz w:val="20"/>
          <w:szCs w:val="20"/>
          <w:lang w:eastAsia="zh-CN"/>
        </w:rPr>
      </w:pPr>
      <w:r w:rsidRPr="0068236B">
        <w:rPr>
          <w:rFonts w:cs="Tahoma"/>
          <w:sz w:val="20"/>
          <w:szCs w:val="20"/>
          <w:lang w:eastAsia="en-US"/>
        </w:rPr>
        <w:t>Number and locations of the towers</w:t>
      </w:r>
      <w:r w:rsidR="00075DA9" w:rsidRPr="0068236B">
        <w:rPr>
          <w:rFonts w:cs="Tahoma"/>
          <w:sz w:val="20"/>
          <w:szCs w:val="20"/>
          <w:lang w:eastAsia="en-US"/>
        </w:rPr>
        <w:t xml:space="preserve"> for the new transmission line</w:t>
      </w:r>
      <w:r w:rsidR="00E10AD0" w:rsidRPr="0068236B">
        <w:rPr>
          <w:rFonts w:cs="Tahoma"/>
          <w:sz w:val="20"/>
          <w:szCs w:val="20"/>
          <w:lang w:eastAsia="en-US"/>
        </w:rPr>
        <w:t>s</w:t>
      </w:r>
      <w:r w:rsidR="00075DA9" w:rsidRPr="0068236B">
        <w:rPr>
          <w:rFonts w:cs="Tahoma"/>
          <w:sz w:val="20"/>
          <w:szCs w:val="20"/>
          <w:lang w:eastAsia="en-US"/>
        </w:rPr>
        <w:t xml:space="preserve"> </w:t>
      </w:r>
      <w:r w:rsidRPr="0068236B">
        <w:rPr>
          <w:rFonts w:cs="Tahoma"/>
          <w:sz w:val="20"/>
          <w:szCs w:val="20"/>
          <w:lang w:eastAsia="en-US"/>
        </w:rPr>
        <w:t>are unknown at present stage of the Project development. These would be identified during upcoming design stages of the Project.</w:t>
      </w:r>
    </w:p>
    <w:p w14:paraId="554CAE6C" w14:textId="71DC8190" w:rsidR="00240E6E" w:rsidRPr="0068236B" w:rsidRDefault="00240E6E" w:rsidP="00D24CEF">
      <w:pPr>
        <w:pStyle w:val="ListBullet"/>
        <w:numPr>
          <w:ilvl w:val="0"/>
          <w:numId w:val="97"/>
        </w:numPr>
        <w:jc w:val="left"/>
        <w:rPr>
          <w:rFonts w:cs="Tahoma"/>
          <w:sz w:val="20"/>
          <w:szCs w:val="20"/>
          <w:lang w:eastAsia="zh-CN"/>
        </w:rPr>
      </w:pPr>
      <w:r w:rsidRPr="0068236B">
        <w:rPr>
          <w:rFonts w:cs="Tahoma"/>
          <w:sz w:val="20"/>
          <w:szCs w:val="20"/>
          <w:lang w:eastAsia="en-US"/>
        </w:rPr>
        <w:t>Details in regard t</w:t>
      </w:r>
      <w:r w:rsidR="00DA0976" w:rsidRPr="0068236B">
        <w:rPr>
          <w:rFonts w:cs="Tahoma"/>
          <w:sz w:val="20"/>
          <w:szCs w:val="20"/>
          <w:lang w:eastAsia="en-US"/>
        </w:rPr>
        <w:t>o the construction methods</w:t>
      </w:r>
      <w:r w:rsidRPr="0068236B">
        <w:rPr>
          <w:rFonts w:cs="Tahoma"/>
          <w:sz w:val="20"/>
          <w:szCs w:val="20"/>
          <w:lang w:eastAsia="en-US"/>
        </w:rPr>
        <w:t xml:space="preserve"> are unknown at present stage of the Project d</w:t>
      </w:r>
      <w:r w:rsidRPr="0068236B">
        <w:rPr>
          <w:rFonts w:cs="Tahoma"/>
          <w:sz w:val="20"/>
          <w:szCs w:val="20"/>
          <w:lang w:eastAsia="en-US"/>
        </w:rPr>
        <w:t>e</w:t>
      </w:r>
      <w:r w:rsidRPr="0068236B">
        <w:rPr>
          <w:rFonts w:cs="Tahoma"/>
          <w:sz w:val="20"/>
          <w:szCs w:val="20"/>
          <w:lang w:eastAsia="en-US"/>
        </w:rPr>
        <w:t xml:space="preserve">velopment. </w:t>
      </w:r>
    </w:p>
    <w:p w14:paraId="79CC3747" w14:textId="47AB3200" w:rsidR="00240E6E" w:rsidRPr="0068236B" w:rsidRDefault="00240E6E" w:rsidP="00D24CEF">
      <w:pPr>
        <w:pStyle w:val="ListBullet"/>
        <w:numPr>
          <w:ilvl w:val="0"/>
          <w:numId w:val="97"/>
        </w:numPr>
        <w:jc w:val="left"/>
        <w:rPr>
          <w:rFonts w:cs="Tahoma"/>
          <w:sz w:val="20"/>
          <w:szCs w:val="20"/>
          <w:lang w:eastAsia="zh-CN"/>
        </w:rPr>
      </w:pPr>
      <w:r w:rsidRPr="0068236B">
        <w:rPr>
          <w:rFonts w:cs="Tahoma"/>
          <w:sz w:val="20"/>
          <w:szCs w:val="20"/>
          <w:lang w:eastAsia="en-US"/>
        </w:rPr>
        <w:t xml:space="preserve">Locations and details of auxiliary works (e.g. </w:t>
      </w:r>
      <w:r w:rsidR="00E10AD0" w:rsidRPr="0068236B">
        <w:rPr>
          <w:rFonts w:cs="Tahoma"/>
          <w:sz w:val="20"/>
          <w:szCs w:val="20"/>
          <w:lang w:eastAsia="en-US"/>
        </w:rPr>
        <w:t xml:space="preserve">new </w:t>
      </w:r>
      <w:r w:rsidRPr="0068236B">
        <w:rPr>
          <w:rFonts w:cs="Tahoma"/>
          <w:sz w:val="20"/>
          <w:szCs w:val="20"/>
          <w:lang w:eastAsia="en-US"/>
        </w:rPr>
        <w:t xml:space="preserve">access roads for construction purposes, site compounds, workers camps and materials storage) are unknown at present stage of the Project development. </w:t>
      </w:r>
    </w:p>
    <w:p w14:paraId="521F79A0" w14:textId="5C0C520C" w:rsidR="00DB3C90" w:rsidRPr="0068236B" w:rsidRDefault="00240E6E" w:rsidP="00D24CEF">
      <w:pPr>
        <w:pStyle w:val="ListBullet"/>
        <w:numPr>
          <w:ilvl w:val="0"/>
          <w:numId w:val="97"/>
        </w:numPr>
        <w:jc w:val="left"/>
        <w:rPr>
          <w:rFonts w:cs="Tahoma"/>
          <w:sz w:val="20"/>
          <w:szCs w:val="20"/>
          <w:lang w:eastAsia="zh-CN"/>
        </w:rPr>
      </w:pPr>
      <w:r w:rsidRPr="0068236B">
        <w:rPr>
          <w:rFonts w:cs="Tahoma"/>
          <w:sz w:val="20"/>
          <w:szCs w:val="20"/>
        </w:rPr>
        <w:t xml:space="preserve">The current situation with the outbreak of the pandemic COVID-19 disease imposed </w:t>
      </w:r>
      <w:r w:rsidRPr="0068236B">
        <w:rPr>
          <w:rFonts w:cs="Tahoma"/>
          <w:sz w:val="20"/>
          <w:szCs w:val="20"/>
          <w:lang w:eastAsia="en-US"/>
        </w:rPr>
        <w:t xml:space="preserve">mandatory restrictions and social distancing measures thus </w:t>
      </w:r>
      <w:r w:rsidRPr="0068236B">
        <w:rPr>
          <w:rFonts w:cs="Tahoma"/>
          <w:sz w:val="20"/>
          <w:szCs w:val="20"/>
        </w:rPr>
        <w:t>changing the familiar and widely used methods for information disclosure and stakeholder engagement. As a result, n</w:t>
      </w:r>
      <w:r w:rsidRPr="0068236B">
        <w:rPr>
          <w:rFonts w:eastAsiaTheme="minorHAnsi"/>
          <w:sz w:val="20"/>
          <w:lang w:eastAsia="en-US"/>
        </w:rPr>
        <w:t xml:space="preserve">on-statutory consultation to inform the </w:t>
      </w:r>
      <w:r w:rsidR="00075DA9" w:rsidRPr="0068236B">
        <w:rPr>
          <w:rFonts w:eastAsiaTheme="minorHAnsi"/>
          <w:sz w:val="20"/>
          <w:lang w:eastAsia="en-US"/>
        </w:rPr>
        <w:t xml:space="preserve">concerned </w:t>
      </w:r>
      <w:r w:rsidRPr="0068236B">
        <w:rPr>
          <w:rFonts w:eastAsiaTheme="minorHAnsi"/>
          <w:sz w:val="20"/>
          <w:lang w:eastAsia="en-US"/>
        </w:rPr>
        <w:t xml:space="preserve">communities throughout the </w:t>
      </w:r>
      <w:r w:rsidR="00075DA9" w:rsidRPr="0068236B">
        <w:rPr>
          <w:rFonts w:eastAsiaTheme="minorHAnsi"/>
          <w:sz w:val="20"/>
          <w:lang w:eastAsia="en-US"/>
        </w:rPr>
        <w:t xml:space="preserve">Project’s E&amp;S appraisal </w:t>
      </w:r>
      <w:r w:rsidRPr="0068236B">
        <w:rPr>
          <w:rFonts w:eastAsiaTheme="minorHAnsi"/>
          <w:sz w:val="20"/>
          <w:lang w:eastAsia="en-US"/>
        </w:rPr>
        <w:t>has not taken place.</w:t>
      </w:r>
      <w:r w:rsidRPr="0068236B">
        <w:rPr>
          <w:sz w:val="20"/>
        </w:rPr>
        <w:t xml:space="preserve"> The inclusion of these stakeholders in the further stakeholder engagement process as part of the upcoming Proj</w:t>
      </w:r>
      <w:r w:rsidR="003553E2" w:rsidRPr="0068236B">
        <w:rPr>
          <w:sz w:val="20"/>
        </w:rPr>
        <w:t>ect’s development stages (e.g. P</w:t>
      </w:r>
      <w:r w:rsidRPr="0068236B">
        <w:rPr>
          <w:sz w:val="20"/>
        </w:rPr>
        <w:t xml:space="preserve">reliminary </w:t>
      </w:r>
      <w:r w:rsidR="003553E2" w:rsidRPr="0068236B">
        <w:rPr>
          <w:sz w:val="20"/>
        </w:rPr>
        <w:t>D</w:t>
      </w:r>
      <w:r w:rsidRPr="0068236B">
        <w:rPr>
          <w:sz w:val="20"/>
        </w:rPr>
        <w:t>esign and</w:t>
      </w:r>
      <w:r w:rsidR="003553E2" w:rsidRPr="0068236B">
        <w:rPr>
          <w:sz w:val="20"/>
        </w:rPr>
        <w:t>/or D</w:t>
      </w:r>
      <w:r w:rsidRPr="0068236B">
        <w:rPr>
          <w:sz w:val="20"/>
        </w:rPr>
        <w:t xml:space="preserve">etailed </w:t>
      </w:r>
      <w:r w:rsidR="003553E2" w:rsidRPr="0068236B">
        <w:rPr>
          <w:sz w:val="20"/>
        </w:rPr>
        <w:t>D</w:t>
      </w:r>
      <w:r w:rsidRPr="0068236B">
        <w:rPr>
          <w:sz w:val="20"/>
        </w:rPr>
        <w:t>e</w:t>
      </w:r>
      <w:r w:rsidRPr="0068236B">
        <w:rPr>
          <w:sz w:val="20"/>
        </w:rPr>
        <w:t>sign) will be carried out according to the respective international and national recommendations and would need to be set out in the Project’s SEP.</w:t>
      </w:r>
      <w:r w:rsidR="00DB3C90" w:rsidRPr="0068236B">
        <w:rPr>
          <w:rFonts w:cs="Tahoma"/>
          <w:sz w:val="20"/>
          <w:szCs w:val="20"/>
          <w:lang w:eastAsia="zh-CN"/>
        </w:rPr>
        <w:br w:type="page"/>
      </w:r>
    </w:p>
    <w:p w14:paraId="56ED3673" w14:textId="77777777" w:rsidR="008F5EA6" w:rsidRPr="0068236B" w:rsidRDefault="008F5EA6" w:rsidP="00E44ED8">
      <w:pPr>
        <w:pStyle w:val="Heading1"/>
        <w:rPr>
          <w:lang w:bidi="en-US"/>
        </w:rPr>
      </w:pPr>
      <w:bookmarkStart w:id="203" w:name="_Toc80181103"/>
      <w:bookmarkStart w:id="204" w:name="_Toc112852240"/>
      <w:bookmarkStart w:id="205" w:name="_Toc48829062"/>
      <w:bookmarkStart w:id="206" w:name="_Toc71559760"/>
      <w:r w:rsidRPr="0068236B">
        <w:lastRenderedPageBreak/>
        <w:t>Consultation and Participation Arrangements</w:t>
      </w:r>
      <w:bookmarkEnd w:id="203"/>
      <w:bookmarkEnd w:id="204"/>
    </w:p>
    <w:p w14:paraId="37AEAA65" w14:textId="77777777" w:rsidR="008F5EA6" w:rsidRPr="0068236B" w:rsidRDefault="008F5EA6" w:rsidP="008F5EA6">
      <w:pPr>
        <w:pStyle w:val="Heading2"/>
        <w:keepNext w:val="0"/>
        <w:spacing w:before="480" w:after="240"/>
        <w:ind w:left="1077"/>
      </w:pPr>
      <w:bookmarkStart w:id="207" w:name="_Toc60150104"/>
      <w:bookmarkStart w:id="208" w:name="_Toc66450687"/>
      <w:bookmarkStart w:id="209" w:name="_Toc80181104"/>
      <w:bookmarkStart w:id="210" w:name="_Toc112852241"/>
      <w:r w:rsidRPr="0068236B">
        <w:t>Context</w:t>
      </w:r>
      <w:bookmarkEnd w:id="207"/>
      <w:bookmarkEnd w:id="208"/>
      <w:bookmarkEnd w:id="209"/>
      <w:bookmarkEnd w:id="210"/>
    </w:p>
    <w:p w14:paraId="047DD047" w14:textId="77777777" w:rsidR="008F5EA6" w:rsidRPr="0068236B" w:rsidRDefault="008F5EA6" w:rsidP="008F5EA6">
      <w:pPr>
        <w:autoSpaceDE w:val="0"/>
        <w:autoSpaceDN w:val="0"/>
        <w:adjustRightInd w:val="0"/>
        <w:spacing w:after="0"/>
        <w:rPr>
          <w:rFonts w:cs="Tahoma"/>
          <w:sz w:val="20"/>
          <w:szCs w:val="20"/>
        </w:rPr>
      </w:pPr>
      <w:r w:rsidRPr="0068236B">
        <w:rPr>
          <w:rFonts w:cs="Tahoma"/>
          <w:sz w:val="20"/>
          <w:szCs w:val="20"/>
        </w:rPr>
        <w:t xml:space="preserve">Effective stakeholder engagement and consultation is seen as fundamental to the success of the proposed Project. </w:t>
      </w:r>
    </w:p>
    <w:p w14:paraId="69ABD6A2" w14:textId="77777777" w:rsidR="008F5EA6" w:rsidRPr="0068236B" w:rsidRDefault="008F5EA6" w:rsidP="008F5EA6">
      <w:pPr>
        <w:autoSpaceDE w:val="0"/>
        <w:autoSpaceDN w:val="0"/>
        <w:adjustRightInd w:val="0"/>
        <w:rPr>
          <w:rFonts w:cs="Tahoma"/>
          <w:sz w:val="20"/>
          <w:szCs w:val="20"/>
          <w:lang w:eastAsia="en-US"/>
        </w:rPr>
      </w:pPr>
      <w:r w:rsidRPr="0068236B">
        <w:rPr>
          <w:rFonts w:cs="Tahoma"/>
          <w:sz w:val="20"/>
          <w:szCs w:val="20"/>
          <w:lang w:eastAsia="en-US"/>
        </w:rPr>
        <w:t>The Project has a wide range of stakeholders (including statutory consultees, local communities, property owners and landowners, businesses and other affected groups) with differing interests that will require va</w:t>
      </w:r>
      <w:r w:rsidRPr="0068236B">
        <w:rPr>
          <w:rFonts w:cs="Tahoma"/>
          <w:sz w:val="20"/>
          <w:szCs w:val="20"/>
          <w:lang w:eastAsia="en-US"/>
        </w:rPr>
        <w:t>r</w:t>
      </w:r>
      <w:r w:rsidRPr="0068236B">
        <w:rPr>
          <w:rFonts w:cs="Tahoma"/>
          <w:sz w:val="20"/>
          <w:szCs w:val="20"/>
          <w:lang w:eastAsia="en-US"/>
        </w:rPr>
        <w:t>ied levels of information. Specific communication activities therefore need to be focused to meet the needs of particular individuals and groups, particularly vulnerable groups. This requires an understanding of the stakeholders and their interest in the proposed project.</w:t>
      </w:r>
    </w:p>
    <w:p w14:paraId="0055F074" w14:textId="77777777" w:rsidR="008F5EA6" w:rsidRPr="0068236B" w:rsidRDefault="008F5EA6" w:rsidP="008F5EA6">
      <w:pPr>
        <w:autoSpaceDE w:val="0"/>
        <w:autoSpaceDN w:val="0"/>
        <w:adjustRightInd w:val="0"/>
        <w:spacing w:after="0"/>
        <w:rPr>
          <w:rFonts w:cs="Tahoma"/>
          <w:sz w:val="20"/>
          <w:szCs w:val="20"/>
        </w:rPr>
      </w:pPr>
      <w:r w:rsidRPr="0068236B">
        <w:rPr>
          <w:rFonts w:cs="Tahoma"/>
          <w:sz w:val="20"/>
          <w:szCs w:val="20"/>
        </w:rPr>
        <w:t>Stakeholder engagement for the Project would be based on the following principles:</w:t>
      </w:r>
    </w:p>
    <w:p w14:paraId="7BF63F52" w14:textId="77777777" w:rsidR="008F5EA6" w:rsidRPr="0068236B" w:rsidRDefault="008F5EA6" w:rsidP="008E77D3">
      <w:pPr>
        <w:pStyle w:val="ListParagraph"/>
        <w:numPr>
          <w:ilvl w:val="0"/>
          <w:numId w:val="51"/>
        </w:numPr>
        <w:autoSpaceDE w:val="0"/>
        <w:autoSpaceDN w:val="0"/>
        <w:adjustRightInd w:val="0"/>
        <w:spacing w:after="0" w:line="23" w:lineRule="atLeast"/>
        <w:ind w:left="1134" w:hanging="567"/>
        <w:contextualSpacing w:val="0"/>
        <w:jc w:val="left"/>
        <w:rPr>
          <w:rFonts w:cs="Tahoma"/>
          <w:sz w:val="20"/>
          <w:szCs w:val="20"/>
        </w:rPr>
      </w:pPr>
      <w:r w:rsidRPr="0068236B">
        <w:rPr>
          <w:rFonts w:cs="Tahoma"/>
          <w:sz w:val="20"/>
          <w:szCs w:val="20"/>
        </w:rPr>
        <w:t>Early and ongoing engagement with relevant stakeholders to inform and influence the Project development process;</w:t>
      </w:r>
    </w:p>
    <w:p w14:paraId="30E81AF0" w14:textId="77777777" w:rsidR="008F5EA6" w:rsidRPr="0068236B" w:rsidRDefault="008F5EA6" w:rsidP="008E77D3">
      <w:pPr>
        <w:pStyle w:val="ListParagraph"/>
        <w:numPr>
          <w:ilvl w:val="0"/>
          <w:numId w:val="51"/>
        </w:numPr>
        <w:autoSpaceDE w:val="0"/>
        <w:autoSpaceDN w:val="0"/>
        <w:adjustRightInd w:val="0"/>
        <w:spacing w:after="0" w:line="23" w:lineRule="atLeast"/>
        <w:ind w:left="1134" w:hanging="567"/>
        <w:contextualSpacing w:val="0"/>
        <w:jc w:val="left"/>
        <w:rPr>
          <w:rFonts w:cs="Tahoma"/>
          <w:sz w:val="20"/>
          <w:szCs w:val="20"/>
        </w:rPr>
      </w:pPr>
      <w:r w:rsidRPr="0068236B">
        <w:rPr>
          <w:rFonts w:cs="Tahoma"/>
          <w:sz w:val="20"/>
          <w:szCs w:val="20"/>
        </w:rPr>
        <w:t>Seeking an appropriate level of feedback at each development stage in order to achieve iter</w:t>
      </w:r>
      <w:r w:rsidRPr="0068236B">
        <w:rPr>
          <w:rFonts w:cs="Tahoma"/>
          <w:sz w:val="20"/>
          <w:szCs w:val="20"/>
        </w:rPr>
        <w:t>a</w:t>
      </w:r>
      <w:r w:rsidRPr="0068236B">
        <w:rPr>
          <w:rFonts w:cs="Tahoma"/>
          <w:sz w:val="20"/>
          <w:szCs w:val="20"/>
        </w:rPr>
        <w:t>tive design process by ensuring that comments and concerns received are taken into consider</w:t>
      </w:r>
      <w:r w:rsidRPr="0068236B">
        <w:rPr>
          <w:rFonts w:cs="Tahoma"/>
          <w:sz w:val="20"/>
          <w:szCs w:val="20"/>
        </w:rPr>
        <w:t>a</w:t>
      </w:r>
      <w:r w:rsidRPr="0068236B">
        <w:rPr>
          <w:rFonts w:cs="Tahoma"/>
          <w:sz w:val="20"/>
          <w:szCs w:val="20"/>
        </w:rPr>
        <w:t>tion.</w:t>
      </w:r>
    </w:p>
    <w:p w14:paraId="535E2B80" w14:textId="77777777" w:rsidR="008F5EA6" w:rsidRPr="0068236B" w:rsidRDefault="008F5EA6" w:rsidP="008E77D3">
      <w:pPr>
        <w:pStyle w:val="ListParagraph"/>
        <w:numPr>
          <w:ilvl w:val="0"/>
          <w:numId w:val="51"/>
        </w:numPr>
        <w:autoSpaceDE w:val="0"/>
        <w:autoSpaceDN w:val="0"/>
        <w:adjustRightInd w:val="0"/>
        <w:spacing w:after="0" w:line="23" w:lineRule="atLeast"/>
        <w:ind w:left="1134" w:hanging="567"/>
        <w:contextualSpacing w:val="0"/>
        <w:jc w:val="left"/>
        <w:rPr>
          <w:rFonts w:cs="Tahoma"/>
          <w:sz w:val="20"/>
          <w:szCs w:val="20"/>
          <w:lang w:eastAsia="en-US"/>
        </w:rPr>
      </w:pPr>
      <w:r w:rsidRPr="0068236B">
        <w:rPr>
          <w:rFonts w:cs="Tahoma"/>
          <w:sz w:val="20"/>
          <w:szCs w:val="20"/>
          <w:lang w:eastAsia="en-US"/>
        </w:rPr>
        <w:t>Building of long term relationships with key stakeholders throughout the different stages of the Project to help better understand their views;</w:t>
      </w:r>
    </w:p>
    <w:p w14:paraId="5EB79DD2" w14:textId="77777777" w:rsidR="008F5EA6" w:rsidRPr="0068236B" w:rsidRDefault="008F5EA6" w:rsidP="008E77D3">
      <w:pPr>
        <w:pStyle w:val="ListParagraph"/>
        <w:numPr>
          <w:ilvl w:val="0"/>
          <w:numId w:val="51"/>
        </w:numPr>
        <w:autoSpaceDE w:val="0"/>
        <w:autoSpaceDN w:val="0"/>
        <w:adjustRightInd w:val="0"/>
        <w:spacing w:after="0" w:line="23" w:lineRule="atLeast"/>
        <w:ind w:left="1134" w:hanging="567"/>
        <w:contextualSpacing w:val="0"/>
        <w:jc w:val="left"/>
        <w:rPr>
          <w:rFonts w:cs="Tahoma"/>
          <w:sz w:val="20"/>
          <w:szCs w:val="20"/>
          <w:lang w:eastAsia="en-US"/>
        </w:rPr>
      </w:pPr>
      <w:r w:rsidRPr="0068236B">
        <w:rPr>
          <w:rFonts w:cs="Tahoma"/>
          <w:sz w:val="20"/>
          <w:szCs w:val="20"/>
          <w:lang w:eastAsia="en-US"/>
        </w:rPr>
        <w:t>Where possible and practicable ensuring concerns are addressed; and</w:t>
      </w:r>
    </w:p>
    <w:p w14:paraId="452E76B4" w14:textId="77777777" w:rsidR="008F5EA6" w:rsidRPr="0068236B" w:rsidRDefault="008F5EA6" w:rsidP="008E77D3">
      <w:pPr>
        <w:pStyle w:val="ListParagraph"/>
        <w:numPr>
          <w:ilvl w:val="0"/>
          <w:numId w:val="51"/>
        </w:numPr>
        <w:autoSpaceDE w:val="0"/>
        <w:autoSpaceDN w:val="0"/>
        <w:adjustRightInd w:val="0"/>
        <w:spacing w:after="0" w:line="23" w:lineRule="atLeast"/>
        <w:ind w:left="1134" w:hanging="567"/>
        <w:contextualSpacing w:val="0"/>
        <w:jc w:val="left"/>
        <w:rPr>
          <w:rFonts w:cs="Tahoma"/>
          <w:sz w:val="20"/>
          <w:szCs w:val="20"/>
          <w:lang w:eastAsia="en-US"/>
        </w:rPr>
      </w:pPr>
      <w:r w:rsidRPr="0068236B">
        <w:rPr>
          <w:rFonts w:cs="Tahoma"/>
          <w:sz w:val="20"/>
          <w:szCs w:val="20"/>
          <w:lang w:eastAsia="en-US"/>
        </w:rPr>
        <w:t>Ensuring appropriate statutory consultation is undertaken in compliance with national requir</w:t>
      </w:r>
      <w:r w:rsidRPr="0068236B">
        <w:rPr>
          <w:rFonts w:cs="Tahoma"/>
          <w:sz w:val="20"/>
          <w:szCs w:val="20"/>
          <w:lang w:eastAsia="en-US"/>
        </w:rPr>
        <w:t>e</w:t>
      </w:r>
      <w:r w:rsidRPr="0068236B">
        <w:rPr>
          <w:rFonts w:cs="Tahoma"/>
          <w:sz w:val="20"/>
          <w:szCs w:val="20"/>
          <w:lang w:eastAsia="en-US"/>
        </w:rPr>
        <w:t>ments and best international practice.</w:t>
      </w:r>
    </w:p>
    <w:p w14:paraId="228CA312" w14:textId="2F6EB911" w:rsidR="008F5EA6" w:rsidRPr="0068236B" w:rsidRDefault="008F5EA6" w:rsidP="008F5EA6">
      <w:pPr>
        <w:rPr>
          <w:rFonts w:cs="Arial"/>
          <w:sz w:val="20"/>
          <w:szCs w:val="20"/>
        </w:rPr>
      </w:pPr>
      <w:r w:rsidRPr="0068236B">
        <w:rPr>
          <w:rFonts w:cs="Arial"/>
          <w:sz w:val="20"/>
          <w:szCs w:val="20"/>
        </w:rPr>
        <w:t xml:space="preserve">MEPSO intends to implement the Project as an example of good practice in the development of transmission infrastructure with the aim of involving stakeholders and maintaining good communication practices throughout the life of the Project. Therefore, stakeholder engagement process has been initiated </w:t>
      </w:r>
      <w:r w:rsidR="001762F7">
        <w:rPr>
          <w:rFonts w:cs="Arial"/>
          <w:sz w:val="20"/>
          <w:szCs w:val="20"/>
        </w:rPr>
        <w:t>during the analysis of Project options and continued during</w:t>
      </w:r>
      <w:r w:rsidRPr="0068236B">
        <w:rPr>
          <w:rFonts w:cs="Arial"/>
          <w:sz w:val="20"/>
          <w:szCs w:val="20"/>
        </w:rPr>
        <w:t xml:space="preserve"> the </w:t>
      </w:r>
      <w:r w:rsidR="005E6643" w:rsidRPr="0068236B">
        <w:rPr>
          <w:rFonts w:cs="Arial"/>
          <w:sz w:val="20"/>
          <w:szCs w:val="20"/>
        </w:rPr>
        <w:t>assessment’s</w:t>
      </w:r>
      <w:r w:rsidRPr="0068236B">
        <w:rPr>
          <w:rFonts w:cs="Arial"/>
          <w:sz w:val="20"/>
          <w:szCs w:val="20"/>
        </w:rPr>
        <w:t xml:space="preserve"> scoping stage and will be further carried on based on the technical analysis and environmental and social appraisal performed so far</w:t>
      </w:r>
      <w:r w:rsidR="001762F7">
        <w:rPr>
          <w:rFonts w:cs="Arial"/>
          <w:sz w:val="20"/>
          <w:szCs w:val="20"/>
        </w:rPr>
        <w:t>, and in line with the SEP requirements</w:t>
      </w:r>
      <w:r w:rsidRPr="0068236B">
        <w:rPr>
          <w:rFonts w:cs="Arial"/>
          <w:sz w:val="20"/>
          <w:szCs w:val="20"/>
        </w:rPr>
        <w:t xml:space="preserve">. </w:t>
      </w:r>
    </w:p>
    <w:p w14:paraId="0858AE8D" w14:textId="77777777" w:rsidR="008F5EA6" w:rsidRPr="0068236B" w:rsidRDefault="008F5EA6" w:rsidP="008F5EA6">
      <w:pPr>
        <w:pStyle w:val="BodyText"/>
        <w:spacing w:before="120" w:after="120"/>
        <w:ind w:left="0"/>
        <w:jc w:val="both"/>
        <w:rPr>
          <w:rFonts w:ascii="Tahoma" w:hAnsi="Tahoma" w:cs="Tahoma"/>
          <w:sz w:val="20"/>
          <w:szCs w:val="22"/>
        </w:rPr>
      </w:pPr>
      <w:r w:rsidRPr="0068236B">
        <w:rPr>
          <w:rFonts w:ascii="Tahoma" w:hAnsi="Tahoma" w:cs="Tahoma"/>
          <w:sz w:val="20"/>
          <w:szCs w:val="22"/>
        </w:rPr>
        <w:t>However, the situation with the outbreak of the pandemic COVID-19 disease, caused by SARS-CoV-2 virus, changed the familiar and widely used methods for information disclosure and stakeholder engagement, in particular the public engagement and consultation. In order to avoid, to the maximum extent where poss</w:t>
      </w:r>
      <w:r w:rsidRPr="0068236B">
        <w:rPr>
          <w:rFonts w:ascii="Tahoma" w:hAnsi="Tahoma" w:cs="Tahoma"/>
          <w:sz w:val="20"/>
          <w:szCs w:val="22"/>
        </w:rPr>
        <w:t>i</w:t>
      </w:r>
      <w:r w:rsidRPr="0068236B">
        <w:rPr>
          <w:rFonts w:ascii="Tahoma" w:hAnsi="Tahoma" w:cs="Tahoma"/>
          <w:sz w:val="20"/>
          <w:szCs w:val="22"/>
        </w:rPr>
        <w:t>ble, the exposure to the risk of transmission of the infection, the stakeholder engagement process and i</w:t>
      </w:r>
      <w:r w:rsidRPr="0068236B">
        <w:rPr>
          <w:rFonts w:ascii="Tahoma" w:hAnsi="Tahoma" w:cs="Tahoma"/>
          <w:sz w:val="20"/>
          <w:szCs w:val="22"/>
        </w:rPr>
        <w:t>n</w:t>
      </w:r>
      <w:r w:rsidRPr="0068236B">
        <w:rPr>
          <w:rFonts w:ascii="Tahoma" w:hAnsi="Tahoma" w:cs="Tahoma"/>
          <w:sz w:val="20"/>
          <w:szCs w:val="22"/>
        </w:rPr>
        <w:t>formation disclosure methods for the Project are to be tailored in accordance to the recommendations given by the most relevant international and national health organizations and relevant actors who are modelling and defining the good international practice.</w:t>
      </w:r>
    </w:p>
    <w:p w14:paraId="4D2D15DD" w14:textId="777845BE" w:rsidR="008F5EA6" w:rsidRPr="0068236B" w:rsidRDefault="00607ADE" w:rsidP="008F5EA6">
      <w:pPr>
        <w:rPr>
          <w:rFonts w:cs="Arial"/>
          <w:sz w:val="20"/>
          <w:szCs w:val="20"/>
        </w:rPr>
      </w:pPr>
      <w:r w:rsidRPr="0068236B">
        <w:rPr>
          <w:rFonts w:cs="Arial"/>
          <w:sz w:val="20"/>
          <w:szCs w:val="20"/>
        </w:rPr>
        <w:t xml:space="preserve">This process will be guided by the Stakeholder Engagement Plan (SEP) for the wider development as a whole, that has been prepared as part of its current planning and design phase. </w:t>
      </w:r>
      <w:r w:rsidR="001762F7">
        <w:rPr>
          <w:rFonts w:cs="Arial"/>
          <w:sz w:val="20"/>
          <w:szCs w:val="20"/>
        </w:rPr>
        <w:t>The</w:t>
      </w:r>
      <w:r w:rsidR="008F5EA6" w:rsidRPr="0068236B">
        <w:rPr>
          <w:rFonts w:cs="Arial"/>
          <w:sz w:val="20"/>
          <w:szCs w:val="20"/>
        </w:rPr>
        <w:t xml:space="preserve"> SEP [Ref.5] has been prepared to meet IFI and international standards as well as national stakeholder engagement requirements.</w:t>
      </w:r>
    </w:p>
    <w:p w14:paraId="58A0BC20" w14:textId="3ACDF1A4" w:rsidR="008F5EA6" w:rsidRPr="0068236B" w:rsidRDefault="008F5EA6" w:rsidP="008F5EA6">
      <w:pPr>
        <w:autoSpaceDE w:val="0"/>
        <w:autoSpaceDN w:val="0"/>
        <w:adjustRightInd w:val="0"/>
        <w:rPr>
          <w:rFonts w:eastAsia="Calibri" w:cs="Tahoma"/>
          <w:sz w:val="20"/>
          <w:lang w:eastAsia="da-DK"/>
        </w:rPr>
      </w:pPr>
      <w:r w:rsidRPr="0068236B">
        <w:rPr>
          <w:rFonts w:eastAsia="Calibri" w:cs="Tahoma"/>
          <w:sz w:val="20"/>
          <w:lang w:eastAsia="da-DK"/>
        </w:rPr>
        <w:t>An E&amp;S assessment disclosure package for Project will contain</w:t>
      </w:r>
      <w:r w:rsidR="00180113">
        <w:rPr>
          <w:rFonts w:eastAsia="Calibri" w:cs="Tahoma"/>
          <w:sz w:val="20"/>
          <w:lang w:eastAsia="da-DK"/>
        </w:rPr>
        <w:t xml:space="preserve"> (in Macedonian and English)</w:t>
      </w:r>
      <w:r w:rsidRPr="0068236B">
        <w:rPr>
          <w:rFonts w:eastAsia="Calibri" w:cs="Tahoma"/>
          <w:sz w:val="20"/>
          <w:lang w:eastAsia="da-DK"/>
        </w:rPr>
        <w:t>:</w:t>
      </w:r>
    </w:p>
    <w:p w14:paraId="14E569D1" w14:textId="77777777" w:rsidR="008F5EA6" w:rsidRPr="0068236B" w:rsidRDefault="008F5EA6" w:rsidP="00D24CEF">
      <w:pPr>
        <w:pStyle w:val="ListBullet"/>
        <w:numPr>
          <w:ilvl w:val="0"/>
          <w:numId w:val="97"/>
        </w:numPr>
        <w:spacing w:line="240" w:lineRule="auto"/>
        <w:rPr>
          <w:rFonts w:eastAsia="Calibri" w:cs="Tahoma"/>
          <w:sz w:val="20"/>
          <w:lang w:eastAsia="da-DK"/>
        </w:rPr>
      </w:pPr>
      <w:r w:rsidRPr="0068236B">
        <w:rPr>
          <w:rFonts w:eastAsia="Calibri" w:cs="Tahoma"/>
          <w:sz w:val="20"/>
          <w:lang w:eastAsia="da-DK"/>
        </w:rPr>
        <w:t>Non-technical Summary</w:t>
      </w:r>
      <w:r w:rsidRPr="0068236B">
        <w:rPr>
          <w:rFonts w:eastAsia="Calibri"/>
          <w:sz w:val="20"/>
          <w:lang w:eastAsia="da-DK"/>
        </w:rPr>
        <w:t xml:space="preserve"> (NTS)</w:t>
      </w:r>
    </w:p>
    <w:p w14:paraId="401941C8" w14:textId="77777777" w:rsidR="008F5EA6" w:rsidRPr="0068236B" w:rsidRDefault="008F5EA6" w:rsidP="00D24CEF">
      <w:pPr>
        <w:pStyle w:val="ListBullet"/>
        <w:numPr>
          <w:ilvl w:val="0"/>
          <w:numId w:val="97"/>
        </w:numPr>
        <w:spacing w:line="240" w:lineRule="auto"/>
        <w:rPr>
          <w:rFonts w:eastAsia="Calibri" w:cs="Tahoma"/>
          <w:sz w:val="20"/>
          <w:lang w:eastAsia="da-DK"/>
        </w:rPr>
      </w:pPr>
      <w:r w:rsidRPr="0068236B">
        <w:rPr>
          <w:rFonts w:eastAsia="Calibri" w:cs="Tahoma"/>
          <w:sz w:val="20"/>
          <w:lang w:eastAsia="da-DK"/>
        </w:rPr>
        <w:t>Sta</w:t>
      </w:r>
      <w:r w:rsidRPr="0068236B">
        <w:rPr>
          <w:rFonts w:eastAsia="Calibri"/>
          <w:sz w:val="20"/>
          <w:lang w:eastAsia="da-DK"/>
        </w:rPr>
        <w:t xml:space="preserve">keholder Engagement Plan (SEP), including </w:t>
      </w:r>
      <w:r w:rsidRPr="0068236B">
        <w:rPr>
          <w:rFonts w:eastAsia="Calibri" w:cs="Tahoma"/>
          <w:sz w:val="20"/>
          <w:lang w:eastAsia="da-DK"/>
        </w:rPr>
        <w:t>Pro</w:t>
      </w:r>
      <w:r w:rsidRPr="0068236B">
        <w:rPr>
          <w:rFonts w:eastAsia="Calibri"/>
          <w:sz w:val="20"/>
          <w:lang w:eastAsia="da-DK"/>
        </w:rPr>
        <w:t>ject Grievance Form</w:t>
      </w:r>
    </w:p>
    <w:p w14:paraId="498EF0A2" w14:textId="77777777" w:rsidR="008F5EA6" w:rsidRPr="0068236B" w:rsidRDefault="008F5EA6" w:rsidP="00D24CEF">
      <w:pPr>
        <w:pStyle w:val="ListBullet"/>
        <w:numPr>
          <w:ilvl w:val="0"/>
          <w:numId w:val="97"/>
        </w:numPr>
        <w:spacing w:line="240" w:lineRule="auto"/>
        <w:rPr>
          <w:rFonts w:eastAsia="Calibri" w:cs="Tahoma"/>
          <w:sz w:val="20"/>
          <w:lang w:eastAsia="da-DK"/>
        </w:rPr>
      </w:pPr>
      <w:r w:rsidRPr="0068236B">
        <w:rPr>
          <w:rFonts w:eastAsia="Calibri" w:cs="Tahoma"/>
          <w:sz w:val="20"/>
          <w:lang w:eastAsia="da-DK"/>
        </w:rPr>
        <w:t>Land Acquisition Resettlement Framework (LARF).</w:t>
      </w:r>
    </w:p>
    <w:p w14:paraId="0BB246E1" w14:textId="77777777" w:rsidR="008F5EA6" w:rsidRPr="0068236B" w:rsidRDefault="008F5EA6" w:rsidP="008F5EA6">
      <w:pPr>
        <w:pStyle w:val="Heading2"/>
        <w:spacing w:before="480" w:after="240"/>
        <w:ind w:left="576" w:hanging="576"/>
        <w:rPr>
          <w:rFonts w:cs="Arial"/>
          <w:szCs w:val="28"/>
        </w:rPr>
      </w:pPr>
      <w:bookmarkStart w:id="211" w:name="_Toc112852242"/>
      <w:r w:rsidRPr="0068236B">
        <w:rPr>
          <w:rFonts w:cs="Arial"/>
          <w:szCs w:val="28"/>
        </w:rPr>
        <w:lastRenderedPageBreak/>
        <w:t>Consultations to Date</w:t>
      </w:r>
      <w:bookmarkEnd w:id="211"/>
    </w:p>
    <w:p w14:paraId="5155D8EA" w14:textId="286465E7" w:rsidR="008F5EA6" w:rsidRPr="0068236B" w:rsidRDefault="008F5EA6" w:rsidP="008F5EA6">
      <w:pPr>
        <w:pStyle w:val="ListBullet"/>
        <w:numPr>
          <w:ilvl w:val="0"/>
          <w:numId w:val="0"/>
        </w:numPr>
        <w:rPr>
          <w:rFonts w:cs="Tahoma"/>
          <w:sz w:val="20"/>
          <w:szCs w:val="20"/>
          <w:lang w:eastAsia="zh-CN"/>
        </w:rPr>
      </w:pPr>
      <w:r w:rsidRPr="0068236B">
        <w:rPr>
          <w:rFonts w:cs="Tahoma"/>
          <w:sz w:val="20"/>
        </w:rPr>
        <w:t xml:space="preserve">As part of the present development stage of the Project, MEPSO, supported by the IPF7 Team, has carried out consultation process with the selected major relevant statutory stakeholders in order to gain their views with an aim to inform and further drive the current development of the </w:t>
      </w:r>
      <w:r w:rsidR="00D9190E" w:rsidRPr="0068236B">
        <w:rPr>
          <w:rFonts w:cs="Tahoma"/>
          <w:sz w:val="20"/>
        </w:rPr>
        <w:t>wider development as a whole</w:t>
      </w:r>
      <w:r w:rsidRPr="0068236B">
        <w:rPr>
          <w:rFonts w:cs="Tahoma"/>
          <w:sz w:val="20"/>
        </w:rPr>
        <w:t xml:space="preserve">. These stakeholders have included concerned municipalities (Valandovo, Gevgelija and Strumica) and their administration, local public utility companies, line ministries and other relevant </w:t>
      </w:r>
      <w:r w:rsidR="00F8548D" w:rsidRPr="0068236B">
        <w:rPr>
          <w:rFonts w:cs="Tahoma"/>
          <w:sz w:val="20"/>
        </w:rPr>
        <w:t>agencies and institutes (A</w:t>
      </w:r>
      <w:r w:rsidR="00F8548D" w:rsidRPr="0068236B">
        <w:rPr>
          <w:rFonts w:cs="Tahoma"/>
          <w:sz w:val="20"/>
        </w:rPr>
        <w:t>n</w:t>
      </w:r>
      <w:r w:rsidR="00F8548D" w:rsidRPr="0068236B">
        <w:rPr>
          <w:rFonts w:cs="Tahoma"/>
          <w:sz w:val="20"/>
        </w:rPr>
        <w:t xml:space="preserve">nex </w:t>
      </w:r>
      <w:r w:rsidR="00EC022C" w:rsidRPr="0068236B">
        <w:rPr>
          <w:rFonts w:cs="Tahoma"/>
          <w:sz w:val="20"/>
        </w:rPr>
        <w:t>5</w:t>
      </w:r>
      <w:r w:rsidRPr="0068236B">
        <w:rPr>
          <w:rFonts w:cs="Tahoma"/>
          <w:sz w:val="20"/>
        </w:rPr>
        <w:t xml:space="preserve">). </w:t>
      </w:r>
      <w:r w:rsidRPr="0068236B">
        <w:rPr>
          <w:rFonts w:cs="Tahoma"/>
          <w:sz w:val="20"/>
          <w:szCs w:val="20"/>
          <w:lang w:eastAsia="zh-CN"/>
        </w:rPr>
        <w:t>Regarding gender, the structure of these meetings was as follows:</w:t>
      </w:r>
    </w:p>
    <w:p w14:paraId="656F652B" w14:textId="319AAA8A" w:rsidR="008F5EA6" w:rsidRPr="0068236B" w:rsidRDefault="008F5EA6" w:rsidP="00D24CEF">
      <w:pPr>
        <w:pStyle w:val="ListBullet"/>
        <w:numPr>
          <w:ilvl w:val="0"/>
          <w:numId w:val="97"/>
        </w:numPr>
        <w:rPr>
          <w:sz w:val="20"/>
          <w:lang w:eastAsia="zh-CN"/>
        </w:rPr>
      </w:pPr>
      <w:r w:rsidRPr="0068236B">
        <w:rPr>
          <w:sz w:val="20"/>
          <w:lang w:eastAsia="zh-CN"/>
        </w:rPr>
        <w:t>Valandovo meeting: total 11 participants (7 female</w:t>
      </w:r>
      <w:r w:rsidR="007C7B9C">
        <w:rPr>
          <w:sz w:val="20"/>
          <w:lang w:eastAsia="zh-CN"/>
        </w:rPr>
        <w:t>s</w:t>
      </w:r>
      <w:r w:rsidRPr="0068236B">
        <w:rPr>
          <w:sz w:val="20"/>
          <w:lang w:eastAsia="zh-CN"/>
        </w:rPr>
        <w:t>)</w:t>
      </w:r>
    </w:p>
    <w:p w14:paraId="7D890C7E" w14:textId="158D4B1A" w:rsidR="008F5EA6" w:rsidRPr="0068236B" w:rsidRDefault="008F5EA6" w:rsidP="00D24CEF">
      <w:pPr>
        <w:pStyle w:val="ListBullet"/>
        <w:numPr>
          <w:ilvl w:val="0"/>
          <w:numId w:val="97"/>
        </w:numPr>
        <w:rPr>
          <w:sz w:val="20"/>
          <w:lang w:eastAsia="zh-CN"/>
        </w:rPr>
      </w:pPr>
      <w:r w:rsidRPr="0068236B">
        <w:rPr>
          <w:sz w:val="20"/>
          <w:lang w:eastAsia="zh-CN"/>
        </w:rPr>
        <w:t>Gevgelija meeting: total 11 participants (4 female</w:t>
      </w:r>
      <w:r w:rsidR="007C7B9C">
        <w:rPr>
          <w:sz w:val="20"/>
          <w:lang w:eastAsia="zh-CN"/>
        </w:rPr>
        <w:t>s</w:t>
      </w:r>
      <w:r w:rsidRPr="0068236B">
        <w:rPr>
          <w:sz w:val="20"/>
          <w:lang w:eastAsia="zh-CN"/>
        </w:rPr>
        <w:t>)</w:t>
      </w:r>
    </w:p>
    <w:p w14:paraId="0DB130DE" w14:textId="6886D0B0" w:rsidR="008F5EA6" w:rsidRPr="0068236B" w:rsidRDefault="008F5EA6" w:rsidP="00D24CEF">
      <w:pPr>
        <w:pStyle w:val="ListBullet"/>
        <w:numPr>
          <w:ilvl w:val="0"/>
          <w:numId w:val="97"/>
        </w:numPr>
        <w:rPr>
          <w:sz w:val="20"/>
          <w:lang w:eastAsia="zh-CN"/>
        </w:rPr>
      </w:pPr>
      <w:r w:rsidRPr="0068236B">
        <w:rPr>
          <w:sz w:val="20"/>
          <w:lang w:eastAsia="zh-CN"/>
        </w:rPr>
        <w:t>Strumica meeting: total 15 participants (6 female</w:t>
      </w:r>
      <w:r w:rsidR="007C7B9C">
        <w:rPr>
          <w:sz w:val="20"/>
          <w:lang w:eastAsia="zh-CN"/>
        </w:rPr>
        <w:t>s</w:t>
      </w:r>
      <w:r w:rsidRPr="0068236B">
        <w:rPr>
          <w:sz w:val="20"/>
          <w:lang w:eastAsia="zh-CN"/>
        </w:rPr>
        <w:t>)</w:t>
      </w:r>
    </w:p>
    <w:p w14:paraId="61AC681F" w14:textId="1700E6E4" w:rsidR="008F5EA6" w:rsidRPr="0068236B" w:rsidRDefault="008F5EA6" w:rsidP="00D24CEF">
      <w:pPr>
        <w:pStyle w:val="ListBullet"/>
        <w:numPr>
          <w:ilvl w:val="0"/>
          <w:numId w:val="97"/>
        </w:numPr>
        <w:rPr>
          <w:sz w:val="20"/>
          <w:lang w:eastAsia="zh-CN"/>
        </w:rPr>
      </w:pPr>
      <w:r w:rsidRPr="0068236B">
        <w:rPr>
          <w:sz w:val="20"/>
          <w:lang w:eastAsia="zh-CN"/>
        </w:rPr>
        <w:t>Meeting with state institutional stakeholders: total 22 participants (9 female</w:t>
      </w:r>
      <w:r w:rsidR="007C7B9C">
        <w:rPr>
          <w:sz w:val="20"/>
          <w:lang w:eastAsia="zh-CN"/>
        </w:rPr>
        <w:t>s</w:t>
      </w:r>
      <w:r w:rsidRPr="0068236B">
        <w:rPr>
          <w:sz w:val="20"/>
          <w:lang w:eastAsia="zh-CN"/>
        </w:rPr>
        <w:t>).</w:t>
      </w:r>
    </w:p>
    <w:p w14:paraId="7FCE42A6" w14:textId="78896149" w:rsidR="007C7B9C" w:rsidRDefault="00180113" w:rsidP="007C7B9C">
      <w:pPr>
        <w:rPr>
          <w:rFonts w:cs="Tahoma"/>
          <w:sz w:val="20"/>
        </w:rPr>
      </w:pPr>
      <w:r>
        <w:rPr>
          <w:sz w:val="20"/>
          <w:lang w:eastAsia="zh-CN"/>
        </w:rPr>
        <w:t>R</w:t>
      </w:r>
      <w:r w:rsidR="007C7B9C">
        <w:rPr>
          <w:sz w:val="20"/>
          <w:lang w:eastAsia="zh-CN"/>
        </w:rPr>
        <w:t xml:space="preserve">epresentatives of the potential present vulnerable groups </w:t>
      </w:r>
      <w:r>
        <w:rPr>
          <w:sz w:val="20"/>
          <w:lang w:eastAsia="zh-CN"/>
        </w:rPr>
        <w:t xml:space="preserve">in the Project area </w:t>
      </w:r>
      <w:r w:rsidR="007C7B9C">
        <w:rPr>
          <w:sz w:val="20"/>
          <w:lang w:eastAsia="zh-CN"/>
        </w:rPr>
        <w:t>were not present at this stage.</w:t>
      </w:r>
    </w:p>
    <w:p w14:paraId="2E23654C" w14:textId="24EFDDC7" w:rsidR="008F5EA6" w:rsidRPr="0068236B" w:rsidRDefault="008F5EA6" w:rsidP="008F5EA6">
      <w:pPr>
        <w:rPr>
          <w:rFonts w:cs="Tahoma"/>
          <w:sz w:val="20"/>
        </w:rPr>
      </w:pPr>
      <w:r w:rsidRPr="0068236B">
        <w:rPr>
          <w:rFonts w:cs="Tahoma"/>
          <w:sz w:val="20"/>
        </w:rPr>
        <w:t xml:space="preserve">The main purpose of these consultations was to seek feedback from the key statutory stakeholders in regard to the suitability and acceptability of the proposed preferred Project option, with emphasis to the key spatial planning, environmental and social constraints that may influence the further development process of the Project. </w:t>
      </w:r>
    </w:p>
    <w:p w14:paraId="1EF1EE00" w14:textId="6A125AFC" w:rsidR="008F5EA6" w:rsidRPr="0068236B" w:rsidRDefault="008F5EA6" w:rsidP="008F5EA6">
      <w:pPr>
        <w:rPr>
          <w:rFonts w:cs="Tahoma"/>
          <w:sz w:val="20"/>
        </w:rPr>
      </w:pPr>
      <w:r w:rsidRPr="0068236B">
        <w:rPr>
          <w:rFonts w:cs="Tahoma"/>
          <w:sz w:val="20"/>
        </w:rPr>
        <w:t>MEPSO agreed with</w:t>
      </w:r>
      <w:r w:rsidR="00D9190E" w:rsidRPr="0068236B">
        <w:rPr>
          <w:rFonts w:cs="Tahoma"/>
          <w:sz w:val="20"/>
        </w:rPr>
        <w:t xml:space="preserve"> the concerned municipalities</w:t>
      </w:r>
      <w:r w:rsidRPr="0068236B">
        <w:rPr>
          <w:rFonts w:cs="Tahoma"/>
          <w:sz w:val="20"/>
        </w:rPr>
        <w:t xml:space="preserve"> to closely cooperate for obtaining necessary administrative permits and information within their domain of authority, for the needs of the further Project development and implementation. </w:t>
      </w:r>
    </w:p>
    <w:p w14:paraId="4244443A" w14:textId="6B874532" w:rsidR="008F5EA6" w:rsidRPr="0068236B" w:rsidRDefault="008F5EA6" w:rsidP="008F5EA6">
      <w:pPr>
        <w:rPr>
          <w:rFonts w:cs="Arial"/>
          <w:sz w:val="20"/>
          <w:szCs w:val="20"/>
        </w:rPr>
      </w:pPr>
      <w:r w:rsidRPr="0068236B">
        <w:rPr>
          <w:rFonts w:cs="Tahoma"/>
          <w:sz w:val="20"/>
        </w:rPr>
        <w:t>An official written communication with two national institutions (museums) with legal jurisdiction in the wi</w:t>
      </w:r>
      <w:r w:rsidRPr="0068236B">
        <w:rPr>
          <w:rFonts w:cs="Tahoma"/>
          <w:sz w:val="20"/>
        </w:rPr>
        <w:t>d</w:t>
      </w:r>
      <w:r w:rsidRPr="0068236B">
        <w:rPr>
          <w:rFonts w:cs="Tahoma"/>
          <w:sz w:val="20"/>
        </w:rPr>
        <w:t>er Pr</w:t>
      </w:r>
      <w:r w:rsidR="00D9190E" w:rsidRPr="0068236B">
        <w:rPr>
          <w:rFonts w:cs="Tahoma"/>
          <w:sz w:val="20"/>
        </w:rPr>
        <w:t xml:space="preserve">oject region </w:t>
      </w:r>
      <w:r w:rsidRPr="0068236B">
        <w:rPr>
          <w:rFonts w:cs="Tahoma"/>
          <w:sz w:val="20"/>
        </w:rPr>
        <w:t>was performed by MEPSO,</w:t>
      </w:r>
      <w:r w:rsidR="00C26495" w:rsidRPr="0068236B">
        <w:rPr>
          <w:rFonts w:cs="Tahoma"/>
          <w:sz w:val="20"/>
        </w:rPr>
        <w:t xml:space="preserve"> supported by the Project’s E&amp;S</w:t>
      </w:r>
      <w:r w:rsidRPr="0068236B">
        <w:rPr>
          <w:rFonts w:cs="Tahoma"/>
          <w:sz w:val="20"/>
        </w:rPr>
        <w:t xml:space="preserve"> team, in order to obtain data on locations of respective archaeological sites that might impact the Project planning. In addition, a joint site visit with the responsible archaeologists was conducted in the Project region. As a result of this exercise, and based on the obtained data and findings from the site visit, the initially proposed 110 kV OHL alignment has been optimised to avoid potentially affected cultural resources (see </w:t>
      </w:r>
      <w:r w:rsidR="00E14C44" w:rsidRPr="0068236B">
        <w:rPr>
          <w:rFonts w:cs="Tahoma"/>
          <w:sz w:val="20"/>
        </w:rPr>
        <w:t>Figure 7</w:t>
      </w:r>
      <w:r w:rsidRPr="0068236B">
        <w:rPr>
          <w:rFonts w:cs="Tahoma"/>
          <w:sz w:val="20"/>
        </w:rPr>
        <w:t>.</w:t>
      </w:r>
      <w:r w:rsidR="00D223DA">
        <w:rPr>
          <w:rFonts w:cs="Tahoma"/>
          <w:sz w:val="20"/>
        </w:rPr>
        <w:t>21</w:t>
      </w:r>
      <w:r w:rsidRPr="0068236B">
        <w:rPr>
          <w:rFonts w:cs="Tahoma"/>
          <w:sz w:val="20"/>
        </w:rPr>
        <w:t>).</w:t>
      </w:r>
    </w:p>
    <w:p w14:paraId="4FFA30D2" w14:textId="77777777" w:rsidR="008F5EA6" w:rsidRPr="0068236B" w:rsidRDefault="008F5EA6" w:rsidP="00C26495">
      <w:pPr>
        <w:pStyle w:val="ListBullet"/>
        <w:numPr>
          <w:ilvl w:val="0"/>
          <w:numId w:val="0"/>
        </w:numPr>
        <w:rPr>
          <w:rFonts w:cs="Tahoma"/>
          <w:sz w:val="20"/>
        </w:rPr>
      </w:pPr>
      <w:r w:rsidRPr="0068236B">
        <w:rPr>
          <w:rFonts w:cs="Tahoma"/>
          <w:sz w:val="20"/>
        </w:rPr>
        <w:t>All measures in force regarding COVID-19 were implemented by the organizers and all participants at these meetings.</w:t>
      </w:r>
    </w:p>
    <w:p w14:paraId="7B3C6EBA" w14:textId="77777777" w:rsidR="008F5EA6" w:rsidRPr="0068236B" w:rsidRDefault="008F5EA6">
      <w:pPr>
        <w:spacing w:before="0" w:after="0" w:line="240" w:lineRule="auto"/>
        <w:jc w:val="left"/>
        <w:rPr>
          <w:rFonts w:ascii="Tahoma Bold" w:hAnsi="Tahoma Bold"/>
          <w:b/>
          <w:color w:val="44697D"/>
          <w:sz w:val="32"/>
          <w:szCs w:val="32"/>
          <w:u w:color="00B050"/>
        </w:rPr>
      </w:pPr>
      <w:r w:rsidRPr="0068236B">
        <w:br w:type="page"/>
      </w:r>
    </w:p>
    <w:p w14:paraId="1C89C79E" w14:textId="7B8A145F" w:rsidR="00DB3C90" w:rsidRPr="0068236B" w:rsidRDefault="0077235B" w:rsidP="00E44ED8">
      <w:pPr>
        <w:pStyle w:val="Heading1"/>
      </w:pPr>
      <w:bookmarkStart w:id="212" w:name="_Toc112852243"/>
      <w:r w:rsidRPr="0068236B">
        <w:lastRenderedPageBreak/>
        <w:t>Baseline Conditions</w:t>
      </w:r>
      <w:bookmarkEnd w:id="205"/>
      <w:bookmarkEnd w:id="206"/>
      <w:bookmarkEnd w:id="212"/>
    </w:p>
    <w:p w14:paraId="7EAEF62F" w14:textId="4C5BD357" w:rsidR="0003364C" w:rsidRPr="0068236B" w:rsidRDefault="0003364C" w:rsidP="00DB3C90">
      <w:pPr>
        <w:pStyle w:val="Heading2"/>
        <w:spacing w:before="480" w:after="240"/>
        <w:ind w:left="576" w:hanging="576"/>
        <w:rPr>
          <w:rFonts w:cs="Arial"/>
          <w:szCs w:val="28"/>
        </w:rPr>
      </w:pPr>
      <w:bookmarkStart w:id="213" w:name="_Toc112852244"/>
      <w:bookmarkStart w:id="214" w:name="_Toc48829063"/>
      <w:bookmarkStart w:id="215" w:name="_Toc71559761"/>
      <w:r w:rsidRPr="0068236B">
        <w:rPr>
          <w:rFonts w:cs="Arial"/>
          <w:szCs w:val="28"/>
        </w:rPr>
        <w:t>Physical and Natural Environment</w:t>
      </w:r>
      <w:bookmarkEnd w:id="213"/>
    </w:p>
    <w:p w14:paraId="6CBBBFBA" w14:textId="333348DE" w:rsidR="00DB3C90" w:rsidRPr="0068236B" w:rsidRDefault="00DB3C90" w:rsidP="00D453DF">
      <w:pPr>
        <w:pStyle w:val="Heading3"/>
        <w:ind w:left="709" w:hanging="425"/>
      </w:pPr>
      <w:bookmarkStart w:id="216" w:name="_Toc112852245"/>
      <w:r w:rsidRPr="0068236B">
        <w:t>Climate</w:t>
      </w:r>
      <w:bookmarkEnd w:id="214"/>
      <w:bookmarkEnd w:id="215"/>
      <w:bookmarkEnd w:id="216"/>
    </w:p>
    <w:p w14:paraId="6F008FAD" w14:textId="353C2DA4" w:rsidR="00DB3C90" w:rsidRPr="0068236B" w:rsidRDefault="00D453DF" w:rsidP="001D7616">
      <w:pPr>
        <w:pStyle w:val="Heading4"/>
        <w:rPr>
          <w:sz w:val="20"/>
          <w:lang w:eastAsia="en-US"/>
        </w:rPr>
      </w:pPr>
      <w:bookmarkStart w:id="217" w:name="_Toc48829064"/>
      <w:bookmarkStart w:id="218" w:name="_Toc71559762"/>
      <w:r w:rsidRPr="0068236B">
        <w:rPr>
          <w:sz w:val="20"/>
          <w:lang w:eastAsia="en-US"/>
        </w:rPr>
        <w:t>Baseline Conditions</w:t>
      </w:r>
      <w:bookmarkEnd w:id="217"/>
      <w:bookmarkEnd w:id="218"/>
    </w:p>
    <w:p w14:paraId="7AF343E5" w14:textId="246CDC3C" w:rsidR="00A02B24" w:rsidRPr="0068236B" w:rsidRDefault="00A02B24" w:rsidP="00A02B24">
      <w:pPr>
        <w:pStyle w:val="NumberedParagraph"/>
        <w:rPr>
          <w:sz w:val="20"/>
          <w:szCs w:val="20"/>
        </w:rPr>
      </w:pPr>
      <w:r w:rsidRPr="0068236B">
        <w:rPr>
          <w:sz w:val="20"/>
          <w:szCs w:val="20"/>
        </w:rPr>
        <w:t>The wider Project region - area between Gevgelija, Valandovo and Demir Kapija - is well defined geograp</w:t>
      </w:r>
      <w:r w:rsidRPr="0068236B">
        <w:rPr>
          <w:sz w:val="20"/>
          <w:szCs w:val="20"/>
        </w:rPr>
        <w:t>h</w:t>
      </w:r>
      <w:r w:rsidRPr="0068236B">
        <w:rPr>
          <w:sz w:val="20"/>
          <w:szCs w:val="20"/>
        </w:rPr>
        <w:t>ical unit that is encircled by mountains from west and east, opened to the south by the river Vardar valley at altitudes. Gevgelija-Valandovo valley is about 60 km away from the Thessalonica gulf. Thus, the Mediterr</w:t>
      </w:r>
      <w:r w:rsidRPr="0068236B">
        <w:rPr>
          <w:sz w:val="20"/>
          <w:szCs w:val="20"/>
        </w:rPr>
        <w:t>a</w:t>
      </w:r>
      <w:r w:rsidRPr="0068236B">
        <w:rPr>
          <w:sz w:val="20"/>
          <w:szCs w:val="20"/>
        </w:rPr>
        <w:t xml:space="preserve">nean influence is evident being one of the warmest regions in </w:t>
      </w:r>
      <w:r w:rsidR="00462949" w:rsidRPr="0068236B">
        <w:rPr>
          <w:sz w:val="20"/>
          <w:szCs w:val="20"/>
        </w:rPr>
        <w:t>Macedonia</w:t>
      </w:r>
      <w:r w:rsidRPr="0068236B">
        <w:rPr>
          <w:sz w:val="20"/>
          <w:szCs w:val="20"/>
        </w:rPr>
        <w:t>.</w:t>
      </w:r>
    </w:p>
    <w:p w14:paraId="6180AF83" w14:textId="248F3508" w:rsidR="00A02B24" w:rsidRPr="0068236B" w:rsidRDefault="00A02B24" w:rsidP="00A02B24">
      <w:pPr>
        <w:pStyle w:val="NumberedParagraph"/>
        <w:rPr>
          <w:sz w:val="20"/>
          <w:szCs w:val="20"/>
        </w:rPr>
      </w:pPr>
      <w:r w:rsidRPr="0068236B">
        <w:rPr>
          <w:sz w:val="20"/>
          <w:szCs w:val="20"/>
        </w:rPr>
        <w:t>The key characteristics of climate are defined on the bases of measurements of meteorological stations, located in the area - Valandovo and Gevgelija. The climate diagrams are presented below.</w:t>
      </w:r>
    </w:p>
    <w:p w14:paraId="20DA1014" w14:textId="790E8A12" w:rsidR="00A02B24" w:rsidRPr="0068236B" w:rsidRDefault="00A02B24" w:rsidP="00A02B24">
      <w:pPr>
        <w:pStyle w:val="NumberedParagraph"/>
        <w:rPr>
          <w:sz w:val="20"/>
          <w:szCs w:val="20"/>
        </w:rPr>
      </w:pPr>
      <w:r w:rsidRPr="0068236B">
        <w:rPr>
          <w:sz w:val="20"/>
          <w:szCs w:val="20"/>
        </w:rPr>
        <w:t>Mediterranean climate from the Thessalonica gulf penetrates into the Gevgelija-Valandovo valley and spreads along Vardar River to the north of Demir Kapija. The Mediterranean influence determines the basic characteristics of the climate of the whole area and some climatic elements separately. Because of the Med</w:t>
      </w:r>
      <w:r w:rsidRPr="0068236B">
        <w:rPr>
          <w:sz w:val="20"/>
          <w:szCs w:val="20"/>
        </w:rPr>
        <w:t>i</w:t>
      </w:r>
      <w:r w:rsidRPr="0068236B">
        <w:rPr>
          <w:sz w:val="20"/>
          <w:szCs w:val="20"/>
        </w:rPr>
        <w:t xml:space="preserve">terranean influence, the climate is characterized as modified Mediterranean climate. </w:t>
      </w:r>
    </w:p>
    <w:p w14:paraId="68A7A0C9" w14:textId="4163D1C7" w:rsidR="00A02B24" w:rsidRPr="007C7B9C" w:rsidRDefault="00A02B24" w:rsidP="00A02B24">
      <w:pPr>
        <w:pStyle w:val="NumberedParagraph"/>
        <w:rPr>
          <w:sz w:val="20"/>
          <w:szCs w:val="20"/>
        </w:rPr>
      </w:pPr>
      <w:r w:rsidRPr="0068236B">
        <w:rPr>
          <w:sz w:val="20"/>
          <w:szCs w:val="20"/>
        </w:rPr>
        <w:t>The average annual air temperature is 14.2</w:t>
      </w:r>
      <w:r w:rsidR="00C27B01" w:rsidRPr="0068236B">
        <w:rPr>
          <w:rFonts w:cs="Tahoma"/>
          <w:sz w:val="20"/>
          <w:szCs w:val="20"/>
        </w:rPr>
        <w:t>°</w:t>
      </w:r>
      <w:r w:rsidR="00C27B01" w:rsidRPr="0068236B">
        <w:rPr>
          <w:sz w:val="20"/>
          <w:szCs w:val="20"/>
        </w:rPr>
        <w:t>C</w:t>
      </w:r>
      <w:r w:rsidRPr="0068236B">
        <w:rPr>
          <w:sz w:val="20"/>
          <w:szCs w:val="20"/>
        </w:rPr>
        <w:t xml:space="preserve"> to 14.6</w:t>
      </w:r>
      <w:r w:rsidRPr="0068236B">
        <w:rPr>
          <w:rFonts w:cs="Tahoma"/>
          <w:sz w:val="20"/>
          <w:szCs w:val="20"/>
        </w:rPr>
        <w:t>°</w:t>
      </w:r>
      <w:r w:rsidRPr="0068236B">
        <w:rPr>
          <w:sz w:val="20"/>
          <w:szCs w:val="20"/>
        </w:rPr>
        <w:t>C – the highest in Macedonia. However, the relative annual amplitudes (</w:t>
      </w:r>
      <w:r w:rsidRPr="007C7B9C">
        <w:rPr>
          <w:sz w:val="20"/>
          <w:szCs w:val="20"/>
        </w:rPr>
        <w:t>variation) are low (21.1</w:t>
      </w:r>
      <w:r w:rsidR="00C27B01" w:rsidRPr="007C7B9C">
        <w:rPr>
          <w:rFonts w:cs="Tahoma"/>
          <w:sz w:val="20"/>
          <w:szCs w:val="20"/>
        </w:rPr>
        <w:t>°</w:t>
      </w:r>
      <w:r w:rsidR="00C27B01" w:rsidRPr="007C7B9C">
        <w:rPr>
          <w:sz w:val="20"/>
          <w:szCs w:val="20"/>
        </w:rPr>
        <w:t>C</w:t>
      </w:r>
      <w:r w:rsidRPr="007C7B9C">
        <w:rPr>
          <w:sz w:val="20"/>
          <w:szCs w:val="20"/>
        </w:rPr>
        <w:t>-21.6</w:t>
      </w:r>
      <w:r w:rsidRPr="007C7B9C">
        <w:rPr>
          <w:rFonts w:cs="Tahoma"/>
          <w:sz w:val="20"/>
          <w:szCs w:val="20"/>
        </w:rPr>
        <w:t>°</w:t>
      </w:r>
      <w:r w:rsidR="00475A17" w:rsidRPr="007C7B9C">
        <w:rPr>
          <w:sz w:val="20"/>
          <w:szCs w:val="20"/>
        </w:rPr>
        <w:t>C)</w:t>
      </w:r>
      <w:r w:rsidR="00475A17" w:rsidRPr="007C7B9C">
        <w:rPr>
          <w:sz w:val="20"/>
          <w:szCs w:val="20"/>
          <w:lang w:val="mk-MK"/>
        </w:rPr>
        <w:t xml:space="preserve">, </w:t>
      </w:r>
      <w:r w:rsidR="001650F6" w:rsidRPr="007C7B9C">
        <w:rPr>
          <w:sz w:val="20"/>
          <w:szCs w:val="20"/>
          <w:shd w:val="clear" w:color="auto" w:fill="FFFFFF"/>
          <w:lang w:val="en-US"/>
        </w:rPr>
        <w:t>which is</w:t>
      </w:r>
      <w:r w:rsidR="00475A17" w:rsidRPr="007C7B9C">
        <w:rPr>
          <w:sz w:val="20"/>
          <w:szCs w:val="20"/>
          <w:shd w:val="clear" w:color="auto" w:fill="FFFFFF"/>
          <w:lang w:val="en-US"/>
        </w:rPr>
        <w:t xml:space="preserve"> somewhat higher than in the typical Med</w:t>
      </w:r>
      <w:r w:rsidR="00475A17" w:rsidRPr="007C7B9C">
        <w:rPr>
          <w:sz w:val="20"/>
          <w:szCs w:val="20"/>
          <w:shd w:val="clear" w:color="auto" w:fill="FFFFFF"/>
          <w:lang w:val="en-US"/>
        </w:rPr>
        <w:t>i</w:t>
      </w:r>
      <w:r w:rsidR="00475A17" w:rsidRPr="007C7B9C">
        <w:rPr>
          <w:sz w:val="20"/>
          <w:szCs w:val="20"/>
          <w:shd w:val="clear" w:color="auto" w:fill="FFFFFF"/>
          <w:lang w:val="en-US"/>
        </w:rPr>
        <w:t>terranean areas (below 20°C). Filipovski et al.</w:t>
      </w:r>
      <w:r w:rsidR="001650F6" w:rsidRPr="007C7B9C">
        <w:rPr>
          <w:rStyle w:val="FootnoteReference"/>
          <w:sz w:val="20"/>
          <w:szCs w:val="20"/>
          <w:shd w:val="clear" w:color="auto" w:fill="FFFFFF"/>
          <w:lang w:val="en-US"/>
        </w:rPr>
        <w:footnoteReference w:id="67"/>
      </w:r>
      <w:r w:rsidR="00475A17" w:rsidRPr="007C7B9C">
        <w:rPr>
          <w:sz w:val="20"/>
          <w:szCs w:val="20"/>
          <w:shd w:val="clear" w:color="auto" w:fill="FFFFFF"/>
          <w:lang w:val="en-US"/>
        </w:rPr>
        <w:t xml:space="preserve"> (1996) regards this area as Modified Mediterranean. As pr</w:t>
      </w:r>
      <w:r w:rsidR="00475A17" w:rsidRPr="007C7B9C">
        <w:rPr>
          <w:sz w:val="20"/>
          <w:szCs w:val="20"/>
          <w:shd w:val="clear" w:color="auto" w:fill="FFFFFF"/>
          <w:lang w:val="en-US"/>
        </w:rPr>
        <w:t>e</w:t>
      </w:r>
      <w:r w:rsidR="00475A17" w:rsidRPr="007C7B9C">
        <w:rPr>
          <w:sz w:val="20"/>
          <w:szCs w:val="20"/>
          <w:shd w:val="clear" w:color="auto" w:fill="FFFFFF"/>
          <w:lang w:val="en-US"/>
        </w:rPr>
        <w:t>sented in the climate diagrams (</w:t>
      </w:r>
      <w:r w:rsidR="001650F6" w:rsidRPr="007C7B9C">
        <w:rPr>
          <w:sz w:val="20"/>
          <w:szCs w:val="20"/>
          <w:shd w:val="clear" w:color="auto" w:fill="FFFFFF"/>
          <w:lang w:val="en-US"/>
        </w:rPr>
        <w:t xml:space="preserve">Figure </w:t>
      </w:r>
      <w:r w:rsidR="00475A17" w:rsidRPr="007C7B9C">
        <w:rPr>
          <w:sz w:val="20"/>
          <w:szCs w:val="20"/>
          <w:shd w:val="clear" w:color="auto" w:fill="FFFFFF"/>
          <w:lang w:val="en-US"/>
        </w:rPr>
        <w:t>below) the maximum annual temperatures in Gevgelija and Valand</w:t>
      </w:r>
      <w:r w:rsidR="00475A17" w:rsidRPr="007C7B9C">
        <w:rPr>
          <w:sz w:val="20"/>
          <w:szCs w:val="20"/>
          <w:shd w:val="clear" w:color="auto" w:fill="FFFFFF"/>
          <w:lang w:val="en-US"/>
        </w:rPr>
        <w:t>o</w:t>
      </w:r>
      <w:r w:rsidR="00475A17" w:rsidRPr="007C7B9C">
        <w:rPr>
          <w:sz w:val="20"/>
          <w:szCs w:val="20"/>
          <w:shd w:val="clear" w:color="auto" w:fill="FFFFFF"/>
          <w:lang w:val="en-US"/>
        </w:rPr>
        <w:t xml:space="preserve">vo are </w:t>
      </w:r>
      <w:r w:rsidR="001650F6" w:rsidRPr="007C7B9C">
        <w:rPr>
          <w:sz w:val="20"/>
          <w:szCs w:val="20"/>
          <w:shd w:val="clear" w:color="auto" w:fill="FFFFFF"/>
          <w:lang w:val="en-US"/>
        </w:rPr>
        <w:t xml:space="preserve">44.3°C </w:t>
      </w:r>
      <w:r w:rsidR="00475A17" w:rsidRPr="007C7B9C">
        <w:rPr>
          <w:sz w:val="20"/>
          <w:szCs w:val="20"/>
          <w:shd w:val="clear" w:color="auto" w:fill="FFFFFF"/>
          <w:lang w:val="en-US"/>
        </w:rPr>
        <w:t>and 43.5°C, respectively. Absolute minimum temperatures for these two stations are -19.5</w:t>
      </w:r>
      <w:r w:rsidR="001650F6" w:rsidRPr="007C7B9C">
        <w:rPr>
          <w:sz w:val="20"/>
          <w:szCs w:val="20"/>
          <w:shd w:val="clear" w:color="auto" w:fill="FFFFFF"/>
          <w:lang w:val="en-US"/>
        </w:rPr>
        <w:t>°C</w:t>
      </w:r>
      <w:r w:rsidR="00475A17" w:rsidRPr="007C7B9C">
        <w:rPr>
          <w:sz w:val="20"/>
          <w:szCs w:val="20"/>
          <w:shd w:val="clear" w:color="auto" w:fill="FFFFFF"/>
          <w:lang w:val="en-US"/>
        </w:rPr>
        <w:t xml:space="preserve"> and -14.4°C. </w:t>
      </w:r>
      <w:r w:rsidRPr="007C7B9C">
        <w:rPr>
          <w:sz w:val="20"/>
          <w:szCs w:val="20"/>
        </w:rPr>
        <w:t xml:space="preserve"> The summers are warm (absolute temperatures up to 43.0</w:t>
      </w:r>
      <w:r w:rsidR="00C27B01" w:rsidRPr="007C7B9C">
        <w:rPr>
          <w:rFonts w:cs="Tahoma"/>
          <w:sz w:val="20"/>
          <w:szCs w:val="20"/>
        </w:rPr>
        <w:t>°</w:t>
      </w:r>
      <w:r w:rsidR="00C27B01" w:rsidRPr="007C7B9C">
        <w:rPr>
          <w:sz w:val="20"/>
          <w:szCs w:val="20"/>
        </w:rPr>
        <w:t xml:space="preserve">C </w:t>
      </w:r>
      <w:r w:rsidRPr="007C7B9C">
        <w:rPr>
          <w:sz w:val="20"/>
          <w:szCs w:val="20"/>
        </w:rPr>
        <w:t>-44.3</w:t>
      </w:r>
      <w:r w:rsidRPr="007C7B9C">
        <w:rPr>
          <w:rFonts w:cs="Tahoma"/>
          <w:sz w:val="20"/>
          <w:szCs w:val="20"/>
        </w:rPr>
        <w:t>°</w:t>
      </w:r>
      <w:r w:rsidRPr="007C7B9C">
        <w:rPr>
          <w:sz w:val="20"/>
          <w:szCs w:val="20"/>
        </w:rPr>
        <w:t>C) while the winters are mild (relative</w:t>
      </w:r>
      <w:r w:rsidR="00C27B01" w:rsidRPr="007C7B9C">
        <w:rPr>
          <w:sz w:val="20"/>
          <w:szCs w:val="20"/>
        </w:rPr>
        <w:t>ly warm with temperatures of 4.5</w:t>
      </w:r>
      <w:r w:rsidR="00C27B01" w:rsidRPr="007C7B9C">
        <w:rPr>
          <w:rFonts w:cs="Tahoma"/>
          <w:sz w:val="20"/>
          <w:szCs w:val="20"/>
        </w:rPr>
        <w:t>°</w:t>
      </w:r>
      <w:r w:rsidR="00C27B01" w:rsidRPr="007C7B9C">
        <w:rPr>
          <w:sz w:val="20"/>
          <w:szCs w:val="20"/>
        </w:rPr>
        <w:t>C</w:t>
      </w:r>
      <w:r w:rsidRPr="007C7B9C">
        <w:rPr>
          <w:sz w:val="20"/>
          <w:szCs w:val="20"/>
        </w:rPr>
        <w:t>-4.7</w:t>
      </w:r>
      <w:r w:rsidRPr="007C7B9C">
        <w:rPr>
          <w:rFonts w:cs="Tahoma"/>
          <w:sz w:val="20"/>
          <w:szCs w:val="20"/>
        </w:rPr>
        <w:t>°</w:t>
      </w:r>
      <w:r w:rsidRPr="007C7B9C">
        <w:rPr>
          <w:sz w:val="20"/>
          <w:szCs w:val="20"/>
        </w:rPr>
        <w:t xml:space="preserve">C). Frost periods last in average of 136 days. </w:t>
      </w:r>
    </w:p>
    <w:p w14:paraId="01D030D7" w14:textId="27978547" w:rsidR="00A02B24" w:rsidRPr="007C7B9C" w:rsidRDefault="00A02B24" w:rsidP="00A02B24">
      <w:pPr>
        <w:pStyle w:val="NumberedParagraph"/>
        <w:rPr>
          <w:sz w:val="20"/>
          <w:szCs w:val="20"/>
        </w:rPr>
      </w:pPr>
      <w:r w:rsidRPr="007C7B9C">
        <w:rPr>
          <w:sz w:val="20"/>
          <w:szCs w:val="20"/>
        </w:rPr>
        <w:t>The precipitation is higher during the autumn (maximum in November)</w:t>
      </w:r>
      <w:r w:rsidR="00C27B01" w:rsidRPr="007C7B9C">
        <w:rPr>
          <w:sz w:val="20"/>
          <w:szCs w:val="20"/>
        </w:rPr>
        <w:t>, the</w:t>
      </w:r>
      <w:r w:rsidRPr="007C7B9C">
        <w:rPr>
          <w:sz w:val="20"/>
          <w:szCs w:val="20"/>
        </w:rPr>
        <w:t>n the spring and winter periods</w:t>
      </w:r>
      <w:r w:rsidR="00C27B01" w:rsidRPr="007C7B9C">
        <w:rPr>
          <w:sz w:val="20"/>
          <w:szCs w:val="20"/>
        </w:rPr>
        <w:t>,</w:t>
      </w:r>
      <w:r w:rsidR="005E6643" w:rsidRPr="007C7B9C">
        <w:rPr>
          <w:sz w:val="20"/>
          <w:szCs w:val="20"/>
        </w:rPr>
        <w:t xml:space="preserve"> which is </w:t>
      </w:r>
      <w:r w:rsidR="00C27B01" w:rsidRPr="007C7B9C">
        <w:rPr>
          <w:sz w:val="20"/>
          <w:szCs w:val="20"/>
        </w:rPr>
        <w:t xml:space="preserve">a typical </w:t>
      </w:r>
      <w:r w:rsidR="005E6643" w:rsidRPr="007C7B9C">
        <w:rPr>
          <w:sz w:val="20"/>
          <w:szCs w:val="20"/>
        </w:rPr>
        <w:t>characteristic</w:t>
      </w:r>
      <w:r w:rsidRPr="007C7B9C">
        <w:rPr>
          <w:sz w:val="20"/>
          <w:szCs w:val="20"/>
        </w:rPr>
        <w:t xml:space="preserve"> for Mediterranean pluviometric regime. The humid period lasts from Nove</w:t>
      </w:r>
      <w:r w:rsidRPr="007C7B9C">
        <w:rPr>
          <w:sz w:val="20"/>
          <w:szCs w:val="20"/>
        </w:rPr>
        <w:t>m</w:t>
      </w:r>
      <w:r w:rsidRPr="007C7B9C">
        <w:rPr>
          <w:sz w:val="20"/>
          <w:szCs w:val="20"/>
        </w:rPr>
        <w:t>ber to March. The annual sum of precipitation varies between 611</w:t>
      </w:r>
      <w:r w:rsidR="00C27B01" w:rsidRPr="007C7B9C">
        <w:rPr>
          <w:sz w:val="20"/>
          <w:szCs w:val="20"/>
        </w:rPr>
        <w:t xml:space="preserve"> mm</w:t>
      </w:r>
      <w:r w:rsidRPr="007C7B9C">
        <w:rPr>
          <w:sz w:val="20"/>
          <w:szCs w:val="20"/>
        </w:rPr>
        <w:t xml:space="preserve"> and 695 mm. In general, the climate is semiarid with the exception of the period from July to September, </w:t>
      </w:r>
      <w:r w:rsidR="005E6643" w:rsidRPr="007C7B9C">
        <w:rPr>
          <w:sz w:val="20"/>
          <w:szCs w:val="20"/>
        </w:rPr>
        <w:t>which</w:t>
      </w:r>
      <w:r w:rsidRPr="007C7B9C">
        <w:rPr>
          <w:sz w:val="20"/>
          <w:szCs w:val="20"/>
        </w:rPr>
        <w:t xml:space="preserve"> is considered as arid season.</w:t>
      </w:r>
    </w:p>
    <w:p w14:paraId="0D0D2121" w14:textId="77777777" w:rsidR="001E0F48" w:rsidRPr="007C7B9C" w:rsidRDefault="001E0F48" w:rsidP="001E0F48">
      <w:pPr>
        <w:pStyle w:val="NumberedParagraph"/>
        <w:rPr>
          <w:sz w:val="20"/>
          <w:szCs w:val="20"/>
        </w:rPr>
      </w:pPr>
      <w:r w:rsidRPr="007C7B9C">
        <w:rPr>
          <w:sz w:val="20"/>
          <w:szCs w:val="20"/>
        </w:rPr>
        <w:t>The insolation in the area is very high (2379 hours per year) and loweset cloudiness (4.2 to 4.5), with the lowest number of “dark” days (74-90) and the highest number of bright days (122-130 days).</w:t>
      </w:r>
    </w:p>
    <w:p w14:paraId="76FAC2B9" w14:textId="77777777" w:rsidR="001E0F48" w:rsidRPr="0068236B" w:rsidRDefault="001E0F48" w:rsidP="00A02B24">
      <w:pPr>
        <w:pStyle w:val="NumberedParagraph"/>
        <w:rPr>
          <w:sz w:val="20"/>
          <w:szCs w:val="20"/>
        </w:rPr>
      </w:pPr>
    </w:p>
    <w:p w14:paraId="1A41DB69" w14:textId="6B8AFD58" w:rsidR="00A02B24" w:rsidRPr="0068236B" w:rsidRDefault="00A02B24" w:rsidP="00A02B24">
      <w:pPr>
        <w:pStyle w:val="NumberedParagraph"/>
        <w:rPr>
          <w:sz w:val="20"/>
          <w:szCs w:val="20"/>
        </w:rPr>
      </w:pPr>
      <w:r w:rsidRPr="0068236B">
        <w:rPr>
          <w:noProof/>
          <w:lang w:val="mk-MK" w:eastAsia="mk-MK"/>
        </w:rPr>
        <w:lastRenderedPageBreak/>
        <w:drawing>
          <wp:inline distT="0" distB="0" distL="0" distR="0" wp14:anchorId="4E260DA2" wp14:editId="24E5D2A6">
            <wp:extent cx="4615815" cy="2706370"/>
            <wp:effectExtent l="19050" t="0" r="0" b="0"/>
            <wp:docPr id="6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615815" cy="2706370"/>
                    </a:xfrm>
                    <a:prstGeom prst="rect">
                      <a:avLst/>
                    </a:prstGeom>
                    <a:noFill/>
                    <a:ln w="9525">
                      <a:noFill/>
                      <a:miter lim="800000"/>
                      <a:headEnd/>
                      <a:tailEnd/>
                    </a:ln>
                  </pic:spPr>
                </pic:pic>
              </a:graphicData>
            </a:graphic>
          </wp:inline>
        </w:drawing>
      </w:r>
    </w:p>
    <w:p w14:paraId="60AFB256" w14:textId="70F9C849" w:rsidR="00A02B24" w:rsidRPr="0068236B" w:rsidRDefault="00C27B01" w:rsidP="00C27B01">
      <w:pPr>
        <w:pStyle w:val="NumberedParagraph"/>
        <w:spacing w:before="60" w:after="240"/>
        <w:rPr>
          <w:rFonts w:cs="Tahoma"/>
          <w:sz w:val="18"/>
          <w:szCs w:val="18"/>
        </w:rPr>
      </w:pPr>
      <w:bookmarkStart w:id="219" w:name="_Toc112928872"/>
      <w:r w:rsidRPr="0068236B">
        <w:rPr>
          <w:rFonts w:cs="Tahoma"/>
          <w:sz w:val="18"/>
          <w:szCs w:val="18"/>
        </w:rPr>
        <w:t xml:space="preserve">Figure </w:t>
      </w:r>
      <w:r w:rsidRPr="0068236B">
        <w:rPr>
          <w:rFonts w:cs="Tahoma"/>
          <w:sz w:val="18"/>
          <w:szCs w:val="18"/>
        </w:rPr>
        <w:fldChar w:fldCharType="begin"/>
      </w:r>
      <w:r w:rsidRPr="0068236B">
        <w:rPr>
          <w:rFonts w:cs="Tahoma"/>
          <w:sz w:val="18"/>
          <w:szCs w:val="18"/>
        </w:rPr>
        <w:instrText xml:space="preserve"> STYLEREF 1 \s </w:instrText>
      </w:r>
      <w:r w:rsidRPr="0068236B">
        <w:rPr>
          <w:rFonts w:cs="Tahoma"/>
          <w:sz w:val="18"/>
          <w:szCs w:val="18"/>
        </w:rPr>
        <w:fldChar w:fldCharType="separate"/>
      </w:r>
      <w:r w:rsidR="00E502D0" w:rsidRPr="0068236B">
        <w:rPr>
          <w:rFonts w:cs="Tahoma"/>
          <w:noProof/>
          <w:sz w:val="18"/>
          <w:szCs w:val="18"/>
        </w:rPr>
        <w:t>7</w:t>
      </w:r>
      <w:r w:rsidRPr="0068236B">
        <w:rPr>
          <w:rFonts w:cs="Tahoma"/>
          <w:sz w:val="18"/>
          <w:szCs w:val="18"/>
        </w:rPr>
        <w:fldChar w:fldCharType="end"/>
      </w:r>
      <w:r w:rsidRPr="0068236B">
        <w:rPr>
          <w:rFonts w:cs="Tahoma"/>
          <w:sz w:val="18"/>
          <w:szCs w:val="18"/>
        </w:rPr>
        <w:t>.</w:t>
      </w:r>
      <w:r w:rsidRPr="0068236B">
        <w:rPr>
          <w:rFonts w:cs="Tahoma"/>
          <w:sz w:val="18"/>
          <w:szCs w:val="18"/>
        </w:rPr>
        <w:fldChar w:fldCharType="begin"/>
      </w:r>
      <w:r w:rsidRPr="0068236B">
        <w:rPr>
          <w:rFonts w:cs="Tahoma"/>
          <w:sz w:val="18"/>
          <w:szCs w:val="18"/>
        </w:rPr>
        <w:instrText xml:space="preserve"> SEQ Figure \* ARABIC \s 1 </w:instrText>
      </w:r>
      <w:r w:rsidRPr="0068236B">
        <w:rPr>
          <w:rFonts w:cs="Tahoma"/>
          <w:sz w:val="18"/>
          <w:szCs w:val="18"/>
        </w:rPr>
        <w:fldChar w:fldCharType="separate"/>
      </w:r>
      <w:r w:rsidR="00E502D0" w:rsidRPr="0068236B">
        <w:rPr>
          <w:rFonts w:cs="Tahoma"/>
          <w:noProof/>
          <w:sz w:val="18"/>
          <w:szCs w:val="18"/>
        </w:rPr>
        <w:t>1</w:t>
      </w:r>
      <w:r w:rsidRPr="0068236B">
        <w:rPr>
          <w:rFonts w:cs="Tahoma"/>
          <w:sz w:val="18"/>
          <w:szCs w:val="18"/>
        </w:rPr>
        <w:fldChar w:fldCharType="end"/>
      </w:r>
      <w:r w:rsidRPr="0068236B">
        <w:rPr>
          <w:rFonts w:cs="Tahoma"/>
          <w:sz w:val="18"/>
          <w:szCs w:val="18"/>
        </w:rPr>
        <w:t>: Climate diagrams of Gevgelija and Valandovo</w:t>
      </w:r>
      <w:bookmarkEnd w:id="219"/>
    </w:p>
    <w:p w14:paraId="6361D8DA" w14:textId="47326FB7" w:rsidR="00DB3C90" w:rsidRPr="0068236B" w:rsidRDefault="00D453DF" w:rsidP="00D453DF">
      <w:pPr>
        <w:pStyle w:val="Heading4"/>
        <w:rPr>
          <w:sz w:val="20"/>
          <w:lang w:eastAsia="en-US"/>
        </w:rPr>
      </w:pPr>
      <w:bookmarkStart w:id="220" w:name="_Toc48829065"/>
      <w:bookmarkStart w:id="221" w:name="_Toc71559763"/>
      <w:r w:rsidRPr="0068236B">
        <w:rPr>
          <w:sz w:val="20"/>
          <w:lang w:eastAsia="en-US"/>
        </w:rPr>
        <w:t>Greenhouse Gases</w:t>
      </w:r>
      <w:bookmarkEnd w:id="220"/>
      <w:bookmarkEnd w:id="221"/>
      <w:r w:rsidRPr="0068236B">
        <w:rPr>
          <w:sz w:val="20"/>
          <w:lang w:eastAsia="en-US"/>
        </w:rPr>
        <w:t xml:space="preserve"> </w:t>
      </w:r>
    </w:p>
    <w:p w14:paraId="7CA7F69F" w14:textId="77777777" w:rsidR="00197837" w:rsidRPr="0068236B" w:rsidRDefault="00197837" w:rsidP="00197837">
      <w:pPr>
        <w:pStyle w:val="NumBodyText"/>
        <w:tabs>
          <w:tab w:val="clear" w:pos="0"/>
        </w:tabs>
        <w:ind w:firstLine="0"/>
        <w:jc w:val="both"/>
        <w:rPr>
          <w:rFonts w:ascii="Tahoma" w:hAnsi="Tahoma" w:cs="Tahoma"/>
          <w:sz w:val="20"/>
          <w:szCs w:val="20"/>
        </w:rPr>
      </w:pPr>
      <w:r w:rsidRPr="0068236B">
        <w:rPr>
          <w:rFonts w:ascii="Tahoma" w:hAnsi="Tahoma" w:cs="Tahoma"/>
          <w:sz w:val="20"/>
          <w:szCs w:val="20"/>
        </w:rPr>
        <w:t>As climate change impacts are global in nature, it is not possible to link a specific project, with a specific environmental impact. As such, significance of GHG emissions have been put into context using Macedonia regional emissions data.</w:t>
      </w:r>
    </w:p>
    <w:p w14:paraId="52AD3D0D" w14:textId="77777777" w:rsidR="00197837" w:rsidRPr="0068236B" w:rsidRDefault="00197837" w:rsidP="00197837">
      <w:pPr>
        <w:pStyle w:val="NumBodyText"/>
        <w:tabs>
          <w:tab w:val="clear" w:pos="0"/>
        </w:tabs>
        <w:ind w:firstLine="720"/>
        <w:jc w:val="both"/>
        <w:rPr>
          <w:rFonts w:ascii="Tahoma" w:hAnsi="Tahoma" w:cs="Tahoma"/>
          <w:sz w:val="20"/>
          <w:szCs w:val="20"/>
          <w:u w:val="single"/>
        </w:rPr>
      </w:pPr>
      <w:r w:rsidRPr="0068236B">
        <w:rPr>
          <w:rFonts w:ascii="Tahoma" w:hAnsi="Tahoma" w:cs="Tahoma"/>
          <w:sz w:val="20"/>
          <w:szCs w:val="20"/>
          <w:u w:val="single"/>
        </w:rPr>
        <w:t>Total National Emissions</w:t>
      </w:r>
    </w:p>
    <w:p w14:paraId="5B0C0F56" w14:textId="15D482C5" w:rsidR="00197837" w:rsidRPr="0068236B" w:rsidRDefault="00197837" w:rsidP="00197837">
      <w:pPr>
        <w:autoSpaceDE w:val="0"/>
        <w:autoSpaceDN w:val="0"/>
        <w:adjustRightInd w:val="0"/>
        <w:rPr>
          <w:rFonts w:cs="Tahoma"/>
          <w:sz w:val="20"/>
          <w:szCs w:val="20"/>
        </w:rPr>
      </w:pPr>
      <w:r w:rsidRPr="0068236B">
        <w:rPr>
          <w:rFonts w:cs="Tahoma"/>
          <w:sz w:val="20"/>
          <w:szCs w:val="20"/>
        </w:rPr>
        <w:t>Table and Figure below show the time–series of GHG emissions and removals (net emissions), (in tonnes CO</w:t>
      </w:r>
      <w:r w:rsidRPr="0068236B">
        <w:rPr>
          <w:rFonts w:cs="Tahoma"/>
          <w:sz w:val="20"/>
          <w:szCs w:val="20"/>
          <w:vertAlign w:val="subscript"/>
        </w:rPr>
        <w:t>2</w:t>
      </w:r>
      <w:r w:rsidRPr="0068236B">
        <w:rPr>
          <w:rFonts w:cs="Tahoma"/>
          <w:sz w:val="20"/>
          <w:szCs w:val="20"/>
        </w:rPr>
        <w:t>-eq) in the country for the period 1990–2016. In 2016, these are estimated at 8,020 Gg CO</w:t>
      </w:r>
      <w:r w:rsidRPr="0068236B">
        <w:rPr>
          <w:rFonts w:cs="Tahoma"/>
          <w:sz w:val="20"/>
          <w:szCs w:val="20"/>
          <w:vertAlign w:val="subscript"/>
        </w:rPr>
        <w:t>2</w:t>
      </w:r>
      <w:r w:rsidRPr="0068236B">
        <w:rPr>
          <w:rFonts w:cs="Tahoma"/>
          <w:sz w:val="20"/>
          <w:szCs w:val="20"/>
        </w:rPr>
        <w:t>-eq (inclu</w:t>
      </w:r>
      <w:r w:rsidRPr="0068236B">
        <w:rPr>
          <w:rFonts w:cs="Tahoma"/>
          <w:sz w:val="20"/>
          <w:szCs w:val="20"/>
        </w:rPr>
        <w:t>d</w:t>
      </w:r>
      <w:r w:rsidRPr="0068236B">
        <w:rPr>
          <w:rFonts w:cs="Tahoma"/>
          <w:sz w:val="20"/>
          <w:szCs w:val="20"/>
        </w:rPr>
        <w:t>ing the FOLU</w:t>
      </w:r>
      <w:r w:rsidRPr="0068236B">
        <w:rPr>
          <w:rStyle w:val="FootnoteReference"/>
          <w:rFonts w:cs="Tahoma"/>
          <w:sz w:val="20"/>
          <w:szCs w:val="20"/>
        </w:rPr>
        <w:footnoteReference w:id="68"/>
      </w:r>
      <w:r w:rsidRPr="0068236B">
        <w:rPr>
          <w:rFonts w:cs="Tahoma"/>
          <w:sz w:val="20"/>
          <w:szCs w:val="20"/>
        </w:rPr>
        <w:t xml:space="preserve"> sector). There are significant fluctuations in the net emissions in 2000, 2007 and 2012, where increased emissions can be noticed in the FOLU sector (instead of removals) as a result of intensified forest fires / wildfires over that period. GHG emissions in 2016 are reduced by 34.6% compared to 1990 levels. The reduction is mainly result of reduced electricity production from lignite, fuels switch (residual fuel oil for electricity and heat production is replaced with natural gas), and lower industrial production, which has been decreasing since 2012. [Ref.</w:t>
      </w:r>
      <w:r w:rsidR="004B0E9E" w:rsidRPr="0068236B">
        <w:rPr>
          <w:rFonts w:cs="Tahoma"/>
          <w:sz w:val="20"/>
          <w:szCs w:val="20"/>
        </w:rPr>
        <w:t>22</w:t>
      </w:r>
      <w:r w:rsidRPr="0068236B">
        <w:rPr>
          <w:rFonts w:cs="Tahoma"/>
          <w:sz w:val="20"/>
          <w:szCs w:val="20"/>
        </w:rPr>
        <w:t>]</w:t>
      </w:r>
    </w:p>
    <w:tbl>
      <w:tblPr>
        <w:tblW w:w="9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3318"/>
        <w:gridCol w:w="1055"/>
        <w:gridCol w:w="1055"/>
        <w:gridCol w:w="1055"/>
        <w:gridCol w:w="1055"/>
        <w:gridCol w:w="1055"/>
        <w:gridCol w:w="1056"/>
      </w:tblGrid>
      <w:tr w:rsidR="00197837" w:rsidRPr="0068236B" w14:paraId="1C0CC15A" w14:textId="77777777" w:rsidTr="00197837">
        <w:trPr>
          <w:trHeight w:val="75"/>
        </w:trPr>
        <w:tc>
          <w:tcPr>
            <w:tcW w:w="3318" w:type="dxa"/>
            <w:tcBorders>
              <w:top w:val="double" w:sz="4" w:space="0" w:color="auto"/>
              <w:left w:val="double" w:sz="4" w:space="0" w:color="auto"/>
              <w:bottom w:val="double" w:sz="4" w:space="0" w:color="auto"/>
              <w:right w:val="double" w:sz="4" w:space="0" w:color="auto"/>
            </w:tcBorders>
            <w:shd w:val="clear" w:color="auto" w:fill="D5DCE4" w:themeFill="text2" w:themeFillTint="33"/>
          </w:tcPr>
          <w:p w14:paraId="78B53A7E" w14:textId="77777777" w:rsidR="00197837" w:rsidRPr="0068236B" w:rsidRDefault="00197837" w:rsidP="00197837">
            <w:pPr>
              <w:pStyle w:val="Default"/>
              <w:rPr>
                <w:rFonts w:ascii="Tahoma" w:hAnsi="Tahoma" w:cs="Tahoma"/>
                <w:color w:val="auto"/>
                <w:sz w:val="20"/>
                <w:szCs w:val="20"/>
              </w:rPr>
            </w:pPr>
            <w:r w:rsidRPr="0068236B">
              <w:rPr>
                <w:rFonts w:ascii="Tahoma" w:hAnsi="Tahoma" w:cs="Tahoma"/>
                <w:bCs/>
                <w:color w:val="auto"/>
                <w:sz w:val="20"/>
                <w:szCs w:val="20"/>
              </w:rPr>
              <w:t xml:space="preserve">Sector </w:t>
            </w:r>
          </w:p>
        </w:tc>
        <w:tc>
          <w:tcPr>
            <w:tcW w:w="1055" w:type="dxa"/>
            <w:tcBorders>
              <w:top w:val="double" w:sz="4" w:space="0" w:color="auto"/>
              <w:left w:val="double" w:sz="4" w:space="0" w:color="auto"/>
              <w:bottom w:val="double" w:sz="4" w:space="0" w:color="auto"/>
              <w:right w:val="double" w:sz="4" w:space="0" w:color="auto"/>
            </w:tcBorders>
            <w:shd w:val="clear" w:color="auto" w:fill="D5DCE4" w:themeFill="text2" w:themeFillTint="33"/>
            <w:vAlign w:val="center"/>
          </w:tcPr>
          <w:p w14:paraId="5B91F553" w14:textId="77777777" w:rsidR="00197837" w:rsidRPr="0068236B" w:rsidRDefault="00197837" w:rsidP="00197837">
            <w:pPr>
              <w:pStyle w:val="Default"/>
              <w:jc w:val="center"/>
              <w:rPr>
                <w:rFonts w:ascii="Tahoma" w:hAnsi="Tahoma" w:cs="Tahoma"/>
                <w:color w:val="auto"/>
                <w:sz w:val="20"/>
                <w:szCs w:val="20"/>
              </w:rPr>
            </w:pPr>
            <w:r w:rsidRPr="0068236B">
              <w:rPr>
                <w:rFonts w:ascii="Tahoma" w:hAnsi="Tahoma" w:cs="Tahoma"/>
                <w:bCs/>
                <w:color w:val="auto"/>
                <w:sz w:val="20"/>
                <w:szCs w:val="20"/>
              </w:rPr>
              <w:t>1990</w:t>
            </w:r>
          </w:p>
        </w:tc>
        <w:tc>
          <w:tcPr>
            <w:tcW w:w="1055" w:type="dxa"/>
            <w:tcBorders>
              <w:top w:val="double" w:sz="4" w:space="0" w:color="auto"/>
              <w:left w:val="double" w:sz="4" w:space="0" w:color="auto"/>
              <w:bottom w:val="double" w:sz="4" w:space="0" w:color="auto"/>
              <w:right w:val="double" w:sz="4" w:space="0" w:color="auto"/>
            </w:tcBorders>
            <w:shd w:val="clear" w:color="auto" w:fill="D5DCE4" w:themeFill="text2" w:themeFillTint="33"/>
            <w:vAlign w:val="center"/>
          </w:tcPr>
          <w:p w14:paraId="097D4D3E" w14:textId="77777777" w:rsidR="00197837" w:rsidRPr="0068236B" w:rsidRDefault="00197837" w:rsidP="00197837">
            <w:pPr>
              <w:pStyle w:val="Default"/>
              <w:jc w:val="center"/>
              <w:rPr>
                <w:rFonts w:ascii="Tahoma" w:hAnsi="Tahoma" w:cs="Tahoma"/>
                <w:color w:val="auto"/>
                <w:sz w:val="20"/>
                <w:szCs w:val="20"/>
              </w:rPr>
            </w:pPr>
            <w:r w:rsidRPr="0068236B">
              <w:rPr>
                <w:rFonts w:ascii="Tahoma" w:hAnsi="Tahoma" w:cs="Tahoma"/>
                <w:bCs/>
                <w:color w:val="auto"/>
                <w:sz w:val="20"/>
                <w:szCs w:val="20"/>
              </w:rPr>
              <w:t>2000</w:t>
            </w:r>
          </w:p>
        </w:tc>
        <w:tc>
          <w:tcPr>
            <w:tcW w:w="1055" w:type="dxa"/>
            <w:tcBorders>
              <w:top w:val="double" w:sz="4" w:space="0" w:color="auto"/>
              <w:left w:val="double" w:sz="4" w:space="0" w:color="auto"/>
              <w:bottom w:val="double" w:sz="4" w:space="0" w:color="auto"/>
              <w:right w:val="double" w:sz="4" w:space="0" w:color="auto"/>
            </w:tcBorders>
            <w:shd w:val="clear" w:color="auto" w:fill="D5DCE4" w:themeFill="text2" w:themeFillTint="33"/>
            <w:vAlign w:val="center"/>
          </w:tcPr>
          <w:p w14:paraId="27090011" w14:textId="77777777" w:rsidR="00197837" w:rsidRPr="0068236B" w:rsidRDefault="00197837" w:rsidP="00197837">
            <w:pPr>
              <w:pStyle w:val="Default"/>
              <w:jc w:val="center"/>
              <w:rPr>
                <w:rFonts w:ascii="Tahoma" w:hAnsi="Tahoma" w:cs="Tahoma"/>
                <w:color w:val="auto"/>
                <w:sz w:val="20"/>
                <w:szCs w:val="20"/>
              </w:rPr>
            </w:pPr>
            <w:r w:rsidRPr="0068236B">
              <w:rPr>
                <w:rFonts w:ascii="Tahoma" w:hAnsi="Tahoma" w:cs="Tahoma"/>
                <w:bCs/>
                <w:color w:val="auto"/>
                <w:sz w:val="20"/>
                <w:szCs w:val="20"/>
              </w:rPr>
              <w:t>2005</w:t>
            </w:r>
          </w:p>
        </w:tc>
        <w:tc>
          <w:tcPr>
            <w:tcW w:w="1055" w:type="dxa"/>
            <w:tcBorders>
              <w:top w:val="double" w:sz="4" w:space="0" w:color="auto"/>
              <w:left w:val="double" w:sz="4" w:space="0" w:color="auto"/>
              <w:bottom w:val="double" w:sz="4" w:space="0" w:color="auto"/>
              <w:right w:val="double" w:sz="4" w:space="0" w:color="auto"/>
            </w:tcBorders>
            <w:shd w:val="clear" w:color="auto" w:fill="D5DCE4" w:themeFill="text2" w:themeFillTint="33"/>
            <w:vAlign w:val="center"/>
          </w:tcPr>
          <w:p w14:paraId="1F545D07" w14:textId="77777777" w:rsidR="00197837" w:rsidRPr="0068236B" w:rsidRDefault="00197837" w:rsidP="00197837">
            <w:pPr>
              <w:pStyle w:val="Default"/>
              <w:jc w:val="center"/>
              <w:rPr>
                <w:rFonts w:ascii="Tahoma" w:hAnsi="Tahoma" w:cs="Tahoma"/>
                <w:color w:val="auto"/>
                <w:sz w:val="20"/>
                <w:szCs w:val="20"/>
              </w:rPr>
            </w:pPr>
            <w:r w:rsidRPr="0068236B">
              <w:rPr>
                <w:rFonts w:ascii="Tahoma" w:hAnsi="Tahoma" w:cs="Tahoma"/>
                <w:bCs/>
                <w:color w:val="auto"/>
                <w:sz w:val="20"/>
                <w:szCs w:val="20"/>
              </w:rPr>
              <w:t>2014</w:t>
            </w:r>
          </w:p>
        </w:tc>
        <w:tc>
          <w:tcPr>
            <w:tcW w:w="1055" w:type="dxa"/>
            <w:tcBorders>
              <w:top w:val="double" w:sz="4" w:space="0" w:color="auto"/>
              <w:left w:val="double" w:sz="4" w:space="0" w:color="auto"/>
              <w:bottom w:val="double" w:sz="4" w:space="0" w:color="auto"/>
              <w:right w:val="double" w:sz="4" w:space="0" w:color="auto"/>
            </w:tcBorders>
            <w:shd w:val="clear" w:color="auto" w:fill="D5DCE4" w:themeFill="text2" w:themeFillTint="33"/>
            <w:vAlign w:val="center"/>
          </w:tcPr>
          <w:p w14:paraId="028188A6" w14:textId="77777777" w:rsidR="00197837" w:rsidRPr="0068236B" w:rsidRDefault="00197837" w:rsidP="00197837">
            <w:pPr>
              <w:pStyle w:val="Default"/>
              <w:jc w:val="center"/>
              <w:rPr>
                <w:rFonts w:ascii="Tahoma" w:hAnsi="Tahoma" w:cs="Tahoma"/>
                <w:color w:val="auto"/>
                <w:sz w:val="20"/>
                <w:szCs w:val="20"/>
              </w:rPr>
            </w:pPr>
            <w:r w:rsidRPr="0068236B">
              <w:rPr>
                <w:rFonts w:ascii="Tahoma" w:hAnsi="Tahoma" w:cs="Tahoma"/>
                <w:bCs/>
                <w:color w:val="auto"/>
                <w:sz w:val="20"/>
                <w:szCs w:val="20"/>
              </w:rPr>
              <w:t>2015</w:t>
            </w:r>
          </w:p>
        </w:tc>
        <w:tc>
          <w:tcPr>
            <w:tcW w:w="1056" w:type="dxa"/>
            <w:tcBorders>
              <w:top w:val="double" w:sz="4" w:space="0" w:color="auto"/>
              <w:left w:val="double" w:sz="4" w:space="0" w:color="auto"/>
              <w:bottom w:val="double" w:sz="4" w:space="0" w:color="auto"/>
              <w:right w:val="double" w:sz="4" w:space="0" w:color="auto"/>
            </w:tcBorders>
            <w:shd w:val="clear" w:color="auto" w:fill="D5DCE4" w:themeFill="text2" w:themeFillTint="33"/>
            <w:vAlign w:val="center"/>
          </w:tcPr>
          <w:p w14:paraId="3E63F723" w14:textId="77777777" w:rsidR="00197837" w:rsidRPr="0068236B" w:rsidRDefault="00197837" w:rsidP="00197837">
            <w:pPr>
              <w:pStyle w:val="Default"/>
              <w:jc w:val="center"/>
              <w:rPr>
                <w:rFonts w:ascii="Tahoma" w:hAnsi="Tahoma" w:cs="Tahoma"/>
                <w:color w:val="auto"/>
                <w:sz w:val="20"/>
                <w:szCs w:val="20"/>
              </w:rPr>
            </w:pPr>
            <w:r w:rsidRPr="0068236B">
              <w:rPr>
                <w:rFonts w:ascii="Tahoma" w:hAnsi="Tahoma" w:cs="Tahoma"/>
                <w:bCs/>
                <w:color w:val="auto"/>
                <w:sz w:val="20"/>
                <w:szCs w:val="20"/>
              </w:rPr>
              <w:t>2016</w:t>
            </w:r>
          </w:p>
        </w:tc>
      </w:tr>
      <w:tr w:rsidR="00197837" w:rsidRPr="0068236B" w14:paraId="0697DF41" w14:textId="77777777" w:rsidTr="00197837">
        <w:trPr>
          <w:trHeight w:val="75"/>
        </w:trPr>
        <w:tc>
          <w:tcPr>
            <w:tcW w:w="3318" w:type="dxa"/>
            <w:tcBorders>
              <w:top w:val="double" w:sz="4" w:space="0" w:color="auto"/>
              <w:left w:val="double" w:sz="4" w:space="0" w:color="auto"/>
            </w:tcBorders>
          </w:tcPr>
          <w:p w14:paraId="306256B0" w14:textId="77777777" w:rsidR="00197837" w:rsidRPr="0068236B" w:rsidRDefault="00197837" w:rsidP="00197837">
            <w:pPr>
              <w:pStyle w:val="Default"/>
              <w:rPr>
                <w:rFonts w:ascii="Tahoma" w:hAnsi="Tahoma" w:cs="Tahoma"/>
                <w:color w:val="auto"/>
                <w:sz w:val="20"/>
                <w:szCs w:val="20"/>
              </w:rPr>
            </w:pPr>
            <w:r w:rsidRPr="0068236B">
              <w:rPr>
                <w:rFonts w:ascii="Tahoma" w:hAnsi="Tahoma" w:cs="Tahoma"/>
                <w:bCs/>
                <w:color w:val="auto"/>
                <w:sz w:val="20"/>
                <w:szCs w:val="20"/>
              </w:rPr>
              <w:t xml:space="preserve">Energy </w:t>
            </w:r>
          </w:p>
        </w:tc>
        <w:tc>
          <w:tcPr>
            <w:tcW w:w="1055" w:type="dxa"/>
            <w:tcBorders>
              <w:top w:val="double" w:sz="4" w:space="0" w:color="auto"/>
            </w:tcBorders>
            <w:vAlign w:val="center"/>
          </w:tcPr>
          <w:p w14:paraId="47A4723B"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9,648.9 </w:t>
            </w:r>
          </w:p>
        </w:tc>
        <w:tc>
          <w:tcPr>
            <w:tcW w:w="1055" w:type="dxa"/>
            <w:tcBorders>
              <w:top w:val="double" w:sz="4" w:space="0" w:color="auto"/>
            </w:tcBorders>
            <w:vAlign w:val="center"/>
          </w:tcPr>
          <w:p w14:paraId="0ABF288A"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9,757.9 </w:t>
            </w:r>
          </w:p>
        </w:tc>
        <w:tc>
          <w:tcPr>
            <w:tcW w:w="1055" w:type="dxa"/>
            <w:tcBorders>
              <w:top w:val="double" w:sz="4" w:space="0" w:color="auto"/>
            </w:tcBorders>
            <w:vAlign w:val="center"/>
          </w:tcPr>
          <w:p w14:paraId="6282E736"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9,251.1 </w:t>
            </w:r>
          </w:p>
        </w:tc>
        <w:tc>
          <w:tcPr>
            <w:tcW w:w="1055" w:type="dxa"/>
            <w:tcBorders>
              <w:top w:val="double" w:sz="4" w:space="0" w:color="auto"/>
            </w:tcBorders>
            <w:vAlign w:val="center"/>
          </w:tcPr>
          <w:p w14:paraId="52ECDB7B"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8,051.3 </w:t>
            </w:r>
          </w:p>
        </w:tc>
        <w:tc>
          <w:tcPr>
            <w:tcW w:w="1055" w:type="dxa"/>
            <w:tcBorders>
              <w:top w:val="double" w:sz="4" w:space="0" w:color="auto"/>
            </w:tcBorders>
            <w:vAlign w:val="center"/>
          </w:tcPr>
          <w:p w14:paraId="63ACE7DB"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7,701.3 </w:t>
            </w:r>
          </w:p>
        </w:tc>
        <w:tc>
          <w:tcPr>
            <w:tcW w:w="1056" w:type="dxa"/>
            <w:tcBorders>
              <w:top w:val="double" w:sz="4" w:space="0" w:color="auto"/>
              <w:right w:val="double" w:sz="4" w:space="0" w:color="auto"/>
            </w:tcBorders>
            <w:vAlign w:val="center"/>
          </w:tcPr>
          <w:p w14:paraId="7B47A528"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7,449.3 </w:t>
            </w:r>
          </w:p>
        </w:tc>
      </w:tr>
      <w:tr w:rsidR="00197837" w:rsidRPr="0068236B" w14:paraId="4416326E" w14:textId="77777777" w:rsidTr="00197837">
        <w:trPr>
          <w:trHeight w:val="75"/>
        </w:trPr>
        <w:tc>
          <w:tcPr>
            <w:tcW w:w="3318" w:type="dxa"/>
            <w:tcBorders>
              <w:left w:val="double" w:sz="4" w:space="0" w:color="auto"/>
            </w:tcBorders>
          </w:tcPr>
          <w:p w14:paraId="0B5C6D80" w14:textId="77777777" w:rsidR="00197837" w:rsidRPr="0068236B" w:rsidRDefault="00197837" w:rsidP="00197837">
            <w:pPr>
              <w:pStyle w:val="Default"/>
              <w:rPr>
                <w:rFonts w:ascii="Tahoma" w:hAnsi="Tahoma" w:cs="Tahoma"/>
                <w:color w:val="auto"/>
                <w:sz w:val="20"/>
                <w:szCs w:val="20"/>
              </w:rPr>
            </w:pPr>
            <w:r w:rsidRPr="0068236B">
              <w:rPr>
                <w:rFonts w:ascii="Tahoma" w:hAnsi="Tahoma" w:cs="Tahoma"/>
                <w:bCs/>
                <w:color w:val="auto"/>
                <w:sz w:val="20"/>
                <w:szCs w:val="20"/>
              </w:rPr>
              <w:t xml:space="preserve">Industrial Processes &amp; Product Use </w:t>
            </w:r>
          </w:p>
        </w:tc>
        <w:tc>
          <w:tcPr>
            <w:tcW w:w="1055" w:type="dxa"/>
            <w:vAlign w:val="center"/>
          </w:tcPr>
          <w:p w14:paraId="73E17368"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932.2 </w:t>
            </w:r>
          </w:p>
        </w:tc>
        <w:tc>
          <w:tcPr>
            <w:tcW w:w="1055" w:type="dxa"/>
            <w:vAlign w:val="center"/>
          </w:tcPr>
          <w:p w14:paraId="2B15478E"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888.4 </w:t>
            </w:r>
          </w:p>
        </w:tc>
        <w:tc>
          <w:tcPr>
            <w:tcW w:w="1055" w:type="dxa"/>
            <w:vAlign w:val="center"/>
          </w:tcPr>
          <w:p w14:paraId="6A66E647"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861.7 </w:t>
            </w:r>
          </w:p>
        </w:tc>
        <w:tc>
          <w:tcPr>
            <w:tcW w:w="1055" w:type="dxa"/>
            <w:vAlign w:val="center"/>
          </w:tcPr>
          <w:p w14:paraId="089D2DE1"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886.2 </w:t>
            </w:r>
          </w:p>
        </w:tc>
        <w:tc>
          <w:tcPr>
            <w:tcW w:w="1055" w:type="dxa"/>
            <w:vAlign w:val="center"/>
          </w:tcPr>
          <w:p w14:paraId="10F5BC6D"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790.5 </w:t>
            </w:r>
          </w:p>
        </w:tc>
        <w:tc>
          <w:tcPr>
            <w:tcW w:w="1056" w:type="dxa"/>
            <w:tcBorders>
              <w:right w:val="double" w:sz="4" w:space="0" w:color="auto"/>
            </w:tcBorders>
            <w:vAlign w:val="center"/>
          </w:tcPr>
          <w:p w14:paraId="3E4A511A"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858.0 </w:t>
            </w:r>
          </w:p>
        </w:tc>
      </w:tr>
      <w:tr w:rsidR="00197837" w:rsidRPr="0068236B" w14:paraId="02C938F7" w14:textId="77777777" w:rsidTr="00197837">
        <w:trPr>
          <w:trHeight w:val="75"/>
        </w:trPr>
        <w:tc>
          <w:tcPr>
            <w:tcW w:w="3318" w:type="dxa"/>
            <w:tcBorders>
              <w:left w:val="double" w:sz="4" w:space="0" w:color="auto"/>
            </w:tcBorders>
          </w:tcPr>
          <w:p w14:paraId="22997397" w14:textId="77777777" w:rsidR="00197837" w:rsidRPr="0068236B" w:rsidRDefault="00197837" w:rsidP="00197837">
            <w:pPr>
              <w:pStyle w:val="Default"/>
              <w:rPr>
                <w:rFonts w:ascii="Tahoma" w:hAnsi="Tahoma" w:cs="Tahoma"/>
                <w:color w:val="auto"/>
                <w:sz w:val="20"/>
                <w:szCs w:val="20"/>
              </w:rPr>
            </w:pPr>
            <w:r w:rsidRPr="0068236B">
              <w:rPr>
                <w:rFonts w:ascii="Tahoma" w:hAnsi="Tahoma" w:cs="Tahoma"/>
                <w:bCs/>
                <w:color w:val="auto"/>
                <w:sz w:val="20"/>
                <w:szCs w:val="20"/>
              </w:rPr>
              <w:t xml:space="preserve">Agriculture (without FOLU) </w:t>
            </w:r>
          </w:p>
        </w:tc>
        <w:tc>
          <w:tcPr>
            <w:tcW w:w="1055" w:type="dxa"/>
            <w:vAlign w:val="center"/>
          </w:tcPr>
          <w:p w14:paraId="73F42239"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1,490.4 </w:t>
            </w:r>
          </w:p>
        </w:tc>
        <w:tc>
          <w:tcPr>
            <w:tcW w:w="1055" w:type="dxa"/>
            <w:vAlign w:val="center"/>
          </w:tcPr>
          <w:p w14:paraId="77D1D1A6"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1,249.6 </w:t>
            </w:r>
          </w:p>
        </w:tc>
        <w:tc>
          <w:tcPr>
            <w:tcW w:w="1055" w:type="dxa"/>
            <w:vAlign w:val="center"/>
          </w:tcPr>
          <w:p w14:paraId="4764D18E"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1,204.1 </w:t>
            </w:r>
          </w:p>
        </w:tc>
        <w:tc>
          <w:tcPr>
            <w:tcW w:w="1055" w:type="dxa"/>
            <w:vAlign w:val="center"/>
          </w:tcPr>
          <w:p w14:paraId="01C7FEFE"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1,131.5 </w:t>
            </w:r>
          </w:p>
        </w:tc>
        <w:tc>
          <w:tcPr>
            <w:tcW w:w="1055" w:type="dxa"/>
            <w:vAlign w:val="center"/>
          </w:tcPr>
          <w:p w14:paraId="708E17E8"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1,159.4 </w:t>
            </w:r>
          </w:p>
        </w:tc>
        <w:tc>
          <w:tcPr>
            <w:tcW w:w="1056" w:type="dxa"/>
            <w:tcBorders>
              <w:right w:val="double" w:sz="4" w:space="0" w:color="auto"/>
            </w:tcBorders>
            <w:vAlign w:val="center"/>
          </w:tcPr>
          <w:p w14:paraId="163823FC"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1,193.2 </w:t>
            </w:r>
          </w:p>
        </w:tc>
      </w:tr>
      <w:tr w:rsidR="00197837" w:rsidRPr="0068236B" w14:paraId="4D5F7AD9" w14:textId="77777777" w:rsidTr="00197837">
        <w:trPr>
          <w:trHeight w:val="83"/>
        </w:trPr>
        <w:tc>
          <w:tcPr>
            <w:tcW w:w="3318" w:type="dxa"/>
            <w:tcBorders>
              <w:left w:val="double" w:sz="4" w:space="0" w:color="auto"/>
            </w:tcBorders>
          </w:tcPr>
          <w:p w14:paraId="7C9B1AF7" w14:textId="77777777" w:rsidR="00197837" w:rsidRPr="0068236B" w:rsidRDefault="00197837" w:rsidP="00197837">
            <w:pPr>
              <w:pStyle w:val="Default"/>
              <w:rPr>
                <w:rFonts w:ascii="Tahoma" w:hAnsi="Tahoma" w:cs="Tahoma"/>
                <w:color w:val="auto"/>
                <w:sz w:val="20"/>
                <w:szCs w:val="20"/>
              </w:rPr>
            </w:pPr>
            <w:r w:rsidRPr="0068236B">
              <w:rPr>
                <w:rFonts w:ascii="Tahoma" w:hAnsi="Tahoma" w:cs="Tahoma"/>
                <w:bCs/>
                <w:color w:val="auto"/>
                <w:sz w:val="20"/>
                <w:szCs w:val="20"/>
              </w:rPr>
              <w:t xml:space="preserve">FOLU </w:t>
            </w:r>
          </w:p>
        </w:tc>
        <w:tc>
          <w:tcPr>
            <w:tcW w:w="1055" w:type="dxa"/>
            <w:vAlign w:val="center"/>
          </w:tcPr>
          <w:p w14:paraId="6566819F"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-207.02 </w:t>
            </w:r>
          </w:p>
        </w:tc>
        <w:tc>
          <w:tcPr>
            <w:tcW w:w="1055" w:type="dxa"/>
            <w:vAlign w:val="center"/>
          </w:tcPr>
          <w:p w14:paraId="2887A653"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10,441.4 </w:t>
            </w:r>
          </w:p>
        </w:tc>
        <w:tc>
          <w:tcPr>
            <w:tcW w:w="1055" w:type="dxa"/>
            <w:vAlign w:val="center"/>
          </w:tcPr>
          <w:p w14:paraId="770497C3"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-1,522.1 </w:t>
            </w:r>
          </w:p>
        </w:tc>
        <w:tc>
          <w:tcPr>
            <w:tcW w:w="1055" w:type="dxa"/>
            <w:vAlign w:val="center"/>
          </w:tcPr>
          <w:p w14:paraId="063F1D56"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-3597.4 </w:t>
            </w:r>
          </w:p>
        </w:tc>
        <w:tc>
          <w:tcPr>
            <w:tcW w:w="1055" w:type="dxa"/>
            <w:vAlign w:val="center"/>
          </w:tcPr>
          <w:p w14:paraId="3E552BB5"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-1,625.4 </w:t>
            </w:r>
          </w:p>
        </w:tc>
        <w:tc>
          <w:tcPr>
            <w:tcW w:w="1056" w:type="dxa"/>
            <w:tcBorders>
              <w:right w:val="double" w:sz="4" w:space="0" w:color="auto"/>
            </w:tcBorders>
            <w:vAlign w:val="center"/>
          </w:tcPr>
          <w:p w14:paraId="647A92D2"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-2,090.1 </w:t>
            </w:r>
          </w:p>
        </w:tc>
      </w:tr>
      <w:tr w:rsidR="00197837" w:rsidRPr="0068236B" w14:paraId="1803763C" w14:textId="77777777" w:rsidTr="00197837">
        <w:trPr>
          <w:trHeight w:val="75"/>
        </w:trPr>
        <w:tc>
          <w:tcPr>
            <w:tcW w:w="3318" w:type="dxa"/>
            <w:tcBorders>
              <w:left w:val="double" w:sz="4" w:space="0" w:color="auto"/>
            </w:tcBorders>
          </w:tcPr>
          <w:p w14:paraId="62F8BAA2" w14:textId="77777777" w:rsidR="00197837" w:rsidRPr="0068236B" w:rsidRDefault="00197837" w:rsidP="00197837">
            <w:pPr>
              <w:pStyle w:val="Default"/>
              <w:rPr>
                <w:rFonts w:ascii="Tahoma" w:hAnsi="Tahoma" w:cs="Tahoma"/>
                <w:color w:val="auto"/>
                <w:sz w:val="20"/>
                <w:szCs w:val="20"/>
              </w:rPr>
            </w:pPr>
            <w:r w:rsidRPr="0068236B">
              <w:rPr>
                <w:rFonts w:ascii="Tahoma" w:hAnsi="Tahoma" w:cs="Tahoma"/>
                <w:bCs/>
                <w:color w:val="auto"/>
                <w:sz w:val="20"/>
                <w:szCs w:val="20"/>
              </w:rPr>
              <w:t xml:space="preserve">Waste </w:t>
            </w:r>
          </w:p>
        </w:tc>
        <w:tc>
          <w:tcPr>
            <w:tcW w:w="1055" w:type="dxa"/>
            <w:vAlign w:val="center"/>
          </w:tcPr>
          <w:p w14:paraId="7B1CD6F4"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406.7 </w:t>
            </w:r>
          </w:p>
        </w:tc>
        <w:tc>
          <w:tcPr>
            <w:tcW w:w="1055" w:type="dxa"/>
            <w:vAlign w:val="center"/>
          </w:tcPr>
          <w:p w14:paraId="1C6F4362"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412.7 </w:t>
            </w:r>
          </w:p>
        </w:tc>
        <w:tc>
          <w:tcPr>
            <w:tcW w:w="1055" w:type="dxa"/>
            <w:vAlign w:val="center"/>
          </w:tcPr>
          <w:p w14:paraId="7378B9ED"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435.2 </w:t>
            </w:r>
          </w:p>
        </w:tc>
        <w:tc>
          <w:tcPr>
            <w:tcW w:w="1055" w:type="dxa"/>
            <w:vAlign w:val="center"/>
          </w:tcPr>
          <w:p w14:paraId="7981A331"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574.3 </w:t>
            </w:r>
          </w:p>
        </w:tc>
        <w:tc>
          <w:tcPr>
            <w:tcW w:w="1055" w:type="dxa"/>
            <w:vAlign w:val="center"/>
          </w:tcPr>
          <w:p w14:paraId="7D5E96CB"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596.7 </w:t>
            </w:r>
          </w:p>
        </w:tc>
        <w:tc>
          <w:tcPr>
            <w:tcW w:w="1056" w:type="dxa"/>
            <w:tcBorders>
              <w:right w:val="double" w:sz="4" w:space="0" w:color="auto"/>
            </w:tcBorders>
            <w:vAlign w:val="center"/>
          </w:tcPr>
          <w:p w14:paraId="30CBDDA9"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color w:val="auto"/>
                <w:sz w:val="20"/>
                <w:szCs w:val="20"/>
              </w:rPr>
              <w:t xml:space="preserve">610.2 </w:t>
            </w:r>
          </w:p>
        </w:tc>
      </w:tr>
      <w:tr w:rsidR="00197837" w:rsidRPr="0068236B" w14:paraId="52D6C028" w14:textId="77777777" w:rsidTr="00197837">
        <w:trPr>
          <w:trHeight w:val="75"/>
        </w:trPr>
        <w:tc>
          <w:tcPr>
            <w:tcW w:w="3318" w:type="dxa"/>
            <w:tcBorders>
              <w:left w:val="double" w:sz="4" w:space="0" w:color="auto"/>
            </w:tcBorders>
          </w:tcPr>
          <w:p w14:paraId="57DBAD78" w14:textId="77777777" w:rsidR="00197837" w:rsidRPr="0068236B" w:rsidRDefault="00197837" w:rsidP="00197837">
            <w:pPr>
              <w:pStyle w:val="Default"/>
              <w:rPr>
                <w:rFonts w:ascii="Tahoma" w:hAnsi="Tahoma" w:cs="Tahoma"/>
                <w:color w:val="auto"/>
                <w:sz w:val="20"/>
                <w:szCs w:val="20"/>
              </w:rPr>
            </w:pPr>
            <w:r w:rsidRPr="0068236B">
              <w:rPr>
                <w:rFonts w:ascii="Tahoma" w:hAnsi="Tahoma" w:cs="Tahoma"/>
                <w:bCs/>
                <w:color w:val="auto"/>
                <w:sz w:val="20"/>
                <w:szCs w:val="20"/>
              </w:rPr>
              <w:t xml:space="preserve">Total (incl. FOLU) – Net emissions </w:t>
            </w:r>
          </w:p>
        </w:tc>
        <w:tc>
          <w:tcPr>
            <w:tcW w:w="1055" w:type="dxa"/>
            <w:vAlign w:val="center"/>
          </w:tcPr>
          <w:p w14:paraId="219AADFC"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bCs/>
                <w:color w:val="auto"/>
                <w:sz w:val="20"/>
                <w:szCs w:val="20"/>
              </w:rPr>
              <w:t xml:space="preserve">12,271.2 </w:t>
            </w:r>
          </w:p>
        </w:tc>
        <w:tc>
          <w:tcPr>
            <w:tcW w:w="1055" w:type="dxa"/>
            <w:vAlign w:val="center"/>
          </w:tcPr>
          <w:p w14:paraId="46116AC6"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bCs/>
                <w:color w:val="auto"/>
                <w:sz w:val="20"/>
                <w:szCs w:val="20"/>
              </w:rPr>
              <w:t xml:space="preserve">22,749.9 </w:t>
            </w:r>
          </w:p>
        </w:tc>
        <w:tc>
          <w:tcPr>
            <w:tcW w:w="1055" w:type="dxa"/>
            <w:vAlign w:val="center"/>
          </w:tcPr>
          <w:p w14:paraId="2539F9AF"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bCs/>
                <w:color w:val="auto"/>
                <w:sz w:val="20"/>
                <w:szCs w:val="20"/>
              </w:rPr>
              <w:t xml:space="preserve">10,230.0 </w:t>
            </w:r>
          </w:p>
        </w:tc>
        <w:tc>
          <w:tcPr>
            <w:tcW w:w="1055" w:type="dxa"/>
            <w:vAlign w:val="center"/>
          </w:tcPr>
          <w:p w14:paraId="3C2C7A8D"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bCs/>
                <w:color w:val="auto"/>
                <w:sz w:val="20"/>
                <w:szCs w:val="20"/>
              </w:rPr>
              <w:t xml:space="preserve">7,045.9 </w:t>
            </w:r>
          </w:p>
        </w:tc>
        <w:tc>
          <w:tcPr>
            <w:tcW w:w="1055" w:type="dxa"/>
            <w:vAlign w:val="center"/>
          </w:tcPr>
          <w:p w14:paraId="1166541C"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bCs/>
                <w:color w:val="auto"/>
                <w:sz w:val="20"/>
                <w:szCs w:val="20"/>
              </w:rPr>
              <w:t xml:space="preserve">8,622.6 </w:t>
            </w:r>
          </w:p>
        </w:tc>
        <w:tc>
          <w:tcPr>
            <w:tcW w:w="1056" w:type="dxa"/>
            <w:tcBorders>
              <w:right w:val="double" w:sz="4" w:space="0" w:color="auto"/>
            </w:tcBorders>
            <w:vAlign w:val="center"/>
          </w:tcPr>
          <w:p w14:paraId="1DB56455"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bCs/>
                <w:color w:val="auto"/>
                <w:sz w:val="20"/>
                <w:szCs w:val="20"/>
              </w:rPr>
              <w:t xml:space="preserve">8,020.6 </w:t>
            </w:r>
          </w:p>
        </w:tc>
      </w:tr>
      <w:tr w:rsidR="00197837" w:rsidRPr="0068236B" w14:paraId="3119D071" w14:textId="77777777" w:rsidTr="00197837">
        <w:trPr>
          <w:trHeight w:val="75"/>
        </w:trPr>
        <w:tc>
          <w:tcPr>
            <w:tcW w:w="3318" w:type="dxa"/>
            <w:tcBorders>
              <w:left w:val="double" w:sz="4" w:space="0" w:color="auto"/>
              <w:bottom w:val="double" w:sz="4" w:space="0" w:color="auto"/>
            </w:tcBorders>
          </w:tcPr>
          <w:p w14:paraId="1396AFFA" w14:textId="77777777" w:rsidR="00197837" w:rsidRPr="0068236B" w:rsidRDefault="00197837" w:rsidP="00197837">
            <w:pPr>
              <w:pStyle w:val="Default"/>
              <w:rPr>
                <w:rFonts w:ascii="Tahoma" w:hAnsi="Tahoma" w:cs="Tahoma"/>
                <w:color w:val="auto"/>
                <w:sz w:val="20"/>
                <w:szCs w:val="20"/>
              </w:rPr>
            </w:pPr>
            <w:r w:rsidRPr="0068236B">
              <w:rPr>
                <w:rFonts w:ascii="Tahoma" w:hAnsi="Tahoma" w:cs="Tahoma"/>
                <w:bCs/>
                <w:color w:val="auto"/>
                <w:sz w:val="20"/>
                <w:szCs w:val="20"/>
              </w:rPr>
              <w:t xml:space="preserve">Total (excl. FOLU) </w:t>
            </w:r>
          </w:p>
        </w:tc>
        <w:tc>
          <w:tcPr>
            <w:tcW w:w="1055" w:type="dxa"/>
            <w:tcBorders>
              <w:bottom w:val="double" w:sz="4" w:space="0" w:color="auto"/>
            </w:tcBorders>
            <w:vAlign w:val="center"/>
          </w:tcPr>
          <w:p w14:paraId="16E9BD73"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bCs/>
                <w:color w:val="auto"/>
                <w:sz w:val="20"/>
                <w:szCs w:val="20"/>
              </w:rPr>
              <w:t xml:space="preserve">12,478.2 </w:t>
            </w:r>
          </w:p>
        </w:tc>
        <w:tc>
          <w:tcPr>
            <w:tcW w:w="1055" w:type="dxa"/>
            <w:tcBorders>
              <w:bottom w:val="double" w:sz="4" w:space="0" w:color="auto"/>
            </w:tcBorders>
            <w:vAlign w:val="center"/>
          </w:tcPr>
          <w:p w14:paraId="20159E06"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bCs/>
                <w:color w:val="auto"/>
                <w:sz w:val="20"/>
                <w:szCs w:val="20"/>
              </w:rPr>
              <w:t xml:space="preserve">12,308.6 </w:t>
            </w:r>
          </w:p>
        </w:tc>
        <w:tc>
          <w:tcPr>
            <w:tcW w:w="1055" w:type="dxa"/>
            <w:tcBorders>
              <w:bottom w:val="double" w:sz="4" w:space="0" w:color="auto"/>
            </w:tcBorders>
            <w:vAlign w:val="center"/>
          </w:tcPr>
          <w:p w14:paraId="785C1D53"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bCs/>
                <w:color w:val="auto"/>
                <w:sz w:val="20"/>
                <w:szCs w:val="20"/>
              </w:rPr>
              <w:t xml:space="preserve">11,752.1 </w:t>
            </w:r>
          </w:p>
        </w:tc>
        <w:tc>
          <w:tcPr>
            <w:tcW w:w="1055" w:type="dxa"/>
            <w:tcBorders>
              <w:bottom w:val="double" w:sz="4" w:space="0" w:color="auto"/>
            </w:tcBorders>
            <w:vAlign w:val="center"/>
          </w:tcPr>
          <w:p w14:paraId="00DDEE7F"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bCs/>
                <w:color w:val="auto"/>
                <w:sz w:val="20"/>
                <w:szCs w:val="20"/>
              </w:rPr>
              <w:t xml:space="preserve">10,643.3 </w:t>
            </w:r>
          </w:p>
        </w:tc>
        <w:tc>
          <w:tcPr>
            <w:tcW w:w="1055" w:type="dxa"/>
            <w:tcBorders>
              <w:bottom w:val="double" w:sz="4" w:space="0" w:color="auto"/>
            </w:tcBorders>
            <w:vAlign w:val="center"/>
          </w:tcPr>
          <w:p w14:paraId="5D131C7B"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bCs/>
                <w:color w:val="auto"/>
                <w:sz w:val="20"/>
                <w:szCs w:val="20"/>
              </w:rPr>
              <w:t xml:space="preserve">10,247.9 </w:t>
            </w:r>
          </w:p>
        </w:tc>
        <w:tc>
          <w:tcPr>
            <w:tcW w:w="1056" w:type="dxa"/>
            <w:tcBorders>
              <w:bottom w:val="double" w:sz="4" w:space="0" w:color="auto"/>
              <w:right w:val="double" w:sz="4" w:space="0" w:color="auto"/>
            </w:tcBorders>
            <w:vAlign w:val="center"/>
          </w:tcPr>
          <w:p w14:paraId="41388A2E" w14:textId="77777777" w:rsidR="00197837" w:rsidRPr="0068236B" w:rsidRDefault="00197837" w:rsidP="00197837">
            <w:pPr>
              <w:pStyle w:val="Default"/>
              <w:jc w:val="right"/>
              <w:rPr>
                <w:rFonts w:ascii="Tahoma" w:hAnsi="Tahoma" w:cs="Tahoma"/>
                <w:color w:val="auto"/>
                <w:sz w:val="20"/>
                <w:szCs w:val="20"/>
              </w:rPr>
            </w:pPr>
            <w:r w:rsidRPr="0068236B">
              <w:rPr>
                <w:rFonts w:ascii="Tahoma" w:hAnsi="Tahoma" w:cs="Tahoma"/>
                <w:bCs/>
                <w:color w:val="auto"/>
                <w:sz w:val="20"/>
                <w:szCs w:val="20"/>
              </w:rPr>
              <w:t xml:space="preserve">10,110.8 </w:t>
            </w:r>
          </w:p>
        </w:tc>
      </w:tr>
    </w:tbl>
    <w:p w14:paraId="465E4EB3" w14:textId="77777777" w:rsidR="00197837" w:rsidRPr="0068236B" w:rsidRDefault="00197837" w:rsidP="00197837">
      <w:pPr>
        <w:pStyle w:val="Caption"/>
        <w:spacing w:before="120"/>
        <w:jc w:val="left"/>
        <w:rPr>
          <w:b w:val="0"/>
          <w:iCs/>
          <w:szCs w:val="20"/>
        </w:rPr>
      </w:pPr>
      <w:bookmarkStart w:id="222" w:name="_Toc113018172"/>
      <w:r w:rsidRPr="0068236B">
        <w:rPr>
          <w:b w:val="0"/>
          <w:szCs w:val="20"/>
        </w:rPr>
        <w:t xml:space="preserve">Table </w:t>
      </w:r>
      <w:r w:rsidRPr="0068236B">
        <w:rPr>
          <w:b w:val="0"/>
          <w:szCs w:val="20"/>
        </w:rPr>
        <w:fldChar w:fldCharType="begin"/>
      </w:r>
      <w:r w:rsidRPr="0068236B">
        <w:rPr>
          <w:b w:val="0"/>
          <w:szCs w:val="20"/>
        </w:rPr>
        <w:instrText xml:space="preserve"> STYLEREF 1 \s </w:instrText>
      </w:r>
      <w:r w:rsidRPr="0068236B">
        <w:rPr>
          <w:b w:val="0"/>
          <w:szCs w:val="20"/>
        </w:rPr>
        <w:fldChar w:fldCharType="separate"/>
      </w:r>
      <w:r w:rsidR="00E502D0" w:rsidRPr="0068236B">
        <w:rPr>
          <w:b w:val="0"/>
          <w:noProof/>
          <w:szCs w:val="20"/>
        </w:rPr>
        <w:t>7</w:t>
      </w:r>
      <w:r w:rsidRPr="0068236B">
        <w:rPr>
          <w:b w:val="0"/>
          <w:szCs w:val="20"/>
        </w:rPr>
        <w:fldChar w:fldCharType="end"/>
      </w:r>
      <w:r w:rsidRPr="0068236B">
        <w:rPr>
          <w:b w:val="0"/>
          <w:szCs w:val="20"/>
        </w:rPr>
        <w:t>.</w:t>
      </w:r>
      <w:r w:rsidRPr="0068236B">
        <w:rPr>
          <w:b w:val="0"/>
          <w:szCs w:val="20"/>
        </w:rPr>
        <w:fldChar w:fldCharType="begin"/>
      </w:r>
      <w:r w:rsidRPr="0068236B">
        <w:rPr>
          <w:b w:val="0"/>
          <w:szCs w:val="20"/>
        </w:rPr>
        <w:instrText xml:space="preserve"> SEQ Table \* ARABIC \s 1 </w:instrText>
      </w:r>
      <w:r w:rsidRPr="0068236B">
        <w:rPr>
          <w:b w:val="0"/>
          <w:szCs w:val="20"/>
        </w:rPr>
        <w:fldChar w:fldCharType="separate"/>
      </w:r>
      <w:r w:rsidR="00E502D0" w:rsidRPr="0068236B">
        <w:rPr>
          <w:b w:val="0"/>
          <w:noProof/>
          <w:szCs w:val="20"/>
        </w:rPr>
        <w:t>1</w:t>
      </w:r>
      <w:r w:rsidRPr="0068236B">
        <w:rPr>
          <w:b w:val="0"/>
          <w:szCs w:val="20"/>
        </w:rPr>
        <w:fldChar w:fldCharType="end"/>
      </w:r>
      <w:r w:rsidRPr="0068236B">
        <w:rPr>
          <w:b w:val="0"/>
          <w:szCs w:val="20"/>
        </w:rPr>
        <w:t xml:space="preserve">: </w:t>
      </w:r>
      <w:r w:rsidRPr="0068236B">
        <w:rPr>
          <w:b w:val="0"/>
          <w:iCs/>
          <w:szCs w:val="20"/>
        </w:rPr>
        <w:t>GHG emissions and removals (net emission) by sector (in Gg CO</w:t>
      </w:r>
      <w:r w:rsidRPr="0068236B">
        <w:rPr>
          <w:b w:val="0"/>
          <w:iCs/>
          <w:szCs w:val="20"/>
          <w:vertAlign w:val="subscript"/>
        </w:rPr>
        <w:t>2</w:t>
      </w:r>
      <w:r w:rsidRPr="0068236B">
        <w:rPr>
          <w:b w:val="0"/>
          <w:iCs/>
          <w:szCs w:val="20"/>
        </w:rPr>
        <w:t>-eq)</w:t>
      </w:r>
      <w:bookmarkEnd w:id="222"/>
    </w:p>
    <w:p w14:paraId="2AFE0617" w14:textId="0A782581" w:rsidR="00197837" w:rsidRPr="0068236B" w:rsidRDefault="00197837" w:rsidP="00197837">
      <w:pPr>
        <w:pStyle w:val="Default"/>
        <w:spacing w:before="60" w:after="240"/>
        <w:rPr>
          <w:rFonts w:ascii="Tahoma" w:hAnsi="Tahoma" w:cs="Tahoma"/>
          <w:sz w:val="16"/>
          <w:szCs w:val="18"/>
        </w:rPr>
      </w:pPr>
      <w:r w:rsidRPr="0068236B">
        <w:rPr>
          <w:rFonts w:ascii="Tahoma" w:hAnsi="Tahoma" w:cs="Tahoma"/>
          <w:iCs/>
          <w:sz w:val="16"/>
          <w:szCs w:val="18"/>
        </w:rPr>
        <w:t xml:space="preserve">Source: </w:t>
      </w:r>
      <w:r w:rsidRPr="0068236B">
        <w:rPr>
          <w:rFonts w:ascii="Tahoma" w:hAnsi="Tahoma" w:cs="Tahoma"/>
          <w:sz w:val="16"/>
          <w:szCs w:val="18"/>
        </w:rPr>
        <w:t>MACEDONIAN THIRD BIENNIAL UPDATE REPORT ON CLIMATE CHANGE, August 2021; Ministry of Environment and Physical Planning [Ref.</w:t>
      </w:r>
      <w:r w:rsidR="003B4434" w:rsidRPr="0068236B">
        <w:rPr>
          <w:rFonts w:ascii="Tahoma" w:hAnsi="Tahoma" w:cs="Tahoma"/>
          <w:sz w:val="16"/>
          <w:szCs w:val="18"/>
        </w:rPr>
        <w:t>22</w:t>
      </w:r>
      <w:r w:rsidRPr="0068236B">
        <w:rPr>
          <w:rFonts w:ascii="Tahoma" w:hAnsi="Tahoma" w:cs="Tahoma"/>
          <w:sz w:val="16"/>
          <w:szCs w:val="18"/>
        </w:rPr>
        <w:t>]</w:t>
      </w:r>
    </w:p>
    <w:p w14:paraId="6E3C6AC2" w14:textId="77777777" w:rsidR="00197837" w:rsidRPr="0068236B" w:rsidRDefault="00197837" w:rsidP="00B32824">
      <w:pPr>
        <w:spacing w:after="60" w:line="240" w:lineRule="auto"/>
        <w:rPr>
          <w:rFonts w:cs="Tahoma"/>
          <w:sz w:val="20"/>
          <w:szCs w:val="20"/>
        </w:rPr>
      </w:pPr>
      <w:r w:rsidRPr="0068236B">
        <w:rPr>
          <w:noProof/>
          <w:lang w:val="mk-MK" w:eastAsia="mk-MK"/>
        </w:rPr>
        <w:lastRenderedPageBreak/>
        <w:drawing>
          <wp:inline distT="0" distB="0" distL="0" distR="0" wp14:anchorId="36D80950" wp14:editId="18EA1C81">
            <wp:extent cx="5760000" cy="2817617"/>
            <wp:effectExtent l="57150" t="57150" r="107950" b="11620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cstate="screen">
                      <a:extLst>
                        <a:ext uri="{28A0092B-C50C-407E-A947-70E740481C1C}">
                          <a14:useLocalDpi xmlns:a14="http://schemas.microsoft.com/office/drawing/2010/main" val="0"/>
                        </a:ext>
                      </a:extLst>
                    </a:blip>
                    <a:srcRect/>
                    <a:stretch/>
                  </pic:blipFill>
                  <pic:spPr bwMode="auto">
                    <a:xfrm>
                      <a:off x="0" y="0"/>
                      <a:ext cx="5760000" cy="2817617"/>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inline>
        </w:drawing>
      </w:r>
    </w:p>
    <w:p w14:paraId="1ED87C7B" w14:textId="77777777" w:rsidR="00197837" w:rsidRPr="0068236B" w:rsidRDefault="00197837" w:rsidP="00B32824">
      <w:pPr>
        <w:spacing w:before="60" w:after="60" w:line="240" w:lineRule="auto"/>
        <w:rPr>
          <w:rFonts w:cs="Tahoma"/>
          <w:iCs/>
          <w:sz w:val="18"/>
          <w:szCs w:val="20"/>
        </w:rPr>
      </w:pPr>
      <w:bookmarkStart w:id="223" w:name="_Toc112928873"/>
      <w:r w:rsidRPr="0068236B">
        <w:rPr>
          <w:rFonts w:cs="Tahoma"/>
          <w:sz w:val="18"/>
          <w:szCs w:val="20"/>
        </w:rPr>
        <w:t xml:space="preserve">Figure </w:t>
      </w:r>
      <w:r w:rsidRPr="0068236B">
        <w:rPr>
          <w:rFonts w:cs="Tahoma"/>
          <w:sz w:val="18"/>
          <w:szCs w:val="20"/>
        </w:rPr>
        <w:fldChar w:fldCharType="begin"/>
      </w:r>
      <w:r w:rsidRPr="0068236B">
        <w:rPr>
          <w:rFonts w:cs="Tahoma"/>
          <w:sz w:val="18"/>
          <w:szCs w:val="20"/>
        </w:rPr>
        <w:instrText xml:space="preserve"> STYLEREF 1 \s </w:instrText>
      </w:r>
      <w:r w:rsidRPr="0068236B">
        <w:rPr>
          <w:rFonts w:cs="Tahoma"/>
          <w:sz w:val="18"/>
          <w:szCs w:val="20"/>
        </w:rPr>
        <w:fldChar w:fldCharType="separate"/>
      </w:r>
      <w:r w:rsidR="00E502D0" w:rsidRPr="0068236B">
        <w:rPr>
          <w:rFonts w:cs="Tahoma"/>
          <w:noProof/>
          <w:sz w:val="18"/>
          <w:szCs w:val="20"/>
        </w:rPr>
        <w:t>7</w:t>
      </w:r>
      <w:r w:rsidRPr="0068236B">
        <w:rPr>
          <w:rFonts w:cs="Tahoma"/>
          <w:sz w:val="18"/>
          <w:szCs w:val="20"/>
        </w:rPr>
        <w:fldChar w:fldCharType="end"/>
      </w:r>
      <w:r w:rsidRPr="0068236B">
        <w:rPr>
          <w:rFonts w:cs="Tahoma"/>
          <w:sz w:val="18"/>
          <w:szCs w:val="20"/>
        </w:rPr>
        <w:t>.</w:t>
      </w:r>
      <w:r w:rsidRPr="0068236B">
        <w:rPr>
          <w:rFonts w:cs="Tahoma"/>
          <w:sz w:val="18"/>
          <w:szCs w:val="20"/>
        </w:rPr>
        <w:fldChar w:fldCharType="begin"/>
      </w:r>
      <w:r w:rsidRPr="0068236B">
        <w:rPr>
          <w:rFonts w:cs="Tahoma"/>
          <w:sz w:val="18"/>
          <w:szCs w:val="20"/>
        </w:rPr>
        <w:instrText xml:space="preserve"> SEQ Figure \* ARABIC \s 1 </w:instrText>
      </w:r>
      <w:r w:rsidRPr="0068236B">
        <w:rPr>
          <w:rFonts w:cs="Tahoma"/>
          <w:sz w:val="18"/>
          <w:szCs w:val="20"/>
        </w:rPr>
        <w:fldChar w:fldCharType="separate"/>
      </w:r>
      <w:r w:rsidR="00E502D0" w:rsidRPr="0068236B">
        <w:rPr>
          <w:rFonts w:cs="Tahoma"/>
          <w:noProof/>
          <w:sz w:val="18"/>
          <w:szCs w:val="20"/>
        </w:rPr>
        <w:t>2</w:t>
      </w:r>
      <w:r w:rsidRPr="0068236B">
        <w:rPr>
          <w:rFonts w:cs="Tahoma"/>
          <w:sz w:val="18"/>
          <w:szCs w:val="20"/>
        </w:rPr>
        <w:fldChar w:fldCharType="end"/>
      </w:r>
      <w:r w:rsidRPr="0068236B">
        <w:rPr>
          <w:rFonts w:cs="Tahoma"/>
          <w:sz w:val="18"/>
          <w:szCs w:val="20"/>
        </w:rPr>
        <w:t xml:space="preserve">: </w:t>
      </w:r>
      <w:r w:rsidRPr="0068236B">
        <w:rPr>
          <w:rFonts w:cs="Tahoma"/>
          <w:iCs/>
          <w:sz w:val="18"/>
          <w:szCs w:val="20"/>
        </w:rPr>
        <w:t>GHG emissions and removals (net emission) by sector (in Gg CO</w:t>
      </w:r>
      <w:r w:rsidRPr="0068236B">
        <w:rPr>
          <w:rFonts w:cs="Tahoma"/>
          <w:iCs/>
          <w:sz w:val="18"/>
          <w:szCs w:val="20"/>
          <w:vertAlign w:val="subscript"/>
        </w:rPr>
        <w:t>2</w:t>
      </w:r>
      <w:r w:rsidRPr="0068236B">
        <w:rPr>
          <w:rFonts w:cs="Tahoma"/>
          <w:iCs/>
          <w:sz w:val="18"/>
          <w:szCs w:val="20"/>
        </w:rPr>
        <w:t>-eq)</w:t>
      </w:r>
      <w:bookmarkEnd w:id="223"/>
    </w:p>
    <w:p w14:paraId="722C32A7" w14:textId="3F225E4D" w:rsidR="00197837" w:rsidRPr="0068236B" w:rsidRDefault="00197837" w:rsidP="00B32824">
      <w:pPr>
        <w:pStyle w:val="Default"/>
        <w:spacing w:before="60" w:after="240"/>
        <w:rPr>
          <w:rFonts w:ascii="Tahoma" w:hAnsi="Tahoma" w:cs="Tahoma"/>
          <w:sz w:val="16"/>
          <w:szCs w:val="18"/>
        </w:rPr>
      </w:pPr>
      <w:r w:rsidRPr="0068236B">
        <w:rPr>
          <w:rFonts w:ascii="Tahoma" w:hAnsi="Tahoma" w:cs="Tahoma"/>
          <w:iCs/>
          <w:sz w:val="16"/>
          <w:szCs w:val="18"/>
        </w:rPr>
        <w:t xml:space="preserve">Source: </w:t>
      </w:r>
      <w:r w:rsidRPr="0068236B">
        <w:rPr>
          <w:rFonts w:ascii="Tahoma" w:hAnsi="Tahoma" w:cs="Tahoma"/>
          <w:sz w:val="16"/>
          <w:szCs w:val="18"/>
        </w:rPr>
        <w:t>MACEDONIAN THIRD BIENNIAL UPDATE REPORT ON CLIMATE CHANGE, August 2021; Ministry of Environment and Physical Planning [Ref.</w:t>
      </w:r>
      <w:r w:rsidR="003B4434" w:rsidRPr="0068236B">
        <w:rPr>
          <w:rFonts w:ascii="Tahoma" w:hAnsi="Tahoma" w:cs="Tahoma"/>
          <w:sz w:val="16"/>
          <w:szCs w:val="18"/>
        </w:rPr>
        <w:t>22</w:t>
      </w:r>
      <w:r w:rsidRPr="0068236B">
        <w:rPr>
          <w:rFonts w:ascii="Tahoma" w:hAnsi="Tahoma" w:cs="Tahoma"/>
          <w:sz w:val="16"/>
          <w:szCs w:val="18"/>
        </w:rPr>
        <w:t>]</w:t>
      </w:r>
    </w:p>
    <w:p w14:paraId="24A024CF" w14:textId="77777777" w:rsidR="00197837" w:rsidRPr="0068236B" w:rsidRDefault="00197837" w:rsidP="00197837">
      <w:pPr>
        <w:pStyle w:val="NumBodyText"/>
        <w:tabs>
          <w:tab w:val="clear" w:pos="0"/>
        </w:tabs>
        <w:ind w:firstLine="720"/>
        <w:jc w:val="both"/>
        <w:rPr>
          <w:rFonts w:ascii="Tahoma" w:hAnsi="Tahoma" w:cs="Tahoma"/>
          <w:sz w:val="20"/>
          <w:szCs w:val="20"/>
          <w:u w:val="single"/>
        </w:rPr>
      </w:pPr>
      <w:r w:rsidRPr="0068236B">
        <w:rPr>
          <w:rFonts w:ascii="Tahoma" w:hAnsi="Tahoma" w:cs="Tahoma"/>
          <w:sz w:val="20"/>
          <w:szCs w:val="20"/>
          <w:u w:val="single"/>
        </w:rPr>
        <w:t>Energy Sector</w:t>
      </w:r>
    </w:p>
    <w:p w14:paraId="2EB0E182" w14:textId="77777777" w:rsidR="00197837" w:rsidRPr="0068236B" w:rsidRDefault="00197837" w:rsidP="00197837">
      <w:pPr>
        <w:pStyle w:val="Default"/>
        <w:spacing w:before="120" w:after="120" w:line="276" w:lineRule="auto"/>
        <w:jc w:val="both"/>
        <w:rPr>
          <w:rFonts w:ascii="Tahoma" w:hAnsi="Tahoma" w:cs="Tahoma"/>
          <w:sz w:val="20"/>
          <w:szCs w:val="20"/>
        </w:rPr>
      </w:pPr>
      <w:r w:rsidRPr="0068236B">
        <w:rPr>
          <w:rFonts w:ascii="Tahoma" w:hAnsi="Tahoma" w:cs="Tahoma"/>
          <w:sz w:val="20"/>
          <w:szCs w:val="20"/>
        </w:rPr>
        <w:t>Compared to the other sectors, the energy sector generates by far the largest share of GHG emissions in Macedonia. This is due to the fact that the gross inland consumption of energy in the country is still dom</w:t>
      </w:r>
      <w:r w:rsidRPr="0068236B">
        <w:rPr>
          <w:rFonts w:ascii="Tahoma" w:hAnsi="Tahoma" w:cs="Tahoma"/>
          <w:sz w:val="20"/>
          <w:szCs w:val="20"/>
        </w:rPr>
        <w:t>i</w:t>
      </w:r>
      <w:r w:rsidRPr="0068236B">
        <w:rPr>
          <w:rFonts w:ascii="Tahoma" w:hAnsi="Tahoma" w:cs="Tahoma"/>
          <w:sz w:val="20"/>
          <w:szCs w:val="20"/>
        </w:rPr>
        <w:t xml:space="preserve">nated by fossil fuels, although their share is decreasing over the reported period, from 92% in 1990 to 79% in 2016 (Figure below). At the same time, the share of renewable energy sources has doubled (7.5% in 1990 to around 15% in 2016). The rest of the gross inland consumption is covered by the electricity import, which increased from insignificant 0.2% in 1990 to 6.5% in 2016. The gross inland consumption in total in 2016 is 7% lower compared to the consumption in 1990. </w:t>
      </w:r>
    </w:p>
    <w:p w14:paraId="52C7F691" w14:textId="77777777" w:rsidR="00197837" w:rsidRPr="0068236B" w:rsidRDefault="00197837" w:rsidP="00197837">
      <w:pPr>
        <w:rPr>
          <w:rFonts w:cs="Tahoma"/>
          <w:sz w:val="20"/>
          <w:szCs w:val="20"/>
        </w:rPr>
      </w:pPr>
      <w:r w:rsidRPr="0068236B">
        <w:rPr>
          <w:rFonts w:cs="Tahoma"/>
          <w:sz w:val="20"/>
          <w:szCs w:val="20"/>
        </w:rPr>
        <w:t>Historically, the most dominant fuel in the country is coal (predominantly lignite) which has accounted for about 45% of the gross inland consumption. The situation changed in 2016 as oil products became the pr</w:t>
      </w:r>
      <w:r w:rsidRPr="0068236B">
        <w:rPr>
          <w:rFonts w:cs="Tahoma"/>
          <w:sz w:val="20"/>
          <w:szCs w:val="20"/>
        </w:rPr>
        <w:t>e</w:t>
      </w:r>
      <w:r w:rsidRPr="0068236B">
        <w:rPr>
          <w:rFonts w:cs="Tahoma"/>
          <w:sz w:val="20"/>
          <w:szCs w:val="20"/>
        </w:rPr>
        <w:t>dominant fuel type with a 40% share, while the share of coal has reduced to 32.5% (Figure below).</w:t>
      </w:r>
    </w:p>
    <w:p w14:paraId="6C77A976" w14:textId="77777777" w:rsidR="008674D8" w:rsidRPr="0068236B" w:rsidRDefault="00197837" w:rsidP="00B32824">
      <w:pPr>
        <w:spacing w:after="60" w:line="240" w:lineRule="auto"/>
        <w:rPr>
          <w:rFonts w:asciiTheme="minorHAnsi" w:hAnsiTheme="minorHAnsi" w:cstheme="minorBidi"/>
        </w:rPr>
      </w:pPr>
      <w:r w:rsidRPr="0068236B">
        <w:rPr>
          <w:noProof/>
          <w:lang w:val="mk-MK" w:eastAsia="mk-MK"/>
        </w:rPr>
        <w:lastRenderedPageBreak/>
        <w:drawing>
          <wp:inline distT="0" distB="0" distL="0" distR="0" wp14:anchorId="68543D8E" wp14:editId="601AEB40">
            <wp:extent cx="4322618" cy="3463636"/>
            <wp:effectExtent l="57150" t="57150" r="116205" b="118110"/>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cstate="screen">
                      <a:extLst>
                        <a:ext uri="{28A0092B-C50C-407E-A947-70E740481C1C}">
                          <a14:useLocalDpi xmlns:a14="http://schemas.microsoft.com/office/drawing/2010/main" val="0"/>
                        </a:ext>
                      </a:extLst>
                    </a:blip>
                    <a:srcRect/>
                    <a:stretch/>
                  </pic:blipFill>
                  <pic:spPr bwMode="auto">
                    <a:xfrm>
                      <a:off x="0" y="0"/>
                      <a:ext cx="4320000" cy="3461538"/>
                    </a:xfrm>
                    <a:prstGeom prst="rect">
                      <a:avLst/>
                    </a:prstGeom>
                    <a:ln w="3175" cap="sq">
                      <a:solidFill>
                        <a:srgbClr val="000000"/>
                      </a:solidFill>
                      <a:miter lim="800000"/>
                    </a:ln>
                    <a:effectLst>
                      <a:outerShdw blurRad="57150" dist="50800" dir="2700000" algn="tl" rotWithShape="0">
                        <a:srgbClr val="000000">
                          <a:alpha val="40000"/>
                        </a:srgbClr>
                      </a:outerShdw>
                    </a:effectLst>
                    <a:extLst>
                      <a:ext uri="{53640926-AAD7-44D8-BBD7-CCE9431645EC}">
                        <a14:shadowObscured xmlns:a14="http://schemas.microsoft.com/office/drawing/2010/main"/>
                      </a:ext>
                    </a:extLst>
                  </pic:spPr>
                </pic:pic>
              </a:graphicData>
            </a:graphic>
          </wp:inline>
        </w:drawing>
      </w:r>
    </w:p>
    <w:p w14:paraId="42FE7B59" w14:textId="45ACFC04" w:rsidR="00197837" w:rsidRPr="0068236B" w:rsidRDefault="00197837" w:rsidP="00197837">
      <w:pPr>
        <w:spacing w:after="60"/>
        <w:rPr>
          <w:rFonts w:asciiTheme="minorHAnsi" w:hAnsiTheme="minorHAnsi" w:cstheme="minorBidi"/>
        </w:rPr>
      </w:pPr>
      <w:bookmarkStart w:id="224" w:name="_Toc112928874"/>
      <w:r w:rsidRPr="0068236B">
        <w:rPr>
          <w:rFonts w:cs="Tahoma"/>
          <w:sz w:val="18"/>
          <w:szCs w:val="20"/>
        </w:rPr>
        <w:t xml:space="preserve">Figure </w:t>
      </w:r>
      <w:r w:rsidRPr="0068236B">
        <w:rPr>
          <w:rFonts w:cs="Tahoma"/>
          <w:sz w:val="18"/>
          <w:szCs w:val="20"/>
        </w:rPr>
        <w:fldChar w:fldCharType="begin"/>
      </w:r>
      <w:r w:rsidRPr="0068236B">
        <w:rPr>
          <w:rFonts w:cs="Tahoma"/>
          <w:sz w:val="18"/>
          <w:szCs w:val="20"/>
        </w:rPr>
        <w:instrText xml:space="preserve"> STYLEREF 1 \s </w:instrText>
      </w:r>
      <w:r w:rsidRPr="0068236B">
        <w:rPr>
          <w:rFonts w:cs="Tahoma"/>
          <w:sz w:val="18"/>
          <w:szCs w:val="20"/>
        </w:rPr>
        <w:fldChar w:fldCharType="separate"/>
      </w:r>
      <w:r w:rsidR="00E502D0" w:rsidRPr="0068236B">
        <w:rPr>
          <w:rFonts w:cs="Tahoma"/>
          <w:noProof/>
          <w:sz w:val="18"/>
          <w:szCs w:val="20"/>
        </w:rPr>
        <w:t>7</w:t>
      </w:r>
      <w:r w:rsidRPr="0068236B">
        <w:rPr>
          <w:rFonts w:cs="Tahoma"/>
          <w:sz w:val="18"/>
          <w:szCs w:val="20"/>
        </w:rPr>
        <w:fldChar w:fldCharType="end"/>
      </w:r>
      <w:r w:rsidRPr="0068236B">
        <w:rPr>
          <w:rFonts w:cs="Tahoma"/>
          <w:sz w:val="18"/>
          <w:szCs w:val="20"/>
        </w:rPr>
        <w:t>.</w:t>
      </w:r>
      <w:r w:rsidRPr="0068236B">
        <w:rPr>
          <w:rFonts w:cs="Tahoma"/>
          <w:sz w:val="18"/>
          <w:szCs w:val="20"/>
        </w:rPr>
        <w:fldChar w:fldCharType="begin"/>
      </w:r>
      <w:r w:rsidRPr="0068236B">
        <w:rPr>
          <w:rFonts w:cs="Tahoma"/>
          <w:sz w:val="18"/>
          <w:szCs w:val="20"/>
        </w:rPr>
        <w:instrText xml:space="preserve"> SEQ Figure \* ARABIC \s 1 </w:instrText>
      </w:r>
      <w:r w:rsidRPr="0068236B">
        <w:rPr>
          <w:rFonts w:cs="Tahoma"/>
          <w:sz w:val="18"/>
          <w:szCs w:val="20"/>
        </w:rPr>
        <w:fldChar w:fldCharType="separate"/>
      </w:r>
      <w:r w:rsidR="00E502D0" w:rsidRPr="0068236B">
        <w:rPr>
          <w:rFonts w:cs="Tahoma"/>
          <w:noProof/>
          <w:sz w:val="18"/>
          <w:szCs w:val="20"/>
        </w:rPr>
        <w:t>3</w:t>
      </w:r>
      <w:r w:rsidRPr="0068236B">
        <w:rPr>
          <w:rFonts w:cs="Tahoma"/>
          <w:sz w:val="18"/>
          <w:szCs w:val="20"/>
        </w:rPr>
        <w:fldChar w:fldCharType="end"/>
      </w:r>
      <w:r w:rsidRPr="0068236B">
        <w:rPr>
          <w:rFonts w:cs="Tahoma"/>
          <w:sz w:val="18"/>
          <w:szCs w:val="20"/>
        </w:rPr>
        <w:t xml:space="preserve">: </w:t>
      </w:r>
      <w:r w:rsidRPr="0068236B">
        <w:rPr>
          <w:rFonts w:cs="Tahoma"/>
          <w:iCs/>
          <w:sz w:val="18"/>
          <w:szCs w:val="20"/>
        </w:rPr>
        <w:t>Gross inland energy consumption (in ktoe), with share of renewable energy sources</w:t>
      </w:r>
      <w:bookmarkEnd w:id="224"/>
    </w:p>
    <w:p w14:paraId="37CEE385" w14:textId="17266261" w:rsidR="00197837" w:rsidRPr="0068236B" w:rsidRDefault="00197837" w:rsidP="00197837">
      <w:pPr>
        <w:pStyle w:val="Default"/>
        <w:spacing w:before="60" w:after="240"/>
        <w:rPr>
          <w:rFonts w:ascii="Tahoma" w:hAnsi="Tahoma" w:cs="Tahoma"/>
          <w:sz w:val="16"/>
          <w:szCs w:val="18"/>
        </w:rPr>
      </w:pPr>
      <w:r w:rsidRPr="0068236B">
        <w:rPr>
          <w:rFonts w:ascii="Tahoma" w:hAnsi="Tahoma" w:cs="Tahoma"/>
          <w:iCs/>
          <w:sz w:val="16"/>
          <w:szCs w:val="18"/>
        </w:rPr>
        <w:t xml:space="preserve">Source: </w:t>
      </w:r>
      <w:r w:rsidRPr="0068236B">
        <w:rPr>
          <w:rFonts w:ascii="Tahoma" w:hAnsi="Tahoma" w:cs="Tahoma"/>
          <w:sz w:val="16"/>
          <w:szCs w:val="18"/>
        </w:rPr>
        <w:t>MACEDONIAN THIRD BIENNIAL UPDATE REPORT ON CLIMATE CHANGE, August 2021; Ministry of Environment and Physical Planning [Ref.</w:t>
      </w:r>
      <w:r w:rsidR="004B0E9E" w:rsidRPr="0068236B">
        <w:rPr>
          <w:rFonts w:ascii="Tahoma" w:hAnsi="Tahoma" w:cs="Tahoma"/>
          <w:sz w:val="16"/>
          <w:szCs w:val="18"/>
        </w:rPr>
        <w:t>22</w:t>
      </w:r>
      <w:r w:rsidRPr="0068236B">
        <w:rPr>
          <w:rFonts w:ascii="Tahoma" w:hAnsi="Tahoma" w:cs="Tahoma"/>
          <w:sz w:val="16"/>
          <w:szCs w:val="18"/>
        </w:rPr>
        <w:t>]</w:t>
      </w:r>
    </w:p>
    <w:p w14:paraId="16FB2528" w14:textId="38D7343F" w:rsidR="00197837" w:rsidRPr="0068236B" w:rsidRDefault="00197837" w:rsidP="00197837">
      <w:pPr>
        <w:rPr>
          <w:rFonts w:eastAsia="Calibri" w:cs="Tahoma"/>
          <w:sz w:val="20"/>
          <w:szCs w:val="20"/>
        </w:rPr>
      </w:pPr>
      <w:r w:rsidRPr="0068236B">
        <w:rPr>
          <w:rFonts w:cs="Tahoma"/>
          <w:sz w:val="20"/>
          <w:szCs w:val="20"/>
        </w:rPr>
        <w:t xml:space="preserve">The </w:t>
      </w:r>
      <w:r w:rsidRPr="0068236B">
        <w:rPr>
          <w:rFonts w:cs="Tahoma"/>
          <w:bCs/>
          <w:sz w:val="20"/>
          <w:szCs w:val="20"/>
        </w:rPr>
        <w:t xml:space="preserve">GHG inventory in the Energy sector </w:t>
      </w:r>
      <w:r w:rsidRPr="0068236B">
        <w:rPr>
          <w:rFonts w:cs="Tahoma"/>
          <w:sz w:val="20"/>
          <w:szCs w:val="20"/>
        </w:rPr>
        <w:t>accounts for the emissions released as a result of</w:t>
      </w:r>
      <w:r w:rsidR="00562E86" w:rsidRPr="0068236B">
        <w:rPr>
          <w:rFonts w:cs="Tahoma"/>
          <w:sz w:val="20"/>
          <w:szCs w:val="20"/>
        </w:rPr>
        <w:t xml:space="preserve"> </w:t>
      </w:r>
      <w:r w:rsidRPr="0068236B">
        <w:rPr>
          <w:rFonts w:cs="Tahoma"/>
          <w:sz w:val="20"/>
          <w:szCs w:val="20"/>
        </w:rPr>
        <w:t>fuel combustion activities, as well as the fugitive emissions from extraction of solid and transmission and distribution of liquid and gaseous fuels. The emissions in the Energy sector, calculated based on the Sectoral approach (accoun</w:t>
      </w:r>
      <w:r w:rsidRPr="0068236B">
        <w:rPr>
          <w:rFonts w:cs="Tahoma"/>
          <w:sz w:val="20"/>
          <w:szCs w:val="20"/>
        </w:rPr>
        <w:t>t</w:t>
      </w:r>
      <w:r w:rsidRPr="0068236B">
        <w:rPr>
          <w:rFonts w:cs="Tahoma"/>
          <w:sz w:val="20"/>
          <w:szCs w:val="20"/>
        </w:rPr>
        <w:t>ing for the fuel consumption by sectors) are separated in the following categories: Energy Industries, Man</w:t>
      </w:r>
      <w:r w:rsidRPr="0068236B">
        <w:rPr>
          <w:rFonts w:cs="Tahoma"/>
          <w:sz w:val="20"/>
          <w:szCs w:val="20"/>
        </w:rPr>
        <w:t>u</w:t>
      </w:r>
      <w:r w:rsidRPr="0068236B">
        <w:rPr>
          <w:rFonts w:cs="Tahoma"/>
          <w:sz w:val="20"/>
          <w:szCs w:val="20"/>
        </w:rPr>
        <w:t>facturing Industries and Construction, Transport, Other sectors (Commercial/Institutional, Residential and Agriculture/Forestry/Fishing) and Non-Specified. In addition, the Fugitive emissions from extraction of li</w:t>
      </w:r>
      <w:r w:rsidRPr="0068236B">
        <w:rPr>
          <w:rFonts w:cs="Tahoma"/>
          <w:sz w:val="20"/>
          <w:szCs w:val="20"/>
        </w:rPr>
        <w:t>g</w:t>
      </w:r>
      <w:r w:rsidRPr="0068236B">
        <w:rPr>
          <w:rFonts w:cs="Tahoma"/>
          <w:sz w:val="20"/>
          <w:szCs w:val="20"/>
        </w:rPr>
        <w:t>nite, oil refining and transmission of natural gas are included in this calculation. As such, the overall GHG emissions in Energy sector are 7,701 Gg CO</w:t>
      </w:r>
      <w:r w:rsidRPr="0068236B">
        <w:rPr>
          <w:rFonts w:cs="Tahoma"/>
          <w:sz w:val="20"/>
          <w:szCs w:val="20"/>
          <w:vertAlign w:val="subscript"/>
        </w:rPr>
        <w:t>2</w:t>
      </w:r>
      <w:r w:rsidRPr="0068236B">
        <w:rPr>
          <w:rFonts w:cs="Tahoma"/>
          <w:sz w:val="20"/>
          <w:szCs w:val="20"/>
        </w:rPr>
        <w:t>-eq in 2015 and 7,449 Gg CO</w:t>
      </w:r>
      <w:r w:rsidRPr="0068236B">
        <w:rPr>
          <w:rFonts w:cs="Tahoma"/>
          <w:sz w:val="20"/>
          <w:szCs w:val="20"/>
          <w:vertAlign w:val="subscript"/>
        </w:rPr>
        <w:t>2</w:t>
      </w:r>
      <w:r w:rsidRPr="0068236B">
        <w:rPr>
          <w:rFonts w:cs="Tahoma"/>
          <w:sz w:val="20"/>
          <w:szCs w:val="20"/>
        </w:rPr>
        <w:t>-eq in 2016. Most of the GHG emissions in 2016 occur in the category Energy Industries (51.0%), followed by Transport (28.1%) and Manufacturing Industries and Construction (13.9%). The other two categories together account for 5% of the total emissions in 2016 and the remaining around 2% are Fugitive emissions. Almost all of the GHG emissions in 2016 are CO</w:t>
      </w:r>
      <w:r w:rsidRPr="0068236B">
        <w:rPr>
          <w:rFonts w:cs="Tahoma"/>
          <w:sz w:val="20"/>
          <w:szCs w:val="20"/>
          <w:vertAlign w:val="subscript"/>
        </w:rPr>
        <w:t>2</w:t>
      </w:r>
      <w:r w:rsidRPr="0068236B">
        <w:rPr>
          <w:rFonts w:cs="Tahoma"/>
          <w:sz w:val="20"/>
          <w:szCs w:val="20"/>
        </w:rPr>
        <w:t xml:space="preserve"> emissions (96.4%), and CH</w:t>
      </w:r>
      <w:r w:rsidRPr="0068236B">
        <w:rPr>
          <w:rFonts w:cs="Tahoma"/>
          <w:sz w:val="20"/>
          <w:szCs w:val="20"/>
          <w:vertAlign w:val="subscript"/>
        </w:rPr>
        <w:t>4</w:t>
      </w:r>
      <w:r w:rsidRPr="0068236B">
        <w:rPr>
          <w:rFonts w:cs="Tahoma"/>
          <w:sz w:val="20"/>
          <w:szCs w:val="20"/>
        </w:rPr>
        <w:t xml:space="preserve"> and N</w:t>
      </w:r>
      <w:r w:rsidRPr="0068236B">
        <w:rPr>
          <w:rFonts w:cs="Tahoma"/>
          <w:sz w:val="20"/>
          <w:szCs w:val="20"/>
          <w:vertAlign w:val="subscript"/>
        </w:rPr>
        <w:t>2</w:t>
      </w:r>
      <w:r w:rsidRPr="0068236B">
        <w:rPr>
          <w:rFonts w:cs="Tahoma"/>
          <w:sz w:val="20"/>
          <w:szCs w:val="20"/>
        </w:rPr>
        <w:t>O emissions amount to only 2.8% and 0.8%, respectively.</w:t>
      </w:r>
    </w:p>
    <w:p w14:paraId="3BCD4014" w14:textId="42D4BB41" w:rsidR="00197837" w:rsidRPr="0068236B" w:rsidRDefault="00197837" w:rsidP="00197837">
      <w:pPr>
        <w:spacing w:after="60"/>
        <w:rPr>
          <w:rFonts w:cs="Tahoma"/>
          <w:b/>
          <w:sz w:val="20"/>
          <w:szCs w:val="20"/>
        </w:rPr>
      </w:pPr>
      <w:r w:rsidRPr="0068236B">
        <w:rPr>
          <w:noProof/>
          <w:lang w:val="mk-MK" w:eastAsia="mk-MK"/>
        </w:rPr>
        <w:lastRenderedPageBreak/>
        <w:drawing>
          <wp:inline distT="0" distB="0" distL="0" distR="0" wp14:anchorId="2653C0BC" wp14:editId="58D8A18D">
            <wp:extent cx="4320000" cy="3460465"/>
            <wp:effectExtent l="19050" t="19050" r="23495" b="260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cstate="screen">
                      <a:extLst>
                        <a:ext uri="{28A0092B-C50C-407E-A947-70E740481C1C}">
                          <a14:useLocalDpi xmlns:a14="http://schemas.microsoft.com/office/drawing/2010/main" val="0"/>
                        </a:ext>
                      </a:extLst>
                    </a:blip>
                    <a:srcRect/>
                    <a:stretch/>
                  </pic:blipFill>
                  <pic:spPr bwMode="auto">
                    <a:xfrm>
                      <a:off x="0" y="0"/>
                      <a:ext cx="4320000" cy="346046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4C202338" w14:textId="77777777" w:rsidR="00197837" w:rsidRPr="0068236B" w:rsidRDefault="00197837" w:rsidP="00197837">
      <w:pPr>
        <w:spacing w:after="60"/>
        <w:rPr>
          <w:rFonts w:cs="Tahoma"/>
          <w:iCs/>
          <w:sz w:val="18"/>
          <w:szCs w:val="20"/>
        </w:rPr>
      </w:pPr>
      <w:bookmarkStart w:id="225" w:name="_Toc112928875"/>
      <w:r w:rsidRPr="0068236B">
        <w:rPr>
          <w:rFonts w:cs="Tahoma"/>
          <w:sz w:val="18"/>
          <w:szCs w:val="20"/>
        </w:rPr>
        <w:t xml:space="preserve">Figure </w:t>
      </w:r>
      <w:r w:rsidRPr="0068236B">
        <w:rPr>
          <w:rFonts w:cs="Tahoma"/>
          <w:sz w:val="18"/>
          <w:szCs w:val="20"/>
        </w:rPr>
        <w:fldChar w:fldCharType="begin"/>
      </w:r>
      <w:r w:rsidRPr="0068236B">
        <w:rPr>
          <w:rFonts w:cs="Tahoma"/>
          <w:sz w:val="18"/>
          <w:szCs w:val="20"/>
        </w:rPr>
        <w:instrText xml:space="preserve"> STYLEREF 1 \s </w:instrText>
      </w:r>
      <w:r w:rsidRPr="0068236B">
        <w:rPr>
          <w:rFonts w:cs="Tahoma"/>
          <w:sz w:val="18"/>
          <w:szCs w:val="20"/>
        </w:rPr>
        <w:fldChar w:fldCharType="separate"/>
      </w:r>
      <w:r w:rsidR="00E502D0" w:rsidRPr="0068236B">
        <w:rPr>
          <w:rFonts w:cs="Tahoma"/>
          <w:noProof/>
          <w:sz w:val="18"/>
          <w:szCs w:val="20"/>
        </w:rPr>
        <w:t>7</w:t>
      </w:r>
      <w:r w:rsidRPr="0068236B">
        <w:rPr>
          <w:rFonts w:cs="Tahoma"/>
          <w:sz w:val="18"/>
          <w:szCs w:val="20"/>
        </w:rPr>
        <w:fldChar w:fldCharType="end"/>
      </w:r>
      <w:r w:rsidRPr="0068236B">
        <w:rPr>
          <w:rFonts w:cs="Tahoma"/>
          <w:sz w:val="18"/>
          <w:szCs w:val="20"/>
        </w:rPr>
        <w:t>.</w:t>
      </w:r>
      <w:r w:rsidRPr="0068236B">
        <w:rPr>
          <w:rFonts w:cs="Tahoma"/>
          <w:sz w:val="18"/>
          <w:szCs w:val="20"/>
        </w:rPr>
        <w:fldChar w:fldCharType="begin"/>
      </w:r>
      <w:r w:rsidRPr="0068236B">
        <w:rPr>
          <w:rFonts w:cs="Tahoma"/>
          <w:sz w:val="18"/>
          <w:szCs w:val="20"/>
        </w:rPr>
        <w:instrText xml:space="preserve"> SEQ Figure \* ARABIC \s 1 </w:instrText>
      </w:r>
      <w:r w:rsidRPr="0068236B">
        <w:rPr>
          <w:rFonts w:cs="Tahoma"/>
          <w:sz w:val="18"/>
          <w:szCs w:val="20"/>
        </w:rPr>
        <w:fldChar w:fldCharType="separate"/>
      </w:r>
      <w:r w:rsidR="00E502D0" w:rsidRPr="0068236B">
        <w:rPr>
          <w:rFonts w:cs="Tahoma"/>
          <w:noProof/>
          <w:sz w:val="18"/>
          <w:szCs w:val="20"/>
        </w:rPr>
        <w:t>4</w:t>
      </w:r>
      <w:r w:rsidRPr="0068236B">
        <w:rPr>
          <w:rFonts w:cs="Tahoma"/>
          <w:sz w:val="18"/>
          <w:szCs w:val="20"/>
        </w:rPr>
        <w:fldChar w:fldCharType="end"/>
      </w:r>
      <w:r w:rsidRPr="0068236B">
        <w:rPr>
          <w:rFonts w:cs="Tahoma"/>
          <w:sz w:val="18"/>
          <w:szCs w:val="20"/>
        </w:rPr>
        <w:t xml:space="preserve">: </w:t>
      </w:r>
      <w:r w:rsidRPr="0068236B">
        <w:rPr>
          <w:rFonts w:cs="Tahoma"/>
          <w:iCs/>
          <w:sz w:val="18"/>
          <w:szCs w:val="20"/>
        </w:rPr>
        <w:t>GHG emissions in Energy sector, by category (in Gg CO</w:t>
      </w:r>
      <w:r w:rsidRPr="0068236B">
        <w:rPr>
          <w:rFonts w:cs="Tahoma"/>
          <w:iCs/>
          <w:sz w:val="18"/>
          <w:szCs w:val="20"/>
          <w:vertAlign w:val="subscript"/>
        </w:rPr>
        <w:t>2</w:t>
      </w:r>
      <w:r w:rsidRPr="0068236B">
        <w:rPr>
          <w:rFonts w:cs="Tahoma"/>
          <w:iCs/>
          <w:sz w:val="18"/>
          <w:szCs w:val="20"/>
        </w:rPr>
        <w:t>-eq)</w:t>
      </w:r>
      <w:bookmarkEnd w:id="225"/>
    </w:p>
    <w:p w14:paraId="160FF147" w14:textId="691946D0" w:rsidR="00197837" w:rsidRPr="0068236B" w:rsidRDefault="00197837" w:rsidP="00197837">
      <w:pPr>
        <w:pStyle w:val="Default"/>
        <w:spacing w:before="60" w:after="240"/>
        <w:rPr>
          <w:rFonts w:ascii="Tahoma" w:hAnsi="Tahoma" w:cs="Tahoma"/>
          <w:sz w:val="16"/>
          <w:szCs w:val="18"/>
        </w:rPr>
      </w:pPr>
      <w:r w:rsidRPr="0068236B">
        <w:rPr>
          <w:rFonts w:ascii="Tahoma" w:hAnsi="Tahoma" w:cs="Tahoma"/>
          <w:iCs/>
          <w:sz w:val="16"/>
          <w:szCs w:val="18"/>
        </w:rPr>
        <w:t xml:space="preserve">Source: </w:t>
      </w:r>
      <w:r w:rsidRPr="0068236B">
        <w:rPr>
          <w:rFonts w:ascii="Tahoma" w:hAnsi="Tahoma" w:cs="Tahoma"/>
          <w:sz w:val="16"/>
          <w:szCs w:val="18"/>
        </w:rPr>
        <w:t>MACEDONIAN THIRD BIENNIAL UPDATE REPORT ON CLIMATE CHANGE, August 2021; Ministry of Environment and Physical Planning [Ref.</w:t>
      </w:r>
      <w:r w:rsidR="004B0E9E" w:rsidRPr="0068236B">
        <w:rPr>
          <w:rFonts w:ascii="Tahoma" w:hAnsi="Tahoma" w:cs="Tahoma"/>
          <w:sz w:val="16"/>
          <w:szCs w:val="18"/>
        </w:rPr>
        <w:t>22</w:t>
      </w:r>
      <w:r w:rsidRPr="0068236B">
        <w:rPr>
          <w:rFonts w:ascii="Tahoma" w:hAnsi="Tahoma" w:cs="Tahoma"/>
          <w:sz w:val="16"/>
          <w:szCs w:val="18"/>
        </w:rPr>
        <w:t>]</w:t>
      </w:r>
    </w:p>
    <w:p w14:paraId="67D46D25" w14:textId="5DCAF504" w:rsidR="00D453DF" w:rsidRPr="0068236B" w:rsidRDefault="00D453DF" w:rsidP="00D453DF">
      <w:pPr>
        <w:pStyle w:val="Heading4"/>
        <w:rPr>
          <w:sz w:val="20"/>
          <w:lang w:eastAsia="en-US"/>
        </w:rPr>
      </w:pPr>
      <w:r w:rsidRPr="0068236B">
        <w:rPr>
          <w:sz w:val="20"/>
          <w:lang w:eastAsia="en-US"/>
        </w:rPr>
        <w:t>Future</w:t>
      </w:r>
      <w:r w:rsidR="00B32824" w:rsidRPr="0068236B">
        <w:rPr>
          <w:sz w:val="20"/>
          <w:lang w:eastAsia="en-US"/>
        </w:rPr>
        <w:t xml:space="preserve"> Baseline – Climate Projections</w:t>
      </w:r>
    </w:p>
    <w:p w14:paraId="16CDD703" w14:textId="551182A8" w:rsidR="008674D8" w:rsidRPr="0068236B" w:rsidRDefault="008674D8" w:rsidP="008674D8">
      <w:pPr>
        <w:rPr>
          <w:rFonts w:cs="Tahoma"/>
          <w:sz w:val="20"/>
          <w:szCs w:val="20"/>
        </w:rPr>
      </w:pPr>
      <w:r w:rsidRPr="0068236B">
        <w:rPr>
          <w:rFonts w:cs="Tahoma"/>
          <w:sz w:val="20"/>
          <w:szCs w:val="20"/>
        </w:rPr>
        <w:t>Climate projections for Macedonia for the purposes of this E&amp;S assessment have been derived from the World Bank Climate Change Knowledge Portal</w:t>
      </w:r>
      <w:r w:rsidRPr="0068236B">
        <w:rPr>
          <w:rFonts w:cs="Tahoma"/>
          <w:sz w:val="20"/>
          <w:szCs w:val="20"/>
          <w:vertAlign w:val="superscript"/>
        </w:rPr>
        <w:footnoteReference w:id="69"/>
      </w:r>
      <w:r w:rsidRPr="0068236B">
        <w:rPr>
          <w:rFonts w:cs="Tahoma"/>
          <w:sz w:val="20"/>
          <w:szCs w:val="20"/>
        </w:rPr>
        <w:t>. Projection for a ‘high’ emissions’ scenario (Shared Socioe</w:t>
      </w:r>
      <w:r w:rsidRPr="0068236B">
        <w:rPr>
          <w:rFonts w:cs="Tahoma"/>
          <w:sz w:val="20"/>
          <w:szCs w:val="20"/>
        </w:rPr>
        <w:t>c</w:t>
      </w:r>
      <w:r w:rsidRPr="0068236B">
        <w:rPr>
          <w:rFonts w:cs="Tahoma"/>
          <w:sz w:val="20"/>
          <w:szCs w:val="20"/>
        </w:rPr>
        <w:t>onomic Pathways (SSPs)</w:t>
      </w:r>
      <w:r w:rsidRPr="0068236B">
        <w:rPr>
          <w:sz w:val="20"/>
          <w:szCs w:val="20"/>
          <w:vertAlign w:val="superscript"/>
        </w:rPr>
        <w:footnoteReference w:id="70"/>
      </w:r>
      <w:r w:rsidRPr="0068236B">
        <w:rPr>
          <w:rFonts w:cs="Tahoma"/>
          <w:sz w:val="20"/>
          <w:szCs w:val="20"/>
        </w:rPr>
        <w:t>) for the time period of 2080-2099 (assuming more than 60-year project design life) has been used to develop the future climate baseline.</w:t>
      </w:r>
    </w:p>
    <w:p w14:paraId="71BE435C" w14:textId="69166A53" w:rsidR="008674D8" w:rsidRPr="0068236B" w:rsidRDefault="008674D8" w:rsidP="008674D8">
      <w:pPr>
        <w:pStyle w:val="H4"/>
        <w:ind w:firstLine="720"/>
        <w:jc w:val="both"/>
        <w:rPr>
          <w:rFonts w:ascii="Tahoma" w:hAnsi="Tahoma" w:cs="Tahoma"/>
          <w:b w:val="0"/>
          <w:sz w:val="20"/>
          <w:szCs w:val="20"/>
          <w:u w:val="single"/>
        </w:rPr>
      </w:pPr>
      <w:r w:rsidRPr="0068236B">
        <w:rPr>
          <w:rFonts w:ascii="Tahoma" w:hAnsi="Tahoma" w:cs="Tahoma"/>
          <w:b w:val="0"/>
          <w:sz w:val="20"/>
          <w:szCs w:val="20"/>
          <w:u w:val="single"/>
        </w:rPr>
        <w:t>Temperature Indicators</w:t>
      </w:r>
    </w:p>
    <w:p w14:paraId="2B2B263F" w14:textId="31AE0C3D" w:rsidR="008674D8" w:rsidRPr="0068236B" w:rsidRDefault="008674D8" w:rsidP="008674D8">
      <w:pPr>
        <w:pStyle w:val="NumBodyText"/>
        <w:tabs>
          <w:tab w:val="clear" w:pos="0"/>
        </w:tabs>
        <w:ind w:firstLine="0"/>
        <w:jc w:val="both"/>
        <w:rPr>
          <w:rFonts w:ascii="Tahoma" w:hAnsi="Tahoma" w:cs="Tahoma"/>
          <w:sz w:val="20"/>
          <w:szCs w:val="20"/>
        </w:rPr>
      </w:pPr>
      <w:r w:rsidRPr="0068236B">
        <w:rPr>
          <w:rFonts w:ascii="Tahoma" w:hAnsi="Tahoma" w:cs="Tahoma"/>
          <w:sz w:val="20"/>
          <w:szCs w:val="20"/>
        </w:rPr>
        <w:t>The projected change in monthly temperature for Macedonia 2080-2099 under the selected scenario (</w:t>
      </w:r>
      <w:r w:rsidR="009E11AB" w:rsidRPr="0068236B">
        <w:rPr>
          <w:rFonts w:ascii="Tahoma" w:hAnsi="Tahoma" w:cs="Tahoma"/>
          <w:sz w:val="20"/>
          <w:szCs w:val="20"/>
        </w:rPr>
        <w:t>SSP5-8.5</w:t>
      </w:r>
      <w:r w:rsidR="00D87BF9" w:rsidRPr="0068236B">
        <w:rPr>
          <w:rStyle w:val="FootnoteReference"/>
          <w:rFonts w:ascii="Tahoma" w:hAnsi="Tahoma" w:cs="Tahoma"/>
          <w:sz w:val="20"/>
          <w:szCs w:val="20"/>
        </w:rPr>
        <w:footnoteReference w:id="71"/>
      </w:r>
      <w:r w:rsidRPr="0068236B">
        <w:rPr>
          <w:rFonts w:ascii="Tahoma" w:hAnsi="Tahoma" w:cs="Tahoma"/>
          <w:sz w:val="20"/>
          <w:szCs w:val="20"/>
        </w:rPr>
        <w:t>), compared to a baseline of 1995-2014 is presented in the Figure</w:t>
      </w:r>
      <w:r w:rsidR="00F74FD9" w:rsidRPr="0068236B">
        <w:rPr>
          <w:rFonts w:ascii="Tahoma" w:hAnsi="Tahoma" w:cs="Tahoma"/>
          <w:sz w:val="20"/>
          <w:szCs w:val="20"/>
        </w:rPr>
        <w:t xml:space="preserve"> below</w:t>
      </w:r>
      <w:r w:rsidRPr="0068236B">
        <w:rPr>
          <w:rFonts w:ascii="Tahoma" w:hAnsi="Tahoma" w:cs="Tahoma"/>
          <w:sz w:val="20"/>
          <w:szCs w:val="20"/>
        </w:rPr>
        <w:t>. This projects an increase in temperature at a national level in the range of 4°C to 8.5°C for the 50% ‘central estimate’. The projected changes in the Project region (Gevgelija and Valandovo) are in similar range, from 4°C to 8°C) (Figure b</w:t>
      </w:r>
      <w:r w:rsidRPr="0068236B">
        <w:rPr>
          <w:rFonts w:ascii="Tahoma" w:hAnsi="Tahoma" w:cs="Tahoma"/>
          <w:sz w:val="20"/>
          <w:szCs w:val="20"/>
        </w:rPr>
        <w:t>e</w:t>
      </w:r>
      <w:r w:rsidRPr="0068236B">
        <w:rPr>
          <w:rFonts w:ascii="Tahoma" w:hAnsi="Tahoma" w:cs="Tahoma"/>
          <w:sz w:val="20"/>
          <w:szCs w:val="20"/>
        </w:rPr>
        <w:t>low).</w:t>
      </w:r>
    </w:p>
    <w:p w14:paraId="3EC5EA7F" w14:textId="3F55E113" w:rsidR="00C27B01" w:rsidRPr="0068236B" w:rsidRDefault="00C27B01" w:rsidP="008674D8">
      <w:pPr>
        <w:pStyle w:val="NumBodyText"/>
        <w:tabs>
          <w:tab w:val="clear" w:pos="0"/>
        </w:tabs>
        <w:ind w:firstLine="0"/>
        <w:jc w:val="both"/>
        <w:rPr>
          <w:rFonts w:ascii="Tahoma" w:hAnsi="Tahoma" w:cs="Tahoma"/>
          <w:sz w:val="20"/>
          <w:szCs w:val="20"/>
        </w:rPr>
      </w:pPr>
      <w:r w:rsidRPr="0068236B">
        <w:rPr>
          <w:noProof/>
          <w:lang w:val="mk-MK" w:eastAsia="mk-MK"/>
        </w:rPr>
        <w:lastRenderedPageBreak/>
        <w:drawing>
          <wp:inline distT="0" distB="0" distL="0" distR="0" wp14:anchorId="5CA85E22" wp14:editId="0C158F90">
            <wp:extent cx="3491345" cy="2646219"/>
            <wp:effectExtent l="19050" t="19050" r="13970" b="20955"/>
            <wp:docPr id="18" name="Picture 18" descr="C:\Users\Kokan\Documents\IPF Project\IPF 7\Energy\WB21 MEPSO, Mkd\9 - E&amp;S Assessment Reports\Climate\projected-mean-temperature anomaly Macedonia.jpeg"/>
            <wp:cNvGraphicFramePr/>
            <a:graphic xmlns:a="http://schemas.openxmlformats.org/drawingml/2006/main">
              <a:graphicData uri="http://schemas.openxmlformats.org/drawingml/2006/picture">
                <pic:pic xmlns:pic="http://schemas.openxmlformats.org/drawingml/2006/picture">
                  <pic:nvPicPr>
                    <pic:cNvPr id="18" name="Picture 18" descr="C:\Users\Kokan\Documents\IPF Project\IPF 7\Energy\WB21 MEPSO, Mkd\9 - E&amp;S Assessment Reports\Climate\projected-mean-temperature anomaly Macedonia.jpeg"/>
                    <pic:cNvPicPr/>
                  </pic:nvPicPr>
                  <pic:blipFill>
                    <a:blip r:embed="rId76" cstate="screen">
                      <a:extLst>
                        <a:ext uri="{28A0092B-C50C-407E-A947-70E740481C1C}">
                          <a14:useLocalDpi xmlns:a14="http://schemas.microsoft.com/office/drawing/2010/main" val="0"/>
                        </a:ext>
                      </a:extLst>
                    </a:blip>
                    <a:srcRect/>
                    <a:stretch>
                      <a:fillRect/>
                    </a:stretch>
                  </pic:blipFill>
                  <pic:spPr bwMode="auto">
                    <a:xfrm>
                      <a:off x="0" y="0"/>
                      <a:ext cx="3491230" cy="2646132"/>
                    </a:xfrm>
                    <a:prstGeom prst="rect">
                      <a:avLst/>
                    </a:prstGeom>
                    <a:noFill/>
                    <a:ln w="3175">
                      <a:solidFill>
                        <a:schemeClr val="tx1"/>
                      </a:solidFill>
                    </a:ln>
                  </pic:spPr>
                </pic:pic>
              </a:graphicData>
            </a:graphic>
          </wp:inline>
        </w:drawing>
      </w:r>
    </w:p>
    <w:p w14:paraId="515192C3" w14:textId="77777777" w:rsidR="00C27B01" w:rsidRPr="0068236B" w:rsidRDefault="00C27B01" w:rsidP="00C27B01">
      <w:pPr>
        <w:spacing w:before="0" w:after="60" w:line="240" w:lineRule="auto"/>
        <w:jc w:val="left"/>
        <w:rPr>
          <w:rFonts w:cs="Tahoma"/>
          <w:iCs/>
          <w:sz w:val="18"/>
          <w:szCs w:val="18"/>
        </w:rPr>
      </w:pPr>
      <w:bookmarkStart w:id="226" w:name="_Toc112928876"/>
      <w:r w:rsidRPr="0068236B">
        <w:rPr>
          <w:rFonts w:cs="Tahoma"/>
          <w:sz w:val="18"/>
          <w:szCs w:val="18"/>
        </w:rPr>
        <w:t xml:space="preserve">Figure </w:t>
      </w:r>
      <w:r w:rsidRPr="0068236B">
        <w:rPr>
          <w:rFonts w:cs="Tahoma"/>
          <w:sz w:val="18"/>
          <w:szCs w:val="18"/>
        </w:rPr>
        <w:fldChar w:fldCharType="begin"/>
      </w:r>
      <w:r w:rsidRPr="0068236B">
        <w:rPr>
          <w:rFonts w:cs="Tahoma"/>
          <w:sz w:val="18"/>
          <w:szCs w:val="18"/>
        </w:rPr>
        <w:instrText xml:space="preserve"> STYLEREF 1 \s </w:instrText>
      </w:r>
      <w:r w:rsidRPr="0068236B">
        <w:rPr>
          <w:rFonts w:cs="Tahoma"/>
          <w:sz w:val="18"/>
          <w:szCs w:val="18"/>
        </w:rPr>
        <w:fldChar w:fldCharType="separate"/>
      </w:r>
      <w:r w:rsidR="00E502D0" w:rsidRPr="0068236B">
        <w:rPr>
          <w:rFonts w:cs="Tahoma"/>
          <w:noProof/>
          <w:sz w:val="18"/>
          <w:szCs w:val="18"/>
        </w:rPr>
        <w:t>7</w:t>
      </w:r>
      <w:r w:rsidRPr="0068236B">
        <w:rPr>
          <w:rFonts w:cs="Tahoma"/>
          <w:sz w:val="18"/>
          <w:szCs w:val="18"/>
        </w:rPr>
        <w:fldChar w:fldCharType="end"/>
      </w:r>
      <w:r w:rsidRPr="0068236B">
        <w:rPr>
          <w:rFonts w:cs="Tahoma"/>
          <w:sz w:val="18"/>
          <w:szCs w:val="18"/>
        </w:rPr>
        <w:t>.</w:t>
      </w:r>
      <w:r w:rsidRPr="0068236B">
        <w:rPr>
          <w:rFonts w:cs="Tahoma"/>
          <w:sz w:val="18"/>
          <w:szCs w:val="18"/>
        </w:rPr>
        <w:fldChar w:fldCharType="begin"/>
      </w:r>
      <w:r w:rsidRPr="0068236B">
        <w:rPr>
          <w:rFonts w:cs="Tahoma"/>
          <w:sz w:val="18"/>
          <w:szCs w:val="18"/>
        </w:rPr>
        <w:instrText xml:space="preserve"> SEQ Figure \* ARABIC \s 1 </w:instrText>
      </w:r>
      <w:r w:rsidRPr="0068236B">
        <w:rPr>
          <w:rFonts w:cs="Tahoma"/>
          <w:sz w:val="18"/>
          <w:szCs w:val="18"/>
        </w:rPr>
        <w:fldChar w:fldCharType="separate"/>
      </w:r>
      <w:r w:rsidR="00E502D0" w:rsidRPr="0068236B">
        <w:rPr>
          <w:rFonts w:cs="Tahoma"/>
          <w:noProof/>
          <w:sz w:val="18"/>
          <w:szCs w:val="18"/>
        </w:rPr>
        <w:t>5</w:t>
      </w:r>
      <w:r w:rsidRPr="0068236B">
        <w:rPr>
          <w:rFonts w:cs="Tahoma"/>
          <w:sz w:val="18"/>
          <w:szCs w:val="18"/>
        </w:rPr>
        <w:fldChar w:fldCharType="end"/>
      </w:r>
      <w:r w:rsidRPr="0068236B">
        <w:rPr>
          <w:rFonts w:cs="Tahoma"/>
          <w:sz w:val="18"/>
          <w:szCs w:val="18"/>
        </w:rPr>
        <w:t>: Projected mean-temperature anomaly in Macedonia, at a country level</w:t>
      </w:r>
      <w:bookmarkEnd w:id="226"/>
    </w:p>
    <w:p w14:paraId="417819FB" w14:textId="77777777" w:rsidR="00C27B01" w:rsidRPr="0068236B" w:rsidRDefault="00C27B01" w:rsidP="00A62875">
      <w:pPr>
        <w:spacing w:before="60" w:after="240" w:line="240" w:lineRule="auto"/>
        <w:rPr>
          <w:sz w:val="16"/>
          <w:szCs w:val="18"/>
        </w:rPr>
      </w:pPr>
      <w:r w:rsidRPr="0068236B">
        <w:rPr>
          <w:rFonts w:cs="Tahoma"/>
          <w:sz w:val="16"/>
          <w:szCs w:val="18"/>
        </w:rPr>
        <w:t>Source:</w:t>
      </w:r>
      <w:r w:rsidRPr="0068236B">
        <w:rPr>
          <w:sz w:val="16"/>
          <w:szCs w:val="18"/>
        </w:rPr>
        <w:t>https://climateknowledgeportal.worldbank.org/country/north-macedonia/climate-data-projections</w:t>
      </w:r>
    </w:p>
    <w:p w14:paraId="3231468E" w14:textId="77777777" w:rsidR="00A62875" w:rsidRPr="0068236B" w:rsidRDefault="00A62875">
      <w:pPr>
        <w:spacing w:before="0" w:after="0" w:line="240" w:lineRule="auto"/>
        <w:jc w:val="left"/>
        <w:rPr>
          <w:rFonts w:cs="Tahoma"/>
          <w:sz w:val="20"/>
          <w:szCs w:val="20"/>
        </w:rPr>
      </w:pPr>
      <w:r w:rsidRPr="0068236B">
        <w:rPr>
          <w:rFonts w:cs="Tahoma"/>
          <w:sz w:val="20"/>
          <w:szCs w:val="20"/>
        </w:rPr>
        <w:t>Compared with the period 1995-2014, the projections for temperature rise are greatest in summer. During winter, air temperatures are also expected to increase, though with less intensity.</w:t>
      </w:r>
    </w:p>
    <w:p w14:paraId="77CB82C4" w14:textId="010A5FF4" w:rsidR="008674D8" w:rsidRPr="0068236B" w:rsidRDefault="008674D8" w:rsidP="00A62875">
      <w:pPr>
        <w:pStyle w:val="NumBodyText"/>
        <w:tabs>
          <w:tab w:val="clear" w:pos="0"/>
        </w:tabs>
        <w:ind w:firstLine="0"/>
        <w:jc w:val="both"/>
        <w:rPr>
          <w:rFonts w:cs="Tahoma"/>
          <w:iCs/>
          <w:sz w:val="18"/>
          <w:szCs w:val="20"/>
        </w:rPr>
      </w:pPr>
      <w:r w:rsidRPr="0068236B">
        <w:rPr>
          <w:rFonts w:cs="Tahoma"/>
          <w:noProof/>
          <w:sz w:val="18"/>
          <w:szCs w:val="20"/>
          <w:lang w:val="mk-MK" w:eastAsia="mk-MK"/>
        </w:rPr>
        <mc:AlternateContent>
          <mc:Choice Requires="wpg">
            <w:drawing>
              <wp:inline distT="0" distB="0" distL="0" distR="0" wp14:anchorId="5DBE16F9" wp14:editId="60843FD2">
                <wp:extent cx="5759450" cy="2590165"/>
                <wp:effectExtent l="19050" t="19050" r="12700" b="19685"/>
                <wp:docPr id="20" name="Group 20"/>
                <wp:cNvGraphicFramePr/>
                <a:graphic xmlns:a="http://schemas.openxmlformats.org/drawingml/2006/main">
                  <a:graphicData uri="http://schemas.microsoft.com/office/word/2010/wordprocessingGroup">
                    <wpg:wgp>
                      <wpg:cNvGrpSpPr/>
                      <wpg:grpSpPr>
                        <a:xfrm>
                          <a:off x="0" y="0"/>
                          <a:ext cx="5759450" cy="2590165"/>
                          <a:chOff x="256835" y="180000"/>
                          <a:chExt cx="5759450" cy="2736395"/>
                        </a:xfrm>
                      </wpg:grpSpPr>
                      <pic:pic xmlns:pic="http://schemas.openxmlformats.org/drawingml/2006/picture">
                        <pic:nvPicPr>
                          <pic:cNvPr id="21" name="Picture 21" descr="C:\Users\Kokan\Documents\IPF Project\IPF 7\Energy\WB21 MEPSO, Mkd\9 - E&amp;S Assessment Reports\Climate\projected-mean-temperature anomaly Gevgelija.jpeg"/>
                          <pic:cNvPicPr/>
                        </pic:nvPicPr>
                        <pic:blipFill>
                          <a:blip r:embed="rId77" cstate="email">
                            <a:extLst>
                              <a:ext uri="{28A0092B-C50C-407E-A947-70E740481C1C}">
                                <a14:useLocalDpi xmlns:a14="http://schemas.microsoft.com/office/drawing/2010/main" val="0"/>
                              </a:ext>
                            </a:extLst>
                          </a:blip>
                          <a:srcRect/>
                          <a:stretch>
                            <a:fillRect/>
                          </a:stretch>
                        </pic:blipFill>
                        <pic:spPr bwMode="auto">
                          <a:xfrm>
                            <a:off x="256835" y="180000"/>
                            <a:ext cx="2918460" cy="2736395"/>
                          </a:xfrm>
                          <a:prstGeom prst="rect">
                            <a:avLst/>
                          </a:prstGeom>
                          <a:noFill/>
                          <a:ln w="3175">
                            <a:solidFill>
                              <a:schemeClr val="tx1"/>
                            </a:solidFill>
                          </a:ln>
                        </pic:spPr>
                      </pic:pic>
                      <pic:pic xmlns:pic="http://schemas.openxmlformats.org/drawingml/2006/picture">
                        <pic:nvPicPr>
                          <pic:cNvPr id="26" name="Picture 26" descr="C:\Users\Kokan\Documents\IPF Project\IPF 7\Energy\WB21 MEPSO, Mkd\9 - E&amp;S Assessment Reports\Climate\projected-mean-temperature anomaly Valandovo.jpeg"/>
                          <pic:cNvPicPr/>
                        </pic:nvPicPr>
                        <pic:blipFill>
                          <a:blip r:embed="rId78" cstate="screen">
                            <a:extLst>
                              <a:ext uri="{28A0092B-C50C-407E-A947-70E740481C1C}">
                                <a14:useLocalDpi xmlns:a14="http://schemas.microsoft.com/office/drawing/2010/main" val="0"/>
                              </a:ext>
                            </a:extLst>
                          </a:blip>
                          <a:srcRect/>
                          <a:stretch>
                            <a:fillRect/>
                          </a:stretch>
                        </pic:blipFill>
                        <pic:spPr bwMode="auto">
                          <a:xfrm>
                            <a:off x="3136560" y="180000"/>
                            <a:ext cx="2879725" cy="2736395"/>
                          </a:xfrm>
                          <a:prstGeom prst="rect">
                            <a:avLst/>
                          </a:prstGeom>
                          <a:noFill/>
                          <a:ln w="3175">
                            <a:solidFill>
                              <a:schemeClr val="tx1"/>
                            </a:solidFill>
                          </a:ln>
                        </pic:spPr>
                      </pic:pic>
                    </wpg:wgp>
                  </a:graphicData>
                </a:graphic>
              </wp:inline>
            </w:drawing>
          </mc:Choice>
          <mc:Fallback>
            <w:pict>
              <v:group id="Group 20" o:spid="_x0000_s1026" style="width:453.5pt;height:203.95pt;mso-position-horizontal-relative:char;mso-position-vertical-relative:line" coordorigin="2568,1800" coordsize="57594,273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">
                <v:shape id="Picture 21" o:spid="_x0000_s1027" type="#_x0000_t75" style="position:absolute;left:2568;top:1800;width:29184;height:273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HjQvEAAAA2wAAAA8AAABkcnMvZG93bnJldi54bWxEj0Frg0AUhO+F/IflFXKra3JIxbgJqRAI&#10;BAq1Cbk+3FeVum/V3aj5991CocdhZr5hsv1sWjHS4BrLClZRDIK4tLrhSsHl8/iSgHAeWWNrmRQ8&#10;yMF+t3jKMNV24g8aC1+JAGGXooLa+y6V0pU1GXSR7YiD92UHgz7IoZJ6wCnATSvXcbyRBhsOCzV2&#10;lNdUfhd3o6CZju/5yffnpHy7jq99cTPJ4abU8nk+bEF4mv1/+K990grWK/j9En6A3P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bHjQvEAAAA2wAAAA8AAAAAAAAAAAAAAAAA&#10;nwIAAGRycy9kb3ducmV2LnhtbFBLBQYAAAAABAAEAPcAAACQAwAAAAA=&#10;" stroked="t" strokecolor="black [3213]" strokeweight=".25pt">
                  <v:imagedata r:id="rId79" o:title="projected-mean-temperature anomaly Gevgelija"/>
                </v:shape>
                <v:shape id="Picture 26" o:spid="_x0000_s1028" type="#_x0000_t75" style="position:absolute;left:31365;top:1800;width:28797;height:273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3XNEq/AAAA2wAAAA8AAABkcnMvZG93bnJldi54bWxEj80KwjAQhO+C7xBW8KapHkSqUUQU9CL+&#10;PcDarG1ps6lN1OrTG0HwOMzMN8x03phSPKh2uWUFg34EgjixOudUwfm07o1BOI+ssbRMCl7kYD5r&#10;t6YYa/vkAz2OPhUBwi5GBZn3VSylSzIy6Pq2Ig7e1dYGfZB1KnWNzwA3pRxG0UgazDksZFjRMqOk&#10;ON6NgkuqF1VxLfztfdvhNtlH29NypVS30ywmIDw1/h/+tTdawXAE3y/hB8jZB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N1zRKvwAAANsAAAAPAAAAAAAAAAAAAAAAAJ8CAABk&#10;cnMvZG93bnJldi54bWxQSwUGAAAAAAQABAD3AAAAiwMAAAAA&#10;" stroked="t" strokecolor="black [3213]" strokeweight=".25pt">
                  <v:imagedata r:id="rId80" o:title="projected-mean-temperature anomaly Valandovo"/>
                </v:shape>
                <w10:anchorlock/>
              </v:group>
            </w:pict>
          </mc:Fallback>
        </mc:AlternateContent>
      </w:r>
    </w:p>
    <w:p w14:paraId="4C17F9B5" w14:textId="4ED365FA" w:rsidR="00A62875" w:rsidRPr="0068236B" w:rsidRDefault="00A62875" w:rsidP="00A62875">
      <w:pPr>
        <w:spacing w:before="60" w:after="60"/>
        <w:jc w:val="left"/>
        <w:rPr>
          <w:rFonts w:cs="Tahoma"/>
          <w:sz w:val="16"/>
          <w:szCs w:val="18"/>
        </w:rPr>
      </w:pPr>
      <w:bookmarkStart w:id="227" w:name="_Toc112928877"/>
      <w:r w:rsidRPr="0068236B">
        <w:rPr>
          <w:rFonts w:cs="Tahoma"/>
          <w:sz w:val="18"/>
          <w:szCs w:val="20"/>
        </w:rPr>
        <w:t xml:space="preserve">Figure </w:t>
      </w:r>
      <w:r w:rsidRPr="0068236B">
        <w:rPr>
          <w:rFonts w:cs="Tahoma"/>
          <w:sz w:val="18"/>
          <w:szCs w:val="20"/>
        </w:rPr>
        <w:fldChar w:fldCharType="begin"/>
      </w:r>
      <w:r w:rsidRPr="0068236B">
        <w:rPr>
          <w:rFonts w:cs="Tahoma"/>
          <w:sz w:val="18"/>
          <w:szCs w:val="20"/>
        </w:rPr>
        <w:instrText xml:space="preserve"> STYLEREF 1 \s </w:instrText>
      </w:r>
      <w:r w:rsidRPr="0068236B">
        <w:rPr>
          <w:rFonts w:cs="Tahoma"/>
          <w:sz w:val="18"/>
          <w:szCs w:val="20"/>
        </w:rPr>
        <w:fldChar w:fldCharType="separate"/>
      </w:r>
      <w:r w:rsidR="00E502D0" w:rsidRPr="0068236B">
        <w:rPr>
          <w:rFonts w:cs="Tahoma"/>
          <w:noProof/>
          <w:sz w:val="18"/>
          <w:szCs w:val="20"/>
        </w:rPr>
        <w:t>7</w:t>
      </w:r>
      <w:r w:rsidRPr="0068236B">
        <w:rPr>
          <w:rFonts w:cs="Tahoma"/>
          <w:sz w:val="18"/>
          <w:szCs w:val="20"/>
        </w:rPr>
        <w:fldChar w:fldCharType="end"/>
      </w:r>
      <w:r w:rsidRPr="0068236B">
        <w:rPr>
          <w:rFonts w:cs="Tahoma"/>
          <w:sz w:val="18"/>
          <w:szCs w:val="20"/>
        </w:rPr>
        <w:t>.</w:t>
      </w:r>
      <w:r w:rsidRPr="0068236B">
        <w:rPr>
          <w:rFonts w:cs="Tahoma"/>
          <w:sz w:val="18"/>
          <w:szCs w:val="20"/>
        </w:rPr>
        <w:fldChar w:fldCharType="begin"/>
      </w:r>
      <w:r w:rsidRPr="0068236B">
        <w:rPr>
          <w:rFonts w:cs="Tahoma"/>
          <w:sz w:val="18"/>
          <w:szCs w:val="20"/>
        </w:rPr>
        <w:instrText xml:space="preserve"> SEQ Figure \* ARABIC \s 1 </w:instrText>
      </w:r>
      <w:r w:rsidRPr="0068236B">
        <w:rPr>
          <w:rFonts w:cs="Tahoma"/>
          <w:sz w:val="18"/>
          <w:szCs w:val="20"/>
        </w:rPr>
        <w:fldChar w:fldCharType="separate"/>
      </w:r>
      <w:r w:rsidR="00E502D0" w:rsidRPr="0068236B">
        <w:rPr>
          <w:rFonts w:cs="Tahoma"/>
          <w:noProof/>
          <w:sz w:val="18"/>
          <w:szCs w:val="20"/>
        </w:rPr>
        <w:t>6</w:t>
      </w:r>
      <w:r w:rsidRPr="0068236B">
        <w:rPr>
          <w:rFonts w:cs="Tahoma"/>
          <w:sz w:val="18"/>
          <w:szCs w:val="20"/>
        </w:rPr>
        <w:fldChar w:fldCharType="end"/>
      </w:r>
      <w:r w:rsidRPr="0068236B">
        <w:rPr>
          <w:rFonts w:cs="Tahoma"/>
          <w:sz w:val="18"/>
          <w:szCs w:val="20"/>
        </w:rPr>
        <w:t>: Projected mean-temperature anomaly in the Project region</w:t>
      </w:r>
      <w:bookmarkEnd w:id="227"/>
    </w:p>
    <w:p w14:paraId="7BB18FD5" w14:textId="77777777" w:rsidR="008674D8" w:rsidRPr="0068236B" w:rsidRDefault="008674D8" w:rsidP="00A62875">
      <w:pPr>
        <w:spacing w:before="60" w:after="240"/>
        <w:jc w:val="left"/>
        <w:rPr>
          <w:sz w:val="16"/>
          <w:szCs w:val="18"/>
        </w:rPr>
      </w:pPr>
      <w:r w:rsidRPr="0068236B">
        <w:rPr>
          <w:rFonts w:cs="Tahoma"/>
          <w:sz w:val="16"/>
          <w:szCs w:val="18"/>
        </w:rPr>
        <w:t>Source:</w:t>
      </w:r>
      <w:r w:rsidRPr="0068236B">
        <w:rPr>
          <w:sz w:val="16"/>
          <w:szCs w:val="18"/>
        </w:rPr>
        <w:t>https://climateknowledgeportal.worldbank.org/country/north-macedonia/climate-data-projections</w:t>
      </w:r>
    </w:p>
    <w:p w14:paraId="3ABD5DEF" w14:textId="2558C8B1" w:rsidR="008674D8" w:rsidRPr="0068236B" w:rsidRDefault="008674D8" w:rsidP="008674D8">
      <w:pPr>
        <w:rPr>
          <w:rFonts w:cs="Tahoma"/>
          <w:sz w:val="20"/>
          <w:szCs w:val="20"/>
        </w:rPr>
      </w:pPr>
      <w:r w:rsidRPr="0068236B">
        <w:rPr>
          <w:noProof/>
          <w:sz w:val="20"/>
          <w:szCs w:val="20"/>
          <w:lang w:val="mk-MK" w:eastAsia="mk-MK"/>
        </w:rPr>
        <mc:AlternateContent>
          <mc:Choice Requires="wpg">
            <w:drawing>
              <wp:anchor distT="0" distB="0" distL="114300" distR="114300" simplePos="0" relativeHeight="251683849" behindDoc="0" locked="0" layoutInCell="1" allowOverlap="1" wp14:anchorId="1DC6C5D7" wp14:editId="72BC0CCD">
                <wp:simplePos x="0" y="0"/>
                <wp:positionH relativeFrom="column">
                  <wp:posOffset>21590</wp:posOffset>
                </wp:positionH>
                <wp:positionV relativeFrom="paragraph">
                  <wp:posOffset>1233170</wp:posOffset>
                </wp:positionV>
                <wp:extent cx="5897245" cy="2699385"/>
                <wp:effectExtent l="19050" t="19050" r="27305" b="24765"/>
                <wp:wrapTopAndBottom/>
                <wp:docPr id="28" name="Group 28"/>
                <wp:cNvGraphicFramePr/>
                <a:graphic xmlns:a="http://schemas.openxmlformats.org/drawingml/2006/main">
                  <a:graphicData uri="http://schemas.microsoft.com/office/word/2010/wordprocessingGroup">
                    <wpg:wgp>
                      <wpg:cNvGrpSpPr/>
                      <wpg:grpSpPr>
                        <a:xfrm>
                          <a:off x="0" y="0"/>
                          <a:ext cx="5897245" cy="2699385"/>
                          <a:chOff x="180000" y="180000"/>
                          <a:chExt cx="5897245" cy="2700001"/>
                        </a:xfrm>
                      </wpg:grpSpPr>
                      <pic:pic xmlns:pic="http://schemas.openxmlformats.org/drawingml/2006/picture">
                        <pic:nvPicPr>
                          <pic:cNvPr id="29" name="Picture 29" descr="C:\Users\Kokan\Documents\IPF Project\IPF 7\Energy\WB21 MEPSO, Mkd\9 - E&amp;S Assessment Reports\Climate\projected-maximum-of-daily max Macedonia trend.jpeg"/>
                          <pic:cNvPicPr/>
                        </pic:nvPicPr>
                        <pic:blipFill>
                          <a:blip r:embed="rId81" cstate="screen">
                            <a:extLst>
                              <a:ext uri="{28A0092B-C50C-407E-A947-70E740481C1C}">
                                <a14:useLocalDpi xmlns:a14="http://schemas.microsoft.com/office/drawing/2010/main" val="0"/>
                              </a:ext>
                            </a:extLst>
                          </a:blip>
                          <a:srcRect/>
                          <a:stretch>
                            <a:fillRect/>
                          </a:stretch>
                        </pic:blipFill>
                        <pic:spPr bwMode="auto">
                          <a:xfrm>
                            <a:off x="180000" y="180000"/>
                            <a:ext cx="2879725" cy="2400300"/>
                          </a:xfrm>
                          <a:prstGeom prst="rect">
                            <a:avLst/>
                          </a:prstGeom>
                          <a:noFill/>
                          <a:ln>
                            <a:solidFill>
                              <a:schemeClr val="tx1"/>
                            </a:solidFill>
                          </a:ln>
                        </pic:spPr>
                      </pic:pic>
                      <pic:pic xmlns:pic="http://schemas.openxmlformats.org/drawingml/2006/picture">
                        <pic:nvPicPr>
                          <pic:cNvPr id="30" name="Picture 30" descr="C:\Users\Kokan\Documents\IPF Project\IPF 7\Energy\WB21 MEPSO, Mkd\9 - E&amp;S Assessment Reports\Climate\projected-maximum-of-daily max Macedonia.jpeg"/>
                          <pic:cNvPicPr/>
                        </pic:nvPicPr>
                        <pic:blipFill>
                          <a:blip r:embed="rId82" cstate="screen">
                            <a:extLst>
                              <a:ext uri="{28A0092B-C50C-407E-A947-70E740481C1C}">
                                <a14:useLocalDpi xmlns:a14="http://schemas.microsoft.com/office/drawing/2010/main" val="0"/>
                              </a:ext>
                            </a:extLst>
                          </a:blip>
                          <a:srcRect/>
                          <a:stretch>
                            <a:fillRect/>
                          </a:stretch>
                        </pic:blipFill>
                        <pic:spPr bwMode="auto">
                          <a:xfrm>
                            <a:off x="3124200" y="180001"/>
                            <a:ext cx="2953045" cy="2700000"/>
                          </a:xfrm>
                          <a:prstGeom prst="rect">
                            <a:avLst/>
                          </a:prstGeom>
                          <a:noFill/>
                          <a:ln w="3175">
                            <a:solidFill>
                              <a:schemeClr val="tx1"/>
                            </a:solidFill>
                          </a:ln>
                        </pic:spPr>
                      </pic:pic>
                    </wpg:wgp>
                  </a:graphicData>
                </a:graphic>
                <wp14:sizeRelV relativeFrom="margin">
                  <wp14:pctHeight>0</wp14:pctHeight>
                </wp14:sizeRelV>
              </wp:anchor>
            </w:drawing>
          </mc:Choice>
          <mc:Fallback>
            <w:pict>
              <v:group id="Group 28" o:spid="_x0000_s1026" style="position:absolute;margin-left:1.7pt;margin-top:97.1pt;width:464.35pt;height:212.55pt;z-index:251683849;mso-height-relative:margin" coordorigin="1800,1800" coordsize="58972,270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">
                <v:shape id="Picture 29" o:spid="_x0000_s1027" type="#_x0000_t75" style="position:absolute;left:1800;top:1800;width:28797;height:24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kE7EAAAA2wAAAA8AAABkcnMvZG93bnJldi54bWxEj09rwkAUxO+C32F5Qm9mU1tTTd1IqbSI&#10;N2Px/Mi+5k+zb0N21bSfvisIHoeZ+Q2zWg+mFWfqXW1ZwWMUgyAurK65VPB1+JguQDiPrLG1TAp+&#10;ycE6G49WmGp74T2dc1+KAGGXooLK+y6V0hUVGXSR7YiD9217gz7IvpS6x0uAm1bO4jiRBmsOCxV2&#10;9F5R8ZOfjIKnlyRpjs87G7vNX95wa5bz7lOph8nw9grC0+Dv4Vt7qxXMlnD9En6AzP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E+kE7EAAAA2wAAAA8AAAAAAAAAAAAAAAAA&#10;nwIAAGRycy9kb3ducmV2LnhtbFBLBQYAAAAABAAEAPcAAACQAwAAAAA=&#10;" stroked="t" strokecolor="black [3213]">
                  <v:imagedata r:id="rId83" o:title="projected-maximum-of-daily max Macedonia trend"/>
                </v:shape>
                <v:shape id="Picture 30" o:spid="_x0000_s1028" type="#_x0000_t75" style="position:absolute;left:31242;top:1800;width:29530;height:27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t5oE/AAAAA2wAAAA8AAABkcnMvZG93bnJldi54bWxET1trwjAUfh/4H8IR9jZTNyijGkW84Z6G&#10;VXw+NMe22JyUJIvVX788DPb48d3ny8F0IpLzrWUF00kGgriyuuVawfm0e/sE4QOyxs4yKXiQh+Vi&#10;9DLHQts7HymWoRYphH2BCpoQ+kJKXzVk0E9sT5y4q3UGQ4KultrhPYWbTr5nWS4NtpwaGuxp3VB1&#10;K3+MgsvBSBfXm+yYf9++9vU2PvMyKvU6HlYzEIGG8C/+cx+0go+0Pn1JP0Auf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a3mgT8AAAADbAAAADwAAAAAAAAAAAAAAAACfAgAA&#10;ZHJzL2Rvd25yZXYueG1sUEsFBgAAAAAEAAQA9wAAAIwDAAAAAA==&#10;" stroked="t" strokecolor="black [3213]" strokeweight=".25pt">
                  <v:imagedata r:id="rId84" o:title="projected-maximum-of-daily max Macedonia"/>
                </v:shape>
                <w10:wrap type="topAndBottom"/>
              </v:group>
            </w:pict>
          </mc:Fallback>
        </mc:AlternateContent>
      </w:r>
      <w:r w:rsidRPr="0068236B">
        <w:rPr>
          <w:rFonts w:cs="Tahoma"/>
          <w:sz w:val="20"/>
          <w:szCs w:val="20"/>
        </w:rPr>
        <w:t xml:space="preserve">As well as an increase in average temperatures, projections indicate an increase in extreme temperatures </w:t>
      </w:r>
      <w:r w:rsidRPr="0068236B">
        <w:rPr>
          <w:rFonts w:cs="Tahoma"/>
          <w:sz w:val="20"/>
          <w:szCs w:val="20"/>
        </w:rPr>
        <w:lastRenderedPageBreak/>
        <w:t>(i.e. the temperature experienced during heat-waves). The next Figures show the change in the warmest daily maximum temperature for the period up to 2099 and in each month in the period 2080-2099, relative to the reference period (1995-2014) for Macedonia and in the Project region up to 2099. These project a continuous increase from around 37°C in 2020-2039 to a range from 42°C to 44°C in 2080-2099 for the 50% ‘central estimate’ at the country level and up to 45°C in the Project region.</w:t>
      </w:r>
    </w:p>
    <w:p w14:paraId="0DC96A00" w14:textId="0929D839" w:rsidR="008674D8" w:rsidRPr="0068236B" w:rsidRDefault="008674D8" w:rsidP="008674D8">
      <w:pPr>
        <w:spacing w:after="60"/>
        <w:jc w:val="left"/>
        <w:rPr>
          <w:rFonts w:cs="Tahoma"/>
          <w:iCs/>
          <w:sz w:val="18"/>
          <w:szCs w:val="20"/>
        </w:rPr>
      </w:pPr>
      <w:bookmarkStart w:id="228" w:name="_Toc112928878"/>
      <w:r w:rsidRPr="0068236B">
        <w:rPr>
          <w:rFonts w:cs="Tahoma"/>
          <w:sz w:val="18"/>
          <w:szCs w:val="20"/>
        </w:rPr>
        <w:t xml:space="preserve">Figure </w:t>
      </w:r>
      <w:r w:rsidRPr="0068236B">
        <w:rPr>
          <w:rFonts w:cs="Tahoma"/>
          <w:sz w:val="18"/>
          <w:szCs w:val="20"/>
        </w:rPr>
        <w:fldChar w:fldCharType="begin"/>
      </w:r>
      <w:r w:rsidRPr="0068236B">
        <w:rPr>
          <w:rFonts w:cs="Tahoma"/>
          <w:sz w:val="18"/>
          <w:szCs w:val="20"/>
        </w:rPr>
        <w:instrText xml:space="preserve"> STYLEREF 1 \s </w:instrText>
      </w:r>
      <w:r w:rsidRPr="0068236B">
        <w:rPr>
          <w:rFonts w:cs="Tahoma"/>
          <w:sz w:val="18"/>
          <w:szCs w:val="20"/>
        </w:rPr>
        <w:fldChar w:fldCharType="separate"/>
      </w:r>
      <w:r w:rsidR="00E502D0" w:rsidRPr="0068236B">
        <w:rPr>
          <w:rFonts w:cs="Tahoma"/>
          <w:noProof/>
          <w:sz w:val="18"/>
          <w:szCs w:val="20"/>
        </w:rPr>
        <w:t>7</w:t>
      </w:r>
      <w:r w:rsidRPr="0068236B">
        <w:rPr>
          <w:rFonts w:cs="Tahoma"/>
          <w:sz w:val="18"/>
          <w:szCs w:val="20"/>
        </w:rPr>
        <w:fldChar w:fldCharType="end"/>
      </w:r>
      <w:r w:rsidRPr="0068236B">
        <w:rPr>
          <w:rFonts w:cs="Tahoma"/>
          <w:sz w:val="18"/>
          <w:szCs w:val="20"/>
        </w:rPr>
        <w:t>.</w:t>
      </w:r>
      <w:r w:rsidRPr="0068236B">
        <w:rPr>
          <w:rFonts w:cs="Tahoma"/>
          <w:sz w:val="18"/>
          <w:szCs w:val="20"/>
        </w:rPr>
        <w:fldChar w:fldCharType="begin"/>
      </w:r>
      <w:r w:rsidRPr="0068236B">
        <w:rPr>
          <w:rFonts w:cs="Tahoma"/>
          <w:sz w:val="18"/>
          <w:szCs w:val="20"/>
        </w:rPr>
        <w:instrText xml:space="preserve"> SEQ Figure \* ARABIC \s 1 </w:instrText>
      </w:r>
      <w:r w:rsidRPr="0068236B">
        <w:rPr>
          <w:rFonts w:cs="Tahoma"/>
          <w:sz w:val="18"/>
          <w:szCs w:val="20"/>
        </w:rPr>
        <w:fldChar w:fldCharType="separate"/>
      </w:r>
      <w:r w:rsidR="00E502D0" w:rsidRPr="0068236B">
        <w:rPr>
          <w:rFonts w:cs="Tahoma"/>
          <w:noProof/>
          <w:sz w:val="18"/>
          <w:szCs w:val="20"/>
        </w:rPr>
        <w:t>7</w:t>
      </w:r>
      <w:r w:rsidRPr="0068236B">
        <w:rPr>
          <w:rFonts w:cs="Tahoma"/>
          <w:sz w:val="18"/>
          <w:szCs w:val="20"/>
        </w:rPr>
        <w:fldChar w:fldCharType="end"/>
      </w:r>
      <w:r w:rsidRPr="0068236B">
        <w:rPr>
          <w:rFonts w:cs="Tahoma"/>
          <w:sz w:val="18"/>
          <w:szCs w:val="20"/>
        </w:rPr>
        <w:t>: Projected change in warmest daily maximum temperature for Macedonia in 2080-2099, compared to 1995-2014 baseline, at a country level</w:t>
      </w:r>
      <w:bookmarkEnd w:id="228"/>
    </w:p>
    <w:p w14:paraId="02F4431E" w14:textId="77777777" w:rsidR="008674D8" w:rsidRPr="0068236B" w:rsidRDefault="008674D8" w:rsidP="008674D8">
      <w:pPr>
        <w:spacing w:before="0" w:after="0" w:line="240" w:lineRule="auto"/>
        <w:rPr>
          <w:sz w:val="16"/>
          <w:szCs w:val="18"/>
          <w:lang w:val="fr-FR"/>
        </w:rPr>
      </w:pPr>
      <w:r w:rsidRPr="0068236B">
        <w:rPr>
          <w:rFonts w:cs="Tahoma"/>
          <w:sz w:val="16"/>
          <w:szCs w:val="18"/>
          <w:lang w:val="fr-FR"/>
        </w:rPr>
        <w:t xml:space="preserve">Source: </w:t>
      </w:r>
      <w:r w:rsidRPr="0068236B">
        <w:rPr>
          <w:sz w:val="16"/>
          <w:szCs w:val="18"/>
          <w:lang w:val="fr-FR"/>
        </w:rPr>
        <w:t>https://climateknowledgeportal.worldbank.org/country/north-macedonia/climate-data-projections</w:t>
      </w:r>
    </w:p>
    <w:bookmarkStart w:id="229" w:name="_Toc112928879"/>
    <w:p w14:paraId="6FBF8374" w14:textId="77777777" w:rsidR="008674D8" w:rsidRPr="0068236B" w:rsidRDefault="008674D8" w:rsidP="008674D8">
      <w:pPr>
        <w:spacing w:after="60"/>
        <w:jc w:val="left"/>
        <w:rPr>
          <w:rFonts w:cs="Tahoma"/>
          <w:iCs/>
          <w:sz w:val="18"/>
          <w:szCs w:val="20"/>
        </w:rPr>
      </w:pPr>
      <w:r w:rsidRPr="0068236B">
        <w:rPr>
          <w:noProof/>
          <w:lang w:val="mk-MK" w:eastAsia="mk-MK"/>
        </w:rPr>
        <mc:AlternateContent>
          <mc:Choice Requires="wpg">
            <w:drawing>
              <wp:anchor distT="0" distB="0" distL="114300" distR="114300" simplePos="0" relativeHeight="251684873" behindDoc="0" locked="0" layoutInCell="1" allowOverlap="1" wp14:anchorId="44E3033E" wp14:editId="5F222C3D">
                <wp:simplePos x="0" y="0"/>
                <wp:positionH relativeFrom="column">
                  <wp:posOffset>29210</wp:posOffset>
                </wp:positionH>
                <wp:positionV relativeFrom="paragraph">
                  <wp:posOffset>171450</wp:posOffset>
                </wp:positionV>
                <wp:extent cx="5767705" cy="2400300"/>
                <wp:effectExtent l="19050" t="19050" r="23495" b="19050"/>
                <wp:wrapTopAndBottom/>
                <wp:docPr id="31" name="Group 31"/>
                <wp:cNvGraphicFramePr/>
                <a:graphic xmlns:a="http://schemas.openxmlformats.org/drawingml/2006/main">
                  <a:graphicData uri="http://schemas.microsoft.com/office/word/2010/wordprocessingGroup">
                    <wpg:wgp>
                      <wpg:cNvGrpSpPr/>
                      <wpg:grpSpPr>
                        <a:xfrm>
                          <a:off x="0" y="0"/>
                          <a:ext cx="5767705" cy="2400300"/>
                          <a:chOff x="180000" y="180000"/>
                          <a:chExt cx="5767705" cy="2400300"/>
                        </a:xfrm>
                      </wpg:grpSpPr>
                      <pic:pic xmlns:pic="http://schemas.openxmlformats.org/drawingml/2006/picture">
                        <pic:nvPicPr>
                          <pic:cNvPr id="896" name="Picture 896" descr="C:\Users\Kokan\Documents\IPF Project\IPF 7\Energy\WB21 MEPSO, Mkd\9 - E&amp;S Assessment Reports\Climate\projected-maximum-of-daily max Valandovo trend.jpeg"/>
                          <pic:cNvPicPr/>
                        </pic:nvPicPr>
                        <pic:blipFill>
                          <a:blip r:embed="rId85" cstate="screen">
                            <a:extLst>
                              <a:ext uri="{28A0092B-C50C-407E-A947-70E740481C1C}">
                                <a14:useLocalDpi xmlns:a14="http://schemas.microsoft.com/office/drawing/2010/main" val="0"/>
                              </a:ext>
                            </a:extLst>
                          </a:blip>
                          <a:srcRect/>
                          <a:stretch>
                            <a:fillRect/>
                          </a:stretch>
                        </pic:blipFill>
                        <pic:spPr bwMode="auto">
                          <a:xfrm>
                            <a:off x="3067980" y="180000"/>
                            <a:ext cx="2879725" cy="2400300"/>
                          </a:xfrm>
                          <a:prstGeom prst="rect">
                            <a:avLst/>
                          </a:prstGeom>
                          <a:noFill/>
                          <a:ln w="3175">
                            <a:solidFill>
                              <a:schemeClr val="tx1"/>
                            </a:solidFill>
                          </a:ln>
                        </pic:spPr>
                      </pic:pic>
                      <pic:pic xmlns:pic="http://schemas.openxmlformats.org/drawingml/2006/picture">
                        <pic:nvPicPr>
                          <pic:cNvPr id="897" name="Picture 897" descr="C:\Users\Kokan\Documents\IPF Project\IPF 7\Energy\WB21 MEPSO, Mkd\9 - E&amp;S Assessment Reports\Climate\projected-maximum-of-daily max Gevgelija trend.jpeg"/>
                          <pic:cNvPicPr/>
                        </pic:nvPicPr>
                        <pic:blipFill>
                          <a:blip r:embed="rId86" cstate="screen">
                            <a:extLst>
                              <a:ext uri="{28A0092B-C50C-407E-A947-70E740481C1C}">
                                <a14:useLocalDpi xmlns:a14="http://schemas.microsoft.com/office/drawing/2010/main" val="0"/>
                              </a:ext>
                            </a:extLst>
                          </a:blip>
                          <a:srcRect/>
                          <a:stretch>
                            <a:fillRect/>
                          </a:stretch>
                        </pic:blipFill>
                        <pic:spPr bwMode="auto">
                          <a:xfrm>
                            <a:off x="180000" y="180000"/>
                            <a:ext cx="2879725" cy="2400300"/>
                          </a:xfrm>
                          <a:prstGeom prst="rect">
                            <a:avLst/>
                          </a:prstGeom>
                          <a:noFill/>
                          <a:ln w="3175">
                            <a:solidFill>
                              <a:schemeClr val="tx1"/>
                            </a:solidFill>
                          </a:ln>
                        </pic:spPr>
                      </pic:pic>
                    </wpg:wgp>
                  </a:graphicData>
                </a:graphic>
              </wp:anchor>
            </w:drawing>
          </mc:Choice>
          <mc:Fallback>
            <w:pict>
              <v:group id="Group 31" o:spid="_x0000_s1026" style="position:absolute;margin-left:2.3pt;margin-top:13.5pt;width:454.15pt;height:189pt;z-index:251684873" coordorigin="1800,1800" coordsize="57677,2400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">
                <v:shape id="Picture 896" o:spid="_x0000_s1027" type="#_x0000_t75" style="position:absolute;left:30679;top:1800;width:28798;height:24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4GK/FAAAA3AAAAA8AAABkcnMvZG93bnJldi54bWxEj92KwjAUhO8F3yEcwTtNFRHtGkUEQYRd&#10;8QfWy7PN2bbanNQma+vbmwXBy2FmvmFmi8YU4k6Vyy0rGPQjEMSJ1TmnCk7HdW8CwnlkjYVlUvAg&#10;B4t5uzXDWNua93Q/+FQECLsYFWTel7GULsnIoOvbkjh4v7Yy6IOsUqkrrAPcFHIYRWNpMOewkGFJ&#10;q4yS6+HPKJg+ztvP25f8Ls7XdJ/XuxFefjZKdTvN8gOEp8a/w6/2RiuYTMfwfyYcATl/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uBivxQAAANwAAAAPAAAAAAAAAAAAAAAA&#10;AJ8CAABkcnMvZG93bnJldi54bWxQSwUGAAAAAAQABAD3AAAAkQMAAAAA&#10;" stroked="t" strokecolor="black [3213]" strokeweight=".25pt">
                  <v:imagedata r:id="rId87" o:title="projected-maximum-of-daily max Valandovo trend"/>
                </v:shape>
                <v:shape id="Picture 897" o:spid="_x0000_s1028" type="#_x0000_t75" style="position:absolute;left:1800;top:1800;width:28797;height:24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mb2V3FAAAA3AAAAA8AAABkcnMvZG93bnJldi54bWxEj0FrwkAUhO9C/8PyCr3pph6sja7BVgW9&#10;FNQePD52n0lI9m2a3Sbx33eFgsdhZr5hltlga9FR60vHCl4nCQhi7UzJuYLv8248B+EDssHaMSm4&#10;kYds9TRaYmpcz0fqTiEXEcI+RQVFCE0qpdcFWfQT1xBH7+paiyHKNpemxT7CbS2nSTKTFkuOCwU2&#10;9FmQrk6/VsGm/3G2PoTz/qi/LtV2i7r7mCn18jysFyACDeER/m/vjYL5+xvcz8QjIF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Jm9ldxQAAANwAAAAPAAAAAAAAAAAAAAAA&#10;AJ8CAABkcnMvZG93bnJldi54bWxQSwUGAAAAAAQABAD3AAAAkQMAAAAA&#10;" stroked="t" strokecolor="black [3213]" strokeweight=".25pt">
                  <v:imagedata r:id="rId88" o:title="projected-maximum-of-daily max Gevgelija trend"/>
                </v:shape>
                <w10:wrap type="topAndBottom"/>
              </v:group>
            </w:pict>
          </mc:Fallback>
        </mc:AlternateContent>
      </w:r>
      <w:r w:rsidRPr="0068236B">
        <w:rPr>
          <w:rFonts w:cs="Tahoma"/>
          <w:sz w:val="18"/>
          <w:szCs w:val="20"/>
        </w:rPr>
        <w:t xml:space="preserve">Figure </w:t>
      </w:r>
      <w:r w:rsidRPr="0068236B">
        <w:rPr>
          <w:rFonts w:cs="Tahoma"/>
          <w:sz w:val="18"/>
          <w:szCs w:val="20"/>
        </w:rPr>
        <w:fldChar w:fldCharType="begin"/>
      </w:r>
      <w:r w:rsidRPr="0068236B">
        <w:rPr>
          <w:rFonts w:cs="Tahoma"/>
          <w:sz w:val="18"/>
          <w:szCs w:val="20"/>
        </w:rPr>
        <w:instrText xml:space="preserve"> STYLEREF 1 \s </w:instrText>
      </w:r>
      <w:r w:rsidRPr="0068236B">
        <w:rPr>
          <w:rFonts w:cs="Tahoma"/>
          <w:sz w:val="18"/>
          <w:szCs w:val="20"/>
        </w:rPr>
        <w:fldChar w:fldCharType="separate"/>
      </w:r>
      <w:r w:rsidR="00E502D0" w:rsidRPr="0068236B">
        <w:rPr>
          <w:rFonts w:cs="Tahoma"/>
          <w:noProof/>
          <w:sz w:val="18"/>
          <w:szCs w:val="20"/>
        </w:rPr>
        <w:t>7</w:t>
      </w:r>
      <w:r w:rsidRPr="0068236B">
        <w:rPr>
          <w:rFonts w:cs="Tahoma"/>
          <w:sz w:val="18"/>
          <w:szCs w:val="20"/>
        </w:rPr>
        <w:fldChar w:fldCharType="end"/>
      </w:r>
      <w:r w:rsidRPr="0068236B">
        <w:rPr>
          <w:rFonts w:cs="Tahoma"/>
          <w:sz w:val="18"/>
          <w:szCs w:val="20"/>
        </w:rPr>
        <w:t>.</w:t>
      </w:r>
      <w:r w:rsidRPr="0068236B">
        <w:rPr>
          <w:rFonts w:cs="Tahoma"/>
          <w:sz w:val="18"/>
          <w:szCs w:val="20"/>
        </w:rPr>
        <w:fldChar w:fldCharType="begin"/>
      </w:r>
      <w:r w:rsidRPr="0068236B">
        <w:rPr>
          <w:rFonts w:cs="Tahoma"/>
          <w:sz w:val="18"/>
          <w:szCs w:val="20"/>
        </w:rPr>
        <w:instrText xml:space="preserve"> SEQ Figure \* ARABIC \s 1 </w:instrText>
      </w:r>
      <w:r w:rsidRPr="0068236B">
        <w:rPr>
          <w:rFonts w:cs="Tahoma"/>
          <w:sz w:val="18"/>
          <w:szCs w:val="20"/>
        </w:rPr>
        <w:fldChar w:fldCharType="separate"/>
      </w:r>
      <w:r w:rsidR="00E502D0" w:rsidRPr="0068236B">
        <w:rPr>
          <w:rFonts w:cs="Tahoma"/>
          <w:noProof/>
          <w:sz w:val="18"/>
          <w:szCs w:val="20"/>
        </w:rPr>
        <w:t>8</w:t>
      </w:r>
      <w:r w:rsidRPr="0068236B">
        <w:rPr>
          <w:rFonts w:cs="Tahoma"/>
          <w:sz w:val="18"/>
          <w:szCs w:val="20"/>
        </w:rPr>
        <w:fldChar w:fldCharType="end"/>
      </w:r>
      <w:r w:rsidRPr="0068236B">
        <w:rPr>
          <w:rFonts w:cs="Tahoma"/>
          <w:sz w:val="18"/>
          <w:szCs w:val="20"/>
        </w:rPr>
        <w:t>: Trend of the projected change in warmest daily maximum temperature in the Project region from 2000 to 2099, compared to 1995-2014 baseline</w:t>
      </w:r>
      <w:bookmarkEnd w:id="229"/>
    </w:p>
    <w:p w14:paraId="2122E3C5" w14:textId="77777777" w:rsidR="008674D8" w:rsidRPr="0068236B" w:rsidRDefault="008674D8" w:rsidP="008674D8">
      <w:pPr>
        <w:spacing w:before="60" w:after="240" w:line="240" w:lineRule="auto"/>
        <w:rPr>
          <w:sz w:val="16"/>
          <w:szCs w:val="18"/>
          <w:lang w:val="fr-FR"/>
        </w:rPr>
      </w:pPr>
      <w:r w:rsidRPr="0068236B">
        <w:rPr>
          <w:rFonts w:cs="Tahoma"/>
          <w:sz w:val="16"/>
          <w:szCs w:val="18"/>
          <w:lang w:val="fr-FR"/>
        </w:rPr>
        <w:t xml:space="preserve">Source: </w:t>
      </w:r>
      <w:r w:rsidRPr="0068236B">
        <w:rPr>
          <w:sz w:val="16"/>
          <w:szCs w:val="18"/>
          <w:lang w:val="fr-FR"/>
        </w:rPr>
        <w:t>https://climateknowledgeportal.worldbank.org/country/north-macedonia/climate-data-projections</w:t>
      </w:r>
    </w:p>
    <w:p w14:paraId="6143A2C0" w14:textId="77777777" w:rsidR="008674D8" w:rsidRPr="0068236B" w:rsidRDefault="008674D8" w:rsidP="008674D8">
      <w:pPr>
        <w:ind w:firstLine="720"/>
        <w:rPr>
          <w:rFonts w:cs="Tahoma"/>
          <w:sz w:val="20"/>
          <w:szCs w:val="20"/>
          <w:u w:val="single"/>
        </w:rPr>
      </w:pPr>
      <w:r w:rsidRPr="0068236B">
        <w:rPr>
          <w:rFonts w:cs="Tahoma"/>
          <w:sz w:val="20"/>
          <w:szCs w:val="20"/>
          <w:u w:val="single"/>
        </w:rPr>
        <w:t>Precipitation</w:t>
      </w:r>
    </w:p>
    <w:p w14:paraId="0CCD97A4" w14:textId="463F1850" w:rsidR="00A62875" w:rsidRPr="0068236B" w:rsidRDefault="00A62875" w:rsidP="00A62875">
      <w:pPr>
        <w:rPr>
          <w:rFonts w:cs="Tahoma"/>
          <w:sz w:val="20"/>
          <w:szCs w:val="20"/>
          <w:u w:val="single"/>
        </w:rPr>
      </w:pPr>
      <w:r w:rsidRPr="0068236B">
        <w:rPr>
          <w:rFonts w:cs="Tahoma"/>
          <w:sz w:val="20"/>
          <w:szCs w:val="20"/>
        </w:rPr>
        <w:t>A decrease in annual precipitation is predicted in Macedonia for the period up to 2080-2099 (Figure below). The projected reduction of precipitation percent in 2099 is around 25%. Precipitation reductions are for</w:t>
      </w:r>
      <w:r w:rsidRPr="0068236B">
        <w:rPr>
          <w:rFonts w:cs="Tahoma"/>
          <w:sz w:val="20"/>
          <w:szCs w:val="20"/>
        </w:rPr>
        <w:t>e</w:t>
      </w:r>
      <w:r w:rsidRPr="0068236B">
        <w:rPr>
          <w:rFonts w:cs="Tahoma"/>
          <w:sz w:val="20"/>
          <w:szCs w:val="20"/>
        </w:rPr>
        <w:t>casted for all four seasons for 2088-2099, with the maximum decrease in summer (June, July and August). The decrease in precipitation for 2080-2099 is projected in the range from 5% to 45% mm (50</w:t>
      </w:r>
      <w:r w:rsidRPr="0068236B">
        <w:rPr>
          <w:rFonts w:cs="Tahoma"/>
          <w:sz w:val="20"/>
          <w:szCs w:val="20"/>
          <w:vertAlign w:val="superscript"/>
        </w:rPr>
        <w:t>th</w:t>
      </w:r>
      <w:r w:rsidRPr="0068236B">
        <w:rPr>
          <w:rFonts w:cs="Tahoma"/>
          <w:sz w:val="20"/>
          <w:szCs w:val="20"/>
        </w:rPr>
        <w:t xml:space="preserve"> centile va</w:t>
      </w:r>
      <w:r w:rsidRPr="0068236B">
        <w:rPr>
          <w:rFonts w:cs="Tahoma"/>
          <w:sz w:val="20"/>
          <w:szCs w:val="20"/>
        </w:rPr>
        <w:t>l</w:t>
      </w:r>
      <w:r w:rsidRPr="0068236B">
        <w:rPr>
          <w:rFonts w:cs="Tahoma"/>
          <w:sz w:val="20"/>
          <w:szCs w:val="20"/>
        </w:rPr>
        <w:t>ue).</w:t>
      </w:r>
    </w:p>
    <w:p w14:paraId="7AC79C5A" w14:textId="483ADA14" w:rsidR="008674D8" w:rsidRPr="0068236B" w:rsidRDefault="008674D8" w:rsidP="008674D8">
      <w:pPr>
        <w:pStyle w:val="NumBodyText"/>
        <w:tabs>
          <w:tab w:val="clear" w:pos="0"/>
        </w:tabs>
        <w:ind w:firstLine="0"/>
        <w:jc w:val="both"/>
        <w:rPr>
          <w:rFonts w:ascii="Tahoma" w:hAnsi="Tahoma" w:cs="Tahoma"/>
          <w:sz w:val="20"/>
          <w:szCs w:val="20"/>
        </w:rPr>
      </w:pPr>
    </w:p>
    <w:bookmarkStart w:id="230" w:name="_Toc112928880"/>
    <w:p w14:paraId="56C62B85" w14:textId="6D43D650" w:rsidR="008674D8" w:rsidRPr="0068236B" w:rsidRDefault="00A62875" w:rsidP="008674D8">
      <w:pPr>
        <w:spacing w:after="60"/>
        <w:jc w:val="left"/>
        <w:rPr>
          <w:rFonts w:cs="Tahoma"/>
          <w:iCs/>
          <w:sz w:val="18"/>
          <w:szCs w:val="20"/>
        </w:rPr>
      </w:pPr>
      <w:r w:rsidRPr="0068236B">
        <w:rPr>
          <w:noProof/>
          <w:lang w:val="mk-MK" w:eastAsia="mk-MK"/>
        </w:rPr>
        <w:lastRenderedPageBreak/>
        <mc:AlternateContent>
          <mc:Choice Requires="wpg">
            <w:drawing>
              <wp:anchor distT="0" distB="0" distL="114300" distR="114300" simplePos="0" relativeHeight="251685897" behindDoc="0" locked="0" layoutInCell="1" allowOverlap="1" wp14:anchorId="29C3DB82" wp14:editId="6E12BC64">
                <wp:simplePos x="0" y="0"/>
                <wp:positionH relativeFrom="column">
                  <wp:posOffset>-1270</wp:posOffset>
                </wp:positionH>
                <wp:positionV relativeFrom="paragraph">
                  <wp:posOffset>177165</wp:posOffset>
                </wp:positionV>
                <wp:extent cx="5821045" cy="2879725"/>
                <wp:effectExtent l="19050" t="19050" r="27305" b="15875"/>
                <wp:wrapTopAndBottom/>
                <wp:docPr id="901" name="Group 901"/>
                <wp:cNvGraphicFramePr/>
                <a:graphic xmlns:a="http://schemas.openxmlformats.org/drawingml/2006/main">
                  <a:graphicData uri="http://schemas.microsoft.com/office/word/2010/wordprocessingGroup">
                    <wpg:wgp>
                      <wpg:cNvGrpSpPr/>
                      <wpg:grpSpPr>
                        <a:xfrm>
                          <a:off x="0" y="0"/>
                          <a:ext cx="5821045" cy="2879725"/>
                          <a:chOff x="180000" y="149520"/>
                          <a:chExt cx="5821045" cy="2879725"/>
                        </a:xfrm>
                      </wpg:grpSpPr>
                      <pic:pic xmlns:pic="http://schemas.openxmlformats.org/drawingml/2006/picture">
                        <pic:nvPicPr>
                          <pic:cNvPr id="903" name="Picture 903" descr="C:\Users\Kokan\Documents\IPF Project\IPF 7\Energy\WB21 MEPSO, Mkd\9 - E&amp;S Assessment Reports\Climate\projected-precipitation trend Macedonia.jpeg"/>
                          <pic:cNvPicPr/>
                        </pic:nvPicPr>
                        <pic:blipFill>
                          <a:blip r:embed="rId89" cstate="screen">
                            <a:extLst>
                              <a:ext uri="{28A0092B-C50C-407E-A947-70E740481C1C}">
                                <a14:useLocalDpi xmlns:a14="http://schemas.microsoft.com/office/drawing/2010/main" val="0"/>
                              </a:ext>
                            </a:extLst>
                          </a:blip>
                          <a:srcRect/>
                          <a:stretch>
                            <a:fillRect/>
                          </a:stretch>
                        </pic:blipFill>
                        <pic:spPr bwMode="auto">
                          <a:xfrm>
                            <a:off x="180000" y="149520"/>
                            <a:ext cx="2879725" cy="2400300"/>
                          </a:xfrm>
                          <a:prstGeom prst="rect">
                            <a:avLst/>
                          </a:prstGeom>
                          <a:noFill/>
                          <a:ln w="3175">
                            <a:solidFill>
                              <a:schemeClr val="tx1"/>
                            </a:solidFill>
                          </a:ln>
                        </pic:spPr>
                      </pic:pic>
                      <pic:pic xmlns:pic="http://schemas.openxmlformats.org/drawingml/2006/picture">
                        <pic:nvPicPr>
                          <pic:cNvPr id="904" name="Picture 904" descr="C:\Users\Kokan\Documents\IPF Project\IPF 7\Energy\WB21 MEPSO, Mkd\9 - E&amp;S Assessment Reports\Climate\projected-precipitation change Macedonia.jpeg"/>
                          <pic:cNvPicPr/>
                        </pic:nvPicPr>
                        <pic:blipFill>
                          <a:blip r:embed="rId90" cstate="screen">
                            <a:extLst>
                              <a:ext uri="{28A0092B-C50C-407E-A947-70E740481C1C}">
                                <a14:useLocalDpi xmlns:a14="http://schemas.microsoft.com/office/drawing/2010/main" val="0"/>
                              </a:ext>
                            </a:extLst>
                          </a:blip>
                          <a:srcRect/>
                          <a:stretch>
                            <a:fillRect/>
                          </a:stretch>
                        </pic:blipFill>
                        <pic:spPr bwMode="auto">
                          <a:xfrm>
                            <a:off x="3121320" y="149520"/>
                            <a:ext cx="2879725" cy="2879725"/>
                          </a:xfrm>
                          <a:prstGeom prst="rect">
                            <a:avLst/>
                          </a:prstGeom>
                          <a:noFill/>
                          <a:ln w="3175">
                            <a:solidFill>
                              <a:schemeClr val="tx1"/>
                            </a:solidFill>
                          </a:ln>
                        </pic:spPr>
                      </pic:pic>
                    </wpg:wgp>
                  </a:graphicData>
                </a:graphic>
              </wp:anchor>
            </w:drawing>
          </mc:Choice>
          <mc:Fallback>
            <w:pict>
              <v:group id="Group 901" o:spid="_x0000_s1026" style="position:absolute;margin-left:-.1pt;margin-top:13.95pt;width:458.35pt;height:226.75pt;z-index:251685897" coordorigin="1800,1495" coordsize="58210,287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">
                <v:shape id="Picture 903" o:spid="_x0000_s1027" type="#_x0000_t75" style="position:absolute;left:1800;top:1495;width:28797;height:24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UPIDFAAAA3AAAAA8AAABkcnMvZG93bnJldi54bWxEj09rAjEUxO+FfofwhN5qYitF141SSoUq&#10;vbgreH1s3v7RzcuySXXrpzeFgsdhZn7DpKvBtuJMvW8ca5iMFQjiwpmGKw37fP08A+EDssHWMWn4&#10;JQ+r5eNDiolxF97ROQuViBD2CWqoQ+gSKX1Rk0U/dh1x9ErXWwxR9pU0PV4i3LbyRak3abHhuFBj&#10;Rx81Fafsx2rINwdW30153ayPmWm3n/PdaWq0fhoN7wsQgYZwD/+3v4yGuXqFvzPxCMjl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1DyAxQAAANwAAAAPAAAAAAAAAAAAAAAA&#10;AJ8CAABkcnMvZG93bnJldi54bWxQSwUGAAAAAAQABAD3AAAAkQMAAAAA&#10;" stroked="t" strokecolor="black [3213]" strokeweight=".25pt">
                  <v:imagedata r:id="rId91" o:title="projected-precipitation trend Macedonia"/>
                </v:shape>
                <v:shape id="Picture 904" o:spid="_x0000_s1028" type="#_x0000_t75" style="position:absolute;left:31213;top:1495;width:28797;height:287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bVCbEAAAA3AAAAA8AAABkcnMvZG93bnJldi54bWxEj1uLwjAUhN8F/0M4gm+aqrui1SjiBWRB&#10;8Aa+HptjW2xOShO1++/NwoKPw8x8w0zntSnEkyqXW1bQ60YgiBOrc04VnE+bzgiE88gaC8uk4Jcc&#10;zGfNxhRjbV98oOfRpyJA2MWoIPO+jKV0SUYGXdeWxMG72cqgD7JKpa7wFeCmkP0oGkqDOYeFDEta&#10;ZpTcjw+j4HrT9+Hg8jNeP87+26z0fmfzhVLtVr2YgPBU+0/4v73VCsbRF/ydCUdAzt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JbVCbEAAAA3AAAAA8AAAAAAAAAAAAAAAAA&#10;nwIAAGRycy9kb3ducmV2LnhtbFBLBQYAAAAABAAEAPcAAACQAwAAAAA=&#10;" stroked="t" strokecolor="black [3213]" strokeweight=".25pt">
                  <v:imagedata r:id="rId92" o:title="projected-precipitation change Macedonia"/>
                </v:shape>
                <w10:wrap type="topAndBottom"/>
              </v:group>
            </w:pict>
          </mc:Fallback>
        </mc:AlternateContent>
      </w:r>
      <w:r w:rsidR="008674D8" w:rsidRPr="0068236B">
        <w:rPr>
          <w:rFonts w:cs="Tahoma"/>
          <w:sz w:val="18"/>
          <w:szCs w:val="20"/>
        </w:rPr>
        <w:t xml:space="preserve">Figure </w:t>
      </w:r>
      <w:r w:rsidR="008674D8" w:rsidRPr="0068236B">
        <w:rPr>
          <w:rFonts w:cs="Tahoma"/>
          <w:sz w:val="18"/>
          <w:szCs w:val="20"/>
        </w:rPr>
        <w:fldChar w:fldCharType="begin"/>
      </w:r>
      <w:r w:rsidR="008674D8" w:rsidRPr="0068236B">
        <w:rPr>
          <w:rFonts w:cs="Tahoma"/>
          <w:sz w:val="18"/>
          <w:szCs w:val="20"/>
        </w:rPr>
        <w:instrText xml:space="preserve"> STYLEREF 1 \s </w:instrText>
      </w:r>
      <w:r w:rsidR="008674D8" w:rsidRPr="0068236B">
        <w:rPr>
          <w:rFonts w:cs="Tahoma"/>
          <w:sz w:val="18"/>
          <w:szCs w:val="20"/>
        </w:rPr>
        <w:fldChar w:fldCharType="separate"/>
      </w:r>
      <w:r w:rsidR="00E502D0" w:rsidRPr="0068236B">
        <w:rPr>
          <w:rFonts w:cs="Tahoma"/>
          <w:noProof/>
          <w:sz w:val="18"/>
          <w:szCs w:val="20"/>
        </w:rPr>
        <w:t>7</w:t>
      </w:r>
      <w:r w:rsidR="008674D8" w:rsidRPr="0068236B">
        <w:rPr>
          <w:rFonts w:cs="Tahoma"/>
          <w:sz w:val="18"/>
          <w:szCs w:val="20"/>
        </w:rPr>
        <w:fldChar w:fldCharType="end"/>
      </w:r>
      <w:r w:rsidR="008674D8" w:rsidRPr="0068236B">
        <w:rPr>
          <w:rFonts w:cs="Tahoma"/>
          <w:sz w:val="18"/>
          <w:szCs w:val="20"/>
        </w:rPr>
        <w:t>.</w:t>
      </w:r>
      <w:r w:rsidR="008674D8" w:rsidRPr="0068236B">
        <w:rPr>
          <w:rFonts w:cs="Tahoma"/>
          <w:sz w:val="18"/>
          <w:szCs w:val="20"/>
        </w:rPr>
        <w:fldChar w:fldCharType="begin"/>
      </w:r>
      <w:r w:rsidR="008674D8" w:rsidRPr="0068236B">
        <w:rPr>
          <w:rFonts w:cs="Tahoma"/>
          <w:sz w:val="18"/>
          <w:szCs w:val="20"/>
        </w:rPr>
        <w:instrText xml:space="preserve"> SEQ Figure \* ARABIC \s 1 </w:instrText>
      </w:r>
      <w:r w:rsidR="008674D8" w:rsidRPr="0068236B">
        <w:rPr>
          <w:rFonts w:cs="Tahoma"/>
          <w:sz w:val="18"/>
          <w:szCs w:val="20"/>
        </w:rPr>
        <w:fldChar w:fldCharType="separate"/>
      </w:r>
      <w:r w:rsidR="00E502D0" w:rsidRPr="0068236B">
        <w:rPr>
          <w:rFonts w:cs="Tahoma"/>
          <w:noProof/>
          <w:sz w:val="18"/>
          <w:szCs w:val="20"/>
        </w:rPr>
        <w:t>9</w:t>
      </w:r>
      <w:r w:rsidR="008674D8" w:rsidRPr="0068236B">
        <w:rPr>
          <w:rFonts w:cs="Tahoma"/>
          <w:sz w:val="18"/>
          <w:szCs w:val="20"/>
        </w:rPr>
        <w:fldChar w:fldCharType="end"/>
      </w:r>
      <w:r w:rsidR="008674D8" w:rsidRPr="0068236B">
        <w:rPr>
          <w:rFonts w:cs="Tahoma"/>
          <w:sz w:val="18"/>
          <w:szCs w:val="20"/>
        </w:rPr>
        <w:t>: Projected change in precipitation for Macedonia in 2080-2099, compared to 1995-2014 baseline, at a country level</w:t>
      </w:r>
      <w:bookmarkEnd w:id="230"/>
    </w:p>
    <w:p w14:paraId="745EAEE6" w14:textId="69473EDF" w:rsidR="008674D8" w:rsidRPr="0068236B" w:rsidRDefault="008674D8" w:rsidP="008674D8">
      <w:pPr>
        <w:spacing w:before="60" w:after="240" w:line="240" w:lineRule="auto"/>
        <w:rPr>
          <w:sz w:val="16"/>
          <w:szCs w:val="16"/>
          <w:lang w:val="fr-FR"/>
        </w:rPr>
      </w:pPr>
      <w:r w:rsidRPr="0068236B">
        <w:rPr>
          <w:rFonts w:cs="Tahoma"/>
          <w:sz w:val="16"/>
          <w:szCs w:val="16"/>
          <w:lang w:val="fr-FR"/>
        </w:rPr>
        <w:t xml:space="preserve">Source: </w:t>
      </w:r>
      <w:hyperlink r:id="rId93" w:history="1">
        <w:r w:rsidRPr="0068236B">
          <w:rPr>
            <w:rStyle w:val="Hyperlink"/>
            <w:color w:val="auto"/>
            <w:sz w:val="16"/>
            <w:szCs w:val="16"/>
            <w:u w:val="none"/>
            <w:lang w:val="fr-FR"/>
          </w:rPr>
          <w:t>https://climateknowledgeportal.worldbank.org/country/north-macedonia/climate-data-projections</w:t>
        </w:r>
      </w:hyperlink>
    </w:p>
    <w:p w14:paraId="5127DFA9" w14:textId="1D3310B9" w:rsidR="008674D8" w:rsidRPr="0068236B" w:rsidRDefault="008674D8" w:rsidP="00A62875">
      <w:pPr>
        <w:rPr>
          <w:sz w:val="16"/>
          <w:szCs w:val="18"/>
        </w:rPr>
      </w:pPr>
      <w:r w:rsidRPr="0068236B">
        <w:rPr>
          <w:rFonts w:cs="Tahoma"/>
          <w:sz w:val="20"/>
          <w:szCs w:val="20"/>
        </w:rPr>
        <w:t xml:space="preserve">The projected change in monthly precipitation for the Project region up to 2099 compared to the 1995-2014 </w:t>
      </w:r>
      <w:r w:rsidR="005E6643" w:rsidRPr="0068236B">
        <w:rPr>
          <w:rFonts w:cs="Tahoma"/>
          <w:sz w:val="20"/>
          <w:szCs w:val="20"/>
        </w:rPr>
        <w:t>baseline</w:t>
      </w:r>
      <w:r w:rsidRPr="0068236B">
        <w:rPr>
          <w:rFonts w:cs="Tahoma"/>
          <w:sz w:val="20"/>
          <w:szCs w:val="20"/>
        </w:rPr>
        <w:t xml:space="preserve"> is presented in the Figure below.</w:t>
      </w:r>
    </w:p>
    <w:p w14:paraId="6030FFAC" w14:textId="77777777" w:rsidR="00A62875" w:rsidRPr="0068236B" w:rsidRDefault="00BB1924" w:rsidP="00BB1924">
      <w:pPr>
        <w:pStyle w:val="H4"/>
        <w:spacing w:after="60"/>
        <w:jc w:val="both"/>
        <w:rPr>
          <w:rFonts w:cs="Tahoma"/>
          <w:b w:val="0"/>
          <w:sz w:val="18"/>
          <w:szCs w:val="18"/>
        </w:rPr>
      </w:pPr>
      <w:r w:rsidRPr="0068236B">
        <w:rPr>
          <w:b w:val="0"/>
          <w:noProof/>
          <w:lang w:val="mk-MK" w:eastAsia="mk-MK"/>
        </w:rPr>
        <mc:AlternateContent>
          <mc:Choice Requires="wpg">
            <w:drawing>
              <wp:inline distT="0" distB="0" distL="0" distR="0" wp14:anchorId="45004AE9" wp14:editId="2CA17264">
                <wp:extent cx="5767070" cy="2400300"/>
                <wp:effectExtent l="19050" t="19050" r="24130" b="19050"/>
                <wp:docPr id="906" name="Group 906"/>
                <wp:cNvGraphicFramePr/>
                <a:graphic xmlns:a="http://schemas.openxmlformats.org/drawingml/2006/main">
                  <a:graphicData uri="http://schemas.microsoft.com/office/word/2010/wordprocessingGroup">
                    <wpg:wgp>
                      <wpg:cNvGrpSpPr/>
                      <wpg:grpSpPr>
                        <a:xfrm>
                          <a:off x="0" y="0"/>
                          <a:ext cx="5767070" cy="2400300"/>
                          <a:chOff x="180000" y="180000"/>
                          <a:chExt cx="5767070" cy="2400300"/>
                        </a:xfrm>
                      </wpg:grpSpPr>
                      <pic:pic xmlns:pic="http://schemas.openxmlformats.org/drawingml/2006/picture">
                        <pic:nvPicPr>
                          <pic:cNvPr id="924" name="Picture 924" descr="C:\Users\Kokan\Documents\IPF Project\IPF 7\Energy\WB21 MEPSO, Mkd\9 - E&amp;S Assessment Reports\Climate\projected-precipitation chnage trend Gevgelija.jpeg"/>
                          <pic:cNvPicPr/>
                        </pic:nvPicPr>
                        <pic:blipFill>
                          <a:blip r:embed="rId94" cstate="screen">
                            <a:extLst>
                              <a:ext uri="{28A0092B-C50C-407E-A947-70E740481C1C}">
                                <a14:useLocalDpi xmlns:a14="http://schemas.microsoft.com/office/drawing/2010/main" val="0"/>
                              </a:ext>
                            </a:extLst>
                          </a:blip>
                          <a:srcRect/>
                          <a:stretch>
                            <a:fillRect/>
                          </a:stretch>
                        </pic:blipFill>
                        <pic:spPr bwMode="auto">
                          <a:xfrm>
                            <a:off x="180000" y="180000"/>
                            <a:ext cx="2879725" cy="2400300"/>
                          </a:xfrm>
                          <a:prstGeom prst="rect">
                            <a:avLst/>
                          </a:prstGeom>
                          <a:noFill/>
                          <a:ln w="3175">
                            <a:solidFill>
                              <a:schemeClr val="tx1"/>
                            </a:solidFill>
                          </a:ln>
                        </pic:spPr>
                      </pic:pic>
                      <pic:pic xmlns:pic="http://schemas.openxmlformats.org/drawingml/2006/picture">
                        <pic:nvPicPr>
                          <pic:cNvPr id="925" name="Picture 925" descr="C:\Users\Kokan\Documents\IPF Project\IPF 7\Energy\WB21 MEPSO, Mkd\9 - E&amp;S Assessment Reports\Climate\projected-precipitation chnage trend Valandovo.jpeg"/>
                          <pic:cNvPicPr/>
                        </pic:nvPicPr>
                        <pic:blipFill>
                          <a:blip r:embed="rId95" cstate="screen">
                            <a:extLst>
                              <a:ext uri="{28A0092B-C50C-407E-A947-70E740481C1C}">
                                <a14:useLocalDpi xmlns:a14="http://schemas.microsoft.com/office/drawing/2010/main" val="0"/>
                              </a:ext>
                            </a:extLst>
                          </a:blip>
                          <a:srcRect/>
                          <a:stretch>
                            <a:fillRect/>
                          </a:stretch>
                        </pic:blipFill>
                        <pic:spPr bwMode="auto">
                          <a:xfrm>
                            <a:off x="3067345" y="180000"/>
                            <a:ext cx="2879725" cy="2400300"/>
                          </a:xfrm>
                          <a:prstGeom prst="rect">
                            <a:avLst/>
                          </a:prstGeom>
                          <a:noFill/>
                          <a:ln w="3175">
                            <a:solidFill>
                              <a:schemeClr val="tx1"/>
                            </a:solidFill>
                          </a:ln>
                        </pic:spPr>
                      </pic:pic>
                    </wpg:wgp>
                  </a:graphicData>
                </a:graphic>
              </wp:inline>
            </w:drawing>
          </mc:Choice>
          <mc:Fallback>
            <w:pict>
              <v:group id="Group 906" o:spid="_x0000_s1026" style="width:454.1pt;height:189pt;mso-position-horizontal-relative:char;mso-position-vertical-relative:line" coordorigin="1800,1800" coordsize="57670,2400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">
                <v:shape id="Picture 924" o:spid="_x0000_s1027" type="#_x0000_t75" style="position:absolute;left:1800;top:1800;width:28797;height:24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dymXFAAAA3AAAAA8AAABkcnMvZG93bnJldi54bWxEj0+LwjAUxO/CfofwFrxtU0V0rUYRYdWD&#10;4J8Ke302z7Zs81KaqPXbG2HB4zAzv2Gm89ZU4kaNKy0r6EUxCOLM6pJzBaf05+sbhPPIGivLpOBB&#10;Duazj84UE23vfKDb0eciQNglqKDwvk6kdFlBBl1ka+LgXWxj0AfZ5FI3eA9wU8l+HA+lwZLDQoE1&#10;LQvK/o5Xo2C36i23l3Qwvp7Syp7XdvE72u6V6n62iwkIT61/h//bG61g3B/A60w4AnL2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VXcplxQAAANwAAAAPAAAAAAAAAAAAAAAA&#10;AJ8CAABkcnMvZG93bnJldi54bWxQSwUGAAAAAAQABAD3AAAAkQMAAAAA&#10;" stroked="t" strokecolor="black [3213]" strokeweight=".25pt">
                  <v:imagedata r:id="rId96" o:title="projected-precipitation chnage trend Gevgelija"/>
                </v:shape>
                <v:shape id="Picture 925" o:spid="_x0000_s1028" type="#_x0000_t75" style="position:absolute;left:30673;top:1800;width:28797;height:24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GqHQXBAAAA3AAAAA8AAABkcnMvZG93bnJldi54bWxEj0FrAjEUhO8F/0N4greaVbCsq1FEWu21&#10;1t4fm+dmNXlZk6jbf98UCj0OM/MNs1z3zoo7hdh6VjAZFyCIa69bbhQcP9+eSxAxIWu0nknBN0VY&#10;rwZPS6y0f/AH3Q+pERnCsUIFJqWukjLWhhzGse+Is3fywWHKMjRSB3xkuLNyWhQv0mHLecFgR1tD&#10;9eVwcwrCeX4ty9e9Kdxud0y2s7o0X0qNhv1mASJRn/7Df+13rWA+ncHvmXwE5Oo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GqHQXBAAAA3AAAAA8AAAAAAAAAAAAAAAAAnwIA&#10;AGRycy9kb3ducmV2LnhtbFBLBQYAAAAABAAEAPcAAACNAwAAAAA=&#10;" stroked="t" strokecolor="black [3213]" strokeweight=".25pt">
                  <v:imagedata r:id="rId97" o:title="projected-precipitation chnage trend Valandovo"/>
                </v:shape>
                <w10:anchorlock/>
              </v:group>
            </w:pict>
          </mc:Fallback>
        </mc:AlternateContent>
      </w:r>
    </w:p>
    <w:p w14:paraId="15639A4E" w14:textId="52CD4293" w:rsidR="00BB1924" w:rsidRPr="0068236B" w:rsidRDefault="00BB1924" w:rsidP="00A62875">
      <w:pPr>
        <w:pStyle w:val="H4"/>
        <w:spacing w:before="60" w:after="60"/>
        <w:jc w:val="both"/>
        <w:rPr>
          <w:rFonts w:cs="Tahoma"/>
          <w:b w:val="0"/>
          <w:iCs w:val="0"/>
          <w:sz w:val="18"/>
          <w:szCs w:val="18"/>
        </w:rPr>
      </w:pPr>
      <w:bookmarkStart w:id="231" w:name="_Toc112928881"/>
      <w:r w:rsidRPr="0068236B">
        <w:rPr>
          <w:rFonts w:cs="Tahoma"/>
          <w:b w:val="0"/>
          <w:sz w:val="18"/>
          <w:szCs w:val="18"/>
        </w:rPr>
        <w:t xml:space="preserve">Figure </w:t>
      </w:r>
      <w:r w:rsidRPr="0068236B">
        <w:rPr>
          <w:rFonts w:cs="Tahoma"/>
          <w:b w:val="0"/>
          <w:sz w:val="18"/>
          <w:szCs w:val="18"/>
        </w:rPr>
        <w:fldChar w:fldCharType="begin"/>
      </w:r>
      <w:r w:rsidRPr="0068236B">
        <w:rPr>
          <w:rFonts w:cs="Tahoma"/>
          <w:b w:val="0"/>
          <w:sz w:val="18"/>
          <w:szCs w:val="18"/>
        </w:rPr>
        <w:instrText xml:space="preserve"> STYLEREF 1 \s </w:instrText>
      </w:r>
      <w:r w:rsidRPr="0068236B">
        <w:rPr>
          <w:rFonts w:cs="Tahoma"/>
          <w:b w:val="0"/>
          <w:sz w:val="18"/>
          <w:szCs w:val="18"/>
        </w:rPr>
        <w:fldChar w:fldCharType="separate"/>
      </w:r>
      <w:r w:rsidR="00E502D0" w:rsidRPr="0068236B">
        <w:rPr>
          <w:rFonts w:cs="Tahoma"/>
          <w:b w:val="0"/>
          <w:noProof/>
          <w:sz w:val="18"/>
          <w:szCs w:val="18"/>
        </w:rPr>
        <w:t>7</w:t>
      </w:r>
      <w:r w:rsidRPr="0068236B">
        <w:rPr>
          <w:rFonts w:cs="Tahoma"/>
          <w:b w:val="0"/>
          <w:sz w:val="18"/>
          <w:szCs w:val="18"/>
        </w:rPr>
        <w:fldChar w:fldCharType="end"/>
      </w:r>
      <w:r w:rsidRPr="0068236B">
        <w:rPr>
          <w:rFonts w:cs="Tahoma"/>
          <w:b w:val="0"/>
          <w:sz w:val="18"/>
          <w:szCs w:val="18"/>
        </w:rPr>
        <w:t>.</w:t>
      </w:r>
      <w:r w:rsidRPr="0068236B">
        <w:rPr>
          <w:rFonts w:cs="Tahoma"/>
          <w:b w:val="0"/>
          <w:sz w:val="18"/>
          <w:szCs w:val="18"/>
        </w:rPr>
        <w:fldChar w:fldCharType="begin"/>
      </w:r>
      <w:r w:rsidRPr="0068236B">
        <w:rPr>
          <w:rFonts w:cs="Tahoma"/>
          <w:b w:val="0"/>
          <w:sz w:val="18"/>
          <w:szCs w:val="18"/>
        </w:rPr>
        <w:instrText xml:space="preserve"> SEQ Figure \* ARABIC \s 1 </w:instrText>
      </w:r>
      <w:r w:rsidRPr="0068236B">
        <w:rPr>
          <w:rFonts w:cs="Tahoma"/>
          <w:b w:val="0"/>
          <w:sz w:val="18"/>
          <w:szCs w:val="18"/>
        </w:rPr>
        <w:fldChar w:fldCharType="separate"/>
      </w:r>
      <w:r w:rsidR="00E502D0" w:rsidRPr="0068236B">
        <w:rPr>
          <w:rFonts w:cs="Tahoma"/>
          <w:b w:val="0"/>
          <w:noProof/>
          <w:sz w:val="18"/>
          <w:szCs w:val="18"/>
        </w:rPr>
        <w:t>10</w:t>
      </w:r>
      <w:r w:rsidRPr="0068236B">
        <w:rPr>
          <w:rFonts w:cs="Tahoma"/>
          <w:b w:val="0"/>
          <w:sz w:val="18"/>
          <w:szCs w:val="18"/>
        </w:rPr>
        <w:fldChar w:fldCharType="end"/>
      </w:r>
      <w:r w:rsidRPr="0068236B">
        <w:rPr>
          <w:rFonts w:cs="Tahoma"/>
          <w:b w:val="0"/>
          <w:sz w:val="18"/>
          <w:szCs w:val="18"/>
        </w:rPr>
        <w:t xml:space="preserve">: </w:t>
      </w:r>
      <w:r w:rsidRPr="0068236B">
        <w:rPr>
          <w:rFonts w:ascii="Tahoma" w:hAnsi="Tahoma" w:cs="Tahoma"/>
          <w:b w:val="0"/>
          <w:sz w:val="18"/>
          <w:szCs w:val="18"/>
        </w:rPr>
        <w:t xml:space="preserve">Projected change in </w:t>
      </w:r>
      <w:r w:rsidRPr="0068236B">
        <w:rPr>
          <w:rFonts w:cs="Tahoma"/>
          <w:b w:val="0"/>
          <w:sz w:val="18"/>
          <w:szCs w:val="18"/>
        </w:rPr>
        <w:t xml:space="preserve">precipitation in the Project region from 2000 to </w:t>
      </w:r>
      <w:r w:rsidRPr="0068236B">
        <w:rPr>
          <w:rFonts w:ascii="Tahoma" w:hAnsi="Tahoma" w:cs="Tahoma"/>
          <w:b w:val="0"/>
          <w:sz w:val="18"/>
          <w:szCs w:val="18"/>
        </w:rPr>
        <w:t>2099, compared to 1995-2014 baseline</w:t>
      </w:r>
      <w:bookmarkEnd w:id="231"/>
    </w:p>
    <w:p w14:paraId="5F70BB4B" w14:textId="29234E52" w:rsidR="00BB1924" w:rsidRPr="0068236B" w:rsidRDefault="00BB1924" w:rsidP="00A62875">
      <w:pPr>
        <w:spacing w:before="60" w:after="240"/>
        <w:rPr>
          <w:sz w:val="20"/>
          <w:szCs w:val="20"/>
          <w:lang w:val="fr-FR"/>
        </w:rPr>
      </w:pPr>
      <w:r w:rsidRPr="0068236B">
        <w:rPr>
          <w:rFonts w:cs="Tahoma"/>
          <w:sz w:val="16"/>
          <w:szCs w:val="18"/>
          <w:lang w:val="fr-FR"/>
        </w:rPr>
        <w:t xml:space="preserve">Source: </w:t>
      </w:r>
      <w:r w:rsidRPr="0068236B">
        <w:rPr>
          <w:sz w:val="16"/>
          <w:szCs w:val="18"/>
          <w:lang w:val="fr-FR"/>
        </w:rPr>
        <w:t>https://climateknowledgeportal.worldbank.org/country/north-macedonia/climate-data-projections</w:t>
      </w:r>
    </w:p>
    <w:p w14:paraId="78DFEC9C" w14:textId="41850400" w:rsidR="00BB1924" w:rsidRPr="0068236B" w:rsidRDefault="00BB1924" w:rsidP="00BB1924">
      <w:pPr>
        <w:ind w:firstLine="720"/>
        <w:rPr>
          <w:sz w:val="20"/>
          <w:szCs w:val="20"/>
        </w:rPr>
      </w:pPr>
      <w:r w:rsidRPr="0068236B">
        <w:rPr>
          <w:rFonts w:cs="Tahoma"/>
          <w:sz w:val="20"/>
          <w:szCs w:val="20"/>
          <w:u w:val="single"/>
        </w:rPr>
        <w:t>Wind</w:t>
      </w:r>
    </w:p>
    <w:p w14:paraId="2AF52695" w14:textId="3D0D4094" w:rsidR="008674D8" w:rsidRPr="0068236B" w:rsidRDefault="008674D8" w:rsidP="008674D8">
      <w:pPr>
        <w:rPr>
          <w:rFonts w:cs="Tahoma"/>
          <w:sz w:val="20"/>
          <w:szCs w:val="20"/>
        </w:rPr>
      </w:pPr>
      <w:r w:rsidRPr="0068236B">
        <w:rPr>
          <w:sz w:val="20"/>
          <w:szCs w:val="20"/>
        </w:rPr>
        <w:t>Extreme storms, such as tropical cyclones and extratropical cyclones, and severe convective storms often have substantial environmental and societal impacts. Quantifying the effect of climate change on extreme storms is challenging, partly because extreme storms are rare, short-lived, and local, and individual events are largely influenced by stochastic variability. The high degree of random variability makes detection and attribution of extreme storm trends more uncertain than detection and attribution of trends in other aspects of the environment in which the storms evolve (e.g., larger-scale temperature trends). Projecting changes in extreme storms is also challenging because of constraints in the models' ability to accurately represent the small-scale physical processes that can drive these changes. There is low confidence in past changes of maximum wind speeds and other measures of dynamical intensity (e.g., maximum wind speeds) of the c</w:t>
      </w:r>
      <w:r w:rsidRPr="0068236B">
        <w:rPr>
          <w:sz w:val="20"/>
          <w:szCs w:val="20"/>
        </w:rPr>
        <w:t>y</w:t>
      </w:r>
      <w:r w:rsidRPr="0068236B">
        <w:rPr>
          <w:sz w:val="20"/>
          <w:szCs w:val="20"/>
        </w:rPr>
        <w:lastRenderedPageBreak/>
        <w:t>clones. Future wind speed changes are expected to be small, although changes in the location of storm tracks could lead to substantial changes in local extreme wind speeds. There is high confidence that average and maximum precipitation-rates will increase with warming, with the magnitude of the increases associated with increases in atmospheric water vapour</w:t>
      </w:r>
      <w:r w:rsidRPr="0068236B">
        <w:rPr>
          <w:rStyle w:val="FootnoteReference"/>
          <w:rFonts w:cs="Tahoma"/>
          <w:sz w:val="20"/>
          <w:szCs w:val="20"/>
        </w:rPr>
        <w:footnoteReference w:id="72"/>
      </w:r>
      <w:r w:rsidRPr="0068236B">
        <w:rPr>
          <w:sz w:val="20"/>
          <w:szCs w:val="20"/>
        </w:rPr>
        <w:t>.</w:t>
      </w:r>
      <w:r w:rsidRPr="0068236B">
        <w:rPr>
          <w:rStyle w:val="FootnoteReference"/>
          <w:rFonts w:cs="Tahoma"/>
          <w:sz w:val="20"/>
          <w:szCs w:val="20"/>
        </w:rPr>
        <w:t xml:space="preserve"> </w:t>
      </w:r>
    </w:p>
    <w:p w14:paraId="19D5F800" w14:textId="77777777" w:rsidR="008674D8" w:rsidRPr="0068236B" w:rsidRDefault="008674D8" w:rsidP="008674D8">
      <w:pPr>
        <w:rPr>
          <w:rFonts w:cs="Tahoma"/>
          <w:sz w:val="20"/>
          <w:szCs w:val="20"/>
        </w:rPr>
      </w:pPr>
      <w:r w:rsidRPr="0068236B">
        <w:rPr>
          <w:rFonts w:cs="Tahoma"/>
          <w:sz w:val="20"/>
          <w:szCs w:val="20"/>
        </w:rPr>
        <w:t>Based on current knowledge and the proximity of the project to the Aegean Sea, it is considered likely that the frequency of storms will decrease or stay the same, but that maximum wind speed and precipitation will increase.</w:t>
      </w:r>
    </w:p>
    <w:p w14:paraId="7FFFF523" w14:textId="516B10E4" w:rsidR="0010113D" w:rsidRPr="0068236B" w:rsidRDefault="0010113D" w:rsidP="0010113D">
      <w:pPr>
        <w:pStyle w:val="Heading4"/>
        <w:rPr>
          <w:rFonts w:cs="Tahoma"/>
          <w:sz w:val="20"/>
          <w:szCs w:val="20"/>
        </w:rPr>
      </w:pPr>
      <w:r w:rsidRPr="0068236B">
        <w:rPr>
          <w:rFonts w:cs="Tahoma"/>
          <w:sz w:val="20"/>
          <w:szCs w:val="20"/>
        </w:rPr>
        <w:t>Key Relevant Vulnerability Trends in Macedonia</w:t>
      </w:r>
    </w:p>
    <w:p w14:paraId="7AD77CA2" w14:textId="0D776131" w:rsidR="0010113D" w:rsidRPr="0068236B" w:rsidRDefault="0010113D" w:rsidP="009E11AB">
      <w:pPr>
        <w:pStyle w:val="NumberedParagraph"/>
        <w:rPr>
          <w:sz w:val="20"/>
          <w:szCs w:val="20"/>
        </w:rPr>
      </w:pPr>
      <w:r w:rsidRPr="0068236B">
        <w:rPr>
          <w:sz w:val="20"/>
          <w:szCs w:val="20"/>
        </w:rPr>
        <w:t xml:space="preserve">Macedonia is exposed to several climate-related hazards, some of which are increasing in frequency and magnitude. The key </w:t>
      </w:r>
      <w:r w:rsidR="005E6643" w:rsidRPr="0068236B">
        <w:rPr>
          <w:sz w:val="20"/>
          <w:szCs w:val="20"/>
        </w:rPr>
        <w:t>identified</w:t>
      </w:r>
      <w:r w:rsidRPr="0068236B">
        <w:rPr>
          <w:sz w:val="20"/>
          <w:szCs w:val="20"/>
        </w:rPr>
        <w:t xml:space="preserve"> vulnerability trends in the country are the following</w:t>
      </w:r>
      <w:r w:rsidR="009E11AB" w:rsidRPr="0068236B">
        <w:rPr>
          <w:rStyle w:val="FootnoteReference"/>
          <w:rFonts w:cs="Tahoma"/>
          <w:sz w:val="20"/>
          <w:szCs w:val="20"/>
        </w:rPr>
        <w:footnoteReference w:id="73"/>
      </w:r>
      <w:r w:rsidR="009E11AB" w:rsidRPr="0068236B">
        <w:rPr>
          <w:sz w:val="20"/>
          <w:szCs w:val="20"/>
        </w:rPr>
        <w:t>:</w:t>
      </w:r>
      <w:r w:rsidR="00A313E5" w:rsidRPr="0068236B">
        <w:rPr>
          <w:rFonts w:cs="Tahoma"/>
          <w:sz w:val="20"/>
          <w:szCs w:val="20"/>
        </w:rPr>
        <w:t xml:space="preserve"> </w:t>
      </w:r>
    </w:p>
    <w:p w14:paraId="28E20370" w14:textId="21ACAF1A" w:rsidR="0010113D" w:rsidRPr="0068236B" w:rsidRDefault="0010113D" w:rsidP="00D24CEF">
      <w:pPr>
        <w:pStyle w:val="ListBullet"/>
        <w:numPr>
          <w:ilvl w:val="0"/>
          <w:numId w:val="75"/>
        </w:numPr>
        <w:spacing w:before="120" w:after="120"/>
        <w:jc w:val="left"/>
        <w:rPr>
          <w:rFonts w:cs="Tahoma"/>
          <w:sz w:val="20"/>
          <w:szCs w:val="20"/>
        </w:rPr>
      </w:pPr>
      <w:r w:rsidRPr="0068236B">
        <w:rPr>
          <w:rFonts w:cs="Tahoma"/>
          <w:sz w:val="20"/>
          <w:szCs w:val="20"/>
        </w:rPr>
        <w:t xml:space="preserve">River flooding hazard is classified as ‘high’, meaning that potentially damaging and life-threatening river floods are expected to occur at least once in the next 10 years. The hazard level is highest in the central northern regions. Flooding constitute 50% of disasters recorded in </w:t>
      </w:r>
      <w:r w:rsidR="009E11AB" w:rsidRPr="0068236B">
        <w:rPr>
          <w:rFonts w:cs="Tahoma"/>
          <w:sz w:val="20"/>
          <w:szCs w:val="20"/>
        </w:rPr>
        <w:t>the country</w:t>
      </w:r>
      <w:r w:rsidRPr="0068236B">
        <w:rPr>
          <w:rFonts w:cs="Tahoma"/>
          <w:sz w:val="20"/>
          <w:szCs w:val="20"/>
        </w:rPr>
        <w:t xml:space="preserve"> </w:t>
      </w:r>
      <w:r w:rsidR="009E11AB" w:rsidRPr="0068236B">
        <w:rPr>
          <w:rFonts w:cs="Tahoma"/>
          <w:sz w:val="20"/>
          <w:szCs w:val="20"/>
        </w:rPr>
        <w:t>during the baseline period (</w:t>
      </w:r>
      <w:r w:rsidRPr="0068236B">
        <w:rPr>
          <w:rFonts w:cs="Tahoma"/>
          <w:sz w:val="20"/>
          <w:szCs w:val="20"/>
        </w:rPr>
        <w:t xml:space="preserve">between 1990 </w:t>
      </w:r>
      <w:r w:rsidR="009E11AB" w:rsidRPr="0068236B">
        <w:rPr>
          <w:rFonts w:cs="Tahoma"/>
          <w:sz w:val="20"/>
          <w:szCs w:val="20"/>
        </w:rPr>
        <w:t>and</w:t>
      </w:r>
      <w:r w:rsidRPr="0068236B">
        <w:rPr>
          <w:rFonts w:cs="Tahoma"/>
          <w:sz w:val="20"/>
          <w:szCs w:val="20"/>
        </w:rPr>
        <w:t xml:space="preserve"> 2014</w:t>
      </w:r>
      <w:r w:rsidR="009E11AB" w:rsidRPr="0068236B">
        <w:rPr>
          <w:rFonts w:cs="Tahoma"/>
          <w:sz w:val="20"/>
          <w:szCs w:val="20"/>
        </w:rPr>
        <w:t>)</w:t>
      </w:r>
      <w:r w:rsidRPr="0068236B">
        <w:rPr>
          <w:rFonts w:cs="Tahoma"/>
          <w:sz w:val="20"/>
          <w:szCs w:val="20"/>
        </w:rPr>
        <w:t>, and 22% of average annual monetary losses over the same period.</w:t>
      </w:r>
    </w:p>
    <w:p w14:paraId="0A71A630" w14:textId="19FE1B8C" w:rsidR="0010113D" w:rsidRPr="0068236B" w:rsidRDefault="0010113D" w:rsidP="00D24CEF">
      <w:pPr>
        <w:pStyle w:val="ListBullet"/>
        <w:numPr>
          <w:ilvl w:val="0"/>
          <w:numId w:val="75"/>
        </w:numPr>
        <w:spacing w:before="120" w:after="120"/>
        <w:jc w:val="left"/>
        <w:rPr>
          <w:rFonts w:cs="Tahoma"/>
          <w:sz w:val="20"/>
          <w:szCs w:val="20"/>
        </w:rPr>
      </w:pPr>
      <w:r w:rsidRPr="0068236B">
        <w:rPr>
          <w:rFonts w:cs="Tahoma"/>
          <w:sz w:val="20"/>
          <w:szCs w:val="20"/>
        </w:rPr>
        <w:t>Extreme temperatures and wildfires, respectively, accounted for 25% and 13% of disasters re</w:t>
      </w:r>
      <w:r w:rsidRPr="0068236B">
        <w:rPr>
          <w:rFonts w:cs="Tahoma"/>
          <w:sz w:val="20"/>
          <w:szCs w:val="20"/>
        </w:rPr>
        <w:t>c</w:t>
      </w:r>
      <w:r w:rsidRPr="0068236B">
        <w:rPr>
          <w:rFonts w:cs="Tahoma"/>
          <w:sz w:val="20"/>
          <w:szCs w:val="20"/>
        </w:rPr>
        <w:t xml:space="preserve">orded nationally </w:t>
      </w:r>
      <w:r w:rsidR="009E11AB" w:rsidRPr="0068236B">
        <w:rPr>
          <w:rFonts w:cs="Tahoma"/>
          <w:sz w:val="20"/>
          <w:szCs w:val="20"/>
        </w:rPr>
        <w:t>during the baseline period (</w:t>
      </w:r>
      <w:r w:rsidRPr="0068236B">
        <w:rPr>
          <w:rFonts w:cs="Tahoma"/>
          <w:sz w:val="20"/>
          <w:szCs w:val="20"/>
        </w:rPr>
        <w:t xml:space="preserve">between 1990 </w:t>
      </w:r>
      <w:r w:rsidR="009E11AB" w:rsidRPr="0068236B">
        <w:rPr>
          <w:rFonts w:cs="Tahoma"/>
          <w:sz w:val="20"/>
          <w:szCs w:val="20"/>
        </w:rPr>
        <w:t>and</w:t>
      </w:r>
      <w:r w:rsidRPr="0068236B">
        <w:rPr>
          <w:rFonts w:cs="Tahoma"/>
          <w:sz w:val="20"/>
          <w:szCs w:val="20"/>
        </w:rPr>
        <w:t xml:space="preserve"> 2014</w:t>
      </w:r>
      <w:r w:rsidR="009E11AB" w:rsidRPr="0068236B">
        <w:rPr>
          <w:rFonts w:cs="Tahoma"/>
          <w:sz w:val="20"/>
          <w:szCs w:val="20"/>
        </w:rPr>
        <w:t>)</w:t>
      </w:r>
      <w:r w:rsidRPr="0068236B">
        <w:rPr>
          <w:rFonts w:cs="Tahoma"/>
          <w:sz w:val="20"/>
          <w:szCs w:val="20"/>
        </w:rPr>
        <w:t>.</w:t>
      </w:r>
    </w:p>
    <w:p w14:paraId="2A65FCC9" w14:textId="77777777" w:rsidR="009E11AB" w:rsidRPr="0068236B" w:rsidRDefault="009E11AB" w:rsidP="00D24CEF">
      <w:pPr>
        <w:pStyle w:val="ListBullet"/>
        <w:numPr>
          <w:ilvl w:val="0"/>
          <w:numId w:val="75"/>
        </w:numPr>
        <w:spacing w:before="120" w:after="120"/>
        <w:jc w:val="left"/>
        <w:rPr>
          <w:rFonts w:cs="Tahoma"/>
          <w:sz w:val="20"/>
          <w:szCs w:val="20"/>
        </w:rPr>
      </w:pPr>
      <w:r w:rsidRPr="0068236B">
        <w:rPr>
          <w:rFonts w:cs="Tahoma"/>
          <w:sz w:val="20"/>
          <w:szCs w:val="20"/>
        </w:rPr>
        <w:t>Landslide hazard is classified as ‘low’, meaning that Macedonia as a whole has rainfall patterns, terrain slope, geology, soil, land cover and (potentially) earthquakes that make localized lan</w:t>
      </w:r>
      <w:r w:rsidRPr="0068236B">
        <w:rPr>
          <w:rFonts w:cs="Tahoma"/>
          <w:sz w:val="20"/>
          <w:szCs w:val="20"/>
        </w:rPr>
        <w:t>d</w:t>
      </w:r>
      <w:r w:rsidRPr="0068236B">
        <w:rPr>
          <w:rFonts w:cs="Tahoma"/>
          <w:sz w:val="20"/>
          <w:szCs w:val="20"/>
        </w:rPr>
        <w:t>slides an uncommon hazard phenomenon. The hazard level is greatest is eastern and western regions of the country.</w:t>
      </w:r>
    </w:p>
    <w:p w14:paraId="15D11E87" w14:textId="0B2A141F" w:rsidR="00DF4680" w:rsidRPr="0068236B" w:rsidRDefault="00DF4680" w:rsidP="00DF4680">
      <w:pPr>
        <w:pStyle w:val="Heading4"/>
        <w:rPr>
          <w:rFonts w:cs="Tahoma"/>
          <w:sz w:val="20"/>
          <w:szCs w:val="20"/>
        </w:rPr>
      </w:pPr>
      <w:r w:rsidRPr="0068236B">
        <w:rPr>
          <w:rFonts w:cs="Tahoma"/>
          <w:sz w:val="20"/>
          <w:szCs w:val="20"/>
        </w:rPr>
        <w:t>Key Relevant Vulnerability Trends in the Project Region</w:t>
      </w:r>
    </w:p>
    <w:p w14:paraId="3B69ADAF" w14:textId="7FD817C5" w:rsidR="00C3048D" w:rsidRPr="0068236B" w:rsidRDefault="00C3048D" w:rsidP="00C3048D">
      <w:pPr>
        <w:rPr>
          <w:rFonts w:cs="Tahoma"/>
          <w:sz w:val="20"/>
          <w:szCs w:val="20"/>
        </w:rPr>
      </w:pPr>
      <w:r w:rsidRPr="0068236B">
        <w:rPr>
          <w:sz w:val="20"/>
          <w:szCs w:val="20"/>
        </w:rPr>
        <w:t xml:space="preserve">The key </w:t>
      </w:r>
      <w:r w:rsidR="005E6643" w:rsidRPr="0068236B">
        <w:rPr>
          <w:sz w:val="20"/>
          <w:szCs w:val="20"/>
        </w:rPr>
        <w:t>identified</w:t>
      </w:r>
      <w:r w:rsidRPr="0068236B">
        <w:rPr>
          <w:sz w:val="20"/>
          <w:szCs w:val="20"/>
        </w:rPr>
        <w:t xml:space="preserve"> vulnerability trends in the wider Project region (territory of Gevgelija and Valandovo m</w:t>
      </w:r>
      <w:r w:rsidRPr="0068236B">
        <w:rPr>
          <w:sz w:val="20"/>
          <w:szCs w:val="20"/>
        </w:rPr>
        <w:t>u</w:t>
      </w:r>
      <w:r w:rsidRPr="0068236B">
        <w:rPr>
          <w:sz w:val="20"/>
          <w:szCs w:val="20"/>
        </w:rPr>
        <w:t xml:space="preserve">nicipalities as a whole) presented as climate-related hazards to which human population and various human developments are exposed have been derived from the </w:t>
      </w:r>
      <w:r w:rsidRPr="0068236B">
        <w:rPr>
          <w:rFonts w:cs="Tahoma"/>
          <w:sz w:val="20"/>
          <w:szCs w:val="20"/>
        </w:rPr>
        <w:t>World Bank Climate Change Knowledge Portal</w:t>
      </w:r>
      <w:r w:rsidRPr="0068236B">
        <w:rPr>
          <w:rStyle w:val="FootnoteReference"/>
          <w:rFonts w:cs="Tahoma"/>
          <w:sz w:val="20"/>
          <w:szCs w:val="20"/>
        </w:rPr>
        <w:footnoteReference w:id="74"/>
      </w:r>
      <w:r w:rsidRPr="0068236B">
        <w:rPr>
          <w:rFonts w:cs="Tahoma"/>
          <w:sz w:val="20"/>
          <w:szCs w:val="20"/>
        </w:rPr>
        <w:t xml:space="preserve"> and summarised below, with emphases to events relevant for the Project. </w:t>
      </w:r>
    </w:p>
    <w:p w14:paraId="47272957" w14:textId="1BCD58DD" w:rsidR="00DF4680" w:rsidRPr="0068236B" w:rsidRDefault="00DF4680" w:rsidP="00D24CEF">
      <w:pPr>
        <w:pStyle w:val="ListBullet"/>
        <w:numPr>
          <w:ilvl w:val="0"/>
          <w:numId w:val="75"/>
        </w:numPr>
        <w:spacing w:before="120" w:after="120"/>
        <w:jc w:val="left"/>
        <w:rPr>
          <w:rFonts w:cs="Tahoma"/>
          <w:sz w:val="20"/>
          <w:szCs w:val="20"/>
        </w:rPr>
      </w:pPr>
      <w:r w:rsidRPr="0068236B">
        <w:rPr>
          <w:rFonts w:cs="Tahoma"/>
          <w:sz w:val="20"/>
          <w:szCs w:val="20"/>
        </w:rPr>
        <w:t>Gevgelija</w:t>
      </w:r>
    </w:p>
    <w:tbl>
      <w:tblPr>
        <w:tblStyle w:val="TableGrid"/>
        <w:tblW w:w="9781" w:type="dxa"/>
        <w:tblBorders>
          <w:top w:val="double" w:sz="4" w:space="0" w:color="auto"/>
          <w:left w:val="double" w:sz="4" w:space="0" w:color="auto"/>
          <w:bottom w:val="double" w:sz="4" w:space="0" w:color="auto"/>
          <w:right w:val="double" w:sz="4" w:space="0" w:color="auto"/>
        </w:tblBorders>
        <w:tblCellMar>
          <w:left w:w="28" w:type="dxa"/>
          <w:right w:w="28" w:type="dxa"/>
        </w:tblCellMar>
        <w:tblLook w:val="04A0" w:firstRow="1" w:lastRow="0" w:firstColumn="1" w:lastColumn="0" w:noHBand="0" w:noVBand="1"/>
      </w:tblPr>
      <w:tblGrid>
        <w:gridCol w:w="1574"/>
        <w:gridCol w:w="6818"/>
        <w:gridCol w:w="1389"/>
      </w:tblGrid>
      <w:tr w:rsidR="002E79C7" w:rsidRPr="0068236B" w14:paraId="7A7437E6" w14:textId="77777777" w:rsidTr="000275A8">
        <w:tc>
          <w:tcPr>
            <w:tcW w:w="1574" w:type="dxa"/>
            <w:tcBorders>
              <w:top w:val="double" w:sz="4" w:space="0" w:color="auto"/>
              <w:bottom w:val="double" w:sz="4" w:space="0" w:color="auto"/>
              <w:right w:val="double" w:sz="4" w:space="0" w:color="auto"/>
            </w:tcBorders>
            <w:shd w:val="clear" w:color="auto" w:fill="9CC2E5" w:themeFill="accent5" w:themeFillTint="99"/>
          </w:tcPr>
          <w:p w14:paraId="0BE12B00" w14:textId="77777777" w:rsidR="002E79C7" w:rsidRPr="0068236B" w:rsidRDefault="002E79C7" w:rsidP="002E79C7">
            <w:pPr>
              <w:spacing w:before="0" w:after="0" w:line="240" w:lineRule="auto"/>
              <w:jc w:val="left"/>
              <w:rPr>
                <w:rFonts w:cs="Tahoma"/>
                <w:sz w:val="20"/>
                <w:szCs w:val="20"/>
              </w:rPr>
            </w:pPr>
            <w:r w:rsidRPr="0068236B">
              <w:rPr>
                <w:rFonts w:cs="Tahoma"/>
                <w:sz w:val="20"/>
                <w:szCs w:val="20"/>
              </w:rPr>
              <w:t>Climate-related hazard</w:t>
            </w:r>
          </w:p>
        </w:tc>
        <w:tc>
          <w:tcPr>
            <w:tcW w:w="6818" w:type="dxa"/>
            <w:tcBorders>
              <w:top w:val="double" w:sz="4" w:space="0" w:color="auto"/>
              <w:left w:val="double" w:sz="4" w:space="0" w:color="auto"/>
              <w:bottom w:val="double" w:sz="4" w:space="0" w:color="auto"/>
            </w:tcBorders>
            <w:shd w:val="clear" w:color="auto" w:fill="9CC2E5" w:themeFill="accent5" w:themeFillTint="99"/>
          </w:tcPr>
          <w:p w14:paraId="583B5C97" w14:textId="068C1483" w:rsidR="002E79C7" w:rsidRPr="0068236B" w:rsidRDefault="002E79C7" w:rsidP="00FF4DBB">
            <w:pPr>
              <w:spacing w:before="0" w:after="0" w:line="240" w:lineRule="auto"/>
              <w:jc w:val="left"/>
              <w:rPr>
                <w:rFonts w:cs="Tahoma"/>
                <w:sz w:val="20"/>
                <w:szCs w:val="20"/>
              </w:rPr>
            </w:pPr>
            <w:r w:rsidRPr="0068236B">
              <w:rPr>
                <w:rFonts w:cs="Tahoma"/>
                <w:sz w:val="20"/>
                <w:szCs w:val="20"/>
              </w:rPr>
              <w:t xml:space="preserve">Description of </w:t>
            </w:r>
            <w:r w:rsidR="00FF4DBB" w:rsidRPr="0068236B">
              <w:rPr>
                <w:rFonts w:cs="Tahoma"/>
                <w:sz w:val="20"/>
                <w:szCs w:val="20"/>
              </w:rPr>
              <w:t>hazard</w:t>
            </w:r>
          </w:p>
        </w:tc>
        <w:tc>
          <w:tcPr>
            <w:tcW w:w="1389" w:type="dxa"/>
            <w:tcBorders>
              <w:top w:val="double" w:sz="4" w:space="0" w:color="auto"/>
              <w:left w:val="double" w:sz="4" w:space="0" w:color="auto"/>
              <w:bottom w:val="double" w:sz="4" w:space="0" w:color="auto"/>
            </w:tcBorders>
            <w:shd w:val="clear" w:color="auto" w:fill="9CC2E5" w:themeFill="accent5" w:themeFillTint="99"/>
          </w:tcPr>
          <w:p w14:paraId="2F98BF64" w14:textId="77777777" w:rsidR="002E79C7" w:rsidRPr="0068236B" w:rsidRDefault="002E79C7" w:rsidP="002E79C7">
            <w:pPr>
              <w:spacing w:before="0" w:after="0" w:line="240" w:lineRule="auto"/>
              <w:jc w:val="left"/>
              <w:rPr>
                <w:rFonts w:cs="Tahoma"/>
                <w:sz w:val="20"/>
                <w:szCs w:val="20"/>
              </w:rPr>
            </w:pPr>
            <w:r w:rsidRPr="0068236B">
              <w:rPr>
                <w:rFonts w:cs="Tahoma"/>
                <w:sz w:val="20"/>
                <w:szCs w:val="20"/>
              </w:rPr>
              <w:t>Hazard level</w:t>
            </w:r>
          </w:p>
          <w:p w14:paraId="785BF288" w14:textId="3503C5C5" w:rsidR="00FF4DBB" w:rsidRPr="0068236B" w:rsidRDefault="00FF4DBB" w:rsidP="000275A8">
            <w:pPr>
              <w:spacing w:before="0" w:after="0" w:line="240" w:lineRule="auto"/>
              <w:jc w:val="left"/>
              <w:rPr>
                <w:rFonts w:cs="Tahoma"/>
                <w:sz w:val="20"/>
                <w:szCs w:val="20"/>
              </w:rPr>
            </w:pPr>
            <w:r w:rsidRPr="0068236B">
              <w:rPr>
                <w:rFonts w:cs="Tahoma"/>
                <w:sz w:val="20"/>
                <w:szCs w:val="20"/>
              </w:rPr>
              <w:t>(</w:t>
            </w:r>
            <w:r w:rsidR="005E6643" w:rsidRPr="0068236B">
              <w:rPr>
                <w:rFonts w:cs="Tahoma"/>
                <w:sz w:val="20"/>
                <w:szCs w:val="20"/>
              </w:rPr>
              <w:t>exposure</w:t>
            </w:r>
            <w:r w:rsidR="000275A8" w:rsidRPr="0068236B">
              <w:rPr>
                <w:rFonts w:cs="Tahoma"/>
                <w:sz w:val="20"/>
                <w:szCs w:val="20"/>
              </w:rPr>
              <w:t xml:space="preserve"> / p</w:t>
            </w:r>
            <w:r w:rsidR="007B2123" w:rsidRPr="0068236B">
              <w:rPr>
                <w:rFonts w:cs="Tahoma"/>
                <w:sz w:val="20"/>
                <w:szCs w:val="20"/>
              </w:rPr>
              <w:t>robability of occurrence</w:t>
            </w:r>
            <w:r w:rsidRPr="0068236B">
              <w:rPr>
                <w:rFonts w:cs="Tahoma"/>
                <w:sz w:val="20"/>
                <w:szCs w:val="20"/>
              </w:rPr>
              <w:t>)</w:t>
            </w:r>
          </w:p>
        </w:tc>
      </w:tr>
      <w:tr w:rsidR="002E79C7" w:rsidRPr="0068236B" w14:paraId="265ECB1C" w14:textId="77777777" w:rsidTr="000275A8">
        <w:trPr>
          <w:trHeight w:val="1464"/>
        </w:trPr>
        <w:tc>
          <w:tcPr>
            <w:tcW w:w="1574" w:type="dxa"/>
          </w:tcPr>
          <w:p w14:paraId="5791735B" w14:textId="77777777" w:rsidR="002E79C7" w:rsidRPr="0068236B" w:rsidRDefault="002E79C7" w:rsidP="002E79C7">
            <w:pPr>
              <w:spacing w:before="0" w:after="0" w:line="240" w:lineRule="auto"/>
              <w:jc w:val="left"/>
              <w:rPr>
                <w:rFonts w:cs="Tahoma"/>
                <w:sz w:val="20"/>
                <w:szCs w:val="20"/>
              </w:rPr>
            </w:pPr>
            <w:r w:rsidRPr="0068236B">
              <w:rPr>
                <w:rFonts w:cs="Tahoma"/>
                <w:sz w:val="20"/>
                <w:szCs w:val="20"/>
              </w:rPr>
              <w:t>Extreme heat (heat wave)</w:t>
            </w:r>
          </w:p>
          <w:p w14:paraId="02034D31" w14:textId="77777777" w:rsidR="002E79C7" w:rsidRPr="0068236B" w:rsidRDefault="002E79C7" w:rsidP="002E79C7">
            <w:pPr>
              <w:spacing w:before="0" w:after="0" w:line="240" w:lineRule="auto"/>
              <w:jc w:val="left"/>
              <w:rPr>
                <w:rFonts w:cs="Tahoma"/>
                <w:sz w:val="20"/>
                <w:szCs w:val="20"/>
              </w:rPr>
            </w:pPr>
          </w:p>
        </w:tc>
        <w:tc>
          <w:tcPr>
            <w:tcW w:w="6818" w:type="dxa"/>
          </w:tcPr>
          <w:p w14:paraId="53B51030" w14:textId="77777777" w:rsidR="002E79C7" w:rsidRPr="0068236B" w:rsidRDefault="002E79C7" w:rsidP="002E79C7">
            <w:pPr>
              <w:pStyle w:val="NormalWeb"/>
              <w:shd w:val="clear" w:color="auto" w:fill="FFFFFF"/>
              <w:spacing w:after="0" w:line="240" w:lineRule="auto"/>
              <w:jc w:val="left"/>
              <w:rPr>
                <w:rFonts w:ascii="Tahoma" w:hAnsi="Tahoma" w:cs="Tahoma"/>
                <w:color w:val="333333"/>
                <w:sz w:val="20"/>
                <w:szCs w:val="20"/>
              </w:rPr>
            </w:pPr>
            <w:r w:rsidRPr="0068236B">
              <w:rPr>
                <w:rFonts w:ascii="Tahoma" w:hAnsi="Tahoma" w:cs="Tahoma"/>
                <w:color w:val="333333"/>
                <w:sz w:val="20"/>
                <w:szCs w:val="20"/>
              </w:rPr>
              <w:t>Extreme heat hazard is classified as </w:t>
            </w:r>
            <w:r w:rsidRPr="0068236B">
              <w:rPr>
                <w:rStyle w:val="Strong"/>
                <w:rFonts w:ascii="Tahoma" w:hAnsi="Tahoma" w:cs="Tahoma"/>
                <w:b w:val="0"/>
                <w:color w:val="333333"/>
                <w:sz w:val="20"/>
                <w:szCs w:val="20"/>
              </w:rPr>
              <w:t>medium</w:t>
            </w:r>
            <w:r w:rsidRPr="0068236B">
              <w:rPr>
                <w:rFonts w:ascii="Tahoma" w:hAnsi="Tahoma" w:cs="Tahoma"/>
                <w:color w:val="333333"/>
                <w:sz w:val="20"/>
                <w:szCs w:val="20"/>
              </w:rPr>
              <w:t> based on modeled heat info</w:t>
            </w:r>
            <w:r w:rsidRPr="0068236B">
              <w:rPr>
                <w:rFonts w:ascii="Tahoma" w:hAnsi="Tahoma" w:cs="Tahoma"/>
                <w:color w:val="333333"/>
                <w:sz w:val="20"/>
                <w:szCs w:val="20"/>
              </w:rPr>
              <w:t>r</w:t>
            </w:r>
            <w:r w:rsidRPr="0068236B">
              <w:rPr>
                <w:rFonts w:ascii="Tahoma" w:hAnsi="Tahoma" w:cs="Tahoma"/>
                <w:color w:val="333333"/>
                <w:sz w:val="20"/>
                <w:szCs w:val="20"/>
              </w:rPr>
              <w:t>mation currently available. This means that there is more than a 25% chance that at least one period of prolonged exposure to extreme heat, resulting in heat stress, will occur in the next five years. </w:t>
            </w:r>
          </w:p>
          <w:p w14:paraId="643AF4E7" w14:textId="77777777" w:rsidR="002E79C7" w:rsidRPr="0068236B" w:rsidRDefault="002E79C7" w:rsidP="002E79C7">
            <w:pPr>
              <w:pStyle w:val="NormalWeb"/>
              <w:shd w:val="clear" w:color="auto" w:fill="FFFFFF"/>
              <w:spacing w:after="0" w:line="240" w:lineRule="auto"/>
              <w:jc w:val="left"/>
              <w:rPr>
                <w:rFonts w:ascii="Tahoma" w:hAnsi="Tahoma" w:cs="Tahoma"/>
                <w:sz w:val="20"/>
                <w:szCs w:val="20"/>
              </w:rPr>
            </w:pPr>
            <w:r w:rsidRPr="0068236B">
              <w:rPr>
                <w:rStyle w:val="Strong"/>
                <w:rFonts w:ascii="Tahoma" w:hAnsi="Tahoma" w:cs="Tahoma"/>
                <w:b w:val="0"/>
                <w:color w:val="333333"/>
                <w:sz w:val="20"/>
                <w:szCs w:val="20"/>
              </w:rPr>
              <w:t>Project planning decisions, project technical design, and construction met</w:t>
            </w:r>
            <w:r w:rsidRPr="0068236B">
              <w:rPr>
                <w:rStyle w:val="Strong"/>
                <w:rFonts w:ascii="Tahoma" w:hAnsi="Tahoma" w:cs="Tahoma"/>
                <w:b w:val="0"/>
                <w:color w:val="333333"/>
                <w:sz w:val="20"/>
                <w:szCs w:val="20"/>
              </w:rPr>
              <w:t>h</w:t>
            </w:r>
            <w:r w:rsidRPr="0068236B">
              <w:rPr>
                <w:rStyle w:val="Strong"/>
                <w:rFonts w:ascii="Tahoma" w:hAnsi="Tahoma" w:cs="Tahoma"/>
                <w:b w:val="0"/>
                <w:color w:val="333333"/>
                <w:sz w:val="20"/>
                <w:szCs w:val="20"/>
              </w:rPr>
              <w:t>ods should take into account the level of extreme hazard</w:t>
            </w:r>
            <w:r w:rsidRPr="0068236B">
              <w:rPr>
                <w:rFonts w:ascii="Tahoma" w:hAnsi="Tahoma" w:cs="Tahoma"/>
                <w:color w:val="333333"/>
                <w:sz w:val="20"/>
                <w:szCs w:val="20"/>
              </w:rPr>
              <w:t xml:space="preserve">. </w:t>
            </w:r>
          </w:p>
        </w:tc>
        <w:tc>
          <w:tcPr>
            <w:tcW w:w="1389" w:type="dxa"/>
          </w:tcPr>
          <w:p w14:paraId="44D22F3D" w14:textId="77777777" w:rsidR="002E79C7" w:rsidRPr="0068236B" w:rsidRDefault="002E79C7" w:rsidP="002E79C7">
            <w:pPr>
              <w:pStyle w:val="ListParagraph"/>
              <w:spacing w:before="0" w:after="0" w:line="240" w:lineRule="auto"/>
              <w:ind w:left="114"/>
              <w:jc w:val="left"/>
              <w:rPr>
                <w:rFonts w:cs="Tahoma"/>
                <w:sz w:val="20"/>
                <w:szCs w:val="20"/>
              </w:rPr>
            </w:pPr>
            <w:r w:rsidRPr="0068236B">
              <w:rPr>
                <w:rFonts w:cs="Tahoma"/>
                <w:sz w:val="20"/>
                <w:szCs w:val="20"/>
              </w:rPr>
              <w:t>Medium</w:t>
            </w:r>
          </w:p>
          <w:p w14:paraId="4E6B1186" w14:textId="77777777" w:rsidR="002E79C7" w:rsidRPr="0068236B" w:rsidRDefault="002E79C7" w:rsidP="002E79C7">
            <w:pPr>
              <w:spacing w:before="0" w:after="0" w:line="240" w:lineRule="auto"/>
              <w:jc w:val="left"/>
              <w:rPr>
                <w:rFonts w:cs="Tahoma"/>
                <w:sz w:val="20"/>
                <w:szCs w:val="20"/>
              </w:rPr>
            </w:pPr>
          </w:p>
          <w:p w14:paraId="7C8C1DC3" w14:textId="77777777" w:rsidR="002E79C7" w:rsidRPr="0068236B" w:rsidRDefault="002E79C7" w:rsidP="002E79C7">
            <w:pPr>
              <w:spacing w:before="0" w:after="0" w:line="240" w:lineRule="auto"/>
              <w:jc w:val="left"/>
              <w:rPr>
                <w:rFonts w:cs="Tahoma"/>
                <w:sz w:val="20"/>
                <w:szCs w:val="20"/>
              </w:rPr>
            </w:pPr>
          </w:p>
        </w:tc>
      </w:tr>
      <w:tr w:rsidR="002E79C7" w:rsidRPr="0068236B" w14:paraId="2942BE03" w14:textId="77777777" w:rsidTr="000275A8">
        <w:trPr>
          <w:trHeight w:val="1464"/>
        </w:trPr>
        <w:tc>
          <w:tcPr>
            <w:tcW w:w="1574" w:type="dxa"/>
          </w:tcPr>
          <w:p w14:paraId="1DA2C206" w14:textId="77777777" w:rsidR="002E79C7" w:rsidRPr="0068236B" w:rsidRDefault="002E79C7" w:rsidP="002E79C7">
            <w:pPr>
              <w:spacing w:before="0" w:after="0" w:line="240" w:lineRule="auto"/>
              <w:jc w:val="left"/>
              <w:rPr>
                <w:rFonts w:cs="Tahoma"/>
                <w:sz w:val="20"/>
                <w:szCs w:val="20"/>
              </w:rPr>
            </w:pPr>
            <w:r w:rsidRPr="0068236B">
              <w:rPr>
                <w:rFonts w:cs="Tahoma"/>
                <w:sz w:val="20"/>
                <w:szCs w:val="20"/>
              </w:rPr>
              <w:lastRenderedPageBreak/>
              <w:t>River flood</w:t>
            </w:r>
          </w:p>
          <w:p w14:paraId="07FA1349" w14:textId="77777777" w:rsidR="002E79C7" w:rsidRPr="0068236B" w:rsidRDefault="002E79C7" w:rsidP="002E79C7">
            <w:pPr>
              <w:spacing w:before="0" w:after="0" w:line="240" w:lineRule="auto"/>
              <w:jc w:val="left"/>
              <w:rPr>
                <w:rFonts w:cs="Tahoma"/>
                <w:sz w:val="20"/>
                <w:szCs w:val="20"/>
              </w:rPr>
            </w:pPr>
          </w:p>
        </w:tc>
        <w:tc>
          <w:tcPr>
            <w:tcW w:w="6818" w:type="dxa"/>
          </w:tcPr>
          <w:p w14:paraId="1FC2865A" w14:textId="77777777" w:rsidR="002E79C7" w:rsidRPr="0068236B" w:rsidRDefault="002E79C7" w:rsidP="002E79C7">
            <w:pPr>
              <w:pStyle w:val="ListParagraph"/>
              <w:tabs>
                <w:tab w:val="left" w:pos="19"/>
              </w:tabs>
              <w:autoSpaceDE w:val="0"/>
              <w:autoSpaceDN w:val="0"/>
              <w:adjustRightInd w:val="0"/>
              <w:spacing w:before="0" w:after="0" w:line="240" w:lineRule="auto"/>
              <w:ind w:left="0"/>
              <w:contextualSpacing w:val="0"/>
              <w:jc w:val="left"/>
              <w:rPr>
                <w:rFonts w:cs="Tahoma"/>
                <w:color w:val="333333"/>
                <w:sz w:val="20"/>
                <w:szCs w:val="20"/>
                <w:lang w:eastAsia="mk-MK"/>
              </w:rPr>
            </w:pPr>
            <w:r w:rsidRPr="0068236B">
              <w:rPr>
                <w:rFonts w:cs="Tahoma"/>
                <w:color w:val="333333"/>
                <w:sz w:val="20"/>
                <w:szCs w:val="20"/>
                <w:lang w:eastAsia="mk-MK"/>
              </w:rPr>
              <w:t>River flood hazard is classified as </w:t>
            </w:r>
            <w:r w:rsidRPr="0068236B">
              <w:rPr>
                <w:rFonts w:cs="Tahoma"/>
                <w:bCs/>
                <w:color w:val="333333"/>
                <w:sz w:val="20"/>
                <w:szCs w:val="20"/>
                <w:lang w:eastAsia="mk-MK"/>
              </w:rPr>
              <w:t>high</w:t>
            </w:r>
            <w:r w:rsidRPr="0068236B">
              <w:rPr>
                <w:rFonts w:cs="Tahoma"/>
                <w:color w:val="333333"/>
                <w:sz w:val="20"/>
                <w:szCs w:val="20"/>
                <w:lang w:eastAsia="mk-MK"/>
              </w:rPr>
              <w:t> based on modeled flood information currently available. This means that potentially damaging and life-threatening river floods are expected to occur at least once in the next 10 years.</w:t>
            </w:r>
          </w:p>
          <w:p w14:paraId="04A8F255" w14:textId="77777777" w:rsidR="002E79C7" w:rsidRPr="0068236B" w:rsidRDefault="002E79C7" w:rsidP="002E79C7">
            <w:pPr>
              <w:pStyle w:val="ListParagraph"/>
              <w:tabs>
                <w:tab w:val="left" w:pos="19"/>
              </w:tabs>
              <w:autoSpaceDE w:val="0"/>
              <w:autoSpaceDN w:val="0"/>
              <w:adjustRightInd w:val="0"/>
              <w:spacing w:before="0" w:after="0" w:line="240" w:lineRule="auto"/>
              <w:ind w:left="0"/>
              <w:contextualSpacing w:val="0"/>
              <w:jc w:val="left"/>
              <w:rPr>
                <w:rFonts w:cs="Tahoma"/>
                <w:color w:val="333333"/>
                <w:sz w:val="20"/>
                <w:szCs w:val="20"/>
                <w:lang w:eastAsia="mk-MK"/>
              </w:rPr>
            </w:pPr>
            <w:r w:rsidRPr="0068236B">
              <w:rPr>
                <w:rFonts w:cs="Tahoma"/>
                <w:bCs/>
                <w:color w:val="333333"/>
                <w:sz w:val="20"/>
                <w:szCs w:val="20"/>
                <w:lang w:eastAsia="mk-MK"/>
              </w:rPr>
              <w:t>Project planning decisions, project technical design, and construction met</w:t>
            </w:r>
            <w:r w:rsidRPr="0068236B">
              <w:rPr>
                <w:rFonts w:cs="Tahoma"/>
                <w:bCs/>
                <w:color w:val="333333"/>
                <w:sz w:val="20"/>
                <w:szCs w:val="20"/>
                <w:lang w:eastAsia="mk-MK"/>
              </w:rPr>
              <w:t>h</w:t>
            </w:r>
            <w:r w:rsidRPr="0068236B">
              <w:rPr>
                <w:rFonts w:cs="Tahoma"/>
                <w:bCs/>
                <w:color w:val="333333"/>
                <w:sz w:val="20"/>
                <w:szCs w:val="20"/>
                <w:lang w:eastAsia="mk-MK"/>
              </w:rPr>
              <w:t>ods must take into account the level of river flood hazard</w:t>
            </w:r>
            <w:r w:rsidRPr="0068236B">
              <w:rPr>
                <w:rFonts w:cs="Tahoma"/>
                <w:color w:val="333333"/>
                <w:sz w:val="20"/>
                <w:szCs w:val="20"/>
                <w:lang w:eastAsia="mk-MK"/>
              </w:rPr>
              <w:t xml:space="preserve">. </w:t>
            </w:r>
            <w:r w:rsidRPr="0068236B">
              <w:rPr>
                <w:rFonts w:cs="Tahoma"/>
                <w:color w:val="333333"/>
                <w:sz w:val="20"/>
                <w:szCs w:val="20"/>
              </w:rPr>
              <w:t>It would be pr</w:t>
            </w:r>
            <w:r w:rsidRPr="0068236B">
              <w:rPr>
                <w:rFonts w:cs="Tahoma"/>
                <w:color w:val="333333"/>
                <w:sz w:val="20"/>
                <w:szCs w:val="20"/>
              </w:rPr>
              <w:t>u</w:t>
            </w:r>
            <w:r w:rsidRPr="0068236B">
              <w:rPr>
                <w:rFonts w:cs="Tahoma"/>
                <w:color w:val="333333"/>
                <w:sz w:val="20"/>
                <w:szCs w:val="20"/>
              </w:rPr>
              <w:t>dent to design projects in this area to be robust to river flood hazard in the long-term.</w:t>
            </w:r>
          </w:p>
        </w:tc>
        <w:tc>
          <w:tcPr>
            <w:tcW w:w="1389" w:type="dxa"/>
          </w:tcPr>
          <w:p w14:paraId="60654CDE" w14:textId="77777777" w:rsidR="002E79C7" w:rsidRPr="0068236B" w:rsidRDefault="002E79C7" w:rsidP="002E79C7">
            <w:pPr>
              <w:pStyle w:val="ListParagraph"/>
              <w:spacing w:before="0" w:after="0" w:line="240" w:lineRule="auto"/>
              <w:ind w:left="114"/>
              <w:jc w:val="left"/>
              <w:rPr>
                <w:rFonts w:cs="Tahoma"/>
                <w:sz w:val="20"/>
                <w:szCs w:val="20"/>
              </w:rPr>
            </w:pPr>
            <w:r w:rsidRPr="0068236B">
              <w:rPr>
                <w:rFonts w:cs="Tahoma"/>
                <w:sz w:val="20"/>
                <w:szCs w:val="20"/>
              </w:rPr>
              <w:t>High</w:t>
            </w:r>
          </w:p>
        </w:tc>
      </w:tr>
      <w:tr w:rsidR="002E79C7" w:rsidRPr="0068236B" w14:paraId="5B8A7B9E" w14:textId="77777777" w:rsidTr="00B32824">
        <w:trPr>
          <w:trHeight w:val="2194"/>
        </w:trPr>
        <w:tc>
          <w:tcPr>
            <w:tcW w:w="1574" w:type="dxa"/>
            <w:tcBorders>
              <w:top w:val="single" w:sz="4" w:space="0" w:color="auto"/>
              <w:bottom w:val="single" w:sz="4" w:space="0" w:color="auto"/>
            </w:tcBorders>
          </w:tcPr>
          <w:p w14:paraId="00803902" w14:textId="77777777" w:rsidR="002E79C7" w:rsidRPr="0068236B" w:rsidRDefault="002E79C7" w:rsidP="002E79C7">
            <w:pPr>
              <w:spacing w:before="0" w:after="0" w:line="240" w:lineRule="auto"/>
              <w:jc w:val="left"/>
              <w:rPr>
                <w:rFonts w:cs="Tahoma"/>
                <w:sz w:val="20"/>
                <w:szCs w:val="20"/>
              </w:rPr>
            </w:pPr>
            <w:r w:rsidRPr="0068236B">
              <w:rPr>
                <w:rFonts w:cs="Tahoma"/>
                <w:sz w:val="20"/>
                <w:szCs w:val="20"/>
              </w:rPr>
              <w:t>Landslide</w:t>
            </w:r>
          </w:p>
        </w:tc>
        <w:tc>
          <w:tcPr>
            <w:tcW w:w="6818" w:type="dxa"/>
            <w:tcBorders>
              <w:top w:val="single" w:sz="4" w:space="0" w:color="auto"/>
            </w:tcBorders>
          </w:tcPr>
          <w:p w14:paraId="5217B2E1" w14:textId="77777777" w:rsidR="002E79C7" w:rsidRPr="0068236B" w:rsidRDefault="002E79C7" w:rsidP="002E79C7">
            <w:pPr>
              <w:spacing w:before="0" w:after="0" w:line="240" w:lineRule="auto"/>
              <w:jc w:val="left"/>
              <w:rPr>
                <w:rFonts w:cs="Tahoma"/>
                <w:color w:val="333333"/>
                <w:sz w:val="20"/>
                <w:szCs w:val="20"/>
              </w:rPr>
            </w:pPr>
            <w:r w:rsidRPr="0068236B">
              <w:rPr>
                <w:rFonts w:cs="Tahoma"/>
                <w:color w:val="333333"/>
                <w:sz w:val="20"/>
                <w:szCs w:val="20"/>
              </w:rPr>
              <w:t xml:space="preserve">Landslide susceptibility is classified as medium according to the information that is currently available. This means that this area has rainfall patterns, terrain slope, geology, soil, land cover and (potentially) earthquakes that make localized landslides an infrequent hazard phenomenon. </w:t>
            </w:r>
          </w:p>
          <w:p w14:paraId="72364192" w14:textId="77777777" w:rsidR="002E79C7" w:rsidRPr="0068236B" w:rsidRDefault="002E79C7" w:rsidP="002E79C7">
            <w:pPr>
              <w:spacing w:before="0" w:after="0" w:line="240" w:lineRule="auto"/>
              <w:jc w:val="left"/>
              <w:rPr>
                <w:rFonts w:cs="Tahoma"/>
                <w:sz w:val="20"/>
                <w:szCs w:val="20"/>
              </w:rPr>
            </w:pPr>
            <w:r w:rsidRPr="0068236B">
              <w:rPr>
                <w:rFonts w:cs="Tahoma"/>
                <w:color w:val="333333"/>
                <w:sz w:val="20"/>
                <w:szCs w:val="20"/>
              </w:rPr>
              <w:t>Project planning decisions such as project siting, project technical design, and construction methods, should take into account the potential for lan</w:t>
            </w:r>
            <w:r w:rsidRPr="0068236B">
              <w:rPr>
                <w:rFonts w:cs="Tahoma"/>
                <w:color w:val="333333"/>
                <w:sz w:val="20"/>
                <w:szCs w:val="20"/>
              </w:rPr>
              <w:t>d</w:t>
            </w:r>
            <w:r w:rsidRPr="0068236B">
              <w:rPr>
                <w:rFonts w:cs="Tahoma"/>
                <w:color w:val="333333"/>
                <w:sz w:val="20"/>
                <w:szCs w:val="20"/>
              </w:rPr>
              <w:t>slides by obtaining detailed site-specific information to better understand the level of landslide susceptibility, as this depends on local geological co</w:t>
            </w:r>
            <w:r w:rsidRPr="0068236B">
              <w:rPr>
                <w:rFonts w:cs="Tahoma"/>
                <w:color w:val="333333"/>
                <w:sz w:val="20"/>
                <w:szCs w:val="20"/>
              </w:rPr>
              <w:t>n</w:t>
            </w:r>
            <w:r w:rsidRPr="0068236B">
              <w:rPr>
                <w:rFonts w:cs="Tahoma"/>
                <w:color w:val="333333"/>
                <w:sz w:val="20"/>
                <w:szCs w:val="20"/>
              </w:rPr>
              <w:t>ditions and other non-climatic factors.</w:t>
            </w:r>
          </w:p>
        </w:tc>
        <w:tc>
          <w:tcPr>
            <w:tcW w:w="1389" w:type="dxa"/>
            <w:tcBorders>
              <w:top w:val="single" w:sz="4" w:space="0" w:color="auto"/>
            </w:tcBorders>
          </w:tcPr>
          <w:p w14:paraId="267E6F8F" w14:textId="77777777" w:rsidR="002E79C7" w:rsidRPr="0068236B" w:rsidRDefault="002E79C7" w:rsidP="002E79C7">
            <w:pPr>
              <w:spacing w:before="0" w:after="0" w:line="240" w:lineRule="auto"/>
              <w:jc w:val="left"/>
              <w:rPr>
                <w:rFonts w:cs="Tahoma"/>
                <w:sz w:val="20"/>
                <w:szCs w:val="20"/>
              </w:rPr>
            </w:pPr>
            <w:r w:rsidRPr="0068236B">
              <w:rPr>
                <w:rFonts w:cs="Tahoma"/>
                <w:sz w:val="20"/>
                <w:szCs w:val="20"/>
              </w:rPr>
              <w:t>Medium</w:t>
            </w:r>
          </w:p>
        </w:tc>
      </w:tr>
      <w:tr w:rsidR="002E79C7" w:rsidRPr="0068236B" w14:paraId="3F78E0EF" w14:textId="77777777" w:rsidTr="00B32824">
        <w:trPr>
          <w:trHeight w:val="283"/>
        </w:trPr>
        <w:tc>
          <w:tcPr>
            <w:tcW w:w="1574" w:type="dxa"/>
            <w:tcBorders>
              <w:top w:val="single" w:sz="4" w:space="0" w:color="auto"/>
              <w:bottom w:val="single" w:sz="4" w:space="0" w:color="auto"/>
            </w:tcBorders>
          </w:tcPr>
          <w:p w14:paraId="463924F6" w14:textId="40F3447C" w:rsidR="002E79C7" w:rsidRPr="0068236B" w:rsidRDefault="002E79C7" w:rsidP="00B32824">
            <w:pPr>
              <w:spacing w:before="0" w:after="0" w:line="240" w:lineRule="auto"/>
              <w:jc w:val="left"/>
              <w:rPr>
                <w:rFonts w:cs="Tahoma"/>
                <w:sz w:val="20"/>
                <w:szCs w:val="20"/>
              </w:rPr>
            </w:pPr>
            <w:r w:rsidRPr="0068236B">
              <w:rPr>
                <w:rFonts w:cs="Tahoma"/>
                <w:sz w:val="20"/>
                <w:szCs w:val="20"/>
              </w:rPr>
              <w:t xml:space="preserve">Wind </w:t>
            </w:r>
          </w:p>
        </w:tc>
        <w:tc>
          <w:tcPr>
            <w:tcW w:w="6818" w:type="dxa"/>
            <w:tcBorders>
              <w:top w:val="single" w:sz="4" w:space="0" w:color="auto"/>
            </w:tcBorders>
          </w:tcPr>
          <w:p w14:paraId="194BBD33" w14:textId="77777777" w:rsidR="002E79C7" w:rsidRPr="0068236B" w:rsidRDefault="002E79C7" w:rsidP="002E79C7">
            <w:pPr>
              <w:pStyle w:val="ListParagraph"/>
              <w:spacing w:before="0" w:after="0" w:line="240" w:lineRule="auto"/>
              <w:ind w:left="114"/>
              <w:jc w:val="left"/>
              <w:rPr>
                <w:rFonts w:cs="Tahoma"/>
                <w:sz w:val="20"/>
                <w:szCs w:val="20"/>
              </w:rPr>
            </w:pPr>
            <w:r w:rsidRPr="0068236B">
              <w:rPr>
                <w:rFonts w:cs="Tahoma"/>
                <w:sz w:val="20"/>
                <w:szCs w:val="20"/>
              </w:rPr>
              <w:t>NA</w:t>
            </w:r>
          </w:p>
        </w:tc>
        <w:tc>
          <w:tcPr>
            <w:tcW w:w="1389" w:type="dxa"/>
            <w:tcBorders>
              <w:top w:val="single" w:sz="4" w:space="0" w:color="auto"/>
            </w:tcBorders>
          </w:tcPr>
          <w:p w14:paraId="09A5FA1D" w14:textId="77777777" w:rsidR="002E79C7" w:rsidRPr="0068236B" w:rsidRDefault="002E79C7" w:rsidP="002E79C7">
            <w:pPr>
              <w:spacing w:before="0" w:after="0" w:line="240" w:lineRule="auto"/>
              <w:jc w:val="left"/>
              <w:rPr>
                <w:rFonts w:cs="Tahoma"/>
                <w:sz w:val="20"/>
                <w:szCs w:val="20"/>
              </w:rPr>
            </w:pPr>
            <w:r w:rsidRPr="0068236B">
              <w:rPr>
                <w:rFonts w:cs="Tahoma"/>
                <w:sz w:val="20"/>
                <w:szCs w:val="20"/>
              </w:rPr>
              <w:t>NA</w:t>
            </w:r>
          </w:p>
        </w:tc>
      </w:tr>
      <w:tr w:rsidR="002E79C7" w:rsidRPr="0068236B" w14:paraId="1FB5938A" w14:textId="77777777" w:rsidTr="000275A8">
        <w:tc>
          <w:tcPr>
            <w:tcW w:w="1574" w:type="dxa"/>
          </w:tcPr>
          <w:p w14:paraId="1B5A05B8" w14:textId="77777777" w:rsidR="002E79C7" w:rsidRPr="0068236B" w:rsidRDefault="002E79C7" w:rsidP="002E79C7">
            <w:pPr>
              <w:spacing w:before="0" w:after="0" w:line="240" w:lineRule="auto"/>
              <w:jc w:val="left"/>
              <w:rPr>
                <w:rFonts w:cs="Tahoma"/>
                <w:sz w:val="20"/>
                <w:szCs w:val="20"/>
              </w:rPr>
            </w:pPr>
            <w:r w:rsidRPr="0068236B">
              <w:rPr>
                <w:rFonts w:cs="Tahoma"/>
                <w:sz w:val="20"/>
                <w:szCs w:val="20"/>
              </w:rPr>
              <w:t>Lightning</w:t>
            </w:r>
          </w:p>
        </w:tc>
        <w:tc>
          <w:tcPr>
            <w:tcW w:w="6818" w:type="dxa"/>
          </w:tcPr>
          <w:p w14:paraId="679A35F7" w14:textId="77777777" w:rsidR="002E79C7" w:rsidRPr="0068236B" w:rsidRDefault="002E79C7" w:rsidP="002E79C7">
            <w:pPr>
              <w:pStyle w:val="ListParagraph"/>
              <w:spacing w:before="0" w:after="0" w:line="240" w:lineRule="auto"/>
              <w:ind w:left="124"/>
              <w:jc w:val="left"/>
              <w:rPr>
                <w:rFonts w:cs="Tahoma"/>
                <w:sz w:val="20"/>
                <w:szCs w:val="20"/>
              </w:rPr>
            </w:pPr>
            <w:r w:rsidRPr="0068236B">
              <w:rPr>
                <w:rFonts w:cs="Tahoma"/>
                <w:sz w:val="20"/>
                <w:szCs w:val="20"/>
              </w:rPr>
              <w:t>NA</w:t>
            </w:r>
          </w:p>
        </w:tc>
        <w:tc>
          <w:tcPr>
            <w:tcW w:w="1389" w:type="dxa"/>
          </w:tcPr>
          <w:p w14:paraId="22152192" w14:textId="77777777" w:rsidR="002E79C7" w:rsidRPr="0068236B" w:rsidRDefault="002E79C7" w:rsidP="002E79C7">
            <w:pPr>
              <w:spacing w:before="0" w:after="0" w:line="240" w:lineRule="auto"/>
              <w:jc w:val="left"/>
              <w:rPr>
                <w:rFonts w:cs="Tahoma"/>
                <w:sz w:val="20"/>
                <w:szCs w:val="20"/>
              </w:rPr>
            </w:pPr>
            <w:r w:rsidRPr="0068236B">
              <w:rPr>
                <w:rFonts w:cs="Tahoma"/>
                <w:sz w:val="20"/>
                <w:szCs w:val="20"/>
              </w:rPr>
              <w:t>NA</w:t>
            </w:r>
          </w:p>
        </w:tc>
      </w:tr>
      <w:tr w:rsidR="002E79C7" w:rsidRPr="0068236B" w14:paraId="1DD1AAAF" w14:textId="77777777" w:rsidTr="000275A8">
        <w:tc>
          <w:tcPr>
            <w:tcW w:w="1574" w:type="dxa"/>
          </w:tcPr>
          <w:p w14:paraId="13E9E323" w14:textId="77777777" w:rsidR="002E79C7" w:rsidRPr="0068236B" w:rsidRDefault="002E79C7" w:rsidP="002E79C7">
            <w:pPr>
              <w:spacing w:before="0" w:after="0" w:line="240" w:lineRule="auto"/>
              <w:jc w:val="left"/>
              <w:rPr>
                <w:rFonts w:cs="Tahoma"/>
                <w:sz w:val="20"/>
                <w:szCs w:val="20"/>
              </w:rPr>
            </w:pPr>
            <w:r w:rsidRPr="0068236B">
              <w:rPr>
                <w:rFonts w:cs="Tahoma"/>
                <w:sz w:val="20"/>
                <w:szCs w:val="20"/>
              </w:rPr>
              <w:t>Wildfire</w:t>
            </w:r>
          </w:p>
        </w:tc>
        <w:tc>
          <w:tcPr>
            <w:tcW w:w="6818" w:type="dxa"/>
          </w:tcPr>
          <w:p w14:paraId="0EBB6C91" w14:textId="77777777" w:rsidR="002E79C7" w:rsidRPr="0068236B" w:rsidRDefault="002E79C7" w:rsidP="002E79C7">
            <w:pPr>
              <w:spacing w:before="0" w:after="0" w:line="240" w:lineRule="auto"/>
              <w:jc w:val="left"/>
              <w:rPr>
                <w:rFonts w:cs="Tahoma"/>
                <w:color w:val="333333"/>
                <w:sz w:val="20"/>
                <w:szCs w:val="20"/>
                <w:shd w:val="clear" w:color="auto" w:fill="FFFFFF"/>
              </w:rPr>
            </w:pPr>
            <w:r w:rsidRPr="0068236B">
              <w:rPr>
                <w:rFonts w:cs="Tahoma"/>
                <w:color w:val="333333"/>
                <w:sz w:val="20"/>
                <w:szCs w:val="20"/>
                <w:shd w:val="clear" w:color="auto" w:fill="FFFFFF"/>
              </w:rPr>
              <w:t>The wildfire hazard is classified as </w:t>
            </w:r>
            <w:r w:rsidRPr="0068236B">
              <w:rPr>
                <w:rStyle w:val="Strong"/>
                <w:rFonts w:cs="Tahoma"/>
                <w:b w:val="0"/>
                <w:color w:val="333333"/>
                <w:sz w:val="20"/>
                <w:szCs w:val="20"/>
                <w:shd w:val="clear" w:color="auto" w:fill="FFFFFF"/>
              </w:rPr>
              <w:t>high</w:t>
            </w:r>
            <w:r w:rsidRPr="0068236B">
              <w:rPr>
                <w:rFonts w:cs="Tahoma"/>
                <w:color w:val="333333"/>
                <w:sz w:val="20"/>
                <w:szCs w:val="20"/>
                <w:shd w:val="clear" w:color="auto" w:fill="FFFFFF"/>
              </w:rPr>
              <w:t xml:space="preserve"> according to the information that is currently available. This means that there is greater than a 50% chance of encountering weather that could support a significant wildfire that is likely to result in both life and property loss in any given year. </w:t>
            </w:r>
          </w:p>
          <w:p w14:paraId="4740A8A7" w14:textId="77777777" w:rsidR="002E79C7" w:rsidRPr="0068236B" w:rsidRDefault="002E79C7" w:rsidP="002E79C7">
            <w:pPr>
              <w:spacing w:before="0" w:after="0" w:line="240" w:lineRule="auto"/>
              <w:jc w:val="left"/>
              <w:rPr>
                <w:rFonts w:cs="Tahoma"/>
                <w:color w:val="333333"/>
                <w:sz w:val="20"/>
                <w:szCs w:val="20"/>
                <w:shd w:val="clear" w:color="auto" w:fill="FFFFFF"/>
              </w:rPr>
            </w:pPr>
            <w:r w:rsidRPr="0068236B">
              <w:rPr>
                <w:rFonts w:cs="Tahoma"/>
                <w:color w:val="333333"/>
                <w:sz w:val="20"/>
                <w:szCs w:val="20"/>
                <w:shd w:val="clear" w:color="auto" w:fill="FFFFFF"/>
              </w:rPr>
              <w:t>The impact of wildfire </w:t>
            </w:r>
            <w:r w:rsidRPr="0068236B">
              <w:rPr>
                <w:rStyle w:val="Strong"/>
                <w:rFonts w:cs="Tahoma"/>
                <w:b w:val="0"/>
                <w:color w:val="333333"/>
                <w:sz w:val="20"/>
                <w:szCs w:val="20"/>
                <w:shd w:val="clear" w:color="auto" w:fill="FFFFFF"/>
              </w:rPr>
              <w:t>must be considered</w:t>
            </w:r>
            <w:r w:rsidRPr="0068236B">
              <w:rPr>
                <w:rFonts w:cs="Tahoma"/>
                <w:color w:val="333333"/>
                <w:sz w:val="20"/>
                <w:szCs w:val="20"/>
                <w:shd w:val="clear" w:color="auto" w:fill="FFFFFF"/>
              </w:rPr>
              <w:t> in all phases of the project, in particular during design and construction</w:t>
            </w:r>
            <w:r w:rsidRPr="0068236B">
              <w:rPr>
                <w:rFonts w:cs="Tahoma"/>
                <w:b/>
                <w:color w:val="333333"/>
                <w:sz w:val="20"/>
                <w:szCs w:val="20"/>
                <w:shd w:val="clear" w:color="auto" w:fill="FFFFFF"/>
              </w:rPr>
              <w:t>. </w:t>
            </w:r>
            <w:r w:rsidRPr="0068236B">
              <w:rPr>
                <w:rStyle w:val="Strong"/>
                <w:rFonts w:cs="Tahoma"/>
                <w:b w:val="0"/>
                <w:color w:val="333333"/>
                <w:sz w:val="20"/>
                <w:szCs w:val="20"/>
                <w:shd w:val="clear" w:color="auto" w:fill="FFFFFF"/>
              </w:rPr>
              <w:t>Project planning decisions, project technical design, construction and emergency response planning methods should take into account the high level of wildfire hazard.</w:t>
            </w:r>
            <w:r w:rsidRPr="0068236B">
              <w:rPr>
                <w:rFonts w:cs="Tahoma"/>
                <w:color w:val="333333"/>
                <w:sz w:val="20"/>
                <w:szCs w:val="20"/>
                <w:shd w:val="clear" w:color="auto" w:fill="FFFFFF"/>
              </w:rPr>
              <w:t> Note that damage can not only occur due to direct flame and radiation exposure but may also include ember storm and low level surface fire. In extreme fire weather events, strong winds and wind born debris may weaken the integrity of infrastructure. It would be prudent to consider this effect in the design and construction phase of the project. Further detailed information specific to the location and planned project should be obtained to adequately unde</w:t>
            </w:r>
            <w:r w:rsidRPr="0068236B">
              <w:rPr>
                <w:rFonts w:cs="Tahoma"/>
                <w:color w:val="333333"/>
                <w:sz w:val="20"/>
                <w:szCs w:val="20"/>
                <w:shd w:val="clear" w:color="auto" w:fill="FFFFFF"/>
              </w:rPr>
              <w:t>r</w:t>
            </w:r>
            <w:r w:rsidRPr="0068236B">
              <w:rPr>
                <w:rFonts w:cs="Tahoma"/>
                <w:color w:val="333333"/>
                <w:sz w:val="20"/>
                <w:szCs w:val="20"/>
                <w:shd w:val="clear" w:color="auto" w:fill="FFFFFF"/>
              </w:rPr>
              <w:t>stand the level of hazard.</w:t>
            </w:r>
          </w:p>
        </w:tc>
        <w:tc>
          <w:tcPr>
            <w:tcW w:w="1389" w:type="dxa"/>
          </w:tcPr>
          <w:p w14:paraId="1692EE6E" w14:textId="77777777" w:rsidR="002E79C7" w:rsidRPr="0068236B" w:rsidRDefault="002E79C7" w:rsidP="002E79C7">
            <w:pPr>
              <w:spacing w:before="0" w:after="0" w:line="240" w:lineRule="auto"/>
              <w:jc w:val="left"/>
              <w:rPr>
                <w:rFonts w:cs="Tahoma"/>
                <w:sz w:val="20"/>
                <w:szCs w:val="20"/>
              </w:rPr>
            </w:pPr>
            <w:r w:rsidRPr="0068236B">
              <w:rPr>
                <w:rFonts w:cs="Tahoma"/>
                <w:sz w:val="20"/>
                <w:szCs w:val="20"/>
              </w:rPr>
              <w:t>High</w:t>
            </w:r>
          </w:p>
        </w:tc>
      </w:tr>
    </w:tbl>
    <w:p w14:paraId="502BE200" w14:textId="3E309B9F" w:rsidR="006C5EF7" w:rsidRPr="0068236B" w:rsidRDefault="006C5EF7" w:rsidP="006C5EF7">
      <w:pPr>
        <w:pStyle w:val="Caption"/>
        <w:spacing w:before="120"/>
        <w:jc w:val="left"/>
        <w:rPr>
          <w:b w:val="0"/>
          <w:iCs/>
          <w:szCs w:val="20"/>
        </w:rPr>
      </w:pPr>
      <w:bookmarkStart w:id="232" w:name="_Toc113018173"/>
      <w:r w:rsidRPr="0068236B">
        <w:rPr>
          <w:b w:val="0"/>
          <w:szCs w:val="20"/>
        </w:rPr>
        <w:t xml:space="preserve">Table </w:t>
      </w:r>
      <w:r w:rsidRPr="0068236B">
        <w:rPr>
          <w:b w:val="0"/>
          <w:szCs w:val="20"/>
        </w:rPr>
        <w:fldChar w:fldCharType="begin"/>
      </w:r>
      <w:r w:rsidRPr="0068236B">
        <w:rPr>
          <w:b w:val="0"/>
          <w:szCs w:val="20"/>
        </w:rPr>
        <w:instrText xml:space="preserve"> STYLEREF 1 \s </w:instrText>
      </w:r>
      <w:r w:rsidRPr="0068236B">
        <w:rPr>
          <w:b w:val="0"/>
          <w:szCs w:val="20"/>
        </w:rPr>
        <w:fldChar w:fldCharType="separate"/>
      </w:r>
      <w:r w:rsidR="00E502D0" w:rsidRPr="0068236B">
        <w:rPr>
          <w:b w:val="0"/>
          <w:noProof/>
          <w:szCs w:val="20"/>
        </w:rPr>
        <w:t>7</w:t>
      </w:r>
      <w:r w:rsidRPr="0068236B">
        <w:rPr>
          <w:b w:val="0"/>
          <w:szCs w:val="20"/>
        </w:rPr>
        <w:fldChar w:fldCharType="end"/>
      </w:r>
      <w:r w:rsidRPr="0068236B">
        <w:rPr>
          <w:b w:val="0"/>
          <w:szCs w:val="20"/>
        </w:rPr>
        <w:t>.</w:t>
      </w:r>
      <w:r w:rsidRPr="0068236B">
        <w:rPr>
          <w:b w:val="0"/>
          <w:szCs w:val="20"/>
        </w:rPr>
        <w:fldChar w:fldCharType="begin"/>
      </w:r>
      <w:r w:rsidRPr="0068236B">
        <w:rPr>
          <w:b w:val="0"/>
          <w:szCs w:val="20"/>
        </w:rPr>
        <w:instrText xml:space="preserve"> SEQ Table \* ARABIC \s 1 </w:instrText>
      </w:r>
      <w:r w:rsidRPr="0068236B">
        <w:rPr>
          <w:b w:val="0"/>
          <w:szCs w:val="20"/>
        </w:rPr>
        <w:fldChar w:fldCharType="separate"/>
      </w:r>
      <w:r w:rsidR="00E502D0" w:rsidRPr="0068236B">
        <w:rPr>
          <w:b w:val="0"/>
          <w:noProof/>
          <w:szCs w:val="20"/>
        </w:rPr>
        <w:t>2</w:t>
      </w:r>
      <w:r w:rsidRPr="0068236B">
        <w:rPr>
          <w:b w:val="0"/>
          <w:szCs w:val="20"/>
        </w:rPr>
        <w:fldChar w:fldCharType="end"/>
      </w:r>
      <w:r w:rsidRPr="0068236B">
        <w:rPr>
          <w:b w:val="0"/>
          <w:szCs w:val="20"/>
        </w:rPr>
        <w:t xml:space="preserve">: </w:t>
      </w:r>
      <w:r w:rsidR="00FF4DBB" w:rsidRPr="0068236B">
        <w:rPr>
          <w:b w:val="0"/>
          <w:szCs w:val="20"/>
        </w:rPr>
        <w:t xml:space="preserve">Climate-related hazards </w:t>
      </w:r>
      <w:r w:rsidR="000275A8" w:rsidRPr="0068236B">
        <w:rPr>
          <w:b w:val="0"/>
          <w:szCs w:val="20"/>
        </w:rPr>
        <w:t>in Project region (Gevgelija)</w:t>
      </w:r>
      <w:bookmarkEnd w:id="232"/>
    </w:p>
    <w:p w14:paraId="3E89FEC7" w14:textId="6F87265C" w:rsidR="006C5EF7" w:rsidRPr="0068236B" w:rsidRDefault="006C5EF7" w:rsidP="006C5EF7">
      <w:pPr>
        <w:pStyle w:val="Default"/>
        <w:spacing w:before="60" w:after="240"/>
        <w:rPr>
          <w:rFonts w:ascii="Tahoma" w:hAnsi="Tahoma" w:cs="Tahoma"/>
          <w:sz w:val="16"/>
          <w:szCs w:val="18"/>
        </w:rPr>
      </w:pPr>
      <w:r w:rsidRPr="0068236B">
        <w:rPr>
          <w:rFonts w:ascii="Tahoma" w:hAnsi="Tahoma" w:cs="Tahoma"/>
          <w:iCs/>
          <w:sz w:val="16"/>
          <w:szCs w:val="18"/>
        </w:rPr>
        <w:t xml:space="preserve">Source: </w:t>
      </w:r>
      <w:r w:rsidR="000275A8" w:rsidRPr="0068236B">
        <w:rPr>
          <w:rFonts w:ascii="Tahoma" w:hAnsi="Tahoma" w:cs="Tahoma"/>
          <w:iCs/>
          <w:sz w:val="16"/>
          <w:szCs w:val="18"/>
        </w:rPr>
        <w:t xml:space="preserve">World Bank Group / Climate Change Knowledge </w:t>
      </w:r>
      <w:r w:rsidR="000275A8" w:rsidRPr="0068236B">
        <w:rPr>
          <w:rFonts w:ascii="Tahoma" w:hAnsi="Tahoma" w:cs="Tahoma"/>
          <w:iCs/>
          <w:color w:val="auto"/>
          <w:sz w:val="16"/>
          <w:szCs w:val="18"/>
        </w:rPr>
        <w:t xml:space="preserve">Portal - </w:t>
      </w:r>
      <w:hyperlink r:id="rId98" w:history="1">
        <w:r w:rsidR="000275A8" w:rsidRPr="0068236B">
          <w:rPr>
            <w:rStyle w:val="Hyperlink"/>
            <w:rFonts w:ascii="Tahoma" w:hAnsi="Tahoma" w:cs="Tahoma"/>
            <w:iCs/>
            <w:color w:val="auto"/>
            <w:sz w:val="16"/>
            <w:szCs w:val="18"/>
            <w:u w:val="none"/>
          </w:rPr>
          <w:t>https://climateknowledgeportal.worldbank.org/country/north-macedonia/vulnerability</w:t>
        </w:r>
      </w:hyperlink>
      <w:r w:rsidR="000275A8" w:rsidRPr="0068236B">
        <w:rPr>
          <w:rFonts w:ascii="Tahoma" w:hAnsi="Tahoma" w:cs="Tahoma"/>
          <w:iCs/>
          <w:color w:val="auto"/>
          <w:sz w:val="16"/>
          <w:szCs w:val="18"/>
        </w:rPr>
        <w:t xml:space="preserve"> (</w:t>
      </w:r>
      <w:r w:rsidR="000275A8" w:rsidRPr="0068236B">
        <w:rPr>
          <w:rFonts w:ascii="Tahoma" w:hAnsi="Tahoma" w:cs="Tahoma"/>
          <w:iCs/>
          <w:sz w:val="16"/>
          <w:szCs w:val="18"/>
        </w:rPr>
        <w:t>https://thinkhazard.org/en/report/2933-fyr-of-macedonia-gevgelija</w:t>
      </w:r>
      <w:r w:rsidR="000275A8" w:rsidRPr="0068236B">
        <w:rPr>
          <w:rFonts w:ascii="Tahoma" w:hAnsi="Tahoma" w:cs="Tahoma"/>
          <w:sz w:val="16"/>
          <w:szCs w:val="18"/>
        </w:rPr>
        <w:t>)</w:t>
      </w:r>
    </w:p>
    <w:p w14:paraId="3D5FB085" w14:textId="08414139" w:rsidR="00FF4DBB" w:rsidRPr="0068236B" w:rsidRDefault="00FF4DBB" w:rsidP="00D24CEF">
      <w:pPr>
        <w:pStyle w:val="ListBullet"/>
        <w:numPr>
          <w:ilvl w:val="0"/>
          <w:numId w:val="75"/>
        </w:numPr>
        <w:spacing w:before="120" w:after="120"/>
        <w:jc w:val="left"/>
        <w:rPr>
          <w:rFonts w:cs="Tahoma"/>
          <w:sz w:val="20"/>
          <w:szCs w:val="20"/>
        </w:rPr>
      </w:pPr>
      <w:r w:rsidRPr="0068236B">
        <w:rPr>
          <w:rFonts w:cs="Tahoma"/>
          <w:sz w:val="20"/>
          <w:szCs w:val="20"/>
        </w:rPr>
        <w:t>Valandovo</w:t>
      </w:r>
    </w:p>
    <w:tbl>
      <w:tblPr>
        <w:tblStyle w:val="TableGrid"/>
        <w:tblW w:w="9781" w:type="dxa"/>
        <w:tblBorders>
          <w:top w:val="double" w:sz="4" w:space="0" w:color="auto"/>
          <w:left w:val="double" w:sz="4" w:space="0" w:color="auto"/>
          <w:bottom w:val="double" w:sz="4" w:space="0" w:color="auto"/>
          <w:right w:val="double" w:sz="4" w:space="0" w:color="auto"/>
        </w:tblBorders>
        <w:tblCellMar>
          <w:left w:w="28" w:type="dxa"/>
          <w:right w:w="28" w:type="dxa"/>
        </w:tblCellMar>
        <w:tblLook w:val="04A0" w:firstRow="1" w:lastRow="0" w:firstColumn="1" w:lastColumn="0" w:noHBand="0" w:noVBand="1"/>
      </w:tblPr>
      <w:tblGrid>
        <w:gridCol w:w="1574"/>
        <w:gridCol w:w="6818"/>
        <w:gridCol w:w="1389"/>
      </w:tblGrid>
      <w:tr w:rsidR="000275A8" w:rsidRPr="0068236B" w14:paraId="640C9437" w14:textId="77777777" w:rsidTr="000275A8">
        <w:tc>
          <w:tcPr>
            <w:tcW w:w="1574" w:type="dxa"/>
            <w:tcBorders>
              <w:top w:val="double" w:sz="4" w:space="0" w:color="auto"/>
              <w:bottom w:val="double" w:sz="4" w:space="0" w:color="auto"/>
              <w:right w:val="double" w:sz="4" w:space="0" w:color="auto"/>
            </w:tcBorders>
            <w:shd w:val="clear" w:color="auto" w:fill="9CC2E5" w:themeFill="accent5" w:themeFillTint="99"/>
          </w:tcPr>
          <w:p w14:paraId="3848406A" w14:textId="77777777" w:rsidR="000275A8" w:rsidRPr="0068236B" w:rsidRDefault="000275A8" w:rsidP="0034385D">
            <w:pPr>
              <w:spacing w:before="0" w:after="0" w:line="240" w:lineRule="auto"/>
              <w:jc w:val="left"/>
              <w:rPr>
                <w:rFonts w:cs="Tahoma"/>
                <w:sz w:val="20"/>
                <w:szCs w:val="20"/>
              </w:rPr>
            </w:pPr>
            <w:r w:rsidRPr="0068236B">
              <w:rPr>
                <w:rFonts w:cs="Tahoma"/>
                <w:sz w:val="20"/>
                <w:szCs w:val="20"/>
              </w:rPr>
              <w:t>Climate-related hazard</w:t>
            </w:r>
          </w:p>
        </w:tc>
        <w:tc>
          <w:tcPr>
            <w:tcW w:w="6818" w:type="dxa"/>
            <w:tcBorders>
              <w:top w:val="double" w:sz="4" w:space="0" w:color="auto"/>
              <w:left w:val="double" w:sz="4" w:space="0" w:color="auto"/>
              <w:bottom w:val="double" w:sz="4" w:space="0" w:color="auto"/>
            </w:tcBorders>
            <w:shd w:val="clear" w:color="auto" w:fill="9CC2E5" w:themeFill="accent5" w:themeFillTint="99"/>
          </w:tcPr>
          <w:p w14:paraId="46DBF18F" w14:textId="77777777" w:rsidR="000275A8" w:rsidRPr="0068236B" w:rsidRDefault="000275A8" w:rsidP="0034385D">
            <w:pPr>
              <w:spacing w:before="0" w:after="0" w:line="240" w:lineRule="auto"/>
              <w:jc w:val="left"/>
              <w:rPr>
                <w:rFonts w:cs="Tahoma"/>
                <w:sz w:val="20"/>
                <w:szCs w:val="20"/>
              </w:rPr>
            </w:pPr>
            <w:r w:rsidRPr="0068236B">
              <w:rPr>
                <w:rFonts w:cs="Tahoma"/>
                <w:sz w:val="20"/>
                <w:szCs w:val="20"/>
              </w:rPr>
              <w:t>Description of hazard</w:t>
            </w:r>
          </w:p>
        </w:tc>
        <w:tc>
          <w:tcPr>
            <w:tcW w:w="1389" w:type="dxa"/>
            <w:tcBorders>
              <w:top w:val="double" w:sz="4" w:space="0" w:color="auto"/>
              <w:left w:val="double" w:sz="4" w:space="0" w:color="auto"/>
              <w:bottom w:val="double" w:sz="4" w:space="0" w:color="auto"/>
            </w:tcBorders>
            <w:shd w:val="clear" w:color="auto" w:fill="9CC2E5" w:themeFill="accent5" w:themeFillTint="99"/>
          </w:tcPr>
          <w:p w14:paraId="7ECEC6A0" w14:textId="77777777" w:rsidR="000275A8" w:rsidRPr="0068236B" w:rsidRDefault="000275A8" w:rsidP="0034385D">
            <w:pPr>
              <w:spacing w:before="0" w:after="0" w:line="240" w:lineRule="auto"/>
              <w:jc w:val="left"/>
              <w:rPr>
                <w:rFonts w:cs="Tahoma"/>
                <w:sz w:val="20"/>
                <w:szCs w:val="20"/>
              </w:rPr>
            </w:pPr>
            <w:r w:rsidRPr="0068236B">
              <w:rPr>
                <w:rFonts w:cs="Tahoma"/>
                <w:sz w:val="20"/>
                <w:szCs w:val="20"/>
              </w:rPr>
              <w:t>Hazard level</w:t>
            </w:r>
          </w:p>
          <w:p w14:paraId="5DA6D37F" w14:textId="266C1E2E" w:rsidR="000275A8" w:rsidRPr="0068236B" w:rsidRDefault="000275A8" w:rsidP="0034385D">
            <w:pPr>
              <w:spacing w:before="0" w:after="0" w:line="240" w:lineRule="auto"/>
              <w:jc w:val="left"/>
              <w:rPr>
                <w:rFonts w:cs="Tahoma"/>
                <w:sz w:val="20"/>
                <w:szCs w:val="20"/>
              </w:rPr>
            </w:pPr>
            <w:r w:rsidRPr="0068236B">
              <w:rPr>
                <w:rFonts w:cs="Tahoma"/>
                <w:sz w:val="20"/>
                <w:szCs w:val="20"/>
              </w:rPr>
              <w:t>(</w:t>
            </w:r>
            <w:r w:rsidR="005E6643" w:rsidRPr="0068236B">
              <w:rPr>
                <w:rFonts w:cs="Tahoma"/>
                <w:sz w:val="20"/>
                <w:szCs w:val="20"/>
              </w:rPr>
              <w:t>exposure</w:t>
            </w:r>
            <w:r w:rsidRPr="0068236B">
              <w:rPr>
                <w:rFonts w:cs="Tahoma"/>
                <w:sz w:val="20"/>
                <w:szCs w:val="20"/>
              </w:rPr>
              <w:t xml:space="preserve"> / probability of occurrence)</w:t>
            </w:r>
          </w:p>
        </w:tc>
      </w:tr>
      <w:tr w:rsidR="000275A8" w:rsidRPr="0068236B" w14:paraId="18D87F54" w14:textId="77777777" w:rsidTr="000275A8">
        <w:trPr>
          <w:trHeight w:val="1464"/>
        </w:trPr>
        <w:tc>
          <w:tcPr>
            <w:tcW w:w="1574" w:type="dxa"/>
          </w:tcPr>
          <w:p w14:paraId="519EDD18" w14:textId="77777777" w:rsidR="000275A8" w:rsidRPr="0068236B" w:rsidRDefault="000275A8" w:rsidP="0034385D">
            <w:pPr>
              <w:spacing w:before="0" w:after="0" w:line="240" w:lineRule="auto"/>
              <w:jc w:val="left"/>
              <w:rPr>
                <w:rFonts w:cs="Tahoma"/>
                <w:sz w:val="20"/>
                <w:szCs w:val="20"/>
              </w:rPr>
            </w:pPr>
            <w:r w:rsidRPr="0068236B">
              <w:rPr>
                <w:rFonts w:cs="Tahoma"/>
                <w:sz w:val="20"/>
                <w:szCs w:val="20"/>
              </w:rPr>
              <w:t>Extreme heat (heat wave)</w:t>
            </w:r>
          </w:p>
          <w:p w14:paraId="5694B6C3" w14:textId="77777777" w:rsidR="000275A8" w:rsidRPr="0068236B" w:rsidRDefault="000275A8" w:rsidP="0034385D">
            <w:pPr>
              <w:spacing w:before="0" w:after="0" w:line="240" w:lineRule="auto"/>
              <w:jc w:val="left"/>
              <w:rPr>
                <w:rFonts w:cs="Tahoma"/>
                <w:sz w:val="20"/>
                <w:szCs w:val="20"/>
              </w:rPr>
            </w:pPr>
          </w:p>
        </w:tc>
        <w:tc>
          <w:tcPr>
            <w:tcW w:w="6818" w:type="dxa"/>
          </w:tcPr>
          <w:p w14:paraId="223436E6" w14:textId="77777777" w:rsidR="000275A8" w:rsidRPr="0068236B" w:rsidRDefault="000275A8" w:rsidP="0034385D">
            <w:pPr>
              <w:pStyle w:val="NormalWeb"/>
              <w:shd w:val="clear" w:color="auto" w:fill="FFFFFF"/>
              <w:spacing w:after="0" w:line="240" w:lineRule="auto"/>
              <w:jc w:val="left"/>
              <w:rPr>
                <w:rFonts w:ascii="Tahoma" w:hAnsi="Tahoma" w:cs="Tahoma"/>
                <w:color w:val="333333"/>
                <w:sz w:val="20"/>
                <w:szCs w:val="20"/>
              </w:rPr>
            </w:pPr>
            <w:r w:rsidRPr="0068236B">
              <w:rPr>
                <w:rFonts w:ascii="Tahoma" w:hAnsi="Tahoma" w:cs="Tahoma"/>
                <w:color w:val="333333"/>
                <w:sz w:val="20"/>
                <w:szCs w:val="20"/>
              </w:rPr>
              <w:t>Extreme heat hazard is classified as </w:t>
            </w:r>
            <w:r w:rsidRPr="0068236B">
              <w:rPr>
                <w:rStyle w:val="Strong"/>
                <w:rFonts w:ascii="Tahoma" w:hAnsi="Tahoma" w:cs="Tahoma"/>
                <w:b w:val="0"/>
                <w:color w:val="333333"/>
                <w:sz w:val="20"/>
                <w:szCs w:val="20"/>
              </w:rPr>
              <w:t>medium</w:t>
            </w:r>
            <w:r w:rsidRPr="0068236B">
              <w:rPr>
                <w:rFonts w:ascii="Tahoma" w:hAnsi="Tahoma" w:cs="Tahoma"/>
                <w:color w:val="333333"/>
                <w:sz w:val="20"/>
                <w:szCs w:val="20"/>
              </w:rPr>
              <w:t> based on modeled heat info</w:t>
            </w:r>
            <w:r w:rsidRPr="0068236B">
              <w:rPr>
                <w:rFonts w:ascii="Tahoma" w:hAnsi="Tahoma" w:cs="Tahoma"/>
                <w:color w:val="333333"/>
                <w:sz w:val="20"/>
                <w:szCs w:val="20"/>
              </w:rPr>
              <w:t>r</w:t>
            </w:r>
            <w:r w:rsidRPr="0068236B">
              <w:rPr>
                <w:rFonts w:ascii="Tahoma" w:hAnsi="Tahoma" w:cs="Tahoma"/>
                <w:color w:val="333333"/>
                <w:sz w:val="20"/>
                <w:szCs w:val="20"/>
              </w:rPr>
              <w:t>mation currently available. This means that there is more than a 25% chance that at least one period of prolonged exposure to extreme heat, resulting in heat stress, will occur in the next five years. </w:t>
            </w:r>
          </w:p>
          <w:p w14:paraId="482AEA26" w14:textId="77777777" w:rsidR="000275A8" w:rsidRPr="0068236B" w:rsidRDefault="000275A8" w:rsidP="0034385D">
            <w:pPr>
              <w:pStyle w:val="NormalWeb"/>
              <w:shd w:val="clear" w:color="auto" w:fill="FFFFFF"/>
              <w:spacing w:after="0" w:line="240" w:lineRule="auto"/>
              <w:jc w:val="left"/>
              <w:rPr>
                <w:rFonts w:ascii="Tahoma" w:hAnsi="Tahoma" w:cs="Tahoma"/>
                <w:sz w:val="20"/>
                <w:szCs w:val="20"/>
              </w:rPr>
            </w:pPr>
            <w:r w:rsidRPr="0068236B">
              <w:rPr>
                <w:rStyle w:val="Strong"/>
                <w:rFonts w:ascii="Tahoma" w:hAnsi="Tahoma" w:cs="Tahoma"/>
                <w:b w:val="0"/>
                <w:color w:val="333333"/>
                <w:sz w:val="20"/>
                <w:szCs w:val="20"/>
              </w:rPr>
              <w:t>Project planning decisions, project technical design, and construction met</w:t>
            </w:r>
            <w:r w:rsidRPr="0068236B">
              <w:rPr>
                <w:rStyle w:val="Strong"/>
                <w:rFonts w:ascii="Tahoma" w:hAnsi="Tahoma" w:cs="Tahoma"/>
                <w:b w:val="0"/>
                <w:color w:val="333333"/>
                <w:sz w:val="20"/>
                <w:szCs w:val="20"/>
              </w:rPr>
              <w:t>h</w:t>
            </w:r>
            <w:r w:rsidRPr="0068236B">
              <w:rPr>
                <w:rStyle w:val="Strong"/>
                <w:rFonts w:ascii="Tahoma" w:hAnsi="Tahoma" w:cs="Tahoma"/>
                <w:b w:val="0"/>
                <w:color w:val="333333"/>
                <w:sz w:val="20"/>
                <w:szCs w:val="20"/>
              </w:rPr>
              <w:t>ods should take into account the level of extreme hazard</w:t>
            </w:r>
            <w:r w:rsidRPr="0068236B">
              <w:rPr>
                <w:rFonts w:ascii="Tahoma" w:hAnsi="Tahoma" w:cs="Tahoma"/>
                <w:color w:val="333333"/>
                <w:sz w:val="20"/>
                <w:szCs w:val="20"/>
              </w:rPr>
              <w:t xml:space="preserve">. </w:t>
            </w:r>
          </w:p>
        </w:tc>
        <w:tc>
          <w:tcPr>
            <w:tcW w:w="1389" w:type="dxa"/>
          </w:tcPr>
          <w:p w14:paraId="3165906B" w14:textId="77777777" w:rsidR="000275A8" w:rsidRPr="0068236B" w:rsidRDefault="000275A8" w:rsidP="0034385D">
            <w:pPr>
              <w:pStyle w:val="ListParagraph"/>
              <w:spacing w:before="0" w:after="0" w:line="240" w:lineRule="auto"/>
              <w:ind w:left="114"/>
              <w:jc w:val="left"/>
              <w:rPr>
                <w:rFonts w:cs="Tahoma"/>
                <w:sz w:val="20"/>
                <w:szCs w:val="20"/>
              </w:rPr>
            </w:pPr>
            <w:r w:rsidRPr="0068236B">
              <w:rPr>
                <w:rFonts w:cs="Tahoma"/>
                <w:sz w:val="20"/>
                <w:szCs w:val="20"/>
              </w:rPr>
              <w:t>Medium</w:t>
            </w:r>
          </w:p>
          <w:p w14:paraId="20621FD5" w14:textId="77777777" w:rsidR="000275A8" w:rsidRPr="0068236B" w:rsidRDefault="000275A8" w:rsidP="0034385D">
            <w:pPr>
              <w:spacing w:before="0" w:after="0" w:line="240" w:lineRule="auto"/>
              <w:jc w:val="left"/>
              <w:rPr>
                <w:rFonts w:cs="Tahoma"/>
                <w:sz w:val="20"/>
                <w:szCs w:val="20"/>
              </w:rPr>
            </w:pPr>
          </w:p>
          <w:p w14:paraId="6F6BE260" w14:textId="77777777" w:rsidR="000275A8" w:rsidRPr="0068236B" w:rsidRDefault="000275A8" w:rsidP="0034385D">
            <w:pPr>
              <w:spacing w:before="0" w:after="0" w:line="240" w:lineRule="auto"/>
              <w:jc w:val="left"/>
              <w:rPr>
                <w:rFonts w:cs="Tahoma"/>
                <w:sz w:val="20"/>
                <w:szCs w:val="20"/>
              </w:rPr>
            </w:pPr>
          </w:p>
        </w:tc>
      </w:tr>
      <w:tr w:rsidR="000275A8" w:rsidRPr="0068236B" w14:paraId="1ED046BE" w14:textId="77777777" w:rsidTr="000275A8">
        <w:trPr>
          <w:trHeight w:val="1464"/>
        </w:trPr>
        <w:tc>
          <w:tcPr>
            <w:tcW w:w="1574" w:type="dxa"/>
          </w:tcPr>
          <w:p w14:paraId="44997622" w14:textId="77777777" w:rsidR="000275A8" w:rsidRPr="0068236B" w:rsidRDefault="000275A8" w:rsidP="0034385D">
            <w:pPr>
              <w:spacing w:before="0" w:after="0" w:line="240" w:lineRule="auto"/>
              <w:jc w:val="left"/>
              <w:rPr>
                <w:rFonts w:cs="Tahoma"/>
                <w:sz w:val="20"/>
                <w:szCs w:val="20"/>
              </w:rPr>
            </w:pPr>
            <w:r w:rsidRPr="0068236B">
              <w:rPr>
                <w:rFonts w:cs="Tahoma"/>
                <w:sz w:val="20"/>
                <w:szCs w:val="20"/>
              </w:rPr>
              <w:t>River flood</w:t>
            </w:r>
          </w:p>
          <w:p w14:paraId="4E55CE2B" w14:textId="77777777" w:rsidR="000275A8" w:rsidRPr="0068236B" w:rsidRDefault="000275A8" w:rsidP="0034385D">
            <w:pPr>
              <w:spacing w:before="0" w:after="0" w:line="240" w:lineRule="auto"/>
              <w:jc w:val="left"/>
              <w:rPr>
                <w:rFonts w:cs="Tahoma"/>
                <w:sz w:val="20"/>
                <w:szCs w:val="20"/>
              </w:rPr>
            </w:pPr>
          </w:p>
        </w:tc>
        <w:tc>
          <w:tcPr>
            <w:tcW w:w="6818" w:type="dxa"/>
          </w:tcPr>
          <w:p w14:paraId="4CD31CF7" w14:textId="77777777" w:rsidR="000275A8" w:rsidRPr="0068236B" w:rsidRDefault="000275A8" w:rsidP="0034385D">
            <w:pPr>
              <w:pStyle w:val="ListParagraph"/>
              <w:tabs>
                <w:tab w:val="left" w:pos="19"/>
              </w:tabs>
              <w:autoSpaceDE w:val="0"/>
              <w:autoSpaceDN w:val="0"/>
              <w:adjustRightInd w:val="0"/>
              <w:spacing w:before="0" w:after="0" w:line="240" w:lineRule="auto"/>
              <w:ind w:left="0"/>
              <w:contextualSpacing w:val="0"/>
              <w:jc w:val="left"/>
              <w:rPr>
                <w:rFonts w:cs="Tahoma"/>
                <w:color w:val="333333"/>
                <w:sz w:val="20"/>
                <w:szCs w:val="20"/>
                <w:lang w:eastAsia="mk-MK"/>
              </w:rPr>
            </w:pPr>
            <w:r w:rsidRPr="0068236B">
              <w:rPr>
                <w:rFonts w:cs="Tahoma"/>
                <w:color w:val="333333"/>
                <w:sz w:val="20"/>
                <w:szCs w:val="20"/>
                <w:lang w:eastAsia="mk-MK"/>
              </w:rPr>
              <w:t>River flood hazard is classified as </w:t>
            </w:r>
            <w:r w:rsidRPr="0068236B">
              <w:rPr>
                <w:rFonts w:cs="Tahoma"/>
                <w:bCs/>
                <w:color w:val="333333"/>
                <w:sz w:val="20"/>
                <w:szCs w:val="20"/>
                <w:lang w:eastAsia="mk-MK"/>
              </w:rPr>
              <w:t>high</w:t>
            </w:r>
            <w:r w:rsidRPr="0068236B">
              <w:rPr>
                <w:rFonts w:cs="Tahoma"/>
                <w:color w:val="333333"/>
                <w:sz w:val="20"/>
                <w:szCs w:val="20"/>
                <w:lang w:eastAsia="mk-MK"/>
              </w:rPr>
              <w:t> based on modeled flood information currently available. This means that potentially damaging and life-threatening river floods are expected to occur at least once in the next 10 years.</w:t>
            </w:r>
          </w:p>
          <w:p w14:paraId="5A0B054C" w14:textId="77777777" w:rsidR="000275A8" w:rsidRPr="0068236B" w:rsidRDefault="000275A8" w:rsidP="0034385D">
            <w:pPr>
              <w:pStyle w:val="ListParagraph"/>
              <w:tabs>
                <w:tab w:val="left" w:pos="19"/>
              </w:tabs>
              <w:autoSpaceDE w:val="0"/>
              <w:autoSpaceDN w:val="0"/>
              <w:adjustRightInd w:val="0"/>
              <w:spacing w:before="0" w:after="0" w:line="240" w:lineRule="auto"/>
              <w:ind w:left="0"/>
              <w:contextualSpacing w:val="0"/>
              <w:jc w:val="left"/>
              <w:rPr>
                <w:rFonts w:cs="Tahoma"/>
                <w:color w:val="333333"/>
                <w:sz w:val="20"/>
                <w:szCs w:val="20"/>
                <w:lang w:eastAsia="mk-MK"/>
              </w:rPr>
            </w:pPr>
            <w:r w:rsidRPr="0068236B">
              <w:rPr>
                <w:rFonts w:cs="Tahoma"/>
                <w:bCs/>
                <w:color w:val="333333"/>
                <w:sz w:val="20"/>
                <w:szCs w:val="20"/>
                <w:lang w:eastAsia="mk-MK"/>
              </w:rPr>
              <w:t>Project planning decisions, project technical design, and construction met</w:t>
            </w:r>
            <w:r w:rsidRPr="0068236B">
              <w:rPr>
                <w:rFonts w:cs="Tahoma"/>
                <w:bCs/>
                <w:color w:val="333333"/>
                <w:sz w:val="20"/>
                <w:szCs w:val="20"/>
                <w:lang w:eastAsia="mk-MK"/>
              </w:rPr>
              <w:t>h</w:t>
            </w:r>
            <w:r w:rsidRPr="0068236B">
              <w:rPr>
                <w:rFonts w:cs="Tahoma"/>
                <w:bCs/>
                <w:color w:val="333333"/>
                <w:sz w:val="20"/>
                <w:szCs w:val="20"/>
                <w:lang w:eastAsia="mk-MK"/>
              </w:rPr>
              <w:t>ods must take into account the level of river flood hazard</w:t>
            </w:r>
            <w:r w:rsidRPr="0068236B">
              <w:rPr>
                <w:rFonts w:cs="Tahoma"/>
                <w:color w:val="333333"/>
                <w:sz w:val="20"/>
                <w:szCs w:val="20"/>
                <w:lang w:eastAsia="mk-MK"/>
              </w:rPr>
              <w:t xml:space="preserve">. </w:t>
            </w:r>
            <w:r w:rsidRPr="0068236B">
              <w:rPr>
                <w:rFonts w:cs="Tahoma"/>
                <w:color w:val="333333"/>
                <w:sz w:val="20"/>
                <w:szCs w:val="20"/>
              </w:rPr>
              <w:t>It would be pr</w:t>
            </w:r>
            <w:r w:rsidRPr="0068236B">
              <w:rPr>
                <w:rFonts w:cs="Tahoma"/>
                <w:color w:val="333333"/>
                <w:sz w:val="20"/>
                <w:szCs w:val="20"/>
              </w:rPr>
              <w:t>u</w:t>
            </w:r>
            <w:r w:rsidRPr="0068236B">
              <w:rPr>
                <w:rFonts w:cs="Tahoma"/>
                <w:color w:val="333333"/>
                <w:sz w:val="20"/>
                <w:szCs w:val="20"/>
              </w:rPr>
              <w:t>dent to design projects in this area to be robust to river flood hazard in the long-term.</w:t>
            </w:r>
          </w:p>
        </w:tc>
        <w:tc>
          <w:tcPr>
            <w:tcW w:w="1389" w:type="dxa"/>
          </w:tcPr>
          <w:p w14:paraId="73D71F14" w14:textId="77777777" w:rsidR="000275A8" w:rsidRPr="0068236B" w:rsidRDefault="000275A8" w:rsidP="0034385D">
            <w:pPr>
              <w:pStyle w:val="ListParagraph"/>
              <w:spacing w:before="0" w:after="0" w:line="240" w:lineRule="auto"/>
              <w:ind w:left="114"/>
              <w:jc w:val="left"/>
              <w:rPr>
                <w:rFonts w:cs="Tahoma"/>
                <w:sz w:val="20"/>
                <w:szCs w:val="20"/>
              </w:rPr>
            </w:pPr>
            <w:r w:rsidRPr="0068236B">
              <w:rPr>
                <w:rFonts w:cs="Tahoma"/>
                <w:sz w:val="20"/>
                <w:szCs w:val="20"/>
              </w:rPr>
              <w:t>High</w:t>
            </w:r>
          </w:p>
        </w:tc>
      </w:tr>
      <w:tr w:rsidR="000275A8" w:rsidRPr="0068236B" w14:paraId="194E83C5" w14:textId="77777777" w:rsidTr="00B32824">
        <w:trPr>
          <w:trHeight w:val="2212"/>
        </w:trPr>
        <w:tc>
          <w:tcPr>
            <w:tcW w:w="1574" w:type="dxa"/>
            <w:tcBorders>
              <w:top w:val="single" w:sz="4" w:space="0" w:color="auto"/>
              <w:bottom w:val="single" w:sz="4" w:space="0" w:color="auto"/>
            </w:tcBorders>
          </w:tcPr>
          <w:p w14:paraId="37369FE5" w14:textId="77777777" w:rsidR="000275A8" w:rsidRPr="0068236B" w:rsidRDefault="000275A8" w:rsidP="0034385D">
            <w:pPr>
              <w:spacing w:before="0" w:after="0" w:line="240" w:lineRule="auto"/>
              <w:jc w:val="left"/>
              <w:rPr>
                <w:rFonts w:cs="Tahoma"/>
                <w:sz w:val="20"/>
                <w:szCs w:val="20"/>
              </w:rPr>
            </w:pPr>
            <w:r w:rsidRPr="0068236B">
              <w:rPr>
                <w:rFonts w:cs="Tahoma"/>
                <w:sz w:val="20"/>
                <w:szCs w:val="20"/>
              </w:rPr>
              <w:lastRenderedPageBreak/>
              <w:t>Landslide</w:t>
            </w:r>
          </w:p>
        </w:tc>
        <w:tc>
          <w:tcPr>
            <w:tcW w:w="6818" w:type="dxa"/>
            <w:tcBorders>
              <w:top w:val="single" w:sz="4" w:space="0" w:color="auto"/>
            </w:tcBorders>
          </w:tcPr>
          <w:p w14:paraId="45A0E8DC" w14:textId="77777777" w:rsidR="000275A8" w:rsidRPr="0068236B" w:rsidRDefault="000275A8" w:rsidP="0034385D">
            <w:pPr>
              <w:spacing w:before="0" w:after="0" w:line="240" w:lineRule="auto"/>
              <w:jc w:val="left"/>
              <w:rPr>
                <w:rFonts w:cs="Tahoma"/>
                <w:color w:val="333333"/>
                <w:sz w:val="20"/>
                <w:szCs w:val="20"/>
              </w:rPr>
            </w:pPr>
            <w:r w:rsidRPr="0068236B">
              <w:rPr>
                <w:rFonts w:cs="Tahoma"/>
                <w:color w:val="333333"/>
                <w:sz w:val="20"/>
                <w:szCs w:val="20"/>
              </w:rPr>
              <w:t xml:space="preserve">Landslide susceptibility is classified as medium according to the information that is currently available. This means that this area has rainfall patterns, terrain slope, geology, soil, land cover and (potentially) earthquakes that make localized landslides an infrequent hazard phenomenon. </w:t>
            </w:r>
          </w:p>
          <w:p w14:paraId="49122380" w14:textId="77777777" w:rsidR="000275A8" w:rsidRPr="0068236B" w:rsidRDefault="000275A8" w:rsidP="0034385D">
            <w:pPr>
              <w:spacing w:before="0" w:after="0" w:line="240" w:lineRule="auto"/>
              <w:jc w:val="left"/>
              <w:rPr>
                <w:rFonts w:cs="Tahoma"/>
                <w:sz w:val="20"/>
                <w:szCs w:val="20"/>
              </w:rPr>
            </w:pPr>
            <w:r w:rsidRPr="0068236B">
              <w:rPr>
                <w:rFonts w:cs="Tahoma"/>
                <w:color w:val="333333"/>
                <w:sz w:val="20"/>
                <w:szCs w:val="20"/>
              </w:rPr>
              <w:t>Project planning decisions such as project siting, project technical design, and construction methods, should take into account the potential for lan</w:t>
            </w:r>
            <w:r w:rsidRPr="0068236B">
              <w:rPr>
                <w:rFonts w:cs="Tahoma"/>
                <w:color w:val="333333"/>
                <w:sz w:val="20"/>
                <w:szCs w:val="20"/>
              </w:rPr>
              <w:t>d</w:t>
            </w:r>
            <w:r w:rsidRPr="0068236B">
              <w:rPr>
                <w:rFonts w:cs="Tahoma"/>
                <w:color w:val="333333"/>
                <w:sz w:val="20"/>
                <w:szCs w:val="20"/>
              </w:rPr>
              <w:t>slides by obtaining detailed site-specific information to better understand the level of landslide susceptibility, as this depends on local geological co</w:t>
            </w:r>
            <w:r w:rsidRPr="0068236B">
              <w:rPr>
                <w:rFonts w:cs="Tahoma"/>
                <w:color w:val="333333"/>
                <w:sz w:val="20"/>
                <w:szCs w:val="20"/>
              </w:rPr>
              <w:t>n</w:t>
            </w:r>
            <w:r w:rsidRPr="0068236B">
              <w:rPr>
                <w:rFonts w:cs="Tahoma"/>
                <w:color w:val="333333"/>
                <w:sz w:val="20"/>
                <w:szCs w:val="20"/>
              </w:rPr>
              <w:t>ditions and other non-climatic factors.</w:t>
            </w:r>
          </w:p>
        </w:tc>
        <w:tc>
          <w:tcPr>
            <w:tcW w:w="1389" w:type="dxa"/>
            <w:tcBorders>
              <w:top w:val="single" w:sz="4" w:space="0" w:color="auto"/>
            </w:tcBorders>
          </w:tcPr>
          <w:p w14:paraId="57E8CEB3" w14:textId="77777777" w:rsidR="000275A8" w:rsidRPr="0068236B" w:rsidRDefault="000275A8" w:rsidP="0034385D">
            <w:pPr>
              <w:spacing w:before="0" w:after="0" w:line="240" w:lineRule="auto"/>
              <w:jc w:val="left"/>
              <w:rPr>
                <w:rFonts w:cs="Tahoma"/>
                <w:sz w:val="20"/>
                <w:szCs w:val="20"/>
              </w:rPr>
            </w:pPr>
            <w:r w:rsidRPr="0068236B">
              <w:rPr>
                <w:rFonts w:cs="Tahoma"/>
                <w:sz w:val="20"/>
                <w:szCs w:val="20"/>
              </w:rPr>
              <w:t>Medium</w:t>
            </w:r>
          </w:p>
        </w:tc>
      </w:tr>
      <w:tr w:rsidR="000275A8" w:rsidRPr="0068236B" w14:paraId="171BB14D" w14:textId="77777777" w:rsidTr="00B32824">
        <w:trPr>
          <w:trHeight w:val="252"/>
        </w:trPr>
        <w:tc>
          <w:tcPr>
            <w:tcW w:w="1574" w:type="dxa"/>
            <w:tcBorders>
              <w:top w:val="single" w:sz="4" w:space="0" w:color="auto"/>
              <w:bottom w:val="single" w:sz="4" w:space="0" w:color="auto"/>
            </w:tcBorders>
          </w:tcPr>
          <w:p w14:paraId="500629DE" w14:textId="4F97261B" w:rsidR="000275A8" w:rsidRPr="0068236B" w:rsidRDefault="00B32824" w:rsidP="0034385D">
            <w:pPr>
              <w:spacing w:before="0" w:after="0" w:line="240" w:lineRule="auto"/>
              <w:jc w:val="left"/>
              <w:rPr>
                <w:rFonts w:cs="Tahoma"/>
                <w:sz w:val="20"/>
                <w:szCs w:val="20"/>
              </w:rPr>
            </w:pPr>
            <w:r w:rsidRPr="0068236B">
              <w:rPr>
                <w:rFonts w:cs="Tahoma"/>
                <w:sz w:val="20"/>
                <w:szCs w:val="20"/>
              </w:rPr>
              <w:t xml:space="preserve">Wind </w:t>
            </w:r>
          </w:p>
        </w:tc>
        <w:tc>
          <w:tcPr>
            <w:tcW w:w="6818" w:type="dxa"/>
            <w:tcBorders>
              <w:top w:val="single" w:sz="4" w:space="0" w:color="auto"/>
            </w:tcBorders>
          </w:tcPr>
          <w:p w14:paraId="1780FC72" w14:textId="77777777" w:rsidR="000275A8" w:rsidRPr="0068236B" w:rsidRDefault="000275A8" w:rsidP="0034385D">
            <w:pPr>
              <w:pStyle w:val="ListParagraph"/>
              <w:spacing w:before="0" w:after="0" w:line="240" w:lineRule="auto"/>
              <w:ind w:left="114"/>
              <w:jc w:val="left"/>
              <w:rPr>
                <w:rFonts w:cs="Tahoma"/>
                <w:sz w:val="20"/>
                <w:szCs w:val="20"/>
              </w:rPr>
            </w:pPr>
            <w:r w:rsidRPr="0068236B">
              <w:rPr>
                <w:rFonts w:cs="Tahoma"/>
                <w:sz w:val="20"/>
                <w:szCs w:val="20"/>
              </w:rPr>
              <w:t>NA</w:t>
            </w:r>
          </w:p>
        </w:tc>
        <w:tc>
          <w:tcPr>
            <w:tcW w:w="1389" w:type="dxa"/>
            <w:tcBorders>
              <w:top w:val="single" w:sz="4" w:space="0" w:color="auto"/>
            </w:tcBorders>
          </w:tcPr>
          <w:p w14:paraId="4A61703D" w14:textId="77777777" w:rsidR="000275A8" w:rsidRPr="0068236B" w:rsidRDefault="000275A8" w:rsidP="0034385D">
            <w:pPr>
              <w:spacing w:before="0" w:after="0" w:line="240" w:lineRule="auto"/>
              <w:jc w:val="left"/>
              <w:rPr>
                <w:rFonts w:cs="Tahoma"/>
                <w:sz w:val="20"/>
                <w:szCs w:val="20"/>
              </w:rPr>
            </w:pPr>
            <w:r w:rsidRPr="0068236B">
              <w:rPr>
                <w:rFonts w:cs="Tahoma"/>
                <w:sz w:val="20"/>
                <w:szCs w:val="20"/>
              </w:rPr>
              <w:t>NA</w:t>
            </w:r>
          </w:p>
        </w:tc>
      </w:tr>
      <w:tr w:rsidR="000275A8" w:rsidRPr="0068236B" w14:paraId="049460F0" w14:textId="77777777" w:rsidTr="000275A8">
        <w:tc>
          <w:tcPr>
            <w:tcW w:w="1574" w:type="dxa"/>
          </w:tcPr>
          <w:p w14:paraId="1C6D81FC" w14:textId="77777777" w:rsidR="000275A8" w:rsidRPr="0068236B" w:rsidRDefault="000275A8" w:rsidP="0034385D">
            <w:pPr>
              <w:spacing w:before="0" w:after="0" w:line="240" w:lineRule="auto"/>
              <w:jc w:val="left"/>
              <w:rPr>
                <w:rFonts w:cs="Tahoma"/>
                <w:sz w:val="20"/>
                <w:szCs w:val="20"/>
              </w:rPr>
            </w:pPr>
            <w:r w:rsidRPr="0068236B">
              <w:rPr>
                <w:rFonts w:cs="Tahoma"/>
                <w:sz w:val="20"/>
                <w:szCs w:val="20"/>
              </w:rPr>
              <w:t>Lightning</w:t>
            </w:r>
          </w:p>
        </w:tc>
        <w:tc>
          <w:tcPr>
            <w:tcW w:w="6818" w:type="dxa"/>
          </w:tcPr>
          <w:p w14:paraId="30205E10" w14:textId="77777777" w:rsidR="000275A8" w:rsidRPr="0068236B" w:rsidRDefault="000275A8" w:rsidP="0034385D">
            <w:pPr>
              <w:pStyle w:val="ListParagraph"/>
              <w:spacing w:before="0" w:after="0" w:line="240" w:lineRule="auto"/>
              <w:ind w:left="124"/>
              <w:jc w:val="left"/>
              <w:rPr>
                <w:rFonts w:cs="Tahoma"/>
                <w:sz w:val="20"/>
                <w:szCs w:val="20"/>
              </w:rPr>
            </w:pPr>
            <w:r w:rsidRPr="0068236B">
              <w:rPr>
                <w:rFonts w:cs="Tahoma"/>
                <w:sz w:val="20"/>
                <w:szCs w:val="20"/>
              </w:rPr>
              <w:t>NA</w:t>
            </w:r>
          </w:p>
        </w:tc>
        <w:tc>
          <w:tcPr>
            <w:tcW w:w="1389" w:type="dxa"/>
          </w:tcPr>
          <w:p w14:paraId="64C56A85" w14:textId="77777777" w:rsidR="000275A8" w:rsidRPr="0068236B" w:rsidRDefault="000275A8" w:rsidP="0034385D">
            <w:pPr>
              <w:spacing w:before="0" w:after="0" w:line="240" w:lineRule="auto"/>
              <w:jc w:val="left"/>
              <w:rPr>
                <w:rFonts w:cs="Tahoma"/>
                <w:sz w:val="20"/>
                <w:szCs w:val="20"/>
              </w:rPr>
            </w:pPr>
            <w:r w:rsidRPr="0068236B">
              <w:rPr>
                <w:rFonts w:cs="Tahoma"/>
                <w:sz w:val="20"/>
                <w:szCs w:val="20"/>
              </w:rPr>
              <w:t>NA</w:t>
            </w:r>
          </w:p>
        </w:tc>
      </w:tr>
      <w:tr w:rsidR="000275A8" w:rsidRPr="0068236B" w14:paraId="09B96F99" w14:textId="77777777" w:rsidTr="000275A8">
        <w:tc>
          <w:tcPr>
            <w:tcW w:w="1574" w:type="dxa"/>
          </w:tcPr>
          <w:p w14:paraId="4B578AE3" w14:textId="77777777" w:rsidR="000275A8" w:rsidRPr="0068236B" w:rsidRDefault="000275A8" w:rsidP="0034385D">
            <w:pPr>
              <w:spacing w:before="0" w:after="0" w:line="240" w:lineRule="auto"/>
              <w:jc w:val="left"/>
              <w:rPr>
                <w:rFonts w:cs="Tahoma"/>
                <w:sz w:val="20"/>
                <w:szCs w:val="20"/>
              </w:rPr>
            </w:pPr>
            <w:r w:rsidRPr="0068236B">
              <w:rPr>
                <w:rFonts w:cs="Tahoma"/>
                <w:sz w:val="20"/>
                <w:szCs w:val="20"/>
              </w:rPr>
              <w:t>Wildfire</w:t>
            </w:r>
          </w:p>
        </w:tc>
        <w:tc>
          <w:tcPr>
            <w:tcW w:w="6818" w:type="dxa"/>
          </w:tcPr>
          <w:p w14:paraId="78780D0A" w14:textId="77777777" w:rsidR="000275A8" w:rsidRPr="0068236B" w:rsidRDefault="000275A8" w:rsidP="0034385D">
            <w:pPr>
              <w:spacing w:before="0" w:after="0" w:line="240" w:lineRule="auto"/>
              <w:jc w:val="left"/>
              <w:rPr>
                <w:rFonts w:cs="Tahoma"/>
                <w:color w:val="333333"/>
                <w:sz w:val="20"/>
                <w:szCs w:val="20"/>
                <w:shd w:val="clear" w:color="auto" w:fill="FFFFFF"/>
              </w:rPr>
            </w:pPr>
            <w:r w:rsidRPr="0068236B">
              <w:rPr>
                <w:rFonts w:cs="Tahoma"/>
                <w:color w:val="333333"/>
                <w:sz w:val="20"/>
                <w:szCs w:val="20"/>
                <w:shd w:val="clear" w:color="auto" w:fill="FFFFFF"/>
              </w:rPr>
              <w:t>The wildfire hazard is classified as </w:t>
            </w:r>
            <w:r w:rsidRPr="0068236B">
              <w:rPr>
                <w:rStyle w:val="Strong"/>
                <w:rFonts w:cs="Tahoma"/>
                <w:b w:val="0"/>
                <w:color w:val="333333"/>
                <w:sz w:val="20"/>
                <w:szCs w:val="20"/>
                <w:shd w:val="clear" w:color="auto" w:fill="FFFFFF"/>
              </w:rPr>
              <w:t>high</w:t>
            </w:r>
            <w:r w:rsidRPr="0068236B">
              <w:rPr>
                <w:rFonts w:cs="Tahoma"/>
                <w:color w:val="333333"/>
                <w:sz w:val="20"/>
                <w:szCs w:val="20"/>
                <w:shd w:val="clear" w:color="auto" w:fill="FFFFFF"/>
              </w:rPr>
              <w:t xml:space="preserve"> according to the information that is currently available. This means that there is greater than a 50% chance of encountering weather that could support a significant wildfire that is likely to result in both life and property loss in any given year. </w:t>
            </w:r>
          </w:p>
          <w:p w14:paraId="30992C06" w14:textId="77777777" w:rsidR="000275A8" w:rsidRPr="0068236B" w:rsidRDefault="000275A8" w:rsidP="0034385D">
            <w:pPr>
              <w:spacing w:before="0" w:after="0" w:line="240" w:lineRule="auto"/>
              <w:jc w:val="left"/>
              <w:rPr>
                <w:rFonts w:cs="Tahoma"/>
                <w:color w:val="333333"/>
                <w:sz w:val="20"/>
                <w:szCs w:val="20"/>
                <w:shd w:val="clear" w:color="auto" w:fill="FFFFFF"/>
              </w:rPr>
            </w:pPr>
            <w:r w:rsidRPr="0068236B">
              <w:rPr>
                <w:rFonts w:cs="Tahoma"/>
                <w:color w:val="333333"/>
                <w:sz w:val="20"/>
                <w:szCs w:val="20"/>
                <w:shd w:val="clear" w:color="auto" w:fill="FFFFFF"/>
              </w:rPr>
              <w:t>The impact of wildfire </w:t>
            </w:r>
            <w:r w:rsidRPr="0068236B">
              <w:rPr>
                <w:rStyle w:val="Strong"/>
                <w:rFonts w:cs="Tahoma"/>
                <w:b w:val="0"/>
                <w:color w:val="333333"/>
                <w:sz w:val="20"/>
                <w:szCs w:val="20"/>
                <w:shd w:val="clear" w:color="auto" w:fill="FFFFFF"/>
              </w:rPr>
              <w:t>must be considered</w:t>
            </w:r>
            <w:r w:rsidRPr="0068236B">
              <w:rPr>
                <w:rFonts w:cs="Tahoma"/>
                <w:color w:val="333333"/>
                <w:sz w:val="20"/>
                <w:szCs w:val="20"/>
                <w:shd w:val="clear" w:color="auto" w:fill="FFFFFF"/>
              </w:rPr>
              <w:t> in all phases of the project, in particular during design and construction. </w:t>
            </w:r>
            <w:r w:rsidRPr="0068236B">
              <w:rPr>
                <w:rStyle w:val="Strong"/>
                <w:rFonts w:cs="Tahoma"/>
                <w:b w:val="0"/>
                <w:color w:val="333333"/>
                <w:sz w:val="20"/>
                <w:szCs w:val="20"/>
                <w:shd w:val="clear" w:color="auto" w:fill="FFFFFF"/>
              </w:rPr>
              <w:t>Project planning decisions, project technical design, construction and emergency response planning methods should take into account the high level of wildfire hazard.</w:t>
            </w:r>
            <w:r w:rsidRPr="0068236B">
              <w:rPr>
                <w:rFonts w:cs="Tahoma"/>
                <w:color w:val="333333"/>
                <w:sz w:val="20"/>
                <w:szCs w:val="20"/>
                <w:shd w:val="clear" w:color="auto" w:fill="FFFFFF"/>
              </w:rPr>
              <w:t> Note that damage can not only occur due to direct flame and radiation exposure but may also include ember storm and low level surface fire. In extreme fire weather events, strong winds and wind born debris may weaken the integrity of infrastructure. It would be prudent to consider this effect in the design and construction phase of the project. Further detailed information specific to the location and planned project should be obtained to adequately unde</w:t>
            </w:r>
            <w:r w:rsidRPr="0068236B">
              <w:rPr>
                <w:rFonts w:cs="Tahoma"/>
                <w:color w:val="333333"/>
                <w:sz w:val="20"/>
                <w:szCs w:val="20"/>
                <w:shd w:val="clear" w:color="auto" w:fill="FFFFFF"/>
              </w:rPr>
              <w:t>r</w:t>
            </w:r>
            <w:r w:rsidRPr="0068236B">
              <w:rPr>
                <w:rFonts w:cs="Tahoma"/>
                <w:color w:val="333333"/>
                <w:sz w:val="20"/>
                <w:szCs w:val="20"/>
                <w:shd w:val="clear" w:color="auto" w:fill="FFFFFF"/>
              </w:rPr>
              <w:t>stand the level of hazard.</w:t>
            </w:r>
          </w:p>
        </w:tc>
        <w:tc>
          <w:tcPr>
            <w:tcW w:w="1389" w:type="dxa"/>
          </w:tcPr>
          <w:p w14:paraId="7F3AB186" w14:textId="77777777" w:rsidR="000275A8" w:rsidRPr="0068236B" w:rsidRDefault="000275A8" w:rsidP="0034385D">
            <w:pPr>
              <w:spacing w:before="0" w:after="0" w:line="240" w:lineRule="auto"/>
              <w:jc w:val="left"/>
              <w:rPr>
                <w:rFonts w:cs="Tahoma"/>
                <w:sz w:val="20"/>
                <w:szCs w:val="20"/>
              </w:rPr>
            </w:pPr>
            <w:r w:rsidRPr="0068236B">
              <w:rPr>
                <w:rFonts w:cs="Tahoma"/>
                <w:sz w:val="20"/>
                <w:szCs w:val="20"/>
              </w:rPr>
              <w:t>High</w:t>
            </w:r>
          </w:p>
        </w:tc>
      </w:tr>
    </w:tbl>
    <w:p w14:paraId="7C180A1E" w14:textId="1F351111" w:rsidR="000275A8" w:rsidRPr="0068236B" w:rsidRDefault="000275A8" w:rsidP="000275A8">
      <w:pPr>
        <w:pStyle w:val="Caption"/>
        <w:spacing w:before="120"/>
        <w:jc w:val="left"/>
        <w:rPr>
          <w:b w:val="0"/>
          <w:iCs/>
          <w:szCs w:val="20"/>
        </w:rPr>
      </w:pPr>
      <w:bookmarkStart w:id="233" w:name="_Toc113018174"/>
      <w:r w:rsidRPr="0068236B">
        <w:rPr>
          <w:b w:val="0"/>
          <w:szCs w:val="20"/>
        </w:rPr>
        <w:t xml:space="preserve">Table </w:t>
      </w:r>
      <w:r w:rsidRPr="0068236B">
        <w:rPr>
          <w:b w:val="0"/>
          <w:szCs w:val="20"/>
        </w:rPr>
        <w:fldChar w:fldCharType="begin"/>
      </w:r>
      <w:r w:rsidRPr="0068236B">
        <w:rPr>
          <w:b w:val="0"/>
          <w:szCs w:val="20"/>
        </w:rPr>
        <w:instrText xml:space="preserve"> STYLEREF 1 \s </w:instrText>
      </w:r>
      <w:r w:rsidRPr="0068236B">
        <w:rPr>
          <w:b w:val="0"/>
          <w:szCs w:val="20"/>
        </w:rPr>
        <w:fldChar w:fldCharType="separate"/>
      </w:r>
      <w:r w:rsidR="00E502D0" w:rsidRPr="0068236B">
        <w:rPr>
          <w:b w:val="0"/>
          <w:noProof/>
          <w:szCs w:val="20"/>
        </w:rPr>
        <w:t>7</w:t>
      </w:r>
      <w:r w:rsidRPr="0068236B">
        <w:rPr>
          <w:b w:val="0"/>
          <w:szCs w:val="20"/>
        </w:rPr>
        <w:fldChar w:fldCharType="end"/>
      </w:r>
      <w:r w:rsidRPr="0068236B">
        <w:rPr>
          <w:b w:val="0"/>
          <w:szCs w:val="20"/>
        </w:rPr>
        <w:t>.</w:t>
      </w:r>
      <w:r w:rsidRPr="0068236B">
        <w:rPr>
          <w:b w:val="0"/>
          <w:szCs w:val="20"/>
        </w:rPr>
        <w:fldChar w:fldCharType="begin"/>
      </w:r>
      <w:r w:rsidRPr="0068236B">
        <w:rPr>
          <w:b w:val="0"/>
          <w:szCs w:val="20"/>
        </w:rPr>
        <w:instrText xml:space="preserve"> SEQ Table \* ARABIC \s 1 </w:instrText>
      </w:r>
      <w:r w:rsidRPr="0068236B">
        <w:rPr>
          <w:b w:val="0"/>
          <w:szCs w:val="20"/>
        </w:rPr>
        <w:fldChar w:fldCharType="separate"/>
      </w:r>
      <w:r w:rsidR="00E502D0" w:rsidRPr="0068236B">
        <w:rPr>
          <w:b w:val="0"/>
          <w:noProof/>
          <w:szCs w:val="20"/>
        </w:rPr>
        <w:t>3</w:t>
      </w:r>
      <w:r w:rsidRPr="0068236B">
        <w:rPr>
          <w:b w:val="0"/>
          <w:szCs w:val="20"/>
        </w:rPr>
        <w:fldChar w:fldCharType="end"/>
      </w:r>
      <w:r w:rsidRPr="0068236B">
        <w:rPr>
          <w:b w:val="0"/>
          <w:szCs w:val="20"/>
        </w:rPr>
        <w:t>: Climate-related hazards in Project region (Valandovo)</w:t>
      </w:r>
      <w:bookmarkEnd w:id="233"/>
    </w:p>
    <w:p w14:paraId="41491ABB" w14:textId="683AC30D" w:rsidR="000275A8" w:rsidRPr="0068236B" w:rsidRDefault="000275A8" w:rsidP="000275A8">
      <w:pPr>
        <w:pStyle w:val="Default"/>
        <w:spacing w:before="60" w:after="240"/>
        <w:rPr>
          <w:rFonts w:ascii="Tahoma" w:hAnsi="Tahoma" w:cs="Tahoma"/>
          <w:sz w:val="16"/>
          <w:szCs w:val="18"/>
        </w:rPr>
      </w:pPr>
      <w:r w:rsidRPr="0068236B">
        <w:rPr>
          <w:rFonts w:ascii="Tahoma" w:hAnsi="Tahoma" w:cs="Tahoma"/>
          <w:iCs/>
          <w:sz w:val="16"/>
          <w:szCs w:val="18"/>
        </w:rPr>
        <w:t xml:space="preserve">Source: World Bank Group / Climate Change Knowledge </w:t>
      </w:r>
      <w:r w:rsidRPr="0068236B">
        <w:rPr>
          <w:rFonts w:ascii="Tahoma" w:hAnsi="Tahoma" w:cs="Tahoma"/>
          <w:iCs/>
          <w:color w:val="auto"/>
          <w:sz w:val="16"/>
          <w:szCs w:val="18"/>
        </w:rPr>
        <w:t xml:space="preserve">Portal - </w:t>
      </w:r>
      <w:hyperlink r:id="rId99" w:history="1">
        <w:r w:rsidRPr="0068236B">
          <w:rPr>
            <w:rStyle w:val="Hyperlink"/>
            <w:rFonts w:ascii="Tahoma" w:hAnsi="Tahoma" w:cs="Tahoma"/>
            <w:iCs/>
            <w:color w:val="auto"/>
            <w:sz w:val="16"/>
            <w:szCs w:val="18"/>
            <w:u w:val="none"/>
          </w:rPr>
          <w:t>https://climateknowledgeportal.worldbank.org/country/north-macedonia/vulnerability</w:t>
        </w:r>
      </w:hyperlink>
      <w:r w:rsidRPr="0068236B">
        <w:rPr>
          <w:rFonts w:ascii="Tahoma" w:hAnsi="Tahoma" w:cs="Tahoma"/>
          <w:iCs/>
          <w:color w:val="auto"/>
          <w:sz w:val="16"/>
          <w:szCs w:val="18"/>
        </w:rPr>
        <w:t xml:space="preserve"> (</w:t>
      </w:r>
      <w:r w:rsidRPr="0068236B">
        <w:rPr>
          <w:rFonts w:ascii="Tahoma" w:hAnsi="Tahoma" w:cs="Tahoma"/>
          <w:iCs/>
          <w:sz w:val="16"/>
          <w:szCs w:val="18"/>
        </w:rPr>
        <w:t>https://thinkhazard.org/en/report/2933-fyr-of-macedonia-valandovo</w:t>
      </w:r>
      <w:r w:rsidRPr="0068236B">
        <w:rPr>
          <w:rFonts w:ascii="Tahoma" w:hAnsi="Tahoma" w:cs="Tahoma"/>
          <w:sz w:val="16"/>
          <w:szCs w:val="18"/>
        </w:rPr>
        <w:t>)</w:t>
      </w:r>
    </w:p>
    <w:p w14:paraId="6D8DB1FD" w14:textId="699807C6" w:rsidR="00E62257" w:rsidRPr="0068236B" w:rsidRDefault="00E62257" w:rsidP="00DA2DA3">
      <w:pPr>
        <w:pStyle w:val="Heading3"/>
      </w:pPr>
      <w:bookmarkStart w:id="234" w:name="_Toc112852246"/>
      <w:bookmarkStart w:id="235" w:name="_Toc71559768"/>
      <w:r w:rsidRPr="0068236B">
        <w:t>Geological Environment</w:t>
      </w:r>
      <w:bookmarkEnd w:id="234"/>
    </w:p>
    <w:p w14:paraId="3653B216" w14:textId="77777777" w:rsidR="00E62257" w:rsidRPr="0068236B" w:rsidRDefault="00E62257" w:rsidP="00DA2DA3">
      <w:pPr>
        <w:pStyle w:val="Heading4"/>
        <w:rPr>
          <w:sz w:val="20"/>
        </w:rPr>
      </w:pPr>
      <w:r w:rsidRPr="0068236B">
        <w:rPr>
          <w:sz w:val="20"/>
        </w:rPr>
        <w:t>Study Area</w:t>
      </w:r>
    </w:p>
    <w:p w14:paraId="43E3B3A9" w14:textId="2EAE271D" w:rsidR="00DD2B6E" w:rsidRPr="0068236B" w:rsidRDefault="00DD2B6E" w:rsidP="00E62257">
      <w:pPr>
        <w:autoSpaceDE w:val="0"/>
        <w:autoSpaceDN w:val="0"/>
        <w:adjustRightInd w:val="0"/>
        <w:rPr>
          <w:rFonts w:cs="Tahoma"/>
          <w:sz w:val="20"/>
          <w:szCs w:val="20"/>
          <w:lang w:eastAsia="en-US"/>
        </w:rPr>
      </w:pPr>
      <w:r w:rsidRPr="0068236B">
        <w:rPr>
          <w:rFonts w:cs="Tahoma"/>
          <w:sz w:val="20"/>
          <w:szCs w:val="20"/>
        </w:rPr>
        <w:t xml:space="preserve">The assessment of the effects on the geological environment and soils uses a wider study area around the </w:t>
      </w:r>
      <w:r w:rsidR="004A3581" w:rsidRPr="0068236B">
        <w:rPr>
          <w:rFonts w:cs="Tahoma"/>
          <w:sz w:val="20"/>
          <w:szCs w:val="20"/>
        </w:rPr>
        <w:t xml:space="preserve">proposed </w:t>
      </w:r>
      <w:r w:rsidRPr="0068236B">
        <w:rPr>
          <w:rFonts w:cs="Tahoma"/>
          <w:sz w:val="20"/>
          <w:szCs w:val="20"/>
        </w:rPr>
        <w:t xml:space="preserve">substation site and respective OHL corridor(s) </w:t>
      </w:r>
      <w:r w:rsidRPr="0068236B">
        <w:rPr>
          <w:rFonts w:cs="Tahoma"/>
          <w:sz w:val="20"/>
          <w:szCs w:val="20"/>
          <w:lang w:eastAsia="en-US"/>
        </w:rPr>
        <w:t>and the adjacent areas</w:t>
      </w:r>
      <w:r w:rsidRPr="0068236B">
        <w:rPr>
          <w:rFonts w:cs="Tahoma"/>
          <w:sz w:val="20"/>
          <w:szCs w:val="20"/>
        </w:rPr>
        <w:t xml:space="preserve"> likely to be affected by the Project activities.</w:t>
      </w:r>
      <w:r w:rsidR="005F5978" w:rsidRPr="0068236B">
        <w:rPr>
          <w:rFonts w:cs="Tahoma"/>
          <w:sz w:val="20"/>
          <w:szCs w:val="20"/>
        </w:rPr>
        <w:t xml:space="preserve"> The study area is extended to 100 metres buffer zone around the substation site and 500 metres wide corridor </w:t>
      </w:r>
      <w:r w:rsidR="00083976" w:rsidRPr="0068236B">
        <w:rPr>
          <w:rFonts w:cs="Tahoma"/>
          <w:sz w:val="20"/>
          <w:szCs w:val="20"/>
        </w:rPr>
        <w:t>a</w:t>
      </w:r>
      <w:r w:rsidR="005F5978" w:rsidRPr="0068236B">
        <w:rPr>
          <w:rFonts w:cs="Tahoma"/>
          <w:sz w:val="20"/>
          <w:szCs w:val="20"/>
        </w:rPr>
        <w:t>long transmission lines.</w:t>
      </w:r>
    </w:p>
    <w:p w14:paraId="15A2753A" w14:textId="77777777" w:rsidR="00E62257" w:rsidRPr="0068236B" w:rsidRDefault="00E62257" w:rsidP="00DA2DA3">
      <w:pPr>
        <w:pStyle w:val="Heading4"/>
        <w:rPr>
          <w:sz w:val="20"/>
        </w:rPr>
      </w:pPr>
      <w:r w:rsidRPr="0068236B">
        <w:rPr>
          <w:sz w:val="20"/>
        </w:rPr>
        <w:t>Baseline Conditions</w:t>
      </w:r>
    </w:p>
    <w:p w14:paraId="56E4FCC8" w14:textId="39D98AA2" w:rsidR="00D43F0B" w:rsidRPr="0068236B" w:rsidRDefault="00D43F0B" w:rsidP="00256BE9">
      <w:pPr>
        <w:rPr>
          <w:rFonts w:cs="Tahoma"/>
          <w:sz w:val="20"/>
        </w:rPr>
      </w:pPr>
      <w:r w:rsidRPr="0068236B">
        <w:rPr>
          <w:rFonts w:cs="Tahoma"/>
          <w:sz w:val="20"/>
        </w:rPr>
        <w:t xml:space="preserve">From a geological point of view, the </w:t>
      </w:r>
      <w:r w:rsidRPr="0068236B">
        <w:rPr>
          <w:sz w:val="20"/>
          <w:szCs w:val="20"/>
        </w:rPr>
        <w:t xml:space="preserve">location of the proposed 400/110 kV SS Miletkovo is built by Jurrasic </w:t>
      </w:r>
      <w:r w:rsidRPr="0068236B">
        <w:rPr>
          <w:rFonts w:cs="Tahoma"/>
          <w:sz w:val="20"/>
        </w:rPr>
        <w:t>diabase and spylite rocks, covered with Quaternary delluvial (clayey) sediments</w:t>
      </w:r>
      <w:r w:rsidR="00EC022C" w:rsidRPr="0068236B">
        <w:rPr>
          <w:rFonts w:cs="Tahoma"/>
          <w:sz w:val="20"/>
        </w:rPr>
        <w:t xml:space="preserve"> (Annex 4)</w:t>
      </w:r>
      <w:r w:rsidRPr="0068236B">
        <w:rPr>
          <w:rFonts w:cs="Tahoma"/>
          <w:sz w:val="20"/>
        </w:rPr>
        <w:t>.</w:t>
      </w:r>
    </w:p>
    <w:p w14:paraId="2B1F5CEE" w14:textId="57C29800" w:rsidR="00D43F0B" w:rsidRPr="0068236B" w:rsidRDefault="00D43F0B" w:rsidP="00256BE9">
      <w:pPr>
        <w:rPr>
          <w:rFonts w:cs="Tahoma"/>
          <w:sz w:val="20"/>
        </w:rPr>
      </w:pPr>
      <w:r w:rsidRPr="0068236B">
        <w:rPr>
          <w:rFonts w:cs="Tahoma"/>
          <w:sz w:val="20"/>
        </w:rPr>
        <w:t>The corridors of the transmission lines pass through the alluvial sediments (clay, sand and gravel) of the Vardar River and the river Anska Reka</w:t>
      </w:r>
      <w:r w:rsidR="00EC022C" w:rsidRPr="0068236B">
        <w:rPr>
          <w:rFonts w:cs="Tahoma"/>
          <w:sz w:val="20"/>
        </w:rPr>
        <w:t xml:space="preserve"> (Annex 4)</w:t>
      </w:r>
      <w:r w:rsidRPr="0068236B">
        <w:rPr>
          <w:rFonts w:cs="Tahoma"/>
          <w:sz w:val="20"/>
        </w:rPr>
        <w:t>. The estimated depth of these sediments varies between 15 m and 30 m. Near Miletkovo village (from the right side of Vardar River), the groundwater level follows the water level of Vardar River, but starting from the left side of Vardar River and the inflow of Anska Reka into Vardar River, due to the high degree of collimation of the Anska Reka riverbed, the groundwater level does not correspond to the water level in Anska Reka.</w:t>
      </w:r>
    </w:p>
    <w:p w14:paraId="22266C58" w14:textId="4BFEC252" w:rsidR="006A00B6" w:rsidRPr="0068236B" w:rsidRDefault="006A00B6" w:rsidP="006A00B6">
      <w:pPr>
        <w:rPr>
          <w:rFonts w:cs="Tahoma"/>
          <w:sz w:val="20"/>
        </w:rPr>
      </w:pPr>
      <w:r w:rsidRPr="0068236B">
        <w:rPr>
          <w:rFonts w:cs="Tahoma"/>
          <w:sz w:val="20"/>
        </w:rPr>
        <w:t>No mining activities or mineral extraction facilit</w:t>
      </w:r>
      <w:r w:rsidR="0010538A" w:rsidRPr="0068236B">
        <w:rPr>
          <w:rFonts w:cs="Tahoma"/>
          <w:sz w:val="20"/>
        </w:rPr>
        <w:t>ies exist within the study area or in its wider surrounding.</w:t>
      </w:r>
    </w:p>
    <w:p w14:paraId="184F4E7B" w14:textId="0EB9073A" w:rsidR="005216E0" w:rsidRPr="0068236B" w:rsidRDefault="005216E0" w:rsidP="00FA33C6">
      <w:pPr>
        <w:autoSpaceDE w:val="0"/>
        <w:autoSpaceDN w:val="0"/>
        <w:adjustRightInd w:val="0"/>
        <w:ind w:left="720" w:firstLine="720"/>
        <w:rPr>
          <w:rFonts w:cs="Tahoma"/>
          <w:sz w:val="20"/>
          <w:szCs w:val="20"/>
          <w:u w:val="single"/>
        </w:rPr>
      </w:pPr>
      <w:r w:rsidRPr="0068236B">
        <w:rPr>
          <w:rFonts w:cs="Tahoma"/>
          <w:sz w:val="20"/>
          <w:szCs w:val="20"/>
          <w:u w:val="single"/>
        </w:rPr>
        <w:t>Geological Hazards</w:t>
      </w:r>
    </w:p>
    <w:p w14:paraId="358276F6" w14:textId="77777777" w:rsidR="005216E0" w:rsidRPr="0068236B" w:rsidRDefault="005216E0" w:rsidP="005216E0">
      <w:pPr>
        <w:rPr>
          <w:rFonts w:cs="Tahoma"/>
          <w:sz w:val="20"/>
          <w:szCs w:val="20"/>
        </w:rPr>
      </w:pPr>
      <w:r w:rsidRPr="0068236B">
        <w:rPr>
          <w:rFonts w:cs="Tahoma"/>
          <w:sz w:val="20"/>
          <w:szCs w:val="20"/>
        </w:rPr>
        <w:t xml:space="preserve">Typically, shallow soils and soils on topography susceptible to erosion and landslides, such as soils in steep slopes are exposed to these risks. Absence of vegetation cover and woodlands also increase soil erosion risk </w:t>
      </w:r>
      <w:r w:rsidRPr="0068236B">
        <w:rPr>
          <w:rFonts w:cs="Tahoma"/>
          <w:sz w:val="20"/>
          <w:szCs w:val="20"/>
        </w:rPr>
        <w:lastRenderedPageBreak/>
        <w:t>and occurrence of landslides. Some types of forest vegetation are more susceptible to erosion than others such as sparse Oak forests, particularly on slopes with a southern and south-western exposition. In addition, various land use practices may also cause significant erosion problems.</w:t>
      </w:r>
    </w:p>
    <w:p w14:paraId="691A90A2" w14:textId="03F69F97" w:rsidR="005216E0" w:rsidRPr="0068236B" w:rsidRDefault="005216E0" w:rsidP="005216E0">
      <w:pPr>
        <w:rPr>
          <w:rFonts w:cs="Tahoma"/>
          <w:sz w:val="20"/>
          <w:szCs w:val="20"/>
        </w:rPr>
      </w:pPr>
      <w:r w:rsidRPr="0068236B">
        <w:rPr>
          <w:rFonts w:cs="Tahoma"/>
          <w:sz w:val="20"/>
          <w:szCs w:val="20"/>
        </w:rPr>
        <w:t>The terrain in the study area is of typical plain topography, flat without hilly or mountainous elements and without steep slopes. Therefore, in general context the study area is characterised with low potential erosion risk and low landslide susceptibility associated with the construction works of the Project.</w:t>
      </w:r>
    </w:p>
    <w:p w14:paraId="216B83CA" w14:textId="0CBF89A2" w:rsidR="00DB3C90" w:rsidRPr="0068236B" w:rsidRDefault="00DB3C90" w:rsidP="00DA2DA3">
      <w:pPr>
        <w:pStyle w:val="Heading3"/>
      </w:pPr>
      <w:bookmarkStart w:id="236" w:name="_Toc112852247"/>
      <w:r w:rsidRPr="0068236B">
        <w:t>Water Environment</w:t>
      </w:r>
      <w:bookmarkEnd w:id="235"/>
      <w:bookmarkEnd w:id="236"/>
    </w:p>
    <w:p w14:paraId="381ED58A" w14:textId="77777777" w:rsidR="00DD2B6E" w:rsidRPr="0068236B" w:rsidRDefault="00DD2B6E" w:rsidP="008E77D3">
      <w:pPr>
        <w:pStyle w:val="Heading4"/>
        <w:numPr>
          <w:ilvl w:val="4"/>
          <w:numId w:val="43"/>
        </w:numPr>
        <w:rPr>
          <w:sz w:val="20"/>
        </w:rPr>
      </w:pPr>
      <w:r w:rsidRPr="0068236B">
        <w:rPr>
          <w:sz w:val="20"/>
        </w:rPr>
        <w:t>Study Area</w:t>
      </w:r>
    </w:p>
    <w:p w14:paraId="11F2D797" w14:textId="77777777" w:rsidR="00DD2B6E" w:rsidRPr="0068236B" w:rsidRDefault="00DD2B6E" w:rsidP="00DD2B6E">
      <w:pPr>
        <w:autoSpaceDE w:val="0"/>
        <w:autoSpaceDN w:val="0"/>
        <w:adjustRightInd w:val="0"/>
        <w:rPr>
          <w:rFonts w:cs="Tahoma"/>
          <w:sz w:val="20"/>
          <w:szCs w:val="20"/>
        </w:rPr>
      </w:pPr>
      <w:r w:rsidRPr="0068236B">
        <w:rPr>
          <w:rFonts w:cs="Tahoma"/>
          <w:sz w:val="20"/>
          <w:szCs w:val="20"/>
          <w:lang w:eastAsia="en-US"/>
        </w:rPr>
        <w:t xml:space="preserve">For the purposes of the assessment, the spatial scope of the assessment includes </w:t>
      </w:r>
      <w:r w:rsidRPr="0068236B">
        <w:rPr>
          <w:rFonts w:eastAsia="Calibri" w:cs="Tahoma"/>
          <w:sz w:val="20"/>
          <w:szCs w:val="20"/>
          <w:lang w:eastAsia="en-US"/>
        </w:rPr>
        <w:t>features of the water env</w:t>
      </w:r>
      <w:r w:rsidRPr="0068236B">
        <w:rPr>
          <w:rFonts w:eastAsia="Calibri" w:cs="Tahoma"/>
          <w:sz w:val="20"/>
          <w:szCs w:val="20"/>
          <w:lang w:eastAsia="en-US"/>
        </w:rPr>
        <w:t>i</w:t>
      </w:r>
      <w:r w:rsidRPr="0068236B">
        <w:rPr>
          <w:rFonts w:eastAsia="Calibri" w:cs="Tahoma"/>
          <w:sz w:val="20"/>
          <w:szCs w:val="20"/>
          <w:lang w:eastAsia="en-US"/>
        </w:rPr>
        <w:t>ronment in vicinity to the SS location or that are crossed by the 500 metres wide OHL corridor (</w:t>
      </w:r>
      <w:r w:rsidRPr="0068236B">
        <w:rPr>
          <w:sz w:val="20"/>
        </w:rPr>
        <w:t>250 metres on both sides from the longitudinal axis of the transmission line)</w:t>
      </w:r>
      <w:r w:rsidRPr="0068236B">
        <w:rPr>
          <w:rFonts w:eastAsia="Calibri" w:cs="Tahoma"/>
          <w:sz w:val="20"/>
          <w:szCs w:val="20"/>
          <w:lang w:eastAsia="en-US"/>
        </w:rPr>
        <w:t xml:space="preserve">. These features are </w:t>
      </w:r>
      <w:r w:rsidRPr="0068236B">
        <w:rPr>
          <w:rFonts w:cs="Tahoma"/>
          <w:sz w:val="20"/>
          <w:szCs w:val="20"/>
        </w:rPr>
        <w:t xml:space="preserve">likely to be affected by the Project activities. </w:t>
      </w:r>
    </w:p>
    <w:p w14:paraId="028456BF" w14:textId="77777777" w:rsidR="00DD2B6E" w:rsidRPr="0068236B" w:rsidRDefault="00DD2B6E" w:rsidP="00DA2DA3">
      <w:pPr>
        <w:pStyle w:val="Heading4"/>
        <w:rPr>
          <w:sz w:val="20"/>
        </w:rPr>
      </w:pPr>
      <w:r w:rsidRPr="0068236B">
        <w:rPr>
          <w:sz w:val="20"/>
        </w:rPr>
        <w:t>Baseline Conditions</w:t>
      </w:r>
    </w:p>
    <w:p w14:paraId="2A00A16C" w14:textId="7BBFF01F" w:rsidR="00C34277" w:rsidRPr="0068236B" w:rsidRDefault="002E3B70" w:rsidP="002E3B70">
      <w:pPr>
        <w:pStyle w:val="NumberedParagraph"/>
        <w:rPr>
          <w:rFonts w:cs="Tahoma"/>
          <w:sz w:val="20"/>
        </w:rPr>
      </w:pPr>
      <w:r w:rsidRPr="0068236B">
        <w:rPr>
          <w:rFonts w:cs="Tahoma"/>
          <w:sz w:val="20"/>
        </w:rPr>
        <w:t>In wider context, from a hydrographical point of view, the Project region as a whole belongs to the catc</w:t>
      </w:r>
      <w:r w:rsidRPr="0068236B">
        <w:rPr>
          <w:rFonts w:cs="Tahoma"/>
          <w:sz w:val="20"/>
        </w:rPr>
        <w:t>h</w:t>
      </w:r>
      <w:r w:rsidRPr="0068236B">
        <w:rPr>
          <w:rFonts w:cs="Tahoma"/>
          <w:sz w:val="20"/>
        </w:rPr>
        <w:t>ment areas of the Vardar River and the river Strumica, both part of the Aegean Sea Basin (Figure below).</w:t>
      </w:r>
    </w:p>
    <w:p w14:paraId="76820BC8" w14:textId="7E598032" w:rsidR="005216E0" w:rsidRPr="0068236B" w:rsidRDefault="005216E0" w:rsidP="005216E0">
      <w:pPr>
        <w:autoSpaceDE w:val="0"/>
        <w:autoSpaceDN w:val="0"/>
        <w:adjustRightInd w:val="0"/>
        <w:spacing w:after="0"/>
        <w:rPr>
          <w:rFonts w:cs="Tahoma"/>
          <w:sz w:val="20"/>
        </w:rPr>
      </w:pPr>
      <w:r w:rsidRPr="0068236B">
        <w:rPr>
          <w:rFonts w:cs="Tahoma"/>
          <w:sz w:val="20"/>
        </w:rPr>
        <w:t xml:space="preserve">No natural water bodies are located in proximity to the location for the new 400/110 kV SS Miletkovo. The Vardar River is at relative distance of </w:t>
      </w:r>
      <w:r w:rsidR="005E6643" w:rsidRPr="0068236B">
        <w:rPr>
          <w:rFonts w:cs="Tahoma"/>
          <w:sz w:val="20"/>
        </w:rPr>
        <w:t>approx.</w:t>
      </w:r>
      <w:r w:rsidRPr="0068236B">
        <w:rPr>
          <w:rFonts w:cs="Tahoma"/>
          <w:sz w:val="20"/>
        </w:rPr>
        <w:t xml:space="preserve"> 1 km from the substation location and, therefore, no intera</w:t>
      </w:r>
      <w:r w:rsidRPr="0068236B">
        <w:rPr>
          <w:rFonts w:cs="Tahoma"/>
          <w:sz w:val="20"/>
        </w:rPr>
        <w:t>c</w:t>
      </w:r>
      <w:r w:rsidRPr="0068236B">
        <w:rPr>
          <w:rFonts w:cs="Tahoma"/>
          <w:sz w:val="20"/>
        </w:rPr>
        <w:t>tion with the Project is likely.</w:t>
      </w:r>
    </w:p>
    <w:p w14:paraId="760AE37A" w14:textId="77777777" w:rsidR="005216E0" w:rsidRPr="0068236B" w:rsidRDefault="005216E0" w:rsidP="005216E0">
      <w:pPr>
        <w:rPr>
          <w:rFonts w:cs="Tahoma"/>
          <w:sz w:val="20"/>
          <w:szCs w:val="20"/>
        </w:rPr>
      </w:pPr>
      <w:r w:rsidRPr="0068236B">
        <w:rPr>
          <w:rFonts w:cs="Tahoma"/>
          <w:sz w:val="20"/>
          <w:szCs w:val="20"/>
        </w:rPr>
        <w:t>The natural water bodies crossed by the respective 110 kV OHL corridor(s) are presented in the Table b</w:t>
      </w:r>
      <w:r w:rsidRPr="0068236B">
        <w:rPr>
          <w:rFonts w:cs="Tahoma"/>
          <w:sz w:val="20"/>
          <w:szCs w:val="20"/>
        </w:rPr>
        <w:t>e</w:t>
      </w:r>
      <w:r w:rsidRPr="0068236B">
        <w:rPr>
          <w:rFonts w:cs="Tahoma"/>
          <w:sz w:val="20"/>
          <w:szCs w:val="20"/>
        </w:rPr>
        <w:t>low.</w:t>
      </w:r>
    </w:p>
    <w:tbl>
      <w:tblPr>
        <w:tblW w:w="3963"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281"/>
        <w:gridCol w:w="3402"/>
      </w:tblGrid>
      <w:tr w:rsidR="005216E0" w:rsidRPr="0068236B" w14:paraId="2BC4F24C" w14:textId="77777777" w:rsidTr="00377B68">
        <w:trPr>
          <w:cantSplit/>
          <w:trHeight w:val="301"/>
          <w:tblHeader/>
        </w:trPr>
        <w:tc>
          <w:tcPr>
            <w:tcW w:w="5000" w:type="pct"/>
            <w:gridSpan w:val="2"/>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1AC5A7D9" w14:textId="77777777" w:rsidR="005216E0" w:rsidRPr="0068236B" w:rsidRDefault="005216E0" w:rsidP="00377B68">
            <w:pPr>
              <w:keepLines/>
              <w:snapToGrid w:val="0"/>
              <w:spacing w:before="0" w:after="0" w:line="240" w:lineRule="auto"/>
              <w:jc w:val="center"/>
              <w:rPr>
                <w:rFonts w:eastAsia="Calibri" w:cs="Tahoma"/>
                <w:bCs/>
                <w:sz w:val="20"/>
                <w:szCs w:val="20"/>
              </w:rPr>
            </w:pPr>
            <w:r w:rsidRPr="0068236B">
              <w:rPr>
                <w:rFonts w:eastAsia="Calibri" w:cs="Tahoma"/>
                <w:bCs/>
                <w:sz w:val="20"/>
                <w:szCs w:val="20"/>
              </w:rPr>
              <w:t>Natural features of water environment</w:t>
            </w:r>
          </w:p>
        </w:tc>
      </w:tr>
      <w:tr w:rsidR="005216E0" w:rsidRPr="0068236B" w14:paraId="59301308" w14:textId="77777777" w:rsidTr="00377B68">
        <w:trPr>
          <w:cantSplit/>
          <w:trHeight w:val="301"/>
        </w:trPr>
        <w:tc>
          <w:tcPr>
            <w:tcW w:w="5000" w:type="pct"/>
            <w:gridSpan w:val="2"/>
            <w:tcBorders>
              <w:top w:val="double" w:sz="4" w:space="0" w:color="auto"/>
              <w:left w:val="double" w:sz="4" w:space="0" w:color="auto"/>
              <w:bottom w:val="single" w:sz="4" w:space="0" w:color="auto"/>
              <w:right w:val="double" w:sz="4" w:space="0" w:color="auto"/>
            </w:tcBorders>
            <w:shd w:val="clear" w:color="auto" w:fill="FFC000"/>
            <w:vAlign w:val="center"/>
          </w:tcPr>
          <w:p w14:paraId="3D900582" w14:textId="77777777" w:rsidR="005216E0" w:rsidRPr="0068236B" w:rsidRDefault="005216E0" w:rsidP="00377B68">
            <w:pPr>
              <w:keepLines/>
              <w:snapToGrid w:val="0"/>
              <w:spacing w:before="0" w:after="0" w:line="240" w:lineRule="auto"/>
              <w:jc w:val="center"/>
              <w:rPr>
                <w:rFonts w:eastAsia="Calibri" w:cs="Tahoma"/>
                <w:bCs/>
                <w:sz w:val="20"/>
                <w:szCs w:val="20"/>
              </w:rPr>
            </w:pPr>
            <w:r w:rsidRPr="0068236B">
              <w:rPr>
                <w:rFonts w:eastAsia="Calibri" w:cs="Tahoma"/>
                <w:bCs/>
                <w:sz w:val="20"/>
                <w:szCs w:val="20"/>
              </w:rPr>
              <w:t>Existing 110 kV OHL from SS Valandovo to SS ‘EVP’ Miletkovo</w:t>
            </w:r>
          </w:p>
        </w:tc>
      </w:tr>
      <w:tr w:rsidR="005216E0" w:rsidRPr="0068236B" w14:paraId="1826AE6F" w14:textId="77777777" w:rsidTr="00377B68">
        <w:trPr>
          <w:cantSplit/>
        </w:trPr>
        <w:tc>
          <w:tcPr>
            <w:tcW w:w="2786" w:type="pct"/>
            <w:shd w:val="clear" w:color="auto" w:fill="D5DCE4" w:themeFill="text2" w:themeFillTint="33"/>
            <w:vAlign w:val="center"/>
          </w:tcPr>
          <w:p w14:paraId="24570CB3" w14:textId="77777777" w:rsidR="005216E0" w:rsidRPr="0068236B" w:rsidRDefault="005216E0" w:rsidP="00377B68">
            <w:pPr>
              <w:keepLines/>
              <w:spacing w:before="0" w:after="0" w:line="240" w:lineRule="auto"/>
              <w:rPr>
                <w:rFonts w:cs="Tahoma"/>
                <w:bCs/>
                <w:sz w:val="20"/>
                <w:szCs w:val="20"/>
              </w:rPr>
            </w:pPr>
            <w:r w:rsidRPr="0068236B">
              <w:rPr>
                <w:rFonts w:cs="Tahoma"/>
                <w:bCs/>
                <w:sz w:val="20"/>
                <w:szCs w:val="20"/>
              </w:rPr>
              <w:t>Watercourse</w:t>
            </w:r>
          </w:p>
        </w:tc>
        <w:tc>
          <w:tcPr>
            <w:tcW w:w="2214" w:type="pct"/>
            <w:shd w:val="clear" w:color="auto" w:fill="D5DCE4" w:themeFill="text2" w:themeFillTint="33"/>
            <w:vAlign w:val="center"/>
          </w:tcPr>
          <w:p w14:paraId="3A8EECFE" w14:textId="77777777" w:rsidR="005216E0" w:rsidRPr="0068236B" w:rsidRDefault="005216E0" w:rsidP="00377B68">
            <w:pPr>
              <w:keepLines/>
              <w:spacing w:before="0" w:after="0" w:line="240" w:lineRule="auto"/>
              <w:jc w:val="center"/>
              <w:rPr>
                <w:rFonts w:cs="Tahoma"/>
                <w:sz w:val="20"/>
                <w:szCs w:val="20"/>
              </w:rPr>
            </w:pPr>
            <w:r w:rsidRPr="0068236B">
              <w:rPr>
                <w:rFonts w:cs="Tahoma"/>
                <w:sz w:val="20"/>
                <w:szCs w:val="20"/>
              </w:rPr>
              <w:t>Character</w:t>
            </w:r>
          </w:p>
        </w:tc>
      </w:tr>
      <w:tr w:rsidR="005216E0" w:rsidRPr="0068236B" w14:paraId="34B2E8AD" w14:textId="77777777" w:rsidTr="00377B68">
        <w:trPr>
          <w:cantSplit/>
        </w:trPr>
        <w:tc>
          <w:tcPr>
            <w:tcW w:w="2786" w:type="pct"/>
            <w:shd w:val="clear" w:color="auto" w:fill="auto"/>
            <w:vAlign w:val="center"/>
          </w:tcPr>
          <w:p w14:paraId="1EFE89DB" w14:textId="77777777" w:rsidR="005216E0" w:rsidRPr="0068236B" w:rsidRDefault="005216E0" w:rsidP="00377B68">
            <w:pPr>
              <w:spacing w:before="0" w:after="0" w:line="240" w:lineRule="auto"/>
              <w:rPr>
                <w:rFonts w:cs="Tahoma"/>
                <w:color w:val="000000"/>
                <w:sz w:val="20"/>
                <w:szCs w:val="20"/>
              </w:rPr>
            </w:pPr>
            <w:r w:rsidRPr="0068236B">
              <w:rPr>
                <w:rFonts w:cs="Tahoma"/>
                <w:color w:val="000000"/>
                <w:sz w:val="20"/>
                <w:szCs w:val="20"/>
              </w:rPr>
              <w:t>Anska Reka, crossed at two crossing points</w:t>
            </w:r>
          </w:p>
        </w:tc>
        <w:tc>
          <w:tcPr>
            <w:tcW w:w="2214" w:type="pct"/>
            <w:vAlign w:val="center"/>
          </w:tcPr>
          <w:p w14:paraId="25FB4C82" w14:textId="0EECDD2D" w:rsidR="005216E0" w:rsidRPr="0068236B" w:rsidRDefault="005216E0" w:rsidP="00377B68">
            <w:pPr>
              <w:spacing w:before="0" w:after="0" w:line="240" w:lineRule="auto"/>
              <w:jc w:val="center"/>
              <w:rPr>
                <w:rFonts w:cs="Tahoma"/>
                <w:color w:val="000000"/>
                <w:sz w:val="20"/>
                <w:szCs w:val="20"/>
              </w:rPr>
            </w:pPr>
            <w:r w:rsidRPr="0068236B">
              <w:rPr>
                <w:rFonts w:cs="Tahoma"/>
                <w:color w:val="000000"/>
                <w:sz w:val="20"/>
                <w:szCs w:val="20"/>
              </w:rPr>
              <w:t xml:space="preserve">Continuous, canalised watercourse </w:t>
            </w:r>
          </w:p>
        </w:tc>
      </w:tr>
      <w:tr w:rsidR="005216E0" w:rsidRPr="0068236B" w14:paraId="35A12239" w14:textId="77777777" w:rsidTr="00377B68">
        <w:trPr>
          <w:cantSplit/>
        </w:trPr>
        <w:tc>
          <w:tcPr>
            <w:tcW w:w="2786" w:type="pct"/>
            <w:shd w:val="clear" w:color="auto" w:fill="auto"/>
            <w:vAlign w:val="center"/>
          </w:tcPr>
          <w:p w14:paraId="4E94F955" w14:textId="77777777" w:rsidR="005216E0" w:rsidRPr="0068236B" w:rsidRDefault="005216E0" w:rsidP="00377B68">
            <w:pPr>
              <w:spacing w:before="0" w:after="0" w:line="240" w:lineRule="auto"/>
              <w:rPr>
                <w:rFonts w:cs="Tahoma"/>
                <w:color w:val="000000"/>
                <w:sz w:val="20"/>
                <w:szCs w:val="20"/>
              </w:rPr>
            </w:pPr>
            <w:r w:rsidRPr="0068236B">
              <w:rPr>
                <w:rFonts w:cs="Tahoma"/>
                <w:color w:val="000000"/>
                <w:sz w:val="20"/>
                <w:szCs w:val="20"/>
              </w:rPr>
              <w:t>Vardar</w:t>
            </w:r>
          </w:p>
        </w:tc>
        <w:tc>
          <w:tcPr>
            <w:tcW w:w="2214" w:type="pct"/>
            <w:vAlign w:val="center"/>
          </w:tcPr>
          <w:p w14:paraId="442E0C78" w14:textId="77777777" w:rsidR="005216E0" w:rsidRPr="0068236B" w:rsidRDefault="005216E0" w:rsidP="00377B68">
            <w:pPr>
              <w:spacing w:before="0" w:after="0" w:line="240" w:lineRule="auto"/>
              <w:jc w:val="center"/>
              <w:rPr>
                <w:rFonts w:cs="Tahoma"/>
                <w:color w:val="000000"/>
                <w:sz w:val="20"/>
                <w:szCs w:val="20"/>
              </w:rPr>
            </w:pPr>
            <w:r w:rsidRPr="0068236B">
              <w:rPr>
                <w:rFonts w:cs="Tahoma"/>
                <w:color w:val="000000"/>
                <w:sz w:val="20"/>
                <w:szCs w:val="20"/>
              </w:rPr>
              <w:t>Continuous</w:t>
            </w:r>
          </w:p>
        </w:tc>
      </w:tr>
      <w:tr w:rsidR="005216E0" w:rsidRPr="0068236B" w14:paraId="0DDE583A" w14:textId="77777777" w:rsidTr="00377B68">
        <w:trPr>
          <w:cantSplit/>
          <w:trHeight w:val="301"/>
        </w:trPr>
        <w:tc>
          <w:tcPr>
            <w:tcW w:w="5000" w:type="pct"/>
            <w:gridSpan w:val="2"/>
            <w:shd w:val="clear" w:color="auto" w:fill="FFC000"/>
            <w:vAlign w:val="center"/>
          </w:tcPr>
          <w:p w14:paraId="01AABB41" w14:textId="77777777" w:rsidR="005216E0" w:rsidRPr="0068236B" w:rsidRDefault="005216E0" w:rsidP="00377B68">
            <w:pPr>
              <w:keepLines/>
              <w:snapToGrid w:val="0"/>
              <w:spacing w:before="0" w:after="0" w:line="240" w:lineRule="auto"/>
              <w:rPr>
                <w:rFonts w:eastAsia="Calibri" w:cs="Tahoma"/>
                <w:bCs/>
                <w:sz w:val="20"/>
                <w:szCs w:val="20"/>
              </w:rPr>
            </w:pPr>
            <w:r w:rsidRPr="0068236B">
              <w:rPr>
                <w:sz w:val="20"/>
                <w:szCs w:val="20"/>
              </w:rPr>
              <w:t>New 110 kV OHL connector with SS ‘EVP’ Miletkovo</w:t>
            </w:r>
          </w:p>
        </w:tc>
      </w:tr>
      <w:tr w:rsidR="005216E0" w:rsidRPr="0068236B" w14:paraId="46B1A70E" w14:textId="77777777" w:rsidTr="00377B68">
        <w:trPr>
          <w:cantSplit/>
        </w:trPr>
        <w:tc>
          <w:tcPr>
            <w:tcW w:w="2786" w:type="pct"/>
            <w:shd w:val="clear" w:color="auto" w:fill="D5DCE4" w:themeFill="text2" w:themeFillTint="33"/>
            <w:vAlign w:val="center"/>
          </w:tcPr>
          <w:p w14:paraId="25EB519C" w14:textId="77777777" w:rsidR="005216E0" w:rsidRPr="0068236B" w:rsidRDefault="005216E0" w:rsidP="00377B68">
            <w:pPr>
              <w:keepLines/>
              <w:spacing w:before="0" w:after="0" w:line="240" w:lineRule="auto"/>
              <w:rPr>
                <w:rFonts w:cs="Tahoma"/>
                <w:bCs/>
                <w:sz w:val="20"/>
                <w:szCs w:val="20"/>
              </w:rPr>
            </w:pPr>
            <w:r w:rsidRPr="0068236B">
              <w:rPr>
                <w:rFonts w:cs="Tahoma"/>
                <w:bCs/>
                <w:sz w:val="20"/>
                <w:szCs w:val="20"/>
              </w:rPr>
              <w:t>Watercourse</w:t>
            </w:r>
          </w:p>
        </w:tc>
        <w:tc>
          <w:tcPr>
            <w:tcW w:w="2214" w:type="pct"/>
            <w:shd w:val="clear" w:color="auto" w:fill="D5DCE4" w:themeFill="text2" w:themeFillTint="33"/>
            <w:vAlign w:val="center"/>
          </w:tcPr>
          <w:p w14:paraId="4FA6A26A" w14:textId="77777777" w:rsidR="005216E0" w:rsidRPr="0068236B" w:rsidRDefault="005216E0" w:rsidP="00377B68">
            <w:pPr>
              <w:keepLines/>
              <w:spacing w:before="0" w:after="0" w:line="240" w:lineRule="auto"/>
              <w:jc w:val="center"/>
              <w:rPr>
                <w:rFonts w:cs="Tahoma"/>
                <w:sz w:val="20"/>
                <w:szCs w:val="20"/>
              </w:rPr>
            </w:pPr>
            <w:r w:rsidRPr="0068236B">
              <w:rPr>
                <w:rFonts w:cs="Tahoma"/>
                <w:sz w:val="20"/>
                <w:szCs w:val="20"/>
              </w:rPr>
              <w:t>Character</w:t>
            </w:r>
          </w:p>
        </w:tc>
      </w:tr>
      <w:tr w:rsidR="005216E0" w:rsidRPr="0068236B" w14:paraId="6BEF908E" w14:textId="77777777" w:rsidTr="00377B68">
        <w:trPr>
          <w:cantSplit/>
        </w:trPr>
        <w:tc>
          <w:tcPr>
            <w:tcW w:w="2786" w:type="pct"/>
            <w:shd w:val="clear" w:color="auto" w:fill="auto"/>
            <w:vAlign w:val="center"/>
          </w:tcPr>
          <w:p w14:paraId="2862A92A" w14:textId="77777777" w:rsidR="005216E0" w:rsidRPr="0068236B" w:rsidRDefault="005216E0" w:rsidP="00377B68">
            <w:pPr>
              <w:spacing w:before="0" w:after="0" w:line="240" w:lineRule="auto"/>
              <w:rPr>
                <w:rFonts w:cs="Tahoma"/>
                <w:color w:val="000000"/>
                <w:sz w:val="20"/>
                <w:szCs w:val="20"/>
              </w:rPr>
            </w:pPr>
            <w:r w:rsidRPr="0068236B">
              <w:rPr>
                <w:rFonts w:cs="Tahoma"/>
                <w:color w:val="000000"/>
                <w:sz w:val="20"/>
                <w:szCs w:val="20"/>
              </w:rPr>
              <w:t xml:space="preserve">Dukavec </w:t>
            </w:r>
          </w:p>
        </w:tc>
        <w:tc>
          <w:tcPr>
            <w:tcW w:w="2214" w:type="pct"/>
            <w:vAlign w:val="center"/>
          </w:tcPr>
          <w:p w14:paraId="6C008B5E" w14:textId="77777777" w:rsidR="005216E0" w:rsidRPr="0068236B" w:rsidRDefault="005216E0" w:rsidP="00377B68">
            <w:pPr>
              <w:spacing w:before="0" w:after="0" w:line="240" w:lineRule="auto"/>
              <w:jc w:val="center"/>
              <w:rPr>
                <w:rFonts w:cs="Tahoma"/>
                <w:color w:val="000000"/>
                <w:sz w:val="20"/>
                <w:szCs w:val="20"/>
              </w:rPr>
            </w:pPr>
            <w:r w:rsidRPr="0068236B">
              <w:rPr>
                <w:rFonts w:cs="Tahoma"/>
                <w:color w:val="000000"/>
                <w:sz w:val="20"/>
                <w:szCs w:val="20"/>
              </w:rPr>
              <w:t>Continuous</w:t>
            </w:r>
          </w:p>
        </w:tc>
      </w:tr>
      <w:tr w:rsidR="005216E0" w:rsidRPr="0068236B" w14:paraId="0AECB325" w14:textId="77777777" w:rsidTr="00377B68">
        <w:trPr>
          <w:cantSplit/>
        </w:trPr>
        <w:tc>
          <w:tcPr>
            <w:tcW w:w="2786" w:type="pct"/>
            <w:shd w:val="clear" w:color="auto" w:fill="auto"/>
            <w:vAlign w:val="center"/>
          </w:tcPr>
          <w:p w14:paraId="608977B8" w14:textId="77777777" w:rsidR="005216E0" w:rsidRPr="0068236B" w:rsidRDefault="005216E0" w:rsidP="00377B68">
            <w:pPr>
              <w:spacing w:before="0" w:after="0" w:line="240" w:lineRule="auto"/>
              <w:rPr>
                <w:rFonts w:cs="Tahoma"/>
                <w:color w:val="000000"/>
                <w:sz w:val="20"/>
                <w:szCs w:val="20"/>
              </w:rPr>
            </w:pPr>
            <w:r w:rsidRPr="0068236B">
              <w:rPr>
                <w:rFonts w:cs="Tahoma"/>
                <w:color w:val="000000"/>
                <w:sz w:val="20"/>
                <w:szCs w:val="20"/>
              </w:rPr>
              <w:t>Three streams</w:t>
            </w:r>
          </w:p>
        </w:tc>
        <w:tc>
          <w:tcPr>
            <w:tcW w:w="2214" w:type="pct"/>
            <w:vAlign w:val="center"/>
          </w:tcPr>
          <w:p w14:paraId="14C2A97C" w14:textId="77777777" w:rsidR="005216E0" w:rsidRPr="0068236B" w:rsidRDefault="005216E0" w:rsidP="00377B68">
            <w:pPr>
              <w:spacing w:before="0" w:after="0" w:line="240" w:lineRule="auto"/>
              <w:jc w:val="center"/>
              <w:rPr>
                <w:rFonts w:cs="Tahoma"/>
                <w:color w:val="000000"/>
                <w:sz w:val="20"/>
                <w:szCs w:val="20"/>
              </w:rPr>
            </w:pPr>
            <w:r w:rsidRPr="0068236B">
              <w:rPr>
                <w:sz w:val="20"/>
                <w:szCs w:val="20"/>
              </w:rPr>
              <w:t>Intermittent</w:t>
            </w:r>
          </w:p>
        </w:tc>
      </w:tr>
    </w:tbl>
    <w:p w14:paraId="35A155A7" w14:textId="77777777" w:rsidR="005216E0" w:rsidRPr="0068236B" w:rsidRDefault="005216E0" w:rsidP="005216E0">
      <w:pPr>
        <w:pStyle w:val="Caption"/>
        <w:spacing w:before="120" w:after="240"/>
        <w:jc w:val="left"/>
        <w:rPr>
          <w:b w:val="0"/>
          <w:szCs w:val="20"/>
        </w:rPr>
      </w:pPr>
      <w:bookmarkStart w:id="237" w:name="_Toc113018175"/>
      <w:r w:rsidRPr="0068236B">
        <w:rPr>
          <w:b w:val="0"/>
          <w:szCs w:val="20"/>
        </w:rPr>
        <w:t xml:space="preserve">Table </w:t>
      </w:r>
      <w:r w:rsidRPr="0068236B">
        <w:rPr>
          <w:b w:val="0"/>
          <w:szCs w:val="20"/>
        </w:rPr>
        <w:fldChar w:fldCharType="begin"/>
      </w:r>
      <w:r w:rsidRPr="0068236B">
        <w:rPr>
          <w:b w:val="0"/>
          <w:szCs w:val="20"/>
        </w:rPr>
        <w:instrText xml:space="preserve"> STYLEREF 1 \s </w:instrText>
      </w:r>
      <w:r w:rsidRPr="0068236B">
        <w:rPr>
          <w:b w:val="0"/>
          <w:szCs w:val="20"/>
        </w:rPr>
        <w:fldChar w:fldCharType="separate"/>
      </w:r>
      <w:r w:rsidR="00E502D0" w:rsidRPr="0068236B">
        <w:rPr>
          <w:b w:val="0"/>
          <w:noProof/>
          <w:szCs w:val="20"/>
        </w:rPr>
        <w:t>7</w:t>
      </w:r>
      <w:r w:rsidRPr="0068236B">
        <w:rPr>
          <w:b w:val="0"/>
          <w:szCs w:val="20"/>
        </w:rPr>
        <w:fldChar w:fldCharType="end"/>
      </w:r>
      <w:r w:rsidRPr="0068236B">
        <w:rPr>
          <w:b w:val="0"/>
          <w:szCs w:val="20"/>
        </w:rPr>
        <w:t>.</w:t>
      </w:r>
      <w:r w:rsidRPr="0068236B">
        <w:rPr>
          <w:b w:val="0"/>
          <w:szCs w:val="20"/>
        </w:rPr>
        <w:fldChar w:fldCharType="begin"/>
      </w:r>
      <w:r w:rsidRPr="0068236B">
        <w:rPr>
          <w:b w:val="0"/>
          <w:szCs w:val="20"/>
        </w:rPr>
        <w:instrText xml:space="preserve"> SEQ Table \* ARABIC \s 1 </w:instrText>
      </w:r>
      <w:r w:rsidRPr="0068236B">
        <w:rPr>
          <w:b w:val="0"/>
          <w:szCs w:val="20"/>
        </w:rPr>
        <w:fldChar w:fldCharType="separate"/>
      </w:r>
      <w:r w:rsidR="00E502D0" w:rsidRPr="0068236B">
        <w:rPr>
          <w:b w:val="0"/>
          <w:noProof/>
          <w:szCs w:val="20"/>
        </w:rPr>
        <w:t>4</w:t>
      </w:r>
      <w:r w:rsidRPr="0068236B">
        <w:rPr>
          <w:b w:val="0"/>
          <w:szCs w:val="20"/>
        </w:rPr>
        <w:fldChar w:fldCharType="end"/>
      </w:r>
      <w:r w:rsidRPr="0068236B">
        <w:rPr>
          <w:b w:val="0"/>
          <w:szCs w:val="20"/>
        </w:rPr>
        <w:t xml:space="preserve">: </w:t>
      </w:r>
      <w:r w:rsidRPr="0068236B">
        <w:rPr>
          <w:b w:val="0"/>
          <w:bCs w:val="0"/>
          <w:szCs w:val="20"/>
        </w:rPr>
        <w:t xml:space="preserve">Features of water environment </w:t>
      </w:r>
      <w:r w:rsidRPr="0068236B">
        <w:rPr>
          <w:b w:val="0"/>
          <w:szCs w:val="20"/>
        </w:rPr>
        <w:t xml:space="preserve">within the study area of the proposed new 400/110 kV SS Miletkovo and 110 kV </w:t>
      </w:r>
      <w:r w:rsidRPr="0068236B">
        <w:rPr>
          <w:rFonts w:cs="Tahoma"/>
          <w:b w:val="0"/>
          <w:szCs w:val="20"/>
        </w:rPr>
        <w:t>connectors</w:t>
      </w:r>
      <w:bookmarkEnd w:id="237"/>
      <w:r w:rsidRPr="0068236B">
        <w:rPr>
          <w:b w:val="0"/>
          <w:szCs w:val="20"/>
        </w:rPr>
        <w:t xml:space="preserve"> </w:t>
      </w:r>
    </w:p>
    <w:p w14:paraId="2B444E71" w14:textId="0D6BD338" w:rsidR="005216E0" w:rsidRPr="0068236B" w:rsidRDefault="005216E0">
      <w:pPr>
        <w:spacing w:before="0" w:after="0" w:line="240" w:lineRule="auto"/>
        <w:jc w:val="left"/>
        <w:rPr>
          <w:sz w:val="20"/>
        </w:rPr>
      </w:pPr>
      <w:r w:rsidRPr="0068236B">
        <w:rPr>
          <w:sz w:val="20"/>
        </w:rPr>
        <w:br w:type="page"/>
      </w:r>
    </w:p>
    <w:bookmarkStart w:id="238" w:name="_Toc112928882"/>
    <w:p w14:paraId="753D8360" w14:textId="06DC2EF2" w:rsidR="002E3B70" w:rsidRDefault="005216E0" w:rsidP="007C7B9C">
      <w:pPr>
        <w:pStyle w:val="NumberedParagraph"/>
        <w:spacing w:after="240"/>
        <w:rPr>
          <w:rFonts w:cs="Tahoma"/>
          <w:bCs/>
          <w:sz w:val="18"/>
          <w:szCs w:val="20"/>
        </w:rPr>
      </w:pPr>
      <w:r w:rsidRPr="0068236B">
        <w:rPr>
          <w:noProof/>
          <w:lang w:val="mk-MK" w:eastAsia="mk-MK"/>
        </w:rPr>
        <w:lastRenderedPageBreak/>
        <mc:AlternateContent>
          <mc:Choice Requires="wpg">
            <w:drawing>
              <wp:anchor distT="0" distB="0" distL="114300" distR="114300" simplePos="0" relativeHeight="251693065" behindDoc="0" locked="0" layoutInCell="1" allowOverlap="1" wp14:anchorId="6B7C2751" wp14:editId="25A35AB9">
                <wp:simplePos x="0" y="0"/>
                <wp:positionH relativeFrom="column">
                  <wp:posOffset>50165</wp:posOffset>
                </wp:positionH>
                <wp:positionV relativeFrom="paragraph">
                  <wp:posOffset>158750</wp:posOffset>
                </wp:positionV>
                <wp:extent cx="6321425" cy="5759450"/>
                <wp:effectExtent l="19050" t="19050" r="3175" b="0"/>
                <wp:wrapTopAndBottom/>
                <wp:docPr id="907" name="Group 6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6321425" cy="5759450"/>
                          <a:chOff x="1631" y="2022"/>
                          <a:chExt cx="10112" cy="9213"/>
                        </a:xfrm>
                      </wpg:grpSpPr>
                      <pic:pic xmlns:pic="http://schemas.openxmlformats.org/drawingml/2006/picture">
                        <pic:nvPicPr>
                          <pic:cNvPr id="929" name="Picture 51"/>
                          <pic:cNvPicPr>
                            <a:picLocks noChangeAspect="1" noChangeArrowheads="1"/>
                          </pic:cNvPicPr>
                        </pic:nvPicPr>
                        <pic:blipFill>
                          <a:blip r:embed="rId100" cstate="email">
                            <a:extLst>
                              <a:ext uri="{28A0092B-C50C-407E-A947-70E740481C1C}">
                                <a14:useLocalDpi xmlns:a14="http://schemas.microsoft.com/office/drawing/2010/main" val="0"/>
                              </a:ext>
                            </a:extLst>
                          </a:blip>
                          <a:srcRect/>
                          <a:stretch>
                            <a:fillRect/>
                          </a:stretch>
                        </pic:blipFill>
                        <pic:spPr bwMode="auto">
                          <a:xfrm>
                            <a:off x="1631" y="2022"/>
                            <a:ext cx="6835" cy="5644"/>
                          </a:xfrm>
                          <a:prstGeom prst="rect">
                            <a:avLst/>
                          </a:prstGeom>
                          <a:noFill/>
                          <a:ln w="3175">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g:grpSp>
                        <wpg:cNvPr id="930" name="Group 52"/>
                        <wpg:cNvGrpSpPr>
                          <a:grpSpLocks noChangeAspect="1"/>
                        </wpg:cNvGrpSpPr>
                        <wpg:grpSpPr bwMode="auto">
                          <a:xfrm>
                            <a:off x="6634" y="6493"/>
                            <a:ext cx="5109" cy="4742"/>
                            <a:chOff x="6634" y="6493"/>
                            <a:chExt cx="5109" cy="4742"/>
                          </a:xfrm>
                        </wpg:grpSpPr>
                        <pic:pic xmlns:pic="http://schemas.openxmlformats.org/drawingml/2006/picture">
                          <pic:nvPicPr>
                            <pic:cNvPr id="931" name="Picture 53"/>
                            <pic:cNvPicPr>
                              <a:picLocks noChangeAspect="1" noChangeArrowheads="1"/>
                            </pic:cNvPicPr>
                          </pic:nvPicPr>
                          <pic:blipFill>
                            <a:blip r:embed="rId101" cstate="email">
                              <a:extLst>
                                <a:ext uri="{28A0092B-C50C-407E-A947-70E740481C1C}">
                                  <a14:useLocalDpi xmlns:a14="http://schemas.microsoft.com/office/drawing/2010/main" val="0"/>
                                </a:ext>
                              </a:extLst>
                            </a:blip>
                            <a:srcRect/>
                            <a:stretch>
                              <a:fillRect/>
                            </a:stretch>
                          </pic:blipFill>
                          <pic:spPr bwMode="auto">
                            <a:xfrm>
                              <a:off x="6634" y="6493"/>
                              <a:ext cx="5109" cy="4742"/>
                            </a:xfrm>
                            <a:prstGeom prst="rect">
                              <a:avLst/>
                            </a:prstGeom>
                            <a:noFill/>
                            <a:extLst>
                              <a:ext uri="{909E8E84-426E-40DD-AFC4-6F175D3DCCD1}">
                                <a14:hiddenFill xmlns:a14="http://schemas.microsoft.com/office/drawing/2010/main">
                                  <a:solidFill>
                                    <a:srgbClr val="FFFFFF"/>
                                  </a:solidFill>
                                </a14:hiddenFill>
                              </a:ext>
                            </a:extLst>
                          </pic:spPr>
                        </pic:pic>
                        <wps:wsp>
                          <wps:cNvPr id="932" name="Text Box 54"/>
                          <wps:cNvSpPr txBox="1">
                            <a:spLocks noChangeAspect="1" noChangeArrowheads="1"/>
                          </wps:cNvSpPr>
                          <wps:spPr bwMode="auto">
                            <a:xfrm>
                              <a:off x="7170" y="8160"/>
                              <a:ext cx="1395" cy="735"/>
                            </a:xfrm>
                            <a:prstGeom prst="rect">
                              <a:avLst/>
                            </a:prstGeom>
                            <a:noFill/>
                            <a:ln w="28575">
                              <a:solidFill>
                                <a:srgbClr val="F2F2F2"/>
                              </a:solidFill>
                              <a:miter lim="800000"/>
                              <a:headEnd/>
                              <a:tailEnd/>
                            </a:ln>
                            <a:effectLst>
                              <a:outerShdw dist="28398" dir="3806097" algn="ctr" rotWithShape="0">
                                <a:srgbClr val="203864">
                                  <a:alpha val="50000"/>
                                </a:srgbClr>
                              </a:outerShdw>
                            </a:effectLst>
                            <a:extLst>
                              <a:ext uri="{909E8E84-426E-40DD-AFC4-6F175D3DCCD1}">
                                <a14:hiddenFill xmlns:a14="http://schemas.microsoft.com/office/drawing/2010/main">
                                  <a:solidFill>
                                    <a:srgbClr val="A3C59B"/>
                                  </a:solidFill>
                                </a14:hiddenFill>
                              </a:ext>
                            </a:extLst>
                          </wps:spPr>
                          <wps:txbx>
                            <w:txbxContent>
                              <w:p w14:paraId="26A37976" w14:textId="77777777" w:rsidR="00AB2D8F" w:rsidRPr="00257986" w:rsidRDefault="00AB2D8F" w:rsidP="005216E0">
                                <w:pPr>
                                  <w:spacing w:before="0" w:after="0" w:line="240" w:lineRule="auto"/>
                                  <w:jc w:val="center"/>
                                  <w:rPr>
                                    <w:rFonts w:cs="Tahoma"/>
                                    <w:b/>
                                    <w:color w:val="1F4E79" w:themeColor="accent5" w:themeShade="80"/>
                                    <w:sz w:val="20"/>
                                    <w:szCs w:val="20"/>
                                  </w:rPr>
                                </w:pPr>
                                <w:r w:rsidRPr="00257986">
                                  <w:rPr>
                                    <w:rFonts w:cs="Tahoma"/>
                                    <w:b/>
                                    <w:color w:val="1F4E79" w:themeColor="accent5" w:themeShade="80"/>
                                    <w:sz w:val="20"/>
                                    <w:szCs w:val="20"/>
                                  </w:rPr>
                                  <w:t>Vardar River</w:t>
                                </w:r>
                              </w:p>
                              <w:p w14:paraId="687762BB" w14:textId="77777777" w:rsidR="00AB2D8F" w:rsidRPr="00257986" w:rsidRDefault="00AB2D8F" w:rsidP="005216E0">
                                <w:pPr>
                                  <w:spacing w:before="0" w:after="0" w:line="240" w:lineRule="auto"/>
                                  <w:jc w:val="center"/>
                                  <w:rPr>
                                    <w:rFonts w:cs="Tahoma"/>
                                    <w:b/>
                                    <w:color w:val="1F4E79" w:themeColor="accent5" w:themeShade="80"/>
                                    <w:sz w:val="20"/>
                                    <w:szCs w:val="20"/>
                                  </w:rPr>
                                </w:pPr>
                                <w:r w:rsidRPr="00257986">
                                  <w:rPr>
                                    <w:rFonts w:cs="Tahoma"/>
                                    <w:b/>
                                    <w:color w:val="1F4E79" w:themeColor="accent5" w:themeShade="80"/>
                                    <w:sz w:val="20"/>
                                    <w:szCs w:val="20"/>
                                  </w:rPr>
                                  <w:t>Watershed</w:t>
                                </w:r>
                              </w:p>
                            </w:txbxContent>
                          </wps:txbx>
                          <wps:bodyPr rot="0" vert="horz" wrap="square" lIns="18000" tIns="36000" rIns="18000" bIns="36000" anchor="ctr" anchorCtr="0" upright="1">
                            <a:noAutofit/>
                          </wps:bodyPr>
                        </wps:wsp>
                        <wps:wsp>
                          <wps:cNvPr id="951" name="Oval 55"/>
                          <wps:cNvSpPr>
                            <a:spLocks noChangeAspect="1" noChangeArrowheads="1"/>
                          </wps:cNvSpPr>
                          <wps:spPr bwMode="auto">
                            <a:xfrm rot="2218302">
                              <a:off x="8772" y="8578"/>
                              <a:ext cx="1200" cy="1056"/>
                            </a:xfrm>
                            <a:prstGeom prst="ellipse">
                              <a:avLst/>
                            </a:prstGeom>
                            <a:noFill/>
                            <a:ln w="28575">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952" name="Group 56"/>
                          <wpg:cNvGrpSpPr>
                            <a:grpSpLocks noChangeAspect="1"/>
                          </wpg:cNvGrpSpPr>
                          <wpg:grpSpPr bwMode="auto">
                            <a:xfrm>
                              <a:off x="9390" y="10785"/>
                              <a:ext cx="2220" cy="283"/>
                              <a:chOff x="9390" y="10785"/>
                              <a:chExt cx="2220" cy="283"/>
                            </a:xfrm>
                          </wpg:grpSpPr>
                          <wps:wsp>
                            <wps:cNvPr id="953" name="Oval 57"/>
                            <wps:cNvSpPr>
                              <a:spLocks noChangeAspect="1" noChangeArrowheads="1"/>
                            </wps:cNvSpPr>
                            <wps:spPr bwMode="auto">
                              <a:xfrm>
                                <a:off x="9390" y="10785"/>
                                <a:ext cx="378" cy="283"/>
                              </a:xfrm>
                              <a:prstGeom prst="ellipse">
                                <a:avLst/>
                              </a:prstGeom>
                              <a:noFill/>
                              <a:ln w="28575">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4" name="Text Box 58"/>
                            <wps:cNvSpPr txBox="1">
                              <a:spLocks noChangeAspect="1" noChangeArrowheads="1"/>
                            </wps:cNvSpPr>
                            <wps:spPr bwMode="auto">
                              <a:xfrm>
                                <a:off x="9825" y="10785"/>
                                <a:ext cx="1785" cy="28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1388FC" w14:textId="77777777" w:rsidR="00AB2D8F" w:rsidRPr="001A0EE9" w:rsidRDefault="00AB2D8F" w:rsidP="005216E0">
                                  <w:pPr>
                                    <w:spacing w:before="0" w:after="0" w:line="240" w:lineRule="auto"/>
                                    <w:rPr>
                                      <w:rFonts w:ascii="Segoe UI" w:hAnsi="Segoe UI" w:cs="Segoe UI"/>
                                      <w:sz w:val="18"/>
                                      <w:szCs w:val="18"/>
                                    </w:rPr>
                                  </w:pPr>
                                  <w:r>
                                    <w:rPr>
                                      <w:rFonts w:ascii="Segoe UI" w:hAnsi="Segoe UI" w:cs="Segoe UI"/>
                                      <w:sz w:val="18"/>
                                      <w:szCs w:val="18"/>
                                    </w:rPr>
                                    <w:t xml:space="preserve">- </w:t>
                                  </w:r>
                                  <w:r w:rsidRPr="001A0EE9">
                                    <w:rPr>
                                      <w:rFonts w:ascii="Segoe UI" w:hAnsi="Segoe UI" w:cs="Segoe UI"/>
                                      <w:sz w:val="18"/>
                                      <w:szCs w:val="18"/>
                                    </w:rPr>
                                    <w:t>Project region</w:t>
                                  </w:r>
                                </w:p>
                              </w:txbxContent>
                            </wps:txbx>
                            <wps:bodyPr rot="0" vert="horz" wrap="square" lIns="18000" tIns="0" rIns="18000" bIns="0" anchor="ctr" anchorCtr="0" upright="1">
                              <a:noAutofit/>
                            </wps:bodyPr>
                          </wps:wsp>
                        </wpg:grpSp>
                        <wps:wsp>
                          <wps:cNvPr id="955" name="Text Box 59"/>
                          <wps:cNvSpPr txBox="1">
                            <a:spLocks noChangeAspect="1" noChangeArrowheads="1"/>
                          </wps:cNvSpPr>
                          <wps:spPr bwMode="auto">
                            <a:xfrm>
                              <a:off x="9435" y="8205"/>
                              <a:ext cx="1425" cy="720"/>
                            </a:xfrm>
                            <a:prstGeom prst="rect">
                              <a:avLst/>
                            </a:prstGeom>
                            <a:noFill/>
                            <a:ln w="28575">
                              <a:solidFill>
                                <a:srgbClr val="F2F2F2"/>
                              </a:solidFill>
                              <a:miter lim="800000"/>
                              <a:headEnd/>
                              <a:tailEnd/>
                            </a:ln>
                            <a:effectLst>
                              <a:outerShdw dist="28398" dir="3806097" algn="ctr" rotWithShape="0">
                                <a:srgbClr val="203864">
                                  <a:alpha val="50000"/>
                                </a:srgbClr>
                              </a:outerShdw>
                            </a:effectLst>
                            <a:extLst>
                              <a:ext uri="{909E8E84-426E-40DD-AFC4-6F175D3DCCD1}">
                                <a14:hiddenFill xmlns:a14="http://schemas.microsoft.com/office/drawing/2010/main">
                                  <a:solidFill>
                                    <a:srgbClr val="A3C59B"/>
                                  </a:solidFill>
                                </a14:hiddenFill>
                              </a:ext>
                            </a:extLst>
                          </wps:spPr>
                          <wps:txbx>
                            <w:txbxContent>
                              <w:p w14:paraId="537AF859" w14:textId="77777777" w:rsidR="00AB2D8F" w:rsidRPr="00257986" w:rsidRDefault="00AB2D8F" w:rsidP="005216E0">
                                <w:pPr>
                                  <w:spacing w:before="0" w:after="0" w:line="240" w:lineRule="auto"/>
                                  <w:jc w:val="center"/>
                                  <w:rPr>
                                    <w:rFonts w:cs="Tahoma"/>
                                    <w:b/>
                                    <w:color w:val="1F4E79" w:themeColor="accent5" w:themeShade="80"/>
                                    <w:sz w:val="18"/>
                                    <w:szCs w:val="18"/>
                                  </w:rPr>
                                </w:pPr>
                                <w:r w:rsidRPr="00257986">
                                  <w:rPr>
                                    <w:rFonts w:cs="Tahoma"/>
                                    <w:b/>
                                    <w:color w:val="1F4E79" w:themeColor="accent5" w:themeShade="80"/>
                                    <w:sz w:val="18"/>
                                    <w:szCs w:val="18"/>
                                  </w:rPr>
                                  <w:t>river Strumica Watershed</w:t>
                                </w:r>
                              </w:p>
                            </w:txbxContent>
                          </wps:txbx>
                          <wps:bodyPr rot="0" vert="horz" wrap="square" lIns="0" tIns="36000" rIns="0" bIns="36000" anchor="ctr" anchorCtr="0" upright="1">
                            <a:noAutofit/>
                          </wps:bodyPr>
                        </wps:wsp>
                        <wps:wsp>
                          <wps:cNvPr id="956" name="Text Box 60"/>
                          <wps:cNvSpPr txBox="1">
                            <a:spLocks noChangeAspect="1" noChangeArrowheads="1"/>
                          </wps:cNvSpPr>
                          <wps:spPr bwMode="auto">
                            <a:xfrm>
                              <a:off x="8115" y="9210"/>
                              <a:ext cx="1245" cy="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964F24" w14:textId="77777777" w:rsidR="00AB2D8F" w:rsidRDefault="00AB2D8F" w:rsidP="005216E0">
                                <w:pPr>
                                  <w:spacing w:before="0" w:after="0" w:line="240" w:lineRule="auto"/>
                                  <w:rPr>
                                    <w:rFonts w:ascii="Arial" w:hAnsi="Arial" w:cs="Arial"/>
                                    <w:sz w:val="18"/>
                                    <w:szCs w:val="18"/>
                                  </w:rPr>
                                </w:pPr>
                                <w:r>
                                  <w:rPr>
                                    <w:rFonts w:ascii="Arial" w:hAnsi="Arial" w:cs="Arial"/>
                                    <w:sz w:val="18"/>
                                    <w:szCs w:val="18"/>
                                  </w:rPr>
                                  <w:t>Middle &amp;</w:t>
                                </w:r>
                              </w:p>
                              <w:p w14:paraId="3466E5A1" w14:textId="77777777" w:rsidR="00AB2D8F" w:rsidRPr="003E63EB" w:rsidRDefault="00AB2D8F" w:rsidP="005216E0">
                                <w:pPr>
                                  <w:spacing w:before="0" w:after="0" w:line="240" w:lineRule="auto"/>
                                  <w:rPr>
                                    <w:rFonts w:ascii="Arial" w:hAnsi="Arial" w:cs="Arial"/>
                                    <w:sz w:val="18"/>
                                    <w:szCs w:val="18"/>
                                  </w:rPr>
                                </w:pPr>
                                <w:r>
                                  <w:rPr>
                                    <w:rFonts w:ascii="Arial" w:hAnsi="Arial" w:cs="Arial"/>
                                    <w:sz w:val="18"/>
                                    <w:szCs w:val="18"/>
                                  </w:rPr>
                                  <w:t>Lower Vardar</w:t>
                                </w:r>
                              </w:p>
                            </w:txbxContent>
                          </wps:txbx>
                          <wps:bodyPr rot="0" vert="horz" wrap="square" lIns="36000" tIns="0" rIns="36000" bIns="0" anchor="ctr"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68" o:spid="_x0000_s1046" style="position:absolute;left:0;text-align:left;margin-left:3.95pt;margin-top:12.5pt;width:497.75pt;height:453.5pt;z-index:251693065" coordorigin="1631,2022" coordsize="10112,92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1" o:spid="_x0000_s1047" type="#_x0000_t75" style="position:absolute;left:1631;top:2022;width:6835;height:56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nV7rEAAAA3AAAAA8AAABkcnMvZG93bnJldi54bWxEj0+LwjAUxO/CfofwFrxpujmorUbZFQXF&#10;k38Ou7dH82zLNi+liVq/vREEj8PM/IaZLTpbiyu1vnKs4WuYgCDOnam40HA6rgcTED4gG6wdk4Y7&#10;eVjMP3ozzIy78Z6uh1CICGGfoYYyhCaT0uclWfRD1xBH7+xaiyHKtpCmxVuE21qqJBlJixXHhRIb&#10;WpaU/x8uVgOOf/6Wo3onf7tLqtZ7VM12pbTuf3bfUxCBuvAOv9oboyFVKTzPxCMg5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ynV7rEAAAA3AAAAA8AAAAAAAAAAAAAAAAA&#10;nwIAAGRycy9kb3ducmV2LnhtbFBLBQYAAAAABAAEAPcAAACQAwAAAAA=&#10;" stroked="t" strokeweight=".25pt">
                  <v:imagedata r:id="rId102" o:title=""/>
                </v:shape>
                <v:group id="Group 52" o:spid="_x0000_s1048" style="position:absolute;left:6634;top:6493;width:5109;height:4742" coordorigin="6634,6493" coordsize="5109,47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YJ0sIAAADcAAAADwAAAGRycy9kb3ducmV2LnhtbERPTYvCMBC9C/sfwizs&#10;TdOuKG7XKCKueBDBuiDehmZsi82kNLGt/94cBI+P9z1f9qYSLTWutKwgHkUgiDOrS84V/J/+hjMQ&#10;ziNrrCyTggc5WC4+BnNMtO34SG3qcxFC2CWooPC+TqR0WUEG3cjWxIG72sagD7DJpW6wC+Gmkt9R&#10;NJUGSw4NBda0Lii7pXejYNthtxrHm3Z/u64fl9PkcN7HpNTXZ7/6BeGp92/xy73TCn7G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O2CdLCAAAA3AAAAA8A&#10;AAAAAAAAAAAAAAAAqgIAAGRycy9kb3ducmV2LnhtbFBLBQYAAAAABAAEAPoAAACZAwAAAAA=&#10;">
                  <o:lock v:ext="edit" aspectratio="t"/>
                  <v:shape id="Picture 53" o:spid="_x0000_s1049" type="#_x0000_t75" style="position:absolute;left:6634;top:6493;width:5109;height:47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HaKDFAAAA3AAAAA8AAABkcnMvZG93bnJldi54bWxEj1trAjEUhN8L/Q/hFPpWs6vgZTVKFQu+&#10;CN7x8XRzulm6OVk2Udd/3xQEH4eZ+YaZzFpbiSs1vnSsIO0kIIhzp0suFBz2Xx9DED4ga6wck4I7&#10;eZhNX18mmGl34y1dd6EQEcI+QwUmhDqT0ueGLPqOq4mj9+MaiyHKppC6wVuE20p2k6QvLZYcFwzW&#10;tDCU/+4uVoG83JfHQXoujZ2fNt9hu1qn87NS72/t5xhEoDY8w4/2SisY9VL4PxOPgJz+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qx2igxQAAANwAAAAPAAAAAAAAAAAAAAAA&#10;AJ8CAABkcnMvZG93bnJldi54bWxQSwUGAAAAAAQABAD3AAAAkQMAAAAA&#10;">
                    <v:imagedata r:id="rId103" o:title=""/>
                  </v:shape>
                  <v:shape id="Text Box 54" o:spid="_x0000_s1050" type="#_x0000_t202" style="position:absolute;left:7170;top:8160;width:1395;height:7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dvM8QA&#10;AADcAAAADwAAAGRycy9kb3ducmV2LnhtbESPT2sCMRTE7wW/Q3iCt5pVW/+sRilFaW9S9eDxsXlu&#10;FjcvaxLX7bdvCoUeh5n5DbPadLYWLflQOVYwGmYgiAunKy4VnI675zmIEJE11o5JwTcF2Kx7TyvM&#10;tXvwF7WHWIoE4ZCjAhNjk0sZCkMWw9A1xMm7OG8xJulLqT0+EtzWcpxlU2mx4rRgsKF3Q8X1cLcK&#10;5uX+Y2Je2xc++5k9TRe3fbFFpQb97m0JIlIX/8N/7U+tYDEZw++Zd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nbzPEAAAA3AAAAA8AAAAAAAAAAAAAAAAAmAIAAGRycy9k&#10;b3ducmV2LnhtbFBLBQYAAAAABAAEAPUAAACJAwAAAAA=&#10;" filled="f" fillcolor="#a3c59b" strokecolor="#f2f2f2" strokeweight="2.25pt">
                    <v:shadow on="t" color="#203864" opacity=".5" offset="1pt"/>
                    <o:lock v:ext="edit" aspectratio="t"/>
                    <v:textbox inset=".5mm,1mm,.5mm,1mm">
                      <w:txbxContent>
                        <w:p w14:paraId="26A37976" w14:textId="77777777" w:rsidR="00AB2D8F" w:rsidRPr="00257986" w:rsidRDefault="00AB2D8F" w:rsidP="005216E0">
                          <w:pPr>
                            <w:spacing w:before="0" w:after="0" w:line="240" w:lineRule="auto"/>
                            <w:jc w:val="center"/>
                            <w:rPr>
                              <w:rFonts w:cs="Tahoma"/>
                              <w:b/>
                              <w:color w:val="1F4E79" w:themeColor="accent5" w:themeShade="80"/>
                              <w:sz w:val="20"/>
                              <w:szCs w:val="20"/>
                            </w:rPr>
                          </w:pPr>
                          <w:r w:rsidRPr="00257986">
                            <w:rPr>
                              <w:rFonts w:cs="Tahoma"/>
                              <w:b/>
                              <w:color w:val="1F4E79" w:themeColor="accent5" w:themeShade="80"/>
                              <w:sz w:val="20"/>
                              <w:szCs w:val="20"/>
                            </w:rPr>
                            <w:t>Vardar River</w:t>
                          </w:r>
                        </w:p>
                        <w:p w14:paraId="687762BB" w14:textId="77777777" w:rsidR="00AB2D8F" w:rsidRPr="00257986" w:rsidRDefault="00AB2D8F" w:rsidP="005216E0">
                          <w:pPr>
                            <w:spacing w:before="0" w:after="0" w:line="240" w:lineRule="auto"/>
                            <w:jc w:val="center"/>
                            <w:rPr>
                              <w:rFonts w:cs="Tahoma"/>
                              <w:b/>
                              <w:color w:val="1F4E79" w:themeColor="accent5" w:themeShade="80"/>
                              <w:sz w:val="20"/>
                              <w:szCs w:val="20"/>
                            </w:rPr>
                          </w:pPr>
                          <w:r w:rsidRPr="00257986">
                            <w:rPr>
                              <w:rFonts w:cs="Tahoma"/>
                              <w:b/>
                              <w:color w:val="1F4E79" w:themeColor="accent5" w:themeShade="80"/>
                              <w:sz w:val="20"/>
                              <w:szCs w:val="20"/>
                            </w:rPr>
                            <w:t>Watershed</w:t>
                          </w:r>
                        </w:p>
                      </w:txbxContent>
                    </v:textbox>
                  </v:shape>
                  <v:oval id="Oval 55" o:spid="_x0000_s1051" style="position:absolute;left:8772;top:8578;width:1200;height:1056;rotation:242297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m6W8MA&#10;AADcAAAADwAAAGRycy9kb3ducmV2LnhtbESPUYvCMBCE3w/8D2EFX0RTFfWuNhURlHtR0N4PWJq9&#10;tthsShO1+usvgnCPw+x8s5OsO1OLG7WusqxgMo5AEOdWV1wo+Ml2o08QziNrrC2Tggc5WKe9jwRj&#10;be98otvZFyJA2MWooPS+iaV0eUkG3dg2xMH7ta1BH2RbSN3iPcBNLadRtJAGKw4NJTa0LSm/nK8m&#10;vHEYHpfOyWyb7YdPOaOaI7tTatDvNisQnjr/f/xOf2sFX/MJvMYEAsj0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nm6W8MAAADcAAAADwAAAAAAAAAAAAAAAACYAgAAZHJzL2Rv&#10;d25yZXYueG1sUEsFBgAAAAAEAAQA9QAAAIgDAAAAAA==&#10;" filled="f" strokecolor="#c00000" strokeweight="2.25pt">
                    <o:lock v:ext="edit" aspectratio="t"/>
                  </v:oval>
                  <v:group id="Group 56" o:spid="_x0000_s1052" style="position:absolute;left:9390;top:10785;width:2220;height:283" coordorigin="9390,10785" coordsize="2220,2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ffXnsUAAADcAAAADwAAAGRycy9kb3ducmV2LnhtbESPQYvCMBSE78L+h/CE&#10;vWlaF8WtRhFZlz2IoC6It0fzbIvNS2liW/+9EQSPw8x8w8yXnSlFQ7UrLCuIhxEI4tTqgjMF/8fN&#10;YArCeWSNpWVScCcHy8VHb46Jti3vqTn4TAQIuwQV5N5XiZQuzcmgG9qKOHgXWxv0QdaZ1DW2AW5K&#10;OYqiiTRYcFjIsaJ1Tun1cDMKfltsV1/xT7O9Xtb383G8O21jUuqz361mIDx1/h1+tf+0gu/x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H3157FAAAA3AAA&#10;AA8AAAAAAAAAAAAAAAAAqgIAAGRycy9kb3ducmV2LnhtbFBLBQYAAAAABAAEAPoAAACcAwAAAAA=&#10;">
                    <o:lock v:ext="edit" aspectratio="t"/>
                    <v:oval id="Oval 57" o:spid="_x0000_s1053" style="position:absolute;left:9390;top:10785;width:378;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89csMA&#10;AADcAAAADwAAAGRycy9kb3ducmV2LnhtbESP0YrCMBRE3wX/IVxhX2RNd0XRapTFZalvatcPuDTX&#10;ttjc1CbW+vdGEHwcZuYMs1x3phItNa60rOBrFIEgzqwuOVdw/P/7nIFwHlljZZkU3MnBetXvLTHW&#10;9sYHalOfiwBhF6OCwvs6ltJlBRl0I1sTB+9kG4M+yCaXusFbgJtKfkfRVBosOSwUWNOmoOycXo2C&#10;/aUd6sQlv6dLvZvt0XZRmhyU+hh0PwsQnjr/Dr/aW61gPhnD80w4AnL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89csMAAADcAAAADwAAAAAAAAAAAAAAAACYAgAAZHJzL2Rv&#10;d25yZXYueG1sUEsFBgAAAAAEAAQA9QAAAIgDAAAAAA==&#10;" filled="f" strokecolor="#c00000" strokeweight="2.25pt">
                      <o:lock v:ext="edit" aspectratio="t"/>
                    </v:oval>
                    <v:shape id="Text Box 58" o:spid="_x0000_s1054" type="#_x0000_t202" style="position:absolute;left:9825;top:10785;width:1785;height:2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b4BsUA&#10;AADcAAAADwAAAGRycy9kb3ducmV2LnhtbESPQWvCQBSE74X+h+UVeqsb21pMdJVqURRP1aDXR/aZ&#10;DWbfhuyq8d+7QqHHYWa+YcbTztbiQq2vHCvo9xIQxIXTFZcK8t3ibQjCB2SNtWNScCMP08nz0xgz&#10;7a78S5dtKEWEsM9QgQmhyaT0hSGLvuca4ugdXWsxRNmWUrd4jXBby/ck+ZIWK44LBhuaGypO27NV&#10;sAzp7Gd4m58258oe9h+LdW5mA6VeX7rvEYhAXfgP/7VXWkE6+ITHmXgE5O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ZvgGxQAAANwAAAAPAAAAAAAAAAAAAAAAAJgCAABkcnMv&#10;ZG93bnJldi54bWxQSwUGAAAAAAQABAD1AAAAigMAAAAA&#10;" stroked="f">
                      <o:lock v:ext="edit" aspectratio="t"/>
                      <v:textbox inset=".5mm,0,.5mm,0">
                        <w:txbxContent>
                          <w:p w14:paraId="471388FC" w14:textId="77777777" w:rsidR="00AB2D8F" w:rsidRPr="001A0EE9" w:rsidRDefault="00AB2D8F" w:rsidP="005216E0">
                            <w:pPr>
                              <w:spacing w:before="0" w:after="0" w:line="240" w:lineRule="auto"/>
                              <w:rPr>
                                <w:rFonts w:ascii="Segoe UI" w:hAnsi="Segoe UI" w:cs="Segoe UI"/>
                                <w:sz w:val="18"/>
                                <w:szCs w:val="18"/>
                              </w:rPr>
                            </w:pPr>
                            <w:r>
                              <w:rPr>
                                <w:rFonts w:ascii="Segoe UI" w:hAnsi="Segoe UI" w:cs="Segoe UI"/>
                                <w:sz w:val="18"/>
                                <w:szCs w:val="18"/>
                              </w:rPr>
                              <w:t xml:space="preserve">- </w:t>
                            </w:r>
                            <w:r w:rsidRPr="001A0EE9">
                              <w:rPr>
                                <w:rFonts w:ascii="Segoe UI" w:hAnsi="Segoe UI" w:cs="Segoe UI"/>
                                <w:sz w:val="18"/>
                                <w:szCs w:val="18"/>
                              </w:rPr>
                              <w:t>Project region</w:t>
                            </w:r>
                          </w:p>
                        </w:txbxContent>
                      </v:textbox>
                    </v:shape>
                  </v:group>
                  <v:shape id="Text Box 59" o:spid="_x0000_s1055" type="#_x0000_t202" style="position:absolute;left:9435;top:8205;width:1425;height: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vl8QA&#10;AADcAAAADwAAAGRycy9kb3ducmV2LnhtbESP3WoCMRSE7wXfIRyhN6LZCv6tRrFSwauCPw9w2Bx3&#10;F5OTdRPj9u2bQqGXw8x8w6y3nTUiUutrxwrexxkI4sLpmksF18thtADhA7JG45gUfJOH7abfW2Ou&#10;3YtPFM+hFAnCPkcFVQhNLqUvKrLox64hTt7NtRZDkm0pdYuvBLdGTrJsJi3WnBYqbGhfUXE/P60C&#10;Z8zn7Gv+sYy7x1Af60s8hElU6m3Q7VYgAnXhP/zXPmoFy+kUfs+kI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jL5fEAAAA3AAAAA8AAAAAAAAAAAAAAAAAmAIAAGRycy9k&#10;b3ducmV2LnhtbFBLBQYAAAAABAAEAPUAAACJAwAAAAA=&#10;" filled="f" fillcolor="#a3c59b" strokecolor="#f2f2f2" strokeweight="2.25pt">
                    <v:shadow on="t" color="#203864" opacity=".5" offset="1pt"/>
                    <o:lock v:ext="edit" aspectratio="t"/>
                    <v:textbox inset="0,1mm,0,1mm">
                      <w:txbxContent>
                        <w:p w14:paraId="537AF859" w14:textId="77777777" w:rsidR="00AB2D8F" w:rsidRPr="00257986" w:rsidRDefault="00AB2D8F" w:rsidP="005216E0">
                          <w:pPr>
                            <w:spacing w:before="0" w:after="0" w:line="240" w:lineRule="auto"/>
                            <w:jc w:val="center"/>
                            <w:rPr>
                              <w:rFonts w:cs="Tahoma"/>
                              <w:b/>
                              <w:color w:val="1F4E79" w:themeColor="accent5" w:themeShade="80"/>
                              <w:sz w:val="18"/>
                              <w:szCs w:val="18"/>
                            </w:rPr>
                          </w:pPr>
                          <w:r w:rsidRPr="00257986">
                            <w:rPr>
                              <w:rFonts w:cs="Tahoma"/>
                              <w:b/>
                              <w:color w:val="1F4E79" w:themeColor="accent5" w:themeShade="80"/>
                              <w:sz w:val="18"/>
                              <w:szCs w:val="18"/>
                            </w:rPr>
                            <w:t>river Strumica Watershed</w:t>
                          </w:r>
                        </w:p>
                      </w:txbxContent>
                    </v:textbox>
                  </v:shape>
                  <v:shape id="Text Box 60" o:spid="_x0000_s1056" type="#_x0000_t202" style="position:absolute;left:8115;top:9210;width:1245;height: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bHb8UA&#10;AADcAAAADwAAAGRycy9kb3ducmV2LnhtbESPzW7CMBCE70i8g7VI3MABqWmbYlBFVbUXDtC/6yre&#10;xoF4HdkmCW+PkSr1OJqZbzSrzWAb0ZEPtWMFi3kGgrh0uuZKwefH6+wBRIjIGhvHpOBCATbr8WiF&#10;hXY976k7xEokCIcCFZgY20LKUBqyGOauJU7er/MWY5K+ktpjn+C2kcssy6XFmtOCwZa2hsrT4WwV&#10;dG9fnJtv+VMveru790f7sr0slZpOhucnEJGG+B/+a79rBY93OdzOpCMg1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RsdvxQAAANwAAAAPAAAAAAAAAAAAAAAAAJgCAABkcnMv&#10;ZG93bnJldi54bWxQSwUGAAAAAAQABAD1AAAAigMAAAAA&#10;" filled="f" stroked="f">
                    <o:lock v:ext="edit" aspectratio="t"/>
                    <v:textbox inset="1mm,0,1mm,0">
                      <w:txbxContent>
                        <w:p w14:paraId="2F964F24" w14:textId="77777777" w:rsidR="00AB2D8F" w:rsidRDefault="00AB2D8F" w:rsidP="005216E0">
                          <w:pPr>
                            <w:spacing w:before="0" w:after="0" w:line="240" w:lineRule="auto"/>
                            <w:rPr>
                              <w:rFonts w:ascii="Arial" w:hAnsi="Arial" w:cs="Arial"/>
                              <w:sz w:val="18"/>
                              <w:szCs w:val="18"/>
                            </w:rPr>
                          </w:pPr>
                          <w:r>
                            <w:rPr>
                              <w:rFonts w:ascii="Arial" w:hAnsi="Arial" w:cs="Arial"/>
                              <w:sz w:val="18"/>
                              <w:szCs w:val="18"/>
                            </w:rPr>
                            <w:t>Middle &amp;</w:t>
                          </w:r>
                        </w:p>
                        <w:p w14:paraId="3466E5A1" w14:textId="77777777" w:rsidR="00AB2D8F" w:rsidRPr="003E63EB" w:rsidRDefault="00AB2D8F" w:rsidP="005216E0">
                          <w:pPr>
                            <w:spacing w:before="0" w:after="0" w:line="240" w:lineRule="auto"/>
                            <w:rPr>
                              <w:rFonts w:ascii="Arial" w:hAnsi="Arial" w:cs="Arial"/>
                              <w:sz w:val="18"/>
                              <w:szCs w:val="18"/>
                            </w:rPr>
                          </w:pPr>
                          <w:r>
                            <w:rPr>
                              <w:rFonts w:ascii="Arial" w:hAnsi="Arial" w:cs="Arial"/>
                              <w:sz w:val="18"/>
                              <w:szCs w:val="18"/>
                            </w:rPr>
                            <w:t>Lower Vardar</w:t>
                          </w:r>
                        </w:p>
                      </w:txbxContent>
                    </v:textbox>
                  </v:shape>
                </v:group>
                <w10:wrap type="topAndBottom"/>
              </v:group>
            </w:pict>
          </mc:Fallback>
        </mc:AlternateContent>
      </w:r>
      <w:bookmarkStart w:id="239" w:name="_Toc78448369"/>
      <w:bookmarkStart w:id="240" w:name="_Toc84249238"/>
      <w:r w:rsidR="002E3B70" w:rsidRPr="0068236B">
        <w:rPr>
          <w:rFonts w:cs="Tahoma"/>
          <w:sz w:val="18"/>
          <w:szCs w:val="20"/>
        </w:rPr>
        <w:t xml:space="preserve">Figure </w:t>
      </w:r>
      <w:r w:rsidR="00377E43" w:rsidRPr="0068236B">
        <w:rPr>
          <w:rFonts w:cs="Tahoma"/>
          <w:sz w:val="18"/>
          <w:szCs w:val="20"/>
        </w:rPr>
        <w:fldChar w:fldCharType="begin"/>
      </w:r>
      <w:r w:rsidR="002E3B70" w:rsidRPr="0068236B">
        <w:rPr>
          <w:rFonts w:cs="Tahoma"/>
          <w:sz w:val="18"/>
          <w:szCs w:val="20"/>
        </w:rPr>
        <w:instrText xml:space="preserve"> STYLEREF 1 \s </w:instrText>
      </w:r>
      <w:r w:rsidR="00377E43" w:rsidRPr="0068236B">
        <w:rPr>
          <w:rFonts w:cs="Tahoma"/>
          <w:sz w:val="18"/>
          <w:szCs w:val="20"/>
        </w:rPr>
        <w:fldChar w:fldCharType="separate"/>
      </w:r>
      <w:r w:rsidR="00E502D0" w:rsidRPr="0068236B">
        <w:rPr>
          <w:rFonts w:cs="Tahoma"/>
          <w:noProof/>
          <w:sz w:val="18"/>
          <w:szCs w:val="20"/>
        </w:rPr>
        <w:t>7</w:t>
      </w:r>
      <w:r w:rsidR="00377E43" w:rsidRPr="0068236B">
        <w:rPr>
          <w:rFonts w:cs="Tahoma"/>
          <w:sz w:val="18"/>
          <w:szCs w:val="20"/>
        </w:rPr>
        <w:fldChar w:fldCharType="end"/>
      </w:r>
      <w:r w:rsidR="002E3B70" w:rsidRPr="0068236B">
        <w:rPr>
          <w:rFonts w:cs="Tahoma"/>
          <w:sz w:val="18"/>
          <w:szCs w:val="20"/>
        </w:rPr>
        <w:t>.</w:t>
      </w:r>
      <w:r w:rsidR="00377E43" w:rsidRPr="0068236B">
        <w:rPr>
          <w:rFonts w:cs="Tahoma"/>
          <w:sz w:val="18"/>
          <w:szCs w:val="20"/>
        </w:rPr>
        <w:fldChar w:fldCharType="begin"/>
      </w:r>
      <w:r w:rsidR="002E3B70" w:rsidRPr="0068236B">
        <w:rPr>
          <w:rFonts w:cs="Tahoma"/>
          <w:sz w:val="18"/>
          <w:szCs w:val="20"/>
        </w:rPr>
        <w:instrText xml:space="preserve"> SEQ Figure \* ARABIC \s 1 </w:instrText>
      </w:r>
      <w:r w:rsidR="00377E43" w:rsidRPr="0068236B">
        <w:rPr>
          <w:rFonts w:cs="Tahoma"/>
          <w:sz w:val="18"/>
          <w:szCs w:val="20"/>
        </w:rPr>
        <w:fldChar w:fldCharType="separate"/>
      </w:r>
      <w:r w:rsidR="00E502D0" w:rsidRPr="0068236B">
        <w:rPr>
          <w:rFonts w:cs="Tahoma"/>
          <w:noProof/>
          <w:sz w:val="18"/>
          <w:szCs w:val="20"/>
        </w:rPr>
        <w:t>11</w:t>
      </w:r>
      <w:r w:rsidR="00377E43" w:rsidRPr="0068236B">
        <w:rPr>
          <w:rFonts w:cs="Tahoma"/>
          <w:sz w:val="18"/>
          <w:szCs w:val="20"/>
        </w:rPr>
        <w:fldChar w:fldCharType="end"/>
      </w:r>
      <w:r w:rsidR="002E3B70" w:rsidRPr="0068236B">
        <w:rPr>
          <w:rFonts w:cs="Tahoma"/>
          <w:sz w:val="18"/>
          <w:szCs w:val="20"/>
        </w:rPr>
        <w:t xml:space="preserve">: </w:t>
      </w:r>
      <w:r w:rsidR="002E3B70" w:rsidRPr="0068236B">
        <w:rPr>
          <w:rFonts w:cs="Tahoma"/>
          <w:bCs/>
          <w:sz w:val="18"/>
          <w:szCs w:val="20"/>
        </w:rPr>
        <w:t>Hydrological catchment area in the Project region</w:t>
      </w:r>
      <w:bookmarkEnd w:id="238"/>
      <w:bookmarkEnd w:id="239"/>
      <w:bookmarkEnd w:id="240"/>
    </w:p>
    <w:p w14:paraId="0AE592F8" w14:textId="4E6C5F97" w:rsidR="007C7B9C" w:rsidRDefault="007C7B9C" w:rsidP="007C7B9C">
      <w:pPr>
        <w:pStyle w:val="NumberedParagraph"/>
        <w:rPr>
          <w:rFonts w:cs="Tahoma"/>
          <w:bCs/>
          <w:sz w:val="20"/>
          <w:szCs w:val="20"/>
        </w:rPr>
      </w:pPr>
      <w:r w:rsidRPr="00E61441">
        <w:rPr>
          <w:rFonts w:cs="Tahoma"/>
          <w:bCs/>
          <w:sz w:val="20"/>
          <w:szCs w:val="20"/>
        </w:rPr>
        <w:t xml:space="preserve">The data on the water quality or ecological status of </w:t>
      </w:r>
      <w:r>
        <w:rPr>
          <w:rFonts w:cs="Tahoma"/>
          <w:bCs/>
          <w:sz w:val="20"/>
          <w:szCs w:val="20"/>
        </w:rPr>
        <w:t>the</w:t>
      </w:r>
      <w:r w:rsidRPr="00E61441">
        <w:rPr>
          <w:rFonts w:cs="Tahoma"/>
          <w:bCs/>
          <w:sz w:val="20"/>
          <w:szCs w:val="20"/>
        </w:rPr>
        <w:t xml:space="preserve"> Vardar </w:t>
      </w:r>
      <w:r>
        <w:rPr>
          <w:rFonts w:cs="Tahoma"/>
          <w:bCs/>
          <w:sz w:val="20"/>
          <w:szCs w:val="20"/>
        </w:rPr>
        <w:t xml:space="preserve">River </w:t>
      </w:r>
      <w:r w:rsidRPr="00E61441">
        <w:rPr>
          <w:rFonts w:cs="Tahoma"/>
          <w:bCs/>
          <w:sz w:val="20"/>
          <w:szCs w:val="20"/>
        </w:rPr>
        <w:t xml:space="preserve">at the crossing with </w:t>
      </w:r>
      <w:r>
        <w:rPr>
          <w:rFonts w:cs="Tahoma"/>
          <w:bCs/>
          <w:sz w:val="20"/>
          <w:szCs w:val="20"/>
        </w:rPr>
        <w:t>overhead line</w:t>
      </w:r>
      <w:r w:rsidRPr="00E61441">
        <w:rPr>
          <w:rFonts w:cs="Tahoma"/>
          <w:bCs/>
          <w:sz w:val="20"/>
          <w:szCs w:val="20"/>
        </w:rPr>
        <w:t xml:space="preserve"> are unavailable. However, there are two regular </w:t>
      </w:r>
      <w:r>
        <w:rPr>
          <w:rFonts w:cs="Tahoma"/>
          <w:bCs/>
          <w:sz w:val="20"/>
          <w:szCs w:val="20"/>
        </w:rPr>
        <w:t xml:space="preserve">water quality </w:t>
      </w:r>
      <w:r w:rsidRPr="00E61441">
        <w:rPr>
          <w:rFonts w:cs="Tahoma"/>
          <w:bCs/>
          <w:sz w:val="20"/>
          <w:szCs w:val="20"/>
        </w:rPr>
        <w:t xml:space="preserve">monitoring points on </w:t>
      </w:r>
      <w:r>
        <w:rPr>
          <w:rFonts w:cs="Tahoma"/>
          <w:bCs/>
          <w:sz w:val="20"/>
          <w:szCs w:val="20"/>
        </w:rPr>
        <w:t xml:space="preserve">the river </w:t>
      </w:r>
      <w:r w:rsidRPr="00E61441">
        <w:rPr>
          <w:rFonts w:cs="Tahoma"/>
          <w:bCs/>
          <w:sz w:val="20"/>
          <w:szCs w:val="20"/>
        </w:rPr>
        <w:t>Vardar</w:t>
      </w:r>
      <w:r>
        <w:rPr>
          <w:rFonts w:cs="Tahoma"/>
          <w:bCs/>
          <w:sz w:val="20"/>
          <w:szCs w:val="20"/>
        </w:rPr>
        <w:t>,</w:t>
      </w:r>
      <w:r w:rsidRPr="00E61441">
        <w:rPr>
          <w:rFonts w:cs="Tahoma"/>
          <w:bCs/>
          <w:sz w:val="20"/>
          <w:szCs w:val="20"/>
        </w:rPr>
        <w:t xml:space="preserve"> </w:t>
      </w:r>
      <w:r>
        <w:rPr>
          <w:rFonts w:cs="Tahoma"/>
          <w:bCs/>
          <w:sz w:val="20"/>
          <w:szCs w:val="20"/>
        </w:rPr>
        <w:t>in the wider Project region,</w:t>
      </w:r>
      <w:r w:rsidRPr="00E61441">
        <w:rPr>
          <w:rFonts w:cs="Tahoma"/>
          <w:bCs/>
          <w:sz w:val="20"/>
          <w:szCs w:val="20"/>
        </w:rPr>
        <w:t xml:space="preserve"> which are of relevance. </w:t>
      </w:r>
      <w:r>
        <w:rPr>
          <w:rFonts w:cs="Tahoma"/>
          <w:bCs/>
          <w:sz w:val="20"/>
          <w:szCs w:val="20"/>
        </w:rPr>
        <w:t xml:space="preserve">These are monitoring stations in </w:t>
      </w:r>
      <w:r w:rsidRPr="00E61441">
        <w:rPr>
          <w:rFonts w:cs="Tahoma"/>
          <w:bCs/>
          <w:sz w:val="20"/>
          <w:szCs w:val="20"/>
        </w:rPr>
        <w:t>Demir Kapija and Gevgelija</w:t>
      </w:r>
      <w:r>
        <w:rPr>
          <w:rFonts w:cs="Tahoma"/>
          <w:bCs/>
          <w:sz w:val="20"/>
          <w:szCs w:val="20"/>
        </w:rPr>
        <w:t>.</w:t>
      </w:r>
      <w:r w:rsidRPr="00E61441">
        <w:rPr>
          <w:rFonts w:cs="Tahoma"/>
          <w:bCs/>
          <w:sz w:val="20"/>
          <w:szCs w:val="20"/>
        </w:rPr>
        <w:t xml:space="preserve"> </w:t>
      </w:r>
      <w:r>
        <w:rPr>
          <w:rFonts w:cs="Tahoma"/>
          <w:bCs/>
          <w:sz w:val="20"/>
          <w:szCs w:val="20"/>
        </w:rPr>
        <w:t>The following T</w:t>
      </w:r>
      <w:r w:rsidRPr="00E61441">
        <w:rPr>
          <w:rFonts w:cs="Tahoma"/>
          <w:bCs/>
          <w:sz w:val="20"/>
          <w:szCs w:val="20"/>
        </w:rPr>
        <w:t>able presents the ecological status of river Vardar</w:t>
      </w:r>
      <w:r>
        <w:rPr>
          <w:rFonts w:cs="Tahoma"/>
          <w:bCs/>
          <w:sz w:val="20"/>
          <w:szCs w:val="20"/>
        </w:rPr>
        <w:t>, based on the</w:t>
      </w:r>
      <w:r w:rsidR="00BC37DC">
        <w:rPr>
          <w:rFonts w:cs="Tahoma"/>
          <w:bCs/>
          <w:sz w:val="20"/>
          <w:szCs w:val="20"/>
        </w:rPr>
        <w:t xml:space="preserve"> </w:t>
      </w:r>
      <w:r>
        <w:rPr>
          <w:rFonts w:cs="Tahoma"/>
          <w:bCs/>
          <w:sz w:val="20"/>
          <w:szCs w:val="20"/>
        </w:rPr>
        <w:t xml:space="preserve">results </w:t>
      </w:r>
      <w:r w:rsidR="00BC37DC">
        <w:rPr>
          <w:rFonts w:cs="Tahoma"/>
          <w:bCs/>
          <w:sz w:val="20"/>
          <w:szCs w:val="20"/>
        </w:rPr>
        <w:t>obtained from these st</w:t>
      </w:r>
      <w:r w:rsidR="00BC37DC">
        <w:rPr>
          <w:rFonts w:cs="Tahoma"/>
          <w:bCs/>
          <w:sz w:val="20"/>
          <w:szCs w:val="20"/>
        </w:rPr>
        <w:t>a</w:t>
      </w:r>
      <w:r w:rsidR="00BC37DC">
        <w:rPr>
          <w:rFonts w:cs="Tahoma"/>
          <w:bCs/>
          <w:sz w:val="20"/>
          <w:szCs w:val="20"/>
        </w:rPr>
        <w:t>tions</w:t>
      </w:r>
      <w:r w:rsidRPr="00E61441">
        <w:rPr>
          <w:rFonts w:cs="Tahoma"/>
          <w:bCs/>
          <w:sz w:val="20"/>
          <w:szCs w:val="20"/>
        </w:rPr>
        <w:t xml:space="preserve">. </w:t>
      </w:r>
      <w:r w:rsidR="00BC37DC">
        <w:rPr>
          <w:rFonts w:cs="Tahoma"/>
          <w:bCs/>
          <w:sz w:val="20"/>
          <w:szCs w:val="20"/>
        </w:rPr>
        <w:t xml:space="preserve">In </w:t>
      </w:r>
      <w:r w:rsidR="00242065">
        <w:rPr>
          <w:rFonts w:cs="Tahoma"/>
          <w:bCs/>
          <w:sz w:val="20"/>
          <w:szCs w:val="20"/>
        </w:rPr>
        <w:t>VFSP</w:t>
      </w:r>
      <w:r w:rsidR="00242065">
        <w:rPr>
          <w:rStyle w:val="FootnoteReference"/>
          <w:rFonts w:cs="Tahoma"/>
          <w:bCs/>
          <w:sz w:val="20"/>
          <w:szCs w:val="20"/>
        </w:rPr>
        <w:footnoteReference w:id="75"/>
      </w:r>
      <w:r w:rsidR="00242065">
        <w:rPr>
          <w:rFonts w:cs="Tahoma"/>
          <w:bCs/>
          <w:sz w:val="20"/>
          <w:szCs w:val="20"/>
        </w:rPr>
        <w:t xml:space="preserve"> </w:t>
      </w:r>
      <w:r w:rsidRPr="00E61441">
        <w:rPr>
          <w:rFonts w:cs="Tahoma"/>
          <w:bCs/>
          <w:sz w:val="20"/>
          <w:szCs w:val="20"/>
        </w:rPr>
        <w:t xml:space="preserve">Demir Kapija, </w:t>
      </w:r>
      <w:r w:rsidR="00BC37DC">
        <w:rPr>
          <w:rFonts w:cs="Tahoma"/>
          <w:bCs/>
          <w:sz w:val="20"/>
          <w:szCs w:val="20"/>
        </w:rPr>
        <w:t xml:space="preserve">the water quality </w:t>
      </w:r>
      <w:r w:rsidRPr="00E61441">
        <w:rPr>
          <w:rFonts w:cs="Tahoma"/>
          <w:bCs/>
          <w:sz w:val="20"/>
          <w:szCs w:val="20"/>
        </w:rPr>
        <w:t>is characterized by evident self-purification processes, al</w:t>
      </w:r>
      <w:r w:rsidRPr="00E61441">
        <w:rPr>
          <w:rFonts w:cs="Tahoma"/>
          <w:bCs/>
          <w:sz w:val="20"/>
          <w:szCs w:val="20"/>
        </w:rPr>
        <w:t>t</w:t>
      </w:r>
      <w:r w:rsidRPr="00E61441">
        <w:rPr>
          <w:rFonts w:cs="Tahoma"/>
          <w:bCs/>
          <w:sz w:val="20"/>
          <w:szCs w:val="20"/>
        </w:rPr>
        <w:t>hough many of organic pollu</w:t>
      </w:r>
      <w:r w:rsidR="00BC37DC">
        <w:rPr>
          <w:rFonts w:cs="Tahoma"/>
          <w:bCs/>
          <w:sz w:val="20"/>
          <w:szCs w:val="20"/>
        </w:rPr>
        <w:t>tants f</w:t>
      </w:r>
      <w:r w:rsidRPr="00E61441">
        <w:rPr>
          <w:rFonts w:cs="Tahoma"/>
          <w:bCs/>
          <w:sz w:val="20"/>
          <w:szCs w:val="20"/>
        </w:rPr>
        <w:t>r</w:t>
      </w:r>
      <w:r w:rsidR="00BC37DC">
        <w:rPr>
          <w:rFonts w:cs="Tahoma"/>
          <w:bCs/>
          <w:sz w:val="20"/>
          <w:szCs w:val="20"/>
        </w:rPr>
        <w:t>o</w:t>
      </w:r>
      <w:r w:rsidRPr="00E61441">
        <w:rPr>
          <w:rFonts w:cs="Tahoma"/>
          <w:bCs/>
          <w:sz w:val="20"/>
          <w:szCs w:val="20"/>
        </w:rPr>
        <w:t xml:space="preserve">m industry and communal waste waters are still present in significant quantities in the water and sediment. </w:t>
      </w:r>
      <w:r w:rsidR="00BC37DC">
        <w:rPr>
          <w:rFonts w:cs="Tahoma"/>
          <w:bCs/>
          <w:sz w:val="20"/>
          <w:szCs w:val="20"/>
        </w:rPr>
        <w:t>In</w:t>
      </w:r>
      <w:r w:rsidRPr="00E61441">
        <w:rPr>
          <w:rFonts w:cs="Tahoma"/>
          <w:bCs/>
          <w:sz w:val="20"/>
          <w:szCs w:val="20"/>
        </w:rPr>
        <w:t xml:space="preserve"> </w:t>
      </w:r>
      <w:r w:rsidR="00242065">
        <w:rPr>
          <w:rFonts w:cs="Tahoma"/>
          <w:bCs/>
          <w:sz w:val="20"/>
          <w:szCs w:val="20"/>
        </w:rPr>
        <w:t xml:space="preserve">VFSP </w:t>
      </w:r>
      <w:r w:rsidRPr="00E61441">
        <w:rPr>
          <w:rFonts w:cs="Tahoma"/>
          <w:bCs/>
          <w:sz w:val="20"/>
          <w:szCs w:val="20"/>
        </w:rPr>
        <w:t xml:space="preserve">Gevgelija and </w:t>
      </w:r>
      <w:r w:rsidR="00BC37DC">
        <w:rPr>
          <w:rFonts w:cs="Tahoma"/>
          <w:bCs/>
          <w:sz w:val="20"/>
          <w:szCs w:val="20"/>
        </w:rPr>
        <w:t>further to the border with Greece</w:t>
      </w:r>
      <w:r w:rsidR="00242065">
        <w:rPr>
          <w:rFonts w:cs="Tahoma"/>
          <w:bCs/>
          <w:sz w:val="20"/>
          <w:szCs w:val="20"/>
        </w:rPr>
        <w:t xml:space="preserve"> (VFSP </w:t>
      </w:r>
      <w:r w:rsidR="00242065" w:rsidRPr="00E61441">
        <w:rPr>
          <w:rFonts w:cs="Tahoma"/>
          <w:bCs/>
          <w:sz w:val="20"/>
          <w:szCs w:val="20"/>
        </w:rPr>
        <w:t>Axio</w:t>
      </w:r>
      <w:r w:rsidR="00242065" w:rsidRPr="00E61441">
        <w:rPr>
          <w:rFonts w:cs="Tahoma"/>
          <w:bCs/>
          <w:sz w:val="20"/>
          <w:szCs w:val="20"/>
        </w:rPr>
        <w:t>u</w:t>
      </w:r>
      <w:r w:rsidR="00242065" w:rsidRPr="00E61441">
        <w:rPr>
          <w:rFonts w:cs="Tahoma"/>
          <w:bCs/>
          <w:sz w:val="20"/>
          <w:szCs w:val="20"/>
        </w:rPr>
        <w:t>poli</w:t>
      </w:r>
      <w:r w:rsidR="00242065">
        <w:rPr>
          <w:rFonts w:cs="Tahoma"/>
          <w:bCs/>
          <w:sz w:val="20"/>
          <w:szCs w:val="20"/>
        </w:rPr>
        <w:t>)</w:t>
      </w:r>
      <w:r w:rsidR="00BC37DC">
        <w:rPr>
          <w:rFonts w:cs="Tahoma"/>
          <w:bCs/>
          <w:sz w:val="20"/>
          <w:szCs w:val="20"/>
        </w:rPr>
        <w:t>, the quality of the waters is</w:t>
      </w:r>
      <w:r w:rsidRPr="00E61441">
        <w:rPr>
          <w:rFonts w:cs="Tahoma"/>
          <w:bCs/>
          <w:sz w:val="20"/>
          <w:szCs w:val="20"/>
        </w:rPr>
        <w:t xml:space="preserve"> very similar in chemical composition, although higher </w:t>
      </w:r>
      <w:r w:rsidR="00242065">
        <w:rPr>
          <w:rFonts w:cs="Tahoma"/>
          <w:bCs/>
          <w:sz w:val="20"/>
          <w:szCs w:val="20"/>
        </w:rPr>
        <w:t>Arsenic (</w:t>
      </w:r>
      <w:r w:rsidRPr="00E61441">
        <w:rPr>
          <w:rFonts w:cs="Tahoma"/>
          <w:bCs/>
          <w:sz w:val="20"/>
          <w:szCs w:val="20"/>
        </w:rPr>
        <w:t>As</w:t>
      </w:r>
      <w:r w:rsidR="00242065">
        <w:rPr>
          <w:rFonts w:cs="Tahoma"/>
          <w:bCs/>
          <w:sz w:val="20"/>
          <w:szCs w:val="20"/>
        </w:rPr>
        <w:t>)</w:t>
      </w:r>
      <w:r w:rsidRPr="00E61441">
        <w:rPr>
          <w:rFonts w:cs="Tahoma"/>
          <w:bCs/>
          <w:sz w:val="20"/>
          <w:szCs w:val="20"/>
        </w:rPr>
        <w:t xml:space="preserve"> conce</w:t>
      </w:r>
      <w:r w:rsidRPr="00E61441">
        <w:rPr>
          <w:rFonts w:cs="Tahoma"/>
          <w:bCs/>
          <w:sz w:val="20"/>
          <w:szCs w:val="20"/>
        </w:rPr>
        <w:t>n</w:t>
      </w:r>
      <w:r w:rsidRPr="00E61441">
        <w:rPr>
          <w:rFonts w:cs="Tahoma"/>
          <w:bCs/>
          <w:sz w:val="20"/>
          <w:szCs w:val="20"/>
        </w:rPr>
        <w:t>tration was detected on VFS</w:t>
      </w:r>
      <w:r w:rsidR="00242065">
        <w:rPr>
          <w:rFonts w:cs="Tahoma"/>
          <w:bCs/>
          <w:sz w:val="20"/>
          <w:szCs w:val="20"/>
        </w:rPr>
        <w:t>P</w:t>
      </w:r>
      <w:r w:rsidRPr="00E61441">
        <w:rPr>
          <w:rFonts w:cs="Tahoma"/>
          <w:bCs/>
          <w:sz w:val="20"/>
          <w:szCs w:val="20"/>
        </w:rPr>
        <w:t xml:space="preserve"> </w:t>
      </w:r>
      <w:r w:rsidR="007A3354" w:rsidRPr="00E61441">
        <w:rPr>
          <w:rFonts w:cs="Tahoma"/>
          <w:bCs/>
          <w:sz w:val="20"/>
          <w:szCs w:val="20"/>
        </w:rPr>
        <w:t>Axioupoli</w:t>
      </w:r>
      <w:r w:rsidRPr="00E61441">
        <w:rPr>
          <w:rFonts w:cs="Tahoma"/>
          <w:bCs/>
          <w:sz w:val="20"/>
          <w:szCs w:val="20"/>
        </w:rPr>
        <w:t>, but it is supposed that it is from natural (geological) origin.</w:t>
      </w:r>
      <w:r w:rsidR="007A3354">
        <w:rPr>
          <w:rFonts w:cs="Tahoma"/>
          <w:bCs/>
          <w:sz w:val="20"/>
          <w:szCs w:val="20"/>
        </w:rPr>
        <w:t xml:space="preserve"> </w:t>
      </w:r>
      <w:r w:rsidR="007A3354">
        <w:rPr>
          <w:rFonts w:cs="Tahoma"/>
          <w:bCs/>
          <w:sz w:val="20"/>
          <w:szCs w:val="20"/>
          <w:lang w:val="en-US"/>
        </w:rPr>
        <w:t>In ge</w:t>
      </w:r>
      <w:r w:rsidR="007A3354">
        <w:rPr>
          <w:rFonts w:cs="Tahoma"/>
          <w:bCs/>
          <w:sz w:val="20"/>
          <w:szCs w:val="20"/>
          <w:lang w:val="en-US"/>
        </w:rPr>
        <w:t>n</w:t>
      </w:r>
      <w:r w:rsidR="007A3354">
        <w:rPr>
          <w:rFonts w:cs="Tahoma"/>
          <w:bCs/>
          <w:sz w:val="20"/>
          <w:szCs w:val="20"/>
          <w:lang w:val="en-US"/>
        </w:rPr>
        <w:t xml:space="preserve">eral, water quality was assessed as HIGH QUALITY (HM in the sediment and hydromorphology), GOOD (Ox and N), MODERATE (HM in the water, PhB), POOR (OS in the water) and BAD (only in the case of OS in sediment in Gevgelija). Overall, the ecological status was assessed as Moderate in VFSP Demir Kapija and </w:t>
      </w:r>
      <w:r w:rsidR="007A3354">
        <w:rPr>
          <w:rFonts w:cs="Tahoma"/>
          <w:bCs/>
          <w:sz w:val="20"/>
          <w:szCs w:val="20"/>
          <w:lang w:val="en-US"/>
        </w:rPr>
        <w:lastRenderedPageBreak/>
        <w:t>Poor for VFSP Gevgelija.</w:t>
      </w:r>
      <w:r w:rsidRPr="00E61441">
        <w:rPr>
          <w:rFonts w:cs="Tahoma"/>
          <w:bCs/>
          <w:sz w:val="20"/>
          <w:szCs w:val="20"/>
        </w:rPr>
        <w:t xml:space="preserve"> Also high concentration of industrial pollutants </w:t>
      </w:r>
      <w:r w:rsidR="00BC37DC">
        <w:rPr>
          <w:rFonts w:cs="Tahoma"/>
          <w:bCs/>
          <w:sz w:val="20"/>
          <w:szCs w:val="20"/>
        </w:rPr>
        <w:t>is</w:t>
      </w:r>
      <w:r w:rsidRPr="00E61441">
        <w:rPr>
          <w:rFonts w:cs="Tahoma"/>
          <w:bCs/>
          <w:sz w:val="20"/>
          <w:szCs w:val="20"/>
        </w:rPr>
        <w:t xml:space="preserve"> detected in the water and sed</w:t>
      </w:r>
      <w:r w:rsidRPr="00E61441">
        <w:rPr>
          <w:rFonts w:cs="Tahoma"/>
          <w:bCs/>
          <w:sz w:val="20"/>
          <w:szCs w:val="20"/>
        </w:rPr>
        <w:t>i</w:t>
      </w:r>
      <w:r w:rsidRPr="00E61441">
        <w:rPr>
          <w:rFonts w:cs="Tahoma"/>
          <w:bCs/>
          <w:sz w:val="20"/>
          <w:szCs w:val="20"/>
        </w:rPr>
        <w:t>ments</w:t>
      </w:r>
      <w:r w:rsidRPr="00E61441">
        <w:rPr>
          <w:rStyle w:val="FootnoteReference"/>
          <w:rFonts w:cs="Tahoma"/>
          <w:bCs/>
          <w:sz w:val="20"/>
          <w:szCs w:val="20"/>
        </w:rPr>
        <w:footnoteReference w:id="76"/>
      </w:r>
      <w:r w:rsidRPr="00E61441">
        <w:rPr>
          <w:rFonts w:cs="Tahoma"/>
          <w:bCs/>
          <w:sz w:val="20"/>
          <w:szCs w:val="20"/>
        </w:rPr>
        <w:t>.</w:t>
      </w:r>
    </w:p>
    <w:p w14:paraId="6A086771" w14:textId="292EDCF5" w:rsidR="007A3354" w:rsidRDefault="007A3354" w:rsidP="007C7B9C">
      <w:pPr>
        <w:pStyle w:val="NumberedParagraph"/>
        <w:rPr>
          <w:rFonts w:cs="Tahoma"/>
          <w:bCs/>
          <w:sz w:val="20"/>
          <w:szCs w:val="20"/>
        </w:rPr>
      </w:pPr>
      <w:r>
        <w:rPr>
          <w:rFonts w:cs="Tahoma"/>
          <w:bCs/>
          <w:sz w:val="20"/>
          <w:szCs w:val="20"/>
        </w:rPr>
        <w:t>Some newer data from the monitoring in 2021 indicate that the water quality is Category I-II for both VFSP Demir Kapija and VFSP Gevgelija (nitrites, nitrates, iron, manganese and zink) to Category III (Biochemical Oxygen Demand)</w:t>
      </w:r>
      <w:r>
        <w:rPr>
          <w:rStyle w:val="FootnoteReference"/>
          <w:rFonts w:cs="Tahoma"/>
          <w:bCs/>
          <w:sz w:val="20"/>
          <w:szCs w:val="20"/>
        </w:rPr>
        <w:footnoteReference w:id="77"/>
      </w:r>
      <w:r>
        <w:rPr>
          <w:rFonts w:cs="Tahoma"/>
          <w:bCs/>
          <w:sz w:val="20"/>
          <w:szCs w:val="20"/>
        </w:rPr>
        <w:t>.</w:t>
      </w:r>
    </w:p>
    <w:tbl>
      <w:tblPr>
        <w:tblStyle w:val="TableGrid"/>
        <w:tblW w:w="9747" w:type="dxa"/>
        <w:tblLayout w:type="fixed"/>
        <w:tblLook w:val="04A0" w:firstRow="1" w:lastRow="0" w:firstColumn="1" w:lastColumn="0" w:noHBand="0" w:noVBand="1"/>
      </w:tblPr>
      <w:tblGrid>
        <w:gridCol w:w="7054"/>
        <w:gridCol w:w="2693"/>
      </w:tblGrid>
      <w:tr w:rsidR="000B414F" w14:paraId="79285D0A" w14:textId="77777777" w:rsidTr="00E44ED8">
        <w:tc>
          <w:tcPr>
            <w:tcW w:w="9747" w:type="dxa"/>
            <w:gridSpan w:val="2"/>
          </w:tcPr>
          <w:p w14:paraId="070F832F" w14:textId="3E29FD48" w:rsidR="000B414F" w:rsidRDefault="000B414F" w:rsidP="000B414F">
            <w:pPr>
              <w:pStyle w:val="NumberedParagraph"/>
              <w:ind w:left="-142"/>
              <w:rPr>
                <w:rFonts w:cs="Tahoma"/>
                <w:bCs/>
                <w:sz w:val="18"/>
                <w:szCs w:val="20"/>
              </w:rPr>
            </w:pPr>
            <w:r>
              <w:rPr>
                <w:rFonts w:cs="Tahoma"/>
                <w:bCs/>
                <w:noProof/>
                <w:sz w:val="18"/>
                <w:szCs w:val="20"/>
                <w:lang w:val="mk-MK" w:eastAsia="mk-MK"/>
              </w:rPr>
              <mc:AlternateContent>
                <mc:Choice Requires="wps">
                  <w:drawing>
                    <wp:anchor distT="0" distB="0" distL="114300" distR="114300" simplePos="0" relativeHeight="251695113" behindDoc="0" locked="0" layoutInCell="1" allowOverlap="1" wp14:anchorId="6BE69B74" wp14:editId="6C014E27">
                      <wp:simplePos x="0" y="0"/>
                      <wp:positionH relativeFrom="column">
                        <wp:posOffset>251460</wp:posOffset>
                      </wp:positionH>
                      <wp:positionV relativeFrom="paragraph">
                        <wp:posOffset>2139315</wp:posOffset>
                      </wp:positionV>
                      <wp:extent cx="5810250" cy="266700"/>
                      <wp:effectExtent l="19050" t="19050" r="19050" b="19050"/>
                      <wp:wrapNone/>
                      <wp:docPr id="943" name="Rectangle 943"/>
                      <wp:cNvGraphicFramePr/>
                      <a:graphic xmlns:a="http://schemas.openxmlformats.org/drawingml/2006/main">
                        <a:graphicData uri="http://schemas.microsoft.com/office/word/2010/wordprocessingShape">
                          <wps:wsp>
                            <wps:cNvSpPr/>
                            <wps:spPr>
                              <a:xfrm>
                                <a:off x="0" y="0"/>
                                <a:ext cx="5810250" cy="266700"/>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943" o:spid="_x0000_s1026" style="position:absolute;margin-left:19.8pt;margin-top:168.45pt;width:457.5pt;height:21pt;z-index:25169511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" filled="f" strokecolor="#c00000" strokeweight="2.25pt"/>
                  </w:pict>
                </mc:Fallback>
              </mc:AlternateContent>
            </w:r>
            <w:r>
              <w:rPr>
                <w:rFonts w:cs="Tahoma"/>
                <w:bCs/>
                <w:noProof/>
                <w:sz w:val="18"/>
                <w:szCs w:val="20"/>
                <w:lang w:val="mk-MK" w:eastAsia="mk-MK"/>
              </w:rPr>
              <w:drawing>
                <wp:inline distT="0" distB="0" distL="0" distR="0" wp14:anchorId="614ED72F" wp14:editId="23AF72BE">
                  <wp:extent cx="6174353" cy="2759214"/>
                  <wp:effectExtent l="0" t="0" r="0" b="3175"/>
                  <wp:docPr id="20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srcRect/>
                          <a:stretch>
                            <a:fillRect/>
                          </a:stretch>
                        </pic:blipFill>
                        <pic:spPr bwMode="auto">
                          <a:xfrm>
                            <a:off x="0" y="0"/>
                            <a:ext cx="6177307" cy="2760534"/>
                          </a:xfrm>
                          <a:prstGeom prst="rect">
                            <a:avLst/>
                          </a:prstGeom>
                          <a:noFill/>
                          <a:ln w="9525">
                            <a:noFill/>
                            <a:miter lim="800000"/>
                            <a:headEnd/>
                            <a:tailEnd/>
                          </a:ln>
                        </pic:spPr>
                      </pic:pic>
                    </a:graphicData>
                  </a:graphic>
                </wp:inline>
              </w:drawing>
            </w:r>
          </w:p>
        </w:tc>
      </w:tr>
      <w:tr w:rsidR="000B414F" w14:paraId="0BA202B7" w14:textId="77777777" w:rsidTr="00E44ED8">
        <w:tc>
          <w:tcPr>
            <w:tcW w:w="7054" w:type="dxa"/>
          </w:tcPr>
          <w:p w14:paraId="1C8646F7" w14:textId="2F97A72E" w:rsidR="000B414F" w:rsidRPr="002235A7" w:rsidRDefault="000B414F" w:rsidP="000B414F">
            <w:pPr>
              <w:pStyle w:val="NumberedParagraph"/>
              <w:spacing w:before="60" w:after="0" w:line="240" w:lineRule="auto"/>
              <w:rPr>
                <w:rFonts w:cs="Tahoma"/>
                <w:bCs/>
                <w:sz w:val="18"/>
                <w:szCs w:val="20"/>
              </w:rPr>
            </w:pPr>
            <w:r w:rsidRPr="002235A7">
              <w:rPr>
                <w:rFonts w:cs="Tahoma"/>
                <w:bCs/>
                <w:sz w:val="18"/>
                <w:szCs w:val="20"/>
              </w:rPr>
              <w:t xml:space="preserve">* According to TNMNC exceeded dissolved </w:t>
            </w:r>
            <w:r>
              <w:rPr>
                <w:rFonts w:cs="Tahoma"/>
                <w:bCs/>
                <w:sz w:val="18"/>
                <w:szCs w:val="20"/>
              </w:rPr>
              <w:t>a</w:t>
            </w:r>
            <w:r w:rsidRPr="002235A7">
              <w:rPr>
                <w:rFonts w:cs="Tahoma"/>
                <w:bCs/>
                <w:sz w:val="18"/>
                <w:szCs w:val="20"/>
              </w:rPr>
              <w:t>s limit</w:t>
            </w:r>
            <w:r>
              <w:rPr>
                <w:rFonts w:cs="Tahoma"/>
                <w:bCs/>
                <w:sz w:val="18"/>
                <w:szCs w:val="20"/>
              </w:rPr>
              <w:t xml:space="preserve">; </w:t>
            </w:r>
            <w:r w:rsidRPr="002235A7">
              <w:rPr>
                <w:rFonts w:cs="Tahoma"/>
                <w:bCs/>
                <w:sz w:val="18"/>
                <w:szCs w:val="20"/>
              </w:rPr>
              <w:t>** High As concentration</w:t>
            </w:r>
            <w:r>
              <w:rPr>
                <w:rFonts w:cs="Tahoma"/>
                <w:bCs/>
                <w:sz w:val="18"/>
                <w:szCs w:val="20"/>
              </w:rPr>
              <w:t xml:space="preserve">; </w:t>
            </w:r>
            <w:r w:rsidRPr="002235A7">
              <w:rPr>
                <w:rFonts w:cs="Tahoma"/>
                <w:bCs/>
                <w:sz w:val="18"/>
                <w:szCs w:val="20"/>
              </w:rPr>
              <w:t>*** High concentrations of octylphenol and nonylphenol</w:t>
            </w:r>
            <w:r>
              <w:rPr>
                <w:rFonts w:cs="Tahoma"/>
                <w:bCs/>
                <w:sz w:val="18"/>
                <w:szCs w:val="20"/>
              </w:rPr>
              <w:t>;</w:t>
            </w:r>
            <w:r w:rsidRPr="002235A7">
              <w:rPr>
                <w:rFonts w:cs="Tahoma"/>
                <w:bCs/>
                <w:sz w:val="18"/>
                <w:szCs w:val="20"/>
              </w:rPr>
              <w:t>**** High concentrations of DEHP</w:t>
            </w:r>
            <w:r>
              <w:rPr>
                <w:rFonts w:cs="Tahoma"/>
                <w:bCs/>
                <w:sz w:val="18"/>
                <w:szCs w:val="20"/>
              </w:rPr>
              <w:t xml:space="preserve">; </w:t>
            </w:r>
            <w:r w:rsidRPr="002235A7">
              <w:rPr>
                <w:rFonts w:cs="Tahoma"/>
                <w:bCs/>
                <w:sz w:val="18"/>
                <w:szCs w:val="20"/>
              </w:rPr>
              <w:t>***** High concentrations of pesticides</w:t>
            </w:r>
            <w:r>
              <w:rPr>
                <w:rFonts w:cs="Tahoma"/>
                <w:bCs/>
                <w:sz w:val="18"/>
                <w:szCs w:val="20"/>
              </w:rPr>
              <w:t xml:space="preserve">; </w:t>
            </w:r>
            <w:r w:rsidRPr="002235A7">
              <w:rPr>
                <w:rFonts w:cs="Tahoma"/>
                <w:bCs/>
                <w:sz w:val="18"/>
                <w:szCs w:val="20"/>
              </w:rPr>
              <w:t>****** High concentrations of PAH</w:t>
            </w:r>
          </w:p>
          <w:p w14:paraId="08320506" w14:textId="77777777" w:rsidR="000B414F" w:rsidRDefault="000B414F" w:rsidP="000B414F">
            <w:pPr>
              <w:pStyle w:val="NumberedParagraph"/>
              <w:spacing w:before="60" w:after="0" w:line="240" w:lineRule="auto"/>
              <w:rPr>
                <w:rFonts w:cs="Tahoma"/>
                <w:bCs/>
                <w:sz w:val="18"/>
                <w:szCs w:val="20"/>
              </w:rPr>
            </w:pPr>
            <w:r w:rsidRPr="001A6151">
              <w:rPr>
                <w:rFonts w:cs="Tahoma"/>
                <w:bCs/>
                <w:sz w:val="18"/>
                <w:szCs w:val="20"/>
                <w:vertAlign w:val="superscript"/>
              </w:rPr>
              <w:t>1</w:t>
            </w:r>
            <w:r>
              <w:rPr>
                <w:rFonts w:cs="Tahoma"/>
                <w:bCs/>
                <w:sz w:val="18"/>
                <w:szCs w:val="20"/>
              </w:rPr>
              <w:t xml:space="preserve"> </w:t>
            </w:r>
            <w:r w:rsidRPr="002235A7">
              <w:rPr>
                <w:rFonts w:cs="Tahoma"/>
                <w:bCs/>
                <w:sz w:val="18"/>
                <w:szCs w:val="20"/>
              </w:rPr>
              <w:t>Dutch limits for soil and sediments are used for assessment.</w:t>
            </w:r>
            <w:r>
              <w:rPr>
                <w:rFonts w:cs="Tahoma"/>
                <w:bCs/>
                <w:sz w:val="18"/>
                <w:szCs w:val="20"/>
              </w:rPr>
              <w:t xml:space="preserve"> </w:t>
            </w:r>
            <w:r w:rsidRPr="002235A7">
              <w:rPr>
                <w:rFonts w:cs="Tahoma"/>
                <w:bCs/>
                <w:sz w:val="18"/>
                <w:szCs w:val="20"/>
              </w:rPr>
              <w:t>Other EU countries limits are higher than Dutch limits.</w:t>
            </w:r>
          </w:p>
          <w:p w14:paraId="665D2EA5" w14:textId="01F7657D" w:rsidR="000B414F" w:rsidRDefault="000B414F" w:rsidP="000B414F">
            <w:pPr>
              <w:pStyle w:val="NumberedParagraph"/>
              <w:spacing w:before="60" w:after="0" w:line="240" w:lineRule="auto"/>
              <w:rPr>
                <w:rFonts w:cs="Tahoma"/>
                <w:bCs/>
                <w:sz w:val="18"/>
                <w:szCs w:val="20"/>
              </w:rPr>
            </w:pPr>
            <w:r w:rsidRPr="001A6151">
              <w:rPr>
                <w:rFonts w:cs="Tahoma"/>
                <w:bCs/>
                <w:sz w:val="18"/>
                <w:szCs w:val="20"/>
                <w:vertAlign w:val="superscript"/>
              </w:rPr>
              <w:t>2</w:t>
            </w:r>
            <w:r>
              <w:rPr>
                <w:rFonts w:cs="Tahoma"/>
                <w:bCs/>
                <w:sz w:val="18"/>
                <w:szCs w:val="20"/>
              </w:rPr>
              <w:t xml:space="preserve"> </w:t>
            </w:r>
            <w:r w:rsidRPr="002235A7">
              <w:rPr>
                <w:rFonts w:cs="Tahoma"/>
                <w:bCs/>
                <w:sz w:val="18"/>
                <w:szCs w:val="20"/>
              </w:rPr>
              <w:t>High concentrations of Cu and Ni were recorded in all stations,</w:t>
            </w:r>
            <w:r>
              <w:rPr>
                <w:rFonts w:cs="Tahoma"/>
                <w:bCs/>
                <w:sz w:val="18"/>
                <w:szCs w:val="20"/>
              </w:rPr>
              <w:t xml:space="preserve"> </w:t>
            </w:r>
            <w:r w:rsidRPr="002235A7">
              <w:rPr>
                <w:rFonts w:cs="Tahoma"/>
                <w:bCs/>
                <w:sz w:val="18"/>
                <w:szCs w:val="20"/>
              </w:rPr>
              <w:t>but it is supposed as natural background concentration (geological origin).</w:t>
            </w:r>
          </w:p>
        </w:tc>
        <w:tc>
          <w:tcPr>
            <w:tcW w:w="2693" w:type="dxa"/>
          </w:tcPr>
          <w:p w14:paraId="1FD363A2" w14:textId="77777777" w:rsidR="000B414F" w:rsidRDefault="000B414F" w:rsidP="000B414F">
            <w:pPr>
              <w:pStyle w:val="NumberedParagraph"/>
              <w:spacing w:before="0" w:after="0"/>
              <w:jc w:val="right"/>
              <w:rPr>
                <w:rFonts w:cs="Tahoma"/>
                <w:bCs/>
                <w:sz w:val="18"/>
                <w:szCs w:val="20"/>
              </w:rPr>
            </w:pPr>
            <w:r>
              <w:rPr>
                <w:rFonts w:cs="Tahoma"/>
                <w:bCs/>
                <w:noProof/>
                <w:sz w:val="18"/>
                <w:szCs w:val="20"/>
                <w:lang w:val="mk-MK" w:eastAsia="mk-MK"/>
              </w:rPr>
              <w:drawing>
                <wp:inline distT="0" distB="0" distL="0" distR="0" wp14:anchorId="6A454148" wp14:editId="64B897F3">
                  <wp:extent cx="1518846" cy="1095375"/>
                  <wp:effectExtent l="0" t="0" r="5715" b="0"/>
                  <wp:docPr id="9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5" cstate="print"/>
                          <a:srcRect/>
                          <a:stretch>
                            <a:fillRect/>
                          </a:stretch>
                        </pic:blipFill>
                        <pic:spPr bwMode="auto">
                          <a:xfrm>
                            <a:off x="0" y="0"/>
                            <a:ext cx="1524000" cy="1099092"/>
                          </a:xfrm>
                          <a:prstGeom prst="rect">
                            <a:avLst/>
                          </a:prstGeom>
                          <a:noFill/>
                          <a:ln w="9525">
                            <a:noFill/>
                            <a:miter lim="800000"/>
                            <a:headEnd/>
                            <a:tailEnd/>
                          </a:ln>
                        </pic:spPr>
                      </pic:pic>
                    </a:graphicData>
                  </a:graphic>
                </wp:inline>
              </w:drawing>
            </w:r>
          </w:p>
        </w:tc>
      </w:tr>
    </w:tbl>
    <w:p w14:paraId="753BD0FF" w14:textId="77777777" w:rsidR="000B414F" w:rsidRDefault="000B414F" w:rsidP="000B414F">
      <w:pPr>
        <w:pStyle w:val="NumberedParagraph"/>
        <w:spacing w:before="60" w:after="60"/>
        <w:rPr>
          <w:bCs/>
          <w:sz w:val="18"/>
          <w:szCs w:val="18"/>
        </w:rPr>
      </w:pPr>
      <w:bookmarkStart w:id="241" w:name="_Toc113018176"/>
      <w:r w:rsidRPr="000B414F">
        <w:rPr>
          <w:sz w:val="18"/>
          <w:szCs w:val="18"/>
        </w:rPr>
        <w:t xml:space="preserve">Table </w:t>
      </w:r>
      <w:r w:rsidRPr="000B414F">
        <w:rPr>
          <w:sz w:val="18"/>
          <w:szCs w:val="18"/>
        </w:rPr>
        <w:fldChar w:fldCharType="begin"/>
      </w:r>
      <w:r w:rsidRPr="000B414F">
        <w:rPr>
          <w:sz w:val="18"/>
          <w:szCs w:val="18"/>
        </w:rPr>
        <w:instrText xml:space="preserve"> STYLEREF 1 \s </w:instrText>
      </w:r>
      <w:r w:rsidRPr="000B414F">
        <w:rPr>
          <w:sz w:val="18"/>
          <w:szCs w:val="18"/>
        </w:rPr>
        <w:fldChar w:fldCharType="separate"/>
      </w:r>
      <w:r>
        <w:rPr>
          <w:noProof/>
          <w:sz w:val="18"/>
          <w:szCs w:val="18"/>
        </w:rPr>
        <w:t>7</w:t>
      </w:r>
      <w:r w:rsidRPr="000B414F">
        <w:rPr>
          <w:sz w:val="18"/>
          <w:szCs w:val="18"/>
        </w:rPr>
        <w:fldChar w:fldCharType="end"/>
      </w:r>
      <w:r w:rsidRPr="000B414F">
        <w:rPr>
          <w:sz w:val="18"/>
          <w:szCs w:val="18"/>
        </w:rPr>
        <w:t>.</w:t>
      </w:r>
      <w:r w:rsidRPr="000B414F">
        <w:rPr>
          <w:sz w:val="18"/>
          <w:szCs w:val="18"/>
        </w:rPr>
        <w:fldChar w:fldCharType="begin"/>
      </w:r>
      <w:r w:rsidRPr="000B414F">
        <w:rPr>
          <w:sz w:val="18"/>
          <w:szCs w:val="18"/>
        </w:rPr>
        <w:instrText xml:space="preserve"> SEQ Table \* ARABIC \s 1 </w:instrText>
      </w:r>
      <w:r w:rsidRPr="000B414F">
        <w:rPr>
          <w:sz w:val="18"/>
          <w:szCs w:val="18"/>
        </w:rPr>
        <w:fldChar w:fldCharType="separate"/>
      </w:r>
      <w:r>
        <w:rPr>
          <w:noProof/>
          <w:sz w:val="18"/>
          <w:szCs w:val="18"/>
        </w:rPr>
        <w:t>5</w:t>
      </w:r>
      <w:r w:rsidRPr="000B414F">
        <w:rPr>
          <w:sz w:val="18"/>
          <w:szCs w:val="18"/>
        </w:rPr>
        <w:fldChar w:fldCharType="end"/>
      </w:r>
      <w:r w:rsidRPr="000B414F">
        <w:rPr>
          <w:sz w:val="18"/>
          <w:szCs w:val="18"/>
        </w:rPr>
        <w:t xml:space="preserve">: </w:t>
      </w:r>
      <w:r>
        <w:rPr>
          <w:bCs/>
          <w:sz w:val="18"/>
          <w:szCs w:val="18"/>
        </w:rPr>
        <w:t>Preliminary assessment of e</w:t>
      </w:r>
      <w:r w:rsidRPr="000B414F">
        <w:rPr>
          <w:bCs/>
          <w:sz w:val="18"/>
          <w:szCs w:val="18"/>
        </w:rPr>
        <w:t>cological status of River Vardar Basin</w:t>
      </w:r>
      <w:bookmarkEnd w:id="241"/>
    </w:p>
    <w:p w14:paraId="62EFBF0C" w14:textId="445835D5" w:rsidR="007A3354" w:rsidRPr="007A3354" w:rsidRDefault="007A3354" w:rsidP="000B414F">
      <w:pPr>
        <w:pStyle w:val="NumberedParagraph"/>
        <w:spacing w:before="60" w:after="60"/>
        <w:rPr>
          <w:bCs/>
          <w:sz w:val="16"/>
          <w:szCs w:val="16"/>
        </w:rPr>
      </w:pPr>
      <w:r>
        <w:rPr>
          <w:bCs/>
          <w:sz w:val="16"/>
          <w:szCs w:val="16"/>
        </w:rPr>
        <w:t>Note</w:t>
      </w:r>
      <w:r w:rsidRPr="007A3354">
        <w:rPr>
          <w:bCs/>
          <w:sz w:val="16"/>
          <w:szCs w:val="16"/>
        </w:rPr>
        <w:t xml:space="preserve">: Ox – Oxygen demand, Ni – nitrogen, HM – heavy metals, OS – organic substances, PhB - </w:t>
      </w:r>
      <w:r w:rsidRPr="007A3354">
        <w:rPr>
          <w:rFonts w:cs="Tahoma"/>
          <w:bCs/>
          <w:sz w:val="16"/>
          <w:szCs w:val="16"/>
          <w:lang w:val="en-US"/>
        </w:rPr>
        <w:t>Production of Polyhydroxybutyrate, ZooB – Zoobenthos, F – Phytoplankton, M - Macrophytes</w:t>
      </w:r>
    </w:p>
    <w:p w14:paraId="6A70DE5D" w14:textId="75084DB3" w:rsidR="000B414F" w:rsidRPr="000B414F" w:rsidRDefault="000B414F" w:rsidP="000B414F">
      <w:pPr>
        <w:pStyle w:val="NumberedParagraph"/>
        <w:spacing w:before="60" w:after="240"/>
        <w:rPr>
          <w:rFonts w:cs="Tahoma"/>
          <w:bCs/>
          <w:sz w:val="16"/>
          <w:szCs w:val="16"/>
        </w:rPr>
      </w:pPr>
      <w:r w:rsidRPr="000B414F">
        <w:rPr>
          <w:bCs/>
          <w:sz w:val="16"/>
          <w:szCs w:val="16"/>
        </w:rPr>
        <w:t xml:space="preserve">Source: </w:t>
      </w:r>
      <w:r w:rsidRPr="000B414F">
        <w:rPr>
          <w:rFonts w:cs="Tahoma"/>
          <w:sz w:val="16"/>
          <w:szCs w:val="16"/>
        </w:rPr>
        <w:t>Stafilov, T., &amp; Levkov, Z. (2017). Summary of Vardar River Basin Field Survey. European Agency for Reconstruction and Mini</w:t>
      </w:r>
      <w:r w:rsidRPr="000B414F">
        <w:rPr>
          <w:rFonts w:cs="Tahoma"/>
          <w:sz w:val="16"/>
          <w:szCs w:val="16"/>
        </w:rPr>
        <w:t>s</w:t>
      </w:r>
      <w:r w:rsidRPr="000B414F">
        <w:rPr>
          <w:rFonts w:cs="Tahoma"/>
          <w:sz w:val="16"/>
          <w:szCs w:val="16"/>
        </w:rPr>
        <w:t>try of Environment &amp; Physical Planning of the Republic of Macedonia, Skopje, Macedonia</w:t>
      </w:r>
    </w:p>
    <w:p w14:paraId="53656AAC" w14:textId="1EAC3468" w:rsidR="00DB3C90" w:rsidRPr="0068236B" w:rsidRDefault="00DB3C90" w:rsidP="00DA2DA3">
      <w:pPr>
        <w:pStyle w:val="Heading3"/>
      </w:pPr>
      <w:bookmarkStart w:id="242" w:name="_Toc71559773"/>
      <w:bookmarkStart w:id="243" w:name="_Toc112852248"/>
      <w:r w:rsidRPr="0068236B">
        <w:t>Noise</w:t>
      </w:r>
      <w:bookmarkEnd w:id="242"/>
      <w:bookmarkEnd w:id="243"/>
    </w:p>
    <w:p w14:paraId="2444F602" w14:textId="77777777" w:rsidR="00DB3C90" w:rsidRPr="0068236B" w:rsidRDefault="00DB3C90" w:rsidP="00DA2DA3">
      <w:pPr>
        <w:pStyle w:val="Heading4"/>
        <w:rPr>
          <w:sz w:val="20"/>
        </w:rPr>
      </w:pPr>
      <w:bookmarkStart w:id="244" w:name="_Toc48829083"/>
      <w:bookmarkStart w:id="245" w:name="_Toc71559774"/>
      <w:r w:rsidRPr="0068236B">
        <w:rPr>
          <w:sz w:val="20"/>
        </w:rPr>
        <w:t>Study Area</w:t>
      </w:r>
      <w:bookmarkEnd w:id="244"/>
      <w:bookmarkEnd w:id="245"/>
    </w:p>
    <w:p w14:paraId="049E6433" w14:textId="77777777" w:rsidR="00DB3C90" w:rsidRPr="0068236B" w:rsidRDefault="00DB3C90" w:rsidP="00DB3C90">
      <w:pPr>
        <w:autoSpaceDE w:val="0"/>
        <w:autoSpaceDN w:val="0"/>
        <w:adjustRightInd w:val="0"/>
        <w:rPr>
          <w:rFonts w:cs="Tahoma"/>
          <w:sz w:val="20"/>
          <w:szCs w:val="20"/>
        </w:rPr>
      </w:pPr>
      <w:r w:rsidRPr="0068236B">
        <w:rPr>
          <w:rFonts w:cs="Tahoma"/>
          <w:sz w:val="20"/>
          <w:szCs w:val="20"/>
        </w:rPr>
        <w:t>The assessment of effects from the construct</w:t>
      </w:r>
      <w:r w:rsidR="008279B2" w:rsidRPr="0068236B">
        <w:rPr>
          <w:rFonts w:cs="Tahoma"/>
          <w:sz w:val="20"/>
          <w:szCs w:val="20"/>
        </w:rPr>
        <w:t>ion noise uses a study area of 1</w:t>
      </w:r>
      <w:r w:rsidRPr="0068236B">
        <w:rPr>
          <w:rFonts w:cs="Tahoma"/>
          <w:sz w:val="20"/>
          <w:szCs w:val="20"/>
        </w:rPr>
        <w:t>,000 m from the SS location and 2,000 m wide OHL corridor</w:t>
      </w:r>
      <w:r w:rsidR="008279B2" w:rsidRPr="0068236B">
        <w:rPr>
          <w:rFonts w:cs="Tahoma"/>
          <w:sz w:val="20"/>
          <w:szCs w:val="20"/>
        </w:rPr>
        <w:t>s</w:t>
      </w:r>
      <w:r w:rsidRPr="0068236B">
        <w:rPr>
          <w:rFonts w:cs="Tahoma"/>
          <w:sz w:val="20"/>
          <w:szCs w:val="20"/>
        </w:rPr>
        <w:t xml:space="preserve"> </w:t>
      </w:r>
      <w:r w:rsidRPr="0068236B">
        <w:rPr>
          <w:sz w:val="20"/>
        </w:rPr>
        <w:t>(1,000 metres on both sides from the longitudinal axis of the transmission line</w:t>
      </w:r>
      <w:r w:rsidR="008279B2" w:rsidRPr="0068236B">
        <w:rPr>
          <w:sz w:val="20"/>
        </w:rPr>
        <w:t>s</w:t>
      </w:r>
      <w:r w:rsidRPr="0068236B">
        <w:rPr>
          <w:sz w:val="20"/>
        </w:rPr>
        <w:t xml:space="preserve">) </w:t>
      </w:r>
      <w:r w:rsidRPr="0068236B">
        <w:rPr>
          <w:rFonts w:cs="Tahoma"/>
          <w:sz w:val="20"/>
          <w:szCs w:val="20"/>
        </w:rPr>
        <w:t>likely to be affected by the Project activities. This is due to the effect of noise from construction redu</w:t>
      </w:r>
      <w:r w:rsidRPr="0068236B">
        <w:rPr>
          <w:rFonts w:cs="Tahoma"/>
          <w:sz w:val="20"/>
          <w:szCs w:val="20"/>
        </w:rPr>
        <w:t>c</w:t>
      </w:r>
      <w:r w:rsidRPr="0068236B">
        <w:rPr>
          <w:rFonts w:cs="Tahoma"/>
          <w:sz w:val="20"/>
          <w:szCs w:val="20"/>
        </w:rPr>
        <w:t>ing with distance from the point of release, and beyond 1,000 m these are likely to have reduced to a level equivalent to background levels.</w:t>
      </w:r>
    </w:p>
    <w:p w14:paraId="4B76B837" w14:textId="77777777" w:rsidR="00DB3C90" w:rsidRPr="0068236B" w:rsidRDefault="00DB3C90" w:rsidP="00DA2DA3">
      <w:pPr>
        <w:pStyle w:val="Heading4"/>
        <w:rPr>
          <w:sz w:val="20"/>
        </w:rPr>
      </w:pPr>
      <w:bookmarkStart w:id="246" w:name="_Toc48829084"/>
      <w:bookmarkStart w:id="247" w:name="_Toc71559775"/>
      <w:r w:rsidRPr="0068236B">
        <w:rPr>
          <w:sz w:val="20"/>
        </w:rPr>
        <w:lastRenderedPageBreak/>
        <w:t>Baseline Conditions</w:t>
      </w:r>
      <w:bookmarkEnd w:id="246"/>
      <w:bookmarkEnd w:id="247"/>
    </w:p>
    <w:p w14:paraId="2485FEF5" w14:textId="61017CF6" w:rsidR="00335E6E" w:rsidRPr="0068236B" w:rsidRDefault="00DB3C90" w:rsidP="00DB3C90">
      <w:pPr>
        <w:autoSpaceDE w:val="0"/>
        <w:autoSpaceDN w:val="0"/>
        <w:adjustRightInd w:val="0"/>
        <w:rPr>
          <w:rFonts w:cs="Tahoma"/>
          <w:sz w:val="20"/>
          <w:szCs w:val="20"/>
        </w:rPr>
      </w:pPr>
      <w:r w:rsidRPr="0068236B">
        <w:rPr>
          <w:rFonts w:cs="Tahoma"/>
          <w:sz w:val="20"/>
          <w:szCs w:val="20"/>
        </w:rPr>
        <w:t xml:space="preserve">Environmental noise monitoring in </w:t>
      </w:r>
      <w:r w:rsidR="00611191" w:rsidRPr="0068236B">
        <w:rPr>
          <w:rFonts w:cs="Tahoma"/>
          <w:sz w:val="20"/>
          <w:szCs w:val="20"/>
        </w:rPr>
        <w:t>Macedonia</w:t>
      </w:r>
      <w:r w:rsidRPr="0068236B">
        <w:rPr>
          <w:rFonts w:cs="Tahoma"/>
          <w:sz w:val="20"/>
          <w:szCs w:val="20"/>
        </w:rPr>
        <w:t xml:space="preserve"> is organised in urban areas of </w:t>
      </w:r>
      <w:r w:rsidR="006F7DD7" w:rsidRPr="0068236B">
        <w:rPr>
          <w:rFonts w:cs="Tahoma"/>
          <w:sz w:val="20"/>
          <w:szCs w:val="20"/>
        </w:rPr>
        <w:t xml:space="preserve">four </w:t>
      </w:r>
      <w:r w:rsidRPr="0068236B">
        <w:rPr>
          <w:rFonts w:cs="Tahoma"/>
          <w:sz w:val="20"/>
          <w:szCs w:val="20"/>
        </w:rPr>
        <w:t>local self-governm</w:t>
      </w:r>
      <w:r w:rsidR="00611191" w:rsidRPr="0068236B">
        <w:rPr>
          <w:rFonts w:cs="Tahoma"/>
          <w:sz w:val="20"/>
          <w:szCs w:val="20"/>
        </w:rPr>
        <w:t>ents</w:t>
      </w:r>
      <w:r w:rsidR="00611191" w:rsidRPr="0068236B">
        <w:rPr>
          <w:rStyle w:val="FootnoteReference"/>
          <w:rFonts w:cs="Tahoma"/>
          <w:sz w:val="20"/>
          <w:szCs w:val="20"/>
        </w:rPr>
        <w:footnoteReference w:id="78"/>
      </w:r>
      <w:r w:rsidR="00611191" w:rsidRPr="0068236B">
        <w:rPr>
          <w:rFonts w:cs="Tahoma"/>
          <w:sz w:val="20"/>
          <w:szCs w:val="20"/>
        </w:rPr>
        <w:t xml:space="preserve"> (municipalities) </w:t>
      </w:r>
      <w:r w:rsidRPr="0068236B">
        <w:rPr>
          <w:rFonts w:cs="Tahoma"/>
          <w:sz w:val="20"/>
          <w:szCs w:val="20"/>
        </w:rPr>
        <w:t xml:space="preserve">at </w:t>
      </w:r>
      <w:r w:rsidR="00335E6E" w:rsidRPr="0068236B">
        <w:rPr>
          <w:rFonts w:cs="Tahoma"/>
          <w:sz w:val="20"/>
          <w:szCs w:val="20"/>
        </w:rPr>
        <w:t>3</w:t>
      </w:r>
      <w:r w:rsidR="00611191" w:rsidRPr="0068236B">
        <w:rPr>
          <w:rFonts w:cs="Tahoma"/>
          <w:sz w:val="20"/>
          <w:szCs w:val="20"/>
        </w:rPr>
        <w:t>9</w:t>
      </w:r>
      <w:r w:rsidRPr="0068236B">
        <w:rPr>
          <w:rFonts w:cs="Tahoma"/>
          <w:sz w:val="20"/>
          <w:szCs w:val="20"/>
        </w:rPr>
        <w:t xml:space="preserve"> measuring </w:t>
      </w:r>
      <w:r w:rsidR="00611191" w:rsidRPr="0068236B">
        <w:rPr>
          <w:rFonts w:cs="Tahoma"/>
          <w:sz w:val="20"/>
          <w:szCs w:val="20"/>
        </w:rPr>
        <w:t>stations</w:t>
      </w:r>
      <w:r w:rsidR="00DE3699" w:rsidRPr="0068236B">
        <w:rPr>
          <w:rFonts w:cs="Tahoma"/>
          <w:sz w:val="20"/>
          <w:szCs w:val="20"/>
        </w:rPr>
        <w:t xml:space="preserve"> [Ref.</w:t>
      </w:r>
      <w:r w:rsidR="004B0E9E" w:rsidRPr="0068236B">
        <w:rPr>
          <w:rFonts w:cs="Tahoma"/>
          <w:sz w:val="20"/>
          <w:szCs w:val="20"/>
        </w:rPr>
        <w:t>17</w:t>
      </w:r>
      <w:r w:rsidR="00DE3699" w:rsidRPr="0068236B">
        <w:rPr>
          <w:rFonts w:cs="Tahoma"/>
          <w:sz w:val="20"/>
          <w:szCs w:val="20"/>
        </w:rPr>
        <w:t>]</w:t>
      </w:r>
      <w:r w:rsidRPr="0068236B">
        <w:rPr>
          <w:rFonts w:cs="Tahoma"/>
          <w:sz w:val="20"/>
          <w:szCs w:val="20"/>
        </w:rPr>
        <w:t xml:space="preserve">. There are no measurements of the environmental noise neither within the study area nor in the rural </w:t>
      </w:r>
      <w:r w:rsidR="00335E6E" w:rsidRPr="0068236B">
        <w:rPr>
          <w:rFonts w:cs="Tahoma"/>
          <w:sz w:val="20"/>
          <w:szCs w:val="20"/>
        </w:rPr>
        <w:t xml:space="preserve">or urban </w:t>
      </w:r>
      <w:r w:rsidRPr="0068236B">
        <w:rPr>
          <w:rFonts w:cs="Tahoma"/>
          <w:sz w:val="20"/>
          <w:szCs w:val="20"/>
        </w:rPr>
        <w:t xml:space="preserve">areas in the Project </w:t>
      </w:r>
      <w:r w:rsidR="00DE3699" w:rsidRPr="0068236B">
        <w:rPr>
          <w:rFonts w:cs="Tahoma"/>
          <w:sz w:val="20"/>
          <w:szCs w:val="20"/>
        </w:rPr>
        <w:t>region</w:t>
      </w:r>
      <w:r w:rsidRPr="0068236B">
        <w:rPr>
          <w:rFonts w:cs="Tahoma"/>
          <w:sz w:val="20"/>
          <w:szCs w:val="20"/>
        </w:rPr>
        <w:t>.</w:t>
      </w:r>
      <w:r w:rsidR="008404FE" w:rsidRPr="0068236B">
        <w:rPr>
          <w:rFonts w:cs="Tahoma"/>
          <w:sz w:val="20"/>
          <w:szCs w:val="20"/>
        </w:rPr>
        <w:t xml:space="preserve"> </w:t>
      </w:r>
    </w:p>
    <w:p w14:paraId="4392C2D6" w14:textId="03DEA01C" w:rsidR="008754C4" w:rsidRPr="0068236B" w:rsidRDefault="00DB3C90" w:rsidP="00DB3C90">
      <w:pPr>
        <w:autoSpaceDE w:val="0"/>
        <w:autoSpaceDN w:val="0"/>
        <w:adjustRightInd w:val="0"/>
        <w:rPr>
          <w:sz w:val="20"/>
          <w:szCs w:val="20"/>
        </w:rPr>
      </w:pPr>
      <w:r w:rsidRPr="0068236B">
        <w:rPr>
          <w:rFonts w:eastAsiaTheme="minorHAnsi" w:cs="Tahoma"/>
          <w:sz w:val="20"/>
          <w:szCs w:val="20"/>
          <w:lang w:eastAsia="en-US"/>
        </w:rPr>
        <w:t xml:space="preserve">The study area is predominantly rural in nature, passing </w:t>
      </w:r>
      <w:r w:rsidRPr="0068236B">
        <w:rPr>
          <w:rFonts w:cs="Tahoma"/>
          <w:sz w:val="20"/>
          <w:szCs w:val="20"/>
        </w:rPr>
        <w:t>through not densely populated zones.</w:t>
      </w:r>
      <w:r w:rsidRPr="0068236B">
        <w:rPr>
          <w:rFonts w:eastAsiaTheme="minorHAnsi" w:cs="Tahoma"/>
          <w:sz w:val="20"/>
          <w:szCs w:val="20"/>
          <w:lang w:eastAsia="en-US"/>
        </w:rPr>
        <w:t xml:space="preserve"> Key noise source is the traffic network. Other sources of seasonal noise in the environment are the agricultural activ</w:t>
      </w:r>
      <w:r w:rsidRPr="0068236B">
        <w:rPr>
          <w:rFonts w:eastAsiaTheme="minorHAnsi" w:cs="Tahoma"/>
          <w:sz w:val="20"/>
          <w:szCs w:val="20"/>
          <w:lang w:eastAsia="en-US"/>
        </w:rPr>
        <w:t>i</w:t>
      </w:r>
      <w:r w:rsidRPr="0068236B">
        <w:rPr>
          <w:rFonts w:eastAsiaTheme="minorHAnsi" w:cs="Tahoma"/>
          <w:sz w:val="20"/>
          <w:szCs w:val="20"/>
          <w:lang w:eastAsia="en-US"/>
        </w:rPr>
        <w:t xml:space="preserve">ties. Therefore, it is generally assumed that the </w:t>
      </w:r>
      <w:r w:rsidRPr="0068236B">
        <w:rPr>
          <w:sz w:val="20"/>
          <w:szCs w:val="20"/>
        </w:rPr>
        <w:t>ambient noise levels at the proximity of the location of the new substation and along the OHL corridor</w:t>
      </w:r>
      <w:r w:rsidR="008754C4" w:rsidRPr="0068236B">
        <w:rPr>
          <w:sz w:val="20"/>
          <w:szCs w:val="20"/>
        </w:rPr>
        <w:t>s</w:t>
      </w:r>
      <w:r w:rsidRPr="0068236B">
        <w:rPr>
          <w:sz w:val="20"/>
          <w:szCs w:val="20"/>
        </w:rPr>
        <w:t xml:space="preserve"> are below the legally determined limit values for the particular types of zones </w:t>
      </w:r>
      <w:r w:rsidRPr="0068236B">
        <w:rPr>
          <w:sz w:val="20"/>
        </w:rPr>
        <w:t xml:space="preserve">set out in the relevant </w:t>
      </w:r>
      <w:r w:rsidR="008754C4" w:rsidRPr="0068236B">
        <w:rPr>
          <w:sz w:val="20"/>
        </w:rPr>
        <w:t>Macedonian</w:t>
      </w:r>
      <w:r w:rsidRPr="0068236B">
        <w:rPr>
          <w:sz w:val="20"/>
        </w:rPr>
        <w:t xml:space="preserve"> legislation</w:t>
      </w:r>
      <w:r w:rsidRPr="0068236B">
        <w:rPr>
          <w:rStyle w:val="FootnoteReference"/>
          <w:sz w:val="20"/>
          <w:szCs w:val="20"/>
        </w:rPr>
        <w:footnoteReference w:id="79"/>
      </w:r>
      <w:r w:rsidR="005678D4" w:rsidRPr="0068236B">
        <w:rPr>
          <w:sz w:val="20"/>
          <w:szCs w:val="20"/>
        </w:rPr>
        <w:t>.</w:t>
      </w:r>
    </w:p>
    <w:p w14:paraId="5CF500B4" w14:textId="477C638A" w:rsidR="00DB3C90" w:rsidRPr="0068236B" w:rsidRDefault="00DB3C90" w:rsidP="00DA2DA3">
      <w:pPr>
        <w:pStyle w:val="Heading3"/>
      </w:pPr>
      <w:bookmarkStart w:id="248" w:name="_Toc71559777"/>
      <w:bookmarkStart w:id="249" w:name="_Toc112852249"/>
      <w:r w:rsidRPr="0068236B">
        <w:t>Land Cover</w:t>
      </w:r>
      <w:bookmarkEnd w:id="248"/>
      <w:bookmarkEnd w:id="249"/>
    </w:p>
    <w:p w14:paraId="3FD7891F" w14:textId="77777777" w:rsidR="00DB3C90" w:rsidRPr="0068236B" w:rsidRDefault="00DB3C90" w:rsidP="00DA2DA3">
      <w:pPr>
        <w:pStyle w:val="Heading4"/>
        <w:rPr>
          <w:sz w:val="20"/>
        </w:rPr>
      </w:pPr>
      <w:bookmarkStart w:id="250" w:name="_Toc71559778"/>
      <w:r w:rsidRPr="0068236B">
        <w:rPr>
          <w:sz w:val="20"/>
        </w:rPr>
        <w:t>Study Area</w:t>
      </w:r>
      <w:bookmarkEnd w:id="250"/>
    </w:p>
    <w:p w14:paraId="4AB44B4B" w14:textId="366CA053" w:rsidR="00DB3C90" w:rsidRPr="0068236B" w:rsidRDefault="00DB3C90" w:rsidP="00DB3C90">
      <w:pPr>
        <w:autoSpaceDE w:val="0"/>
        <w:autoSpaceDN w:val="0"/>
        <w:adjustRightInd w:val="0"/>
        <w:rPr>
          <w:rFonts w:cs="Tahoma"/>
          <w:sz w:val="20"/>
          <w:szCs w:val="20"/>
          <w:lang w:eastAsia="en-US"/>
        </w:rPr>
      </w:pPr>
      <w:r w:rsidRPr="0068236B">
        <w:rPr>
          <w:rFonts w:cs="Tahoma"/>
          <w:sz w:val="20"/>
          <w:szCs w:val="20"/>
        </w:rPr>
        <w:t>A</w:t>
      </w:r>
      <w:r w:rsidRPr="0068236B">
        <w:rPr>
          <w:rFonts w:cs="Tahoma"/>
          <w:sz w:val="20"/>
          <w:szCs w:val="20"/>
          <w:lang w:eastAsia="en-US"/>
        </w:rPr>
        <w:t xml:space="preserve">n area of 1,000 metres wide OHL corridor </w:t>
      </w:r>
      <w:r w:rsidRPr="0068236B">
        <w:rPr>
          <w:rFonts w:cs="Tahoma"/>
          <w:sz w:val="20"/>
          <w:szCs w:val="20"/>
        </w:rPr>
        <w:t>(</w:t>
      </w:r>
      <w:r w:rsidRPr="0068236B">
        <w:rPr>
          <w:rFonts w:cs="Tahoma"/>
          <w:sz w:val="20"/>
        </w:rPr>
        <w:t xml:space="preserve">500 metres </w:t>
      </w:r>
      <w:r w:rsidRPr="0068236B">
        <w:rPr>
          <w:sz w:val="20"/>
        </w:rPr>
        <w:t>on both sides from the longitudinal axis of the transmission line</w:t>
      </w:r>
      <w:r w:rsidRPr="0068236B">
        <w:rPr>
          <w:rFonts w:cs="Tahoma"/>
          <w:sz w:val="20"/>
          <w:szCs w:val="20"/>
        </w:rPr>
        <w:t>)</w:t>
      </w:r>
      <w:r w:rsidRPr="0068236B">
        <w:rPr>
          <w:rFonts w:cs="Tahoma"/>
          <w:sz w:val="20"/>
          <w:szCs w:val="20"/>
          <w:lang w:eastAsia="en-US"/>
        </w:rPr>
        <w:t xml:space="preserve"> is used for this </w:t>
      </w:r>
      <w:r w:rsidR="00D24BAA" w:rsidRPr="0068236B">
        <w:rPr>
          <w:rFonts w:cs="Tahoma"/>
          <w:sz w:val="20"/>
          <w:szCs w:val="20"/>
          <w:lang w:eastAsia="en-US"/>
        </w:rPr>
        <w:t>assessment</w:t>
      </w:r>
      <w:r w:rsidRPr="0068236B">
        <w:rPr>
          <w:rFonts w:cs="Tahoma"/>
          <w:sz w:val="20"/>
          <w:szCs w:val="20"/>
          <w:lang w:eastAsia="en-US"/>
        </w:rPr>
        <w:t xml:space="preserve"> to present the baseline in wider context, which is considered as representative and sufficient to identify the current land use and structure in the broader area and to assess indirect impacts for the </w:t>
      </w:r>
      <w:r w:rsidR="001028EE" w:rsidRPr="0068236B">
        <w:rPr>
          <w:rFonts w:cs="Tahoma"/>
          <w:sz w:val="20"/>
          <w:szCs w:val="20"/>
          <w:lang w:eastAsia="en-US"/>
        </w:rPr>
        <w:t>P</w:t>
      </w:r>
      <w:r w:rsidRPr="0068236B">
        <w:rPr>
          <w:rFonts w:cs="Tahoma"/>
          <w:sz w:val="20"/>
          <w:szCs w:val="20"/>
          <w:lang w:eastAsia="en-US"/>
        </w:rPr>
        <w:t>roject.</w:t>
      </w:r>
    </w:p>
    <w:p w14:paraId="01B95EB5" w14:textId="34A2E64F" w:rsidR="00DB3C90" w:rsidRPr="0068236B" w:rsidRDefault="00DB3C90" w:rsidP="00DB3C90">
      <w:pPr>
        <w:autoSpaceDE w:val="0"/>
        <w:autoSpaceDN w:val="0"/>
        <w:adjustRightInd w:val="0"/>
        <w:rPr>
          <w:rFonts w:cs="Tahoma"/>
          <w:sz w:val="20"/>
          <w:szCs w:val="20"/>
          <w:lang w:eastAsia="en-US"/>
        </w:rPr>
      </w:pPr>
      <w:r w:rsidRPr="0068236B">
        <w:rPr>
          <w:rFonts w:cs="Tahoma"/>
          <w:sz w:val="20"/>
          <w:szCs w:val="20"/>
          <w:lang w:eastAsia="en-US"/>
        </w:rPr>
        <w:t xml:space="preserve">For the purposes of the </w:t>
      </w:r>
      <w:r w:rsidR="00D24BAA" w:rsidRPr="0068236B">
        <w:rPr>
          <w:rFonts w:cs="Tahoma"/>
          <w:sz w:val="20"/>
          <w:szCs w:val="20"/>
          <w:lang w:eastAsia="en-US"/>
        </w:rPr>
        <w:t>assessment</w:t>
      </w:r>
      <w:r w:rsidRPr="0068236B">
        <w:rPr>
          <w:rFonts w:cs="Tahoma"/>
          <w:sz w:val="20"/>
          <w:szCs w:val="20"/>
          <w:lang w:eastAsia="en-US"/>
        </w:rPr>
        <w:t xml:space="preserve">, the study area within the infrastructure corridor </w:t>
      </w:r>
      <w:r w:rsidRPr="0068236B">
        <w:rPr>
          <w:rFonts w:cs="Tahoma"/>
          <w:sz w:val="20"/>
          <w:szCs w:val="20"/>
        </w:rPr>
        <w:t>(defined for the pu</w:t>
      </w:r>
      <w:r w:rsidRPr="0068236B">
        <w:rPr>
          <w:rFonts w:cs="Tahoma"/>
          <w:sz w:val="20"/>
          <w:szCs w:val="20"/>
        </w:rPr>
        <w:t>r</w:t>
      </w:r>
      <w:r w:rsidRPr="0068236B">
        <w:rPr>
          <w:rFonts w:cs="Tahoma"/>
          <w:sz w:val="20"/>
          <w:szCs w:val="20"/>
        </w:rPr>
        <w:t xml:space="preserve">pose of this appraisal as 100 metres wide corridor) </w:t>
      </w:r>
      <w:r w:rsidRPr="0068236B">
        <w:rPr>
          <w:rFonts w:cs="Tahoma"/>
          <w:sz w:val="20"/>
          <w:szCs w:val="20"/>
          <w:lang w:eastAsia="en-US"/>
        </w:rPr>
        <w:t xml:space="preserve">will be used for consideration of the direct effects and changes on the current key land use forms (e.g. agricultural land, woodland, urban land, etc.). </w:t>
      </w:r>
      <w:r w:rsidRPr="0068236B">
        <w:rPr>
          <w:rFonts w:cs="Tahoma"/>
          <w:sz w:val="20"/>
          <w:szCs w:val="20"/>
        </w:rPr>
        <w:t xml:space="preserve">This zone is based on the </w:t>
      </w:r>
      <w:r w:rsidRPr="0068236B">
        <w:rPr>
          <w:rFonts w:cs="Tahoma"/>
          <w:sz w:val="20"/>
          <w:szCs w:val="20"/>
          <w:lang w:eastAsia="en-US"/>
        </w:rPr>
        <w:t>land anticipated to be directly affected by the Project, i.e. potentially required temporarily and/or permanently for the construction, operation and maintenance of the transmission line and where specific land use rules would be established to ensure technical safety of the OHL and protection of people and environment during its operation.</w:t>
      </w:r>
    </w:p>
    <w:p w14:paraId="3F72ECCB" w14:textId="77777777" w:rsidR="00DB3C90" w:rsidRPr="0068236B" w:rsidRDefault="00DB3C90" w:rsidP="00DA2DA3">
      <w:pPr>
        <w:pStyle w:val="Heading4"/>
        <w:rPr>
          <w:sz w:val="20"/>
        </w:rPr>
      </w:pPr>
      <w:bookmarkStart w:id="251" w:name="_Toc71559779"/>
      <w:r w:rsidRPr="0068236B">
        <w:rPr>
          <w:sz w:val="20"/>
        </w:rPr>
        <w:t>Baseline Conditions</w:t>
      </w:r>
      <w:bookmarkEnd w:id="251"/>
    </w:p>
    <w:p w14:paraId="36F2F394" w14:textId="77777777" w:rsidR="00EB538C" w:rsidRPr="0068236B" w:rsidRDefault="00EB538C" w:rsidP="00FB2184">
      <w:pPr>
        <w:pStyle w:val="NumberedParagraph"/>
        <w:rPr>
          <w:sz w:val="20"/>
        </w:rPr>
      </w:pPr>
      <w:r w:rsidRPr="0068236B">
        <w:rPr>
          <w:rFonts w:cs="Tahoma"/>
          <w:sz w:val="20"/>
          <w:szCs w:val="20"/>
        </w:rPr>
        <w:t xml:space="preserve">Comparative land cover assessment within the study area </w:t>
      </w:r>
      <w:r w:rsidR="00FB2184" w:rsidRPr="0068236B">
        <w:rPr>
          <w:rFonts w:cs="Tahoma"/>
          <w:sz w:val="20"/>
          <w:szCs w:val="20"/>
        </w:rPr>
        <w:t xml:space="preserve">of the Project’s components </w:t>
      </w:r>
      <w:r w:rsidRPr="0068236B">
        <w:rPr>
          <w:rFonts w:cs="Tahoma"/>
          <w:sz w:val="20"/>
          <w:szCs w:val="20"/>
        </w:rPr>
        <w:t>is made based on CORINE Land Cover (CLC)</w:t>
      </w:r>
      <w:r w:rsidRPr="0068236B">
        <w:rPr>
          <w:rStyle w:val="FootnoteReference"/>
          <w:rFonts w:cs="Tahoma"/>
          <w:sz w:val="20"/>
          <w:szCs w:val="20"/>
        </w:rPr>
        <w:footnoteReference w:id="80"/>
      </w:r>
      <w:r w:rsidRPr="0068236B">
        <w:rPr>
          <w:rFonts w:cs="Tahoma"/>
          <w:sz w:val="20"/>
          <w:szCs w:val="20"/>
        </w:rPr>
        <w:t xml:space="preserve"> 2018 data</w:t>
      </w:r>
      <w:r w:rsidR="00FB2184" w:rsidRPr="0068236B">
        <w:rPr>
          <w:rFonts w:cs="Tahoma"/>
          <w:sz w:val="20"/>
          <w:szCs w:val="20"/>
        </w:rPr>
        <w:t xml:space="preserve"> and is presented below.</w:t>
      </w:r>
    </w:p>
    <w:p w14:paraId="75B9A863" w14:textId="77777777" w:rsidR="00952538" w:rsidRPr="0068236B" w:rsidRDefault="00952538" w:rsidP="00952538">
      <w:pPr>
        <w:pStyle w:val="NumberedParagraph"/>
        <w:jc w:val="left"/>
        <w:rPr>
          <w:sz w:val="20"/>
        </w:rPr>
      </w:pPr>
      <w:r w:rsidRPr="0068236B">
        <w:rPr>
          <w:sz w:val="20"/>
        </w:rPr>
        <w:t>The baseline land cover conditions for each of the elements of this sub-project are provided below.</w:t>
      </w:r>
    </w:p>
    <w:p w14:paraId="6E7DDA0B" w14:textId="77777777" w:rsidR="001028EE" w:rsidRPr="0068236B" w:rsidRDefault="001028EE" w:rsidP="00D24CEF">
      <w:pPr>
        <w:pStyle w:val="ListBullet"/>
        <w:numPr>
          <w:ilvl w:val="0"/>
          <w:numId w:val="97"/>
        </w:numPr>
        <w:spacing w:before="120" w:after="120"/>
        <w:ind w:left="714" w:hanging="357"/>
        <w:jc w:val="left"/>
        <w:rPr>
          <w:sz w:val="20"/>
        </w:rPr>
      </w:pPr>
      <w:r w:rsidRPr="0068236B">
        <w:rPr>
          <w:sz w:val="20"/>
        </w:rPr>
        <w:t>The new 400/110 kV substation Valandovo</w:t>
      </w:r>
      <w:r w:rsidR="00952538" w:rsidRPr="0068236B">
        <w:rPr>
          <w:sz w:val="20"/>
        </w:rPr>
        <w:t xml:space="preserve"> and ‘i</w:t>
      </w:r>
      <w:r w:rsidR="00952538" w:rsidRPr="0068236B">
        <w:rPr>
          <w:rFonts w:eastAsia="Calibri" w:cs="Tahoma"/>
          <w:color w:val="000000"/>
          <w:sz w:val="20"/>
        </w:rPr>
        <w:t xml:space="preserve">n-out’ connection with </w:t>
      </w:r>
      <w:r w:rsidR="00952538" w:rsidRPr="0068236B">
        <w:rPr>
          <w:sz w:val="20"/>
        </w:rPr>
        <w:t>the existing 400 kV line from SS Dubrovo to Thessalonica (GR)</w:t>
      </w:r>
    </w:p>
    <w:p w14:paraId="6D22D067" w14:textId="77777777" w:rsidR="001028EE" w:rsidRPr="0068236B" w:rsidRDefault="00C61679" w:rsidP="001028EE">
      <w:pPr>
        <w:rPr>
          <w:rFonts w:cs="Tahoma"/>
          <w:color w:val="000000"/>
          <w:sz w:val="20"/>
        </w:rPr>
      </w:pPr>
      <w:r w:rsidRPr="0068236B">
        <w:rPr>
          <w:rFonts w:cs="Tahoma"/>
          <w:sz w:val="20"/>
        </w:rPr>
        <w:t xml:space="preserve">Due to the </w:t>
      </w:r>
      <w:r w:rsidR="007C6993" w:rsidRPr="0068236B">
        <w:rPr>
          <w:rFonts w:cs="Tahoma"/>
          <w:sz w:val="20"/>
        </w:rPr>
        <w:t xml:space="preserve">relatively </w:t>
      </w:r>
      <w:r w:rsidRPr="0068236B">
        <w:rPr>
          <w:rFonts w:cs="Tahoma"/>
          <w:sz w:val="20"/>
        </w:rPr>
        <w:t xml:space="preserve">small </w:t>
      </w:r>
      <w:r w:rsidR="007C6993" w:rsidRPr="0068236B">
        <w:rPr>
          <w:rFonts w:cs="Tahoma"/>
          <w:sz w:val="20"/>
        </w:rPr>
        <w:t>affected area,</w:t>
      </w:r>
      <w:r w:rsidR="00D13DB0" w:rsidRPr="0068236B">
        <w:rPr>
          <w:rFonts w:cs="Tahoma"/>
          <w:sz w:val="20"/>
        </w:rPr>
        <w:t xml:space="preserve"> there are only three</w:t>
      </w:r>
      <w:r w:rsidRPr="0068236B">
        <w:rPr>
          <w:rFonts w:cs="Tahoma"/>
          <w:sz w:val="20"/>
        </w:rPr>
        <w:t xml:space="preserve"> land cover classes: </w:t>
      </w:r>
      <w:r w:rsidRPr="0068236B">
        <w:rPr>
          <w:rFonts w:cs="Tahoma"/>
          <w:color w:val="000000"/>
          <w:sz w:val="20"/>
        </w:rPr>
        <w:t>211: Non-irrigated arable land, 321: Natural grasslands and 323 Sclerophyllous vegetation. The Non-irrigated arable land occupies small surface while Natural grasslands and Sclerophyllous vegetation are dominant</w:t>
      </w:r>
      <w:r w:rsidR="007C6993" w:rsidRPr="0068236B">
        <w:rPr>
          <w:rFonts w:cs="Tahoma"/>
          <w:color w:val="000000"/>
          <w:sz w:val="20"/>
        </w:rPr>
        <w:t xml:space="preserve"> (Figure below)</w:t>
      </w:r>
      <w:r w:rsidRPr="0068236B">
        <w:rPr>
          <w:rFonts w:cs="Tahoma"/>
          <w:color w:val="000000"/>
          <w:sz w:val="20"/>
        </w:rPr>
        <w:t>.</w:t>
      </w:r>
    </w:p>
    <w:p w14:paraId="6BA1FBB9" w14:textId="77777777" w:rsidR="007C6993" w:rsidRPr="0068236B" w:rsidRDefault="007C6993" w:rsidP="007C6993">
      <w:pPr>
        <w:spacing w:after="60"/>
        <w:rPr>
          <w:rFonts w:cs="Tahoma"/>
          <w:sz w:val="20"/>
          <w:szCs w:val="20"/>
        </w:rPr>
      </w:pPr>
      <w:r w:rsidRPr="0068236B">
        <w:rPr>
          <w:rFonts w:cs="Tahoma"/>
          <w:noProof/>
          <w:sz w:val="20"/>
          <w:szCs w:val="20"/>
          <w:lang w:val="mk-MK" w:eastAsia="mk-MK"/>
        </w:rPr>
        <w:lastRenderedPageBreak/>
        <w:drawing>
          <wp:inline distT="0" distB="0" distL="0" distR="0" wp14:anchorId="4B78C305" wp14:editId="72DE7419">
            <wp:extent cx="6124575" cy="2638425"/>
            <wp:effectExtent l="19050" t="0" r="9525" b="0"/>
            <wp:docPr id="8" name="Picture 1" descr="C:\Users\Slavco Hristovski\Documents\Pictures\OHL MEPSO Valandovo-Miletkovo 2021-05-26\0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lavco Hristovski\Documents\Pictures\OHL MEPSO Valandovo-Miletkovo 2021-05-26\069.JPG"/>
                    <pic:cNvPicPr>
                      <a:picLocks noChangeAspect="1" noChangeArrowheads="1"/>
                    </pic:cNvPicPr>
                  </pic:nvPicPr>
                  <pic:blipFill>
                    <a:blip r:embed="rId106" cstate="email">
                      <a:extLst>
                        <a:ext uri="{28A0092B-C50C-407E-A947-70E740481C1C}">
                          <a14:useLocalDpi xmlns:a14="http://schemas.microsoft.com/office/drawing/2010/main" val="0"/>
                        </a:ext>
                      </a:extLst>
                    </a:blip>
                    <a:srcRect/>
                    <a:stretch>
                      <a:fillRect/>
                    </a:stretch>
                  </pic:blipFill>
                  <pic:spPr bwMode="auto">
                    <a:xfrm>
                      <a:off x="0" y="0"/>
                      <a:ext cx="6124575" cy="2638425"/>
                    </a:xfrm>
                    <a:prstGeom prst="rect">
                      <a:avLst/>
                    </a:prstGeom>
                    <a:noFill/>
                    <a:ln w="9525">
                      <a:noFill/>
                      <a:miter lim="800000"/>
                      <a:headEnd/>
                      <a:tailEnd/>
                    </a:ln>
                  </pic:spPr>
                </pic:pic>
              </a:graphicData>
            </a:graphic>
          </wp:inline>
        </w:drawing>
      </w:r>
    </w:p>
    <w:p w14:paraId="4042CF3C" w14:textId="77777777" w:rsidR="007C6993" w:rsidRPr="0068236B" w:rsidRDefault="007C6993" w:rsidP="007C6993">
      <w:pPr>
        <w:spacing w:before="60" w:after="60"/>
        <w:jc w:val="left"/>
        <w:rPr>
          <w:rFonts w:cs="Tahoma"/>
          <w:sz w:val="18"/>
          <w:szCs w:val="20"/>
        </w:rPr>
      </w:pPr>
      <w:bookmarkStart w:id="252" w:name="_Toc112928883"/>
      <w:r w:rsidRPr="0068236B">
        <w:rPr>
          <w:rFonts w:cs="Tahoma"/>
          <w:sz w:val="18"/>
          <w:szCs w:val="20"/>
        </w:rPr>
        <w:t xml:space="preserve">Figure </w:t>
      </w:r>
      <w:r w:rsidR="00377E43" w:rsidRPr="0068236B">
        <w:rPr>
          <w:rFonts w:cs="Tahoma"/>
          <w:sz w:val="18"/>
          <w:szCs w:val="20"/>
        </w:rPr>
        <w:fldChar w:fldCharType="begin"/>
      </w:r>
      <w:r w:rsidRPr="0068236B">
        <w:rPr>
          <w:rFonts w:cs="Tahoma"/>
          <w:sz w:val="18"/>
          <w:szCs w:val="20"/>
        </w:rPr>
        <w:instrText xml:space="preserve"> STYLEREF 1 \s </w:instrText>
      </w:r>
      <w:r w:rsidR="00377E43" w:rsidRPr="0068236B">
        <w:rPr>
          <w:rFonts w:cs="Tahoma"/>
          <w:sz w:val="18"/>
          <w:szCs w:val="20"/>
        </w:rPr>
        <w:fldChar w:fldCharType="separate"/>
      </w:r>
      <w:r w:rsidR="00E502D0" w:rsidRPr="0068236B">
        <w:rPr>
          <w:rFonts w:cs="Tahoma"/>
          <w:noProof/>
          <w:sz w:val="18"/>
          <w:szCs w:val="20"/>
        </w:rPr>
        <w:t>7</w:t>
      </w:r>
      <w:r w:rsidR="00377E43" w:rsidRPr="0068236B">
        <w:rPr>
          <w:rFonts w:cs="Tahoma"/>
          <w:sz w:val="18"/>
          <w:szCs w:val="20"/>
        </w:rPr>
        <w:fldChar w:fldCharType="end"/>
      </w:r>
      <w:r w:rsidRPr="0068236B">
        <w:rPr>
          <w:rFonts w:cs="Tahoma"/>
          <w:sz w:val="18"/>
          <w:szCs w:val="20"/>
        </w:rPr>
        <w:t>.</w:t>
      </w:r>
      <w:r w:rsidR="00377E43" w:rsidRPr="0068236B">
        <w:rPr>
          <w:rFonts w:cs="Tahoma"/>
          <w:sz w:val="18"/>
          <w:szCs w:val="20"/>
        </w:rPr>
        <w:fldChar w:fldCharType="begin"/>
      </w:r>
      <w:r w:rsidRPr="0068236B">
        <w:rPr>
          <w:rFonts w:cs="Tahoma"/>
          <w:sz w:val="18"/>
          <w:szCs w:val="20"/>
        </w:rPr>
        <w:instrText xml:space="preserve"> SEQ Figure \* ARABIC \s 1 </w:instrText>
      </w:r>
      <w:r w:rsidR="00377E43" w:rsidRPr="0068236B">
        <w:rPr>
          <w:rFonts w:cs="Tahoma"/>
          <w:sz w:val="18"/>
          <w:szCs w:val="20"/>
        </w:rPr>
        <w:fldChar w:fldCharType="separate"/>
      </w:r>
      <w:r w:rsidR="00E502D0" w:rsidRPr="0068236B">
        <w:rPr>
          <w:rFonts w:cs="Tahoma"/>
          <w:noProof/>
          <w:sz w:val="18"/>
          <w:szCs w:val="20"/>
        </w:rPr>
        <w:t>12</w:t>
      </w:r>
      <w:r w:rsidR="00377E43" w:rsidRPr="0068236B">
        <w:rPr>
          <w:rFonts w:cs="Tahoma"/>
          <w:sz w:val="18"/>
          <w:szCs w:val="20"/>
        </w:rPr>
        <w:fldChar w:fldCharType="end"/>
      </w:r>
      <w:r w:rsidRPr="0068236B">
        <w:rPr>
          <w:rFonts w:cs="Tahoma"/>
          <w:sz w:val="18"/>
          <w:szCs w:val="20"/>
        </w:rPr>
        <w:t>: Wider area of the new 400/110 kV substation Valandovo and ‘in-out’ connection with the existing 400 kV line</w:t>
      </w:r>
      <w:bookmarkEnd w:id="252"/>
    </w:p>
    <w:p w14:paraId="5E150158" w14:textId="77777777" w:rsidR="007C6993" w:rsidRPr="0068236B" w:rsidRDefault="007C6993" w:rsidP="007C6993">
      <w:pPr>
        <w:spacing w:before="60" w:after="240"/>
        <w:rPr>
          <w:rFonts w:cs="Tahoma"/>
          <w:sz w:val="16"/>
          <w:szCs w:val="16"/>
        </w:rPr>
      </w:pPr>
      <w:r w:rsidRPr="0068236B">
        <w:rPr>
          <w:rFonts w:cs="Tahoma"/>
          <w:sz w:val="16"/>
          <w:szCs w:val="16"/>
        </w:rPr>
        <w:t xml:space="preserve">Note: The existing 400 KV OHL can be seen within the </w:t>
      </w:r>
      <w:r w:rsidRPr="0068236B">
        <w:rPr>
          <w:rFonts w:cs="Tahoma"/>
          <w:color w:val="000000"/>
          <w:sz w:val="16"/>
          <w:szCs w:val="16"/>
        </w:rPr>
        <w:t>323 Sclerophyllous vegetation</w:t>
      </w:r>
    </w:p>
    <w:p w14:paraId="66E170EC" w14:textId="2F5B1007" w:rsidR="001028EE" w:rsidRPr="0068236B" w:rsidRDefault="00873406" w:rsidP="00D24CEF">
      <w:pPr>
        <w:pStyle w:val="ListBullet"/>
        <w:numPr>
          <w:ilvl w:val="0"/>
          <w:numId w:val="97"/>
        </w:numPr>
        <w:spacing w:before="120" w:after="120"/>
        <w:ind w:left="714" w:hanging="357"/>
        <w:jc w:val="left"/>
        <w:rPr>
          <w:sz w:val="20"/>
        </w:rPr>
      </w:pPr>
      <w:r w:rsidRPr="0068236B">
        <w:rPr>
          <w:sz w:val="20"/>
        </w:rPr>
        <w:t>Reconstruction of</w:t>
      </w:r>
      <w:r w:rsidR="001028EE" w:rsidRPr="0068236B">
        <w:rPr>
          <w:sz w:val="20"/>
        </w:rPr>
        <w:t xml:space="preserve"> the existing 110 kV transmission line from SS Valandovo to SS ‘EVP’ Miletkovo.</w:t>
      </w:r>
    </w:p>
    <w:p w14:paraId="71B5F369" w14:textId="77777777" w:rsidR="005D53E5" w:rsidRPr="0068236B" w:rsidRDefault="005D53E5" w:rsidP="005D53E5">
      <w:pPr>
        <w:rPr>
          <w:rFonts w:cs="Tahoma"/>
          <w:sz w:val="20"/>
          <w:szCs w:val="20"/>
        </w:rPr>
      </w:pPr>
      <w:r w:rsidRPr="0068236B">
        <w:rPr>
          <w:rFonts w:cs="Tahoma"/>
          <w:sz w:val="20"/>
          <w:szCs w:val="20"/>
        </w:rPr>
        <w:t xml:space="preserve">The land cover within the study area along this existing line </w:t>
      </w:r>
      <w:r w:rsidR="00FB2184" w:rsidRPr="0068236B">
        <w:rPr>
          <w:rFonts w:cs="Tahoma"/>
          <w:sz w:val="20"/>
          <w:szCs w:val="20"/>
        </w:rPr>
        <w:t xml:space="preserve">(Table below) </w:t>
      </w:r>
      <w:r w:rsidRPr="0068236B">
        <w:rPr>
          <w:rFonts w:cs="Tahoma"/>
          <w:sz w:val="20"/>
          <w:szCs w:val="20"/>
        </w:rPr>
        <w:t xml:space="preserve">is dominated by agricultural land (approx. 40% in total): 242 Complex cultivation patterns (37.0%) and 211 Non-irrigated arable land (3%). Significant portion is also occupied by 323 Sclerophyllous vegetation (29.51%) which in fact the vegetation of pseudomaquis. </w:t>
      </w:r>
    </w:p>
    <w:p w14:paraId="6C47EFA3" w14:textId="77777777" w:rsidR="005D53E5" w:rsidRPr="0068236B" w:rsidRDefault="005D53E5" w:rsidP="005D53E5">
      <w:pPr>
        <w:rPr>
          <w:rFonts w:cs="Tahoma"/>
          <w:sz w:val="20"/>
          <w:szCs w:val="20"/>
        </w:rPr>
      </w:pPr>
      <w:r w:rsidRPr="0068236B">
        <w:rPr>
          <w:rFonts w:cs="Tahoma"/>
          <w:sz w:val="20"/>
          <w:szCs w:val="20"/>
        </w:rPr>
        <w:t>The line crosses the valley of the Vardar River which contributes to higher percentage of CLC class 511 W</w:t>
      </w:r>
      <w:r w:rsidRPr="0068236B">
        <w:rPr>
          <w:rFonts w:cs="Tahoma"/>
          <w:sz w:val="20"/>
          <w:szCs w:val="20"/>
        </w:rPr>
        <w:t>a</w:t>
      </w:r>
      <w:r w:rsidRPr="0068236B">
        <w:rPr>
          <w:rFonts w:cs="Tahoma"/>
          <w:sz w:val="20"/>
          <w:szCs w:val="20"/>
        </w:rPr>
        <w:t>ter courses (29.1%).</w:t>
      </w:r>
    </w:p>
    <w:tbl>
      <w:tblPr>
        <w:tblW w:w="405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848"/>
        <w:gridCol w:w="1504"/>
        <w:gridCol w:w="1500"/>
      </w:tblGrid>
      <w:tr w:rsidR="00EB538C" w:rsidRPr="0068236B" w14:paraId="1445273F" w14:textId="77777777" w:rsidTr="00FA33C6">
        <w:trPr>
          <w:trHeight w:val="363"/>
        </w:trPr>
        <w:tc>
          <w:tcPr>
            <w:tcW w:w="3087" w:type="pct"/>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1EC14105" w14:textId="77777777" w:rsidR="00EB538C" w:rsidRPr="0068236B" w:rsidRDefault="00EB538C" w:rsidP="005D53E5">
            <w:pPr>
              <w:keepLines/>
              <w:spacing w:before="0" w:after="0" w:line="240" w:lineRule="auto"/>
              <w:jc w:val="left"/>
              <w:rPr>
                <w:rFonts w:cs="Tahoma"/>
                <w:bCs/>
                <w:sz w:val="20"/>
                <w:szCs w:val="20"/>
              </w:rPr>
            </w:pPr>
            <w:r w:rsidRPr="0068236B">
              <w:rPr>
                <w:rFonts w:cs="Tahoma"/>
                <w:bCs/>
                <w:sz w:val="20"/>
                <w:szCs w:val="20"/>
              </w:rPr>
              <w:t>CORINE Land Cover class</w:t>
            </w:r>
          </w:p>
          <w:p w14:paraId="76E81995" w14:textId="77777777" w:rsidR="00EB538C" w:rsidRPr="0068236B" w:rsidRDefault="00EB538C" w:rsidP="005D53E5">
            <w:pPr>
              <w:keepLines/>
              <w:spacing w:before="0" w:after="0" w:line="240" w:lineRule="auto"/>
              <w:jc w:val="left"/>
              <w:rPr>
                <w:rFonts w:cs="Tahoma"/>
                <w:bCs/>
                <w:sz w:val="20"/>
                <w:szCs w:val="20"/>
              </w:rPr>
            </w:pPr>
            <w:r w:rsidRPr="0068236B">
              <w:rPr>
                <w:rFonts w:cs="Tahoma"/>
                <w:bCs/>
                <w:sz w:val="20"/>
                <w:szCs w:val="20"/>
                <w:lang w:eastAsia="mk-MK"/>
              </w:rPr>
              <w:t>(broader study area of 1,000 metres wide corridor)</w:t>
            </w:r>
          </w:p>
        </w:tc>
        <w:tc>
          <w:tcPr>
            <w:tcW w:w="958" w:type="pct"/>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412A4EE2" w14:textId="77777777" w:rsidR="00EB538C" w:rsidRPr="0068236B" w:rsidRDefault="00EB538C" w:rsidP="00EB538C">
            <w:pPr>
              <w:keepLines/>
              <w:spacing w:before="0" w:after="0" w:line="240" w:lineRule="auto"/>
              <w:jc w:val="center"/>
              <w:rPr>
                <w:rFonts w:cs="Tahoma"/>
                <w:sz w:val="20"/>
                <w:szCs w:val="20"/>
              </w:rPr>
            </w:pPr>
            <w:r w:rsidRPr="0068236B">
              <w:rPr>
                <w:rFonts w:eastAsia="Calibri" w:cs="Tahoma"/>
                <w:sz w:val="20"/>
                <w:szCs w:val="20"/>
              </w:rPr>
              <w:t>Area</w:t>
            </w:r>
          </w:p>
          <w:p w14:paraId="0F21015B" w14:textId="77777777" w:rsidR="00EB538C" w:rsidRPr="0068236B" w:rsidRDefault="00EB538C" w:rsidP="00EB538C">
            <w:pPr>
              <w:keepLines/>
              <w:spacing w:before="0" w:after="0" w:line="240" w:lineRule="auto"/>
              <w:jc w:val="center"/>
              <w:rPr>
                <w:rFonts w:cs="Tahoma"/>
                <w:sz w:val="20"/>
                <w:szCs w:val="20"/>
              </w:rPr>
            </w:pPr>
            <w:r w:rsidRPr="0068236B">
              <w:rPr>
                <w:rFonts w:cs="Tahoma"/>
                <w:sz w:val="20"/>
                <w:szCs w:val="20"/>
              </w:rPr>
              <w:t>[hectares]</w:t>
            </w:r>
          </w:p>
        </w:tc>
        <w:tc>
          <w:tcPr>
            <w:tcW w:w="955" w:type="pct"/>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003DBDF4" w14:textId="77777777" w:rsidR="00EB538C" w:rsidRPr="0068236B" w:rsidRDefault="00EB538C" w:rsidP="00EB538C">
            <w:pPr>
              <w:keepLines/>
              <w:spacing w:before="0" w:after="0" w:line="240" w:lineRule="auto"/>
              <w:jc w:val="center"/>
              <w:rPr>
                <w:rFonts w:eastAsia="Calibri" w:cs="Tahoma"/>
                <w:sz w:val="20"/>
                <w:szCs w:val="20"/>
              </w:rPr>
            </w:pPr>
            <w:r w:rsidRPr="0068236B">
              <w:rPr>
                <w:rFonts w:eastAsia="Calibri" w:cs="Tahoma"/>
                <w:sz w:val="20"/>
                <w:szCs w:val="20"/>
              </w:rPr>
              <w:t>Percentage</w:t>
            </w:r>
          </w:p>
          <w:p w14:paraId="5BACEE77" w14:textId="77777777" w:rsidR="00EB538C" w:rsidRPr="0068236B" w:rsidRDefault="00EB538C" w:rsidP="00EB538C">
            <w:pPr>
              <w:keepLines/>
              <w:spacing w:before="0" w:after="0" w:line="240" w:lineRule="auto"/>
              <w:jc w:val="center"/>
              <w:rPr>
                <w:rFonts w:cs="Tahoma"/>
                <w:sz w:val="20"/>
                <w:szCs w:val="20"/>
              </w:rPr>
            </w:pPr>
            <w:r w:rsidRPr="0068236B">
              <w:rPr>
                <w:rFonts w:eastAsia="Calibri" w:cs="Tahoma"/>
                <w:sz w:val="20"/>
                <w:szCs w:val="20"/>
              </w:rPr>
              <w:t>[%]</w:t>
            </w:r>
          </w:p>
        </w:tc>
      </w:tr>
      <w:tr w:rsidR="005D53E5" w:rsidRPr="0068236B" w14:paraId="13665D07" w14:textId="77777777" w:rsidTr="00FA33C6">
        <w:tc>
          <w:tcPr>
            <w:tcW w:w="3087" w:type="pct"/>
            <w:tcBorders>
              <w:top w:val="double" w:sz="4" w:space="0" w:color="auto"/>
            </w:tcBorders>
            <w:shd w:val="clear" w:color="auto" w:fill="auto"/>
            <w:vAlign w:val="bottom"/>
          </w:tcPr>
          <w:p w14:paraId="3BFF5FD9" w14:textId="77777777" w:rsidR="005D53E5" w:rsidRPr="0068236B" w:rsidRDefault="005D53E5" w:rsidP="005D53E5">
            <w:pPr>
              <w:spacing w:before="0" w:after="0" w:line="240" w:lineRule="auto"/>
              <w:jc w:val="left"/>
              <w:rPr>
                <w:rFonts w:cs="Tahoma"/>
                <w:color w:val="000000"/>
                <w:sz w:val="20"/>
                <w:szCs w:val="20"/>
              </w:rPr>
            </w:pPr>
            <w:r w:rsidRPr="0068236B">
              <w:rPr>
                <w:rFonts w:cs="Tahoma"/>
                <w:color w:val="000000"/>
                <w:sz w:val="20"/>
                <w:szCs w:val="20"/>
              </w:rPr>
              <w:t>112 Discontinuous urban fabric</w:t>
            </w:r>
          </w:p>
        </w:tc>
        <w:tc>
          <w:tcPr>
            <w:tcW w:w="958" w:type="pct"/>
            <w:tcBorders>
              <w:top w:val="double" w:sz="4" w:space="0" w:color="auto"/>
            </w:tcBorders>
            <w:shd w:val="clear" w:color="auto" w:fill="auto"/>
            <w:vAlign w:val="bottom"/>
          </w:tcPr>
          <w:p w14:paraId="4F0CD801"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w:t>
            </w:r>
          </w:p>
        </w:tc>
        <w:tc>
          <w:tcPr>
            <w:tcW w:w="955" w:type="pct"/>
            <w:tcBorders>
              <w:top w:val="double" w:sz="4" w:space="0" w:color="auto"/>
            </w:tcBorders>
            <w:vAlign w:val="bottom"/>
          </w:tcPr>
          <w:p w14:paraId="3AC785D7"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w:t>
            </w:r>
          </w:p>
        </w:tc>
      </w:tr>
      <w:tr w:rsidR="005D53E5" w:rsidRPr="0068236B" w14:paraId="2457FE1F" w14:textId="77777777" w:rsidTr="00EB538C">
        <w:tc>
          <w:tcPr>
            <w:tcW w:w="3087" w:type="pct"/>
            <w:shd w:val="clear" w:color="auto" w:fill="auto"/>
            <w:vAlign w:val="bottom"/>
          </w:tcPr>
          <w:p w14:paraId="590B99CD" w14:textId="77777777" w:rsidR="005D53E5" w:rsidRPr="0068236B" w:rsidRDefault="005D53E5" w:rsidP="005D53E5">
            <w:pPr>
              <w:spacing w:before="0" w:after="0" w:line="240" w:lineRule="auto"/>
              <w:jc w:val="left"/>
              <w:rPr>
                <w:rFonts w:cs="Tahoma"/>
                <w:color w:val="000000"/>
                <w:sz w:val="20"/>
                <w:szCs w:val="20"/>
              </w:rPr>
            </w:pPr>
            <w:r w:rsidRPr="0068236B">
              <w:rPr>
                <w:rFonts w:cs="Tahoma"/>
                <w:color w:val="000000"/>
                <w:sz w:val="20"/>
                <w:szCs w:val="20"/>
              </w:rPr>
              <w:t>121 Industrial or commercial units</w:t>
            </w:r>
          </w:p>
        </w:tc>
        <w:tc>
          <w:tcPr>
            <w:tcW w:w="958" w:type="pct"/>
            <w:shd w:val="clear" w:color="auto" w:fill="auto"/>
            <w:vAlign w:val="bottom"/>
          </w:tcPr>
          <w:p w14:paraId="2D183985"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w:t>
            </w:r>
          </w:p>
        </w:tc>
        <w:tc>
          <w:tcPr>
            <w:tcW w:w="955" w:type="pct"/>
            <w:vAlign w:val="bottom"/>
          </w:tcPr>
          <w:p w14:paraId="15637A50"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w:t>
            </w:r>
          </w:p>
        </w:tc>
      </w:tr>
      <w:tr w:rsidR="005D53E5" w:rsidRPr="0068236B" w14:paraId="34624498" w14:textId="77777777" w:rsidTr="00EB538C">
        <w:tc>
          <w:tcPr>
            <w:tcW w:w="3087" w:type="pct"/>
            <w:shd w:val="clear" w:color="auto" w:fill="auto"/>
            <w:vAlign w:val="bottom"/>
          </w:tcPr>
          <w:p w14:paraId="5EBCA16F" w14:textId="77777777" w:rsidR="005D53E5" w:rsidRPr="0068236B" w:rsidRDefault="005D53E5" w:rsidP="005D53E5">
            <w:pPr>
              <w:spacing w:before="0" w:after="0" w:line="240" w:lineRule="auto"/>
              <w:jc w:val="left"/>
              <w:rPr>
                <w:rFonts w:cs="Tahoma"/>
                <w:color w:val="000000"/>
                <w:sz w:val="20"/>
                <w:szCs w:val="20"/>
              </w:rPr>
            </w:pPr>
            <w:r w:rsidRPr="0068236B">
              <w:rPr>
                <w:rFonts w:cs="Tahoma"/>
                <w:color w:val="000000"/>
                <w:sz w:val="20"/>
                <w:szCs w:val="20"/>
              </w:rPr>
              <w:t>211 Non-irrigated arable land</w:t>
            </w:r>
          </w:p>
        </w:tc>
        <w:tc>
          <w:tcPr>
            <w:tcW w:w="958" w:type="pct"/>
            <w:shd w:val="clear" w:color="auto" w:fill="auto"/>
            <w:vAlign w:val="bottom"/>
          </w:tcPr>
          <w:p w14:paraId="058A05AE"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36.83</w:t>
            </w:r>
          </w:p>
        </w:tc>
        <w:tc>
          <w:tcPr>
            <w:tcW w:w="955" w:type="pct"/>
            <w:vAlign w:val="bottom"/>
          </w:tcPr>
          <w:p w14:paraId="1B089C56"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2.99</w:t>
            </w:r>
          </w:p>
        </w:tc>
      </w:tr>
      <w:tr w:rsidR="005D53E5" w:rsidRPr="0068236B" w14:paraId="0619D725" w14:textId="77777777" w:rsidTr="00EB538C">
        <w:tc>
          <w:tcPr>
            <w:tcW w:w="3087" w:type="pct"/>
            <w:shd w:val="clear" w:color="auto" w:fill="auto"/>
            <w:vAlign w:val="bottom"/>
          </w:tcPr>
          <w:p w14:paraId="38EE3B48" w14:textId="77777777" w:rsidR="005D53E5" w:rsidRPr="0068236B" w:rsidRDefault="005D53E5" w:rsidP="005D53E5">
            <w:pPr>
              <w:spacing w:before="0" w:after="0" w:line="240" w:lineRule="auto"/>
              <w:jc w:val="left"/>
              <w:rPr>
                <w:rFonts w:cs="Tahoma"/>
                <w:color w:val="000000"/>
                <w:sz w:val="20"/>
                <w:szCs w:val="20"/>
              </w:rPr>
            </w:pPr>
            <w:r w:rsidRPr="0068236B">
              <w:rPr>
                <w:rFonts w:cs="Tahoma"/>
                <w:color w:val="000000"/>
                <w:sz w:val="20"/>
                <w:szCs w:val="20"/>
              </w:rPr>
              <w:t>221 Vineyards</w:t>
            </w:r>
          </w:p>
        </w:tc>
        <w:tc>
          <w:tcPr>
            <w:tcW w:w="958" w:type="pct"/>
            <w:shd w:val="clear" w:color="auto" w:fill="auto"/>
            <w:vAlign w:val="bottom"/>
          </w:tcPr>
          <w:p w14:paraId="26651E9C"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0.60</w:t>
            </w:r>
          </w:p>
        </w:tc>
        <w:tc>
          <w:tcPr>
            <w:tcW w:w="955" w:type="pct"/>
            <w:vAlign w:val="bottom"/>
          </w:tcPr>
          <w:p w14:paraId="10541E44"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0.05</w:t>
            </w:r>
          </w:p>
        </w:tc>
      </w:tr>
      <w:tr w:rsidR="005D53E5" w:rsidRPr="0068236B" w14:paraId="232C6B2A" w14:textId="77777777" w:rsidTr="00EB538C">
        <w:tc>
          <w:tcPr>
            <w:tcW w:w="3087" w:type="pct"/>
            <w:shd w:val="clear" w:color="auto" w:fill="auto"/>
            <w:vAlign w:val="bottom"/>
          </w:tcPr>
          <w:p w14:paraId="285F6203" w14:textId="77777777" w:rsidR="005D53E5" w:rsidRPr="0068236B" w:rsidRDefault="005D53E5" w:rsidP="005D53E5">
            <w:pPr>
              <w:spacing w:before="0" w:after="0" w:line="240" w:lineRule="auto"/>
              <w:jc w:val="left"/>
              <w:rPr>
                <w:rFonts w:cs="Tahoma"/>
                <w:color w:val="000000"/>
                <w:sz w:val="20"/>
                <w:szCs w:val="20"/>
              </w:rPr>
            </w:pPr>
            <w:r w:rsidRPr="0068236B">
              <w:rPr>
                <w:rFonts w:cs="Tahoma"/>
                <w:color w:val="000000"/>
                <w:sz w:val="20"/>
                <w:szCs w:val="20"/>
              </w:rPr>
              <w:t>231 Pastures</w:t>
            </w:r>
          </w:p>
        </w:tc>
        <w:tc>
          <w:tcPr>
            <w:tcW w:w="958" w:type="pct"/>
            <w:shd w:val="clear" w:color="auto" w:fill="auto"/>
            <w:vAlign w:val="bottom"/>
          </w:tcPr>
          <w:p w14:paraId="6E3FD013"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0.00</w:t>
            </w:r>
          </w:p>
        </w:tc>
        <w:tc>
          <w:tcPr>
            <w:tcW w:w="955" w:type="pct"/>
            <w:vAlign w:val="bottom"/>
          </w:tcPr>
          <w:p w14:paraId="211E5194"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0.00</w:t>
            </w:r>
          </w:p>
        </w:tc>
      </w:tr>
      <w:tr w:rsidR="005D53E5" w:rsidRPr="0068236B" w14:paraId="6042BD9E" w14:textId="77777777" w:rsidTr="00EB538C">
        <w:tc>
          <w:tcPr>
            <w:tcW w:w="3087" w:type="pct"/>
            <w:shd w:val="clear" w:color="auto" w:fill="auto"/>
            <w:vAlign w:val="bottom"/>
          </w:tcPr>
          <w:p w14:paraId="7A180046" w14:textId="77777777" w:rsidR="005D53E5" w:rsidRPr="0068236B" w:rsidRDefault="005D53E5" w:rsidP="005D53E5">
            <w:pPr>
              <w:spacing w:before="0" w:after="0" w:line="240" w:lineRule="auto"/>
              <w:jc w:val="left"/>
              <w:rPr>
                <w:rFonts w:cs="Tahoma"/>
                <w:color w:val="000000"/>
                <w:sz w:val="20"/>
                <w:szCs w:val="20"/>
              </w:rPr>
            </w:pPr>
            <w:r w:rsidRPr="0068236B">
              <w:rPr>
                <w:rFonts w:cs="Tahoma"/>
                <w:color w:val="000000"/>
                <w:sz w:val="20"/>
                <w:szCs w:val="20"/>
              </w:rPr>
              <w:t>242 Complex cultivation patterns</w:t>
            </w:r>
          </w:p>
        </w:tc>
        <w:tc>
          <w:tcPr>
            <w:tcW w:w="958" w:type="pct"/>
            <w:shd w:val="clear" w:color="auto" w:fill="auto"/>
            <w:vAlign w:val="bottom"/>
          </w:tcPr>
          <w:p w14:paraId="05CF6B5A"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455.74</w:t>
            </w:r>
          </w:p>
        </w:tc>
        <w:tc>
          <w:tcPr>
            <w:tcW w:w="955" w:type="pct"/>
            <w:vAlign w:val="bottom"/>
          </w:tcPr>
          <w:p w14:paraId="01562128"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37.00</w:t>
            </w:r>
          </w:p>
        </w:tc>
      </w:tr>
      <w:tr w:rsidR="005D53E5" w:rsidRPr="0068236B" w14:paraId="110B336E" w14:textId="77777777" w:rsidTr="00EB538C">
        <w:tc>
          <w:tcPr>
            <w:tcW w:w="3087" w:type="pct"/>
            <w:shd w:val="clear" w:color="auto" w:fill="auto"/>
            <w:vAlign w:val="bottom"/>
          </w:tcPr>
          <w:p w14:paraId="7B71382D" w14:textId="77777777" w:rsidR="005D53E5" w:rsidRPr="0068236B" w:rsidRDefault="005D53E5" w:rsidP="005D53E5">
            <w:pPr>
              <w:spacing w:before="0" w:after="0" w:line="240" w:lineRule="auto"/>
              <w:jc w:val="left"/>
              <w:rPr>
                <w:rFonts w:cs="Tahoma"/>
                <w:color w:val="000000"/>
                <w:sz w:val="20"/>
                <w:szCs w:val="20"/>
              </w:rPr>
            </w:pPr>
            <w:r w:rsidRPr="0068236B">
              <w:rPr>
                <w:rFonts w:cs="Tahoma"/>
                <w:color w:val="000000"/>
                <w:sz w:val="20"/>
                <w:szCs w:val="20"/>
              </w:rPr>
              <w:t>243 Land principally occupied by agriculture with significant areas of natural vegetation</w:t>
            </w:r>
          </w:p>
        </w:tc>
        <w:tc>
          <w:tcPr>
            <w:tcW w:w="958" w:type="pct"/>
            <w:shd w:val="clear" w:color="auto" w:fill="auto"/>
            <w:vAlign w:val="bottom"/>
          </w:tcPr>
          <w:p w14:paraId="41852396"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3.57</w:t>
            </w:r>
          </w:p>
        </w:tc>
        <w:tc>
          <w:tcPr>
            <w:tcW w:w="955" w:type="pct"/>
            <w:vAlign w:val="bottom"/>
          </w:tcPr>
          <w:p w14:paraId="2BB31A78"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0.29</w:t>
            </w:r>
          </w:p>
        </w:tc>
      </w:tr>
      <w:tr w:rsidR="005D53E5" w:rsidRPr="0068236B" w14:paraId="37EC699D" w14:textId="77777777" w:rsidTr="00EB538C">
        <w:tc>
          <w:tcPr>
            <w:tcW w:w="3087" w:type="pct"/>
            <w:shd w:val="clear" w:color="auto" w:fill="auto"/>
            <w:vAlign w:val="bottom"/>
          </w:tcPr>
          <w:p w14:paraId="75C0C186" w14:textId="77777777" w:rsidR="005D53E5" w:rsidRPr="0068236B" w:rsidRDefault="005D53E5" w:rsidP="005D53E5">
            <w:pPr>
              <w:spacing w:before="0" w:after="0" w:line="240" w:lineRule="auto"/>
              <w:jc w:val="left"/>
              <w:rPr>
                <w:rFonts w:cs="Tahoma"/>
                <w:color w:val="000000"/>
                <w:sz w:val="20"/>
                <w:szCs w:val="20"/>
              </w:rPr>
            </w:pPr>
            <w:r w:rsidRPr="0068236B">
              <w:rPr>
                <w:rFonts w:cs="Tahoma"/>
                <w:color w:val="000000"/>
                <w:sz w:val="20"/>
                <w:szCs w:val="20"/>
              </w:rPr>
              <w:t>311 Broad-leaved forest</w:t>
            </w:r>
          </w:p>
        </w:tc>
        <w:tc>
          <w:tcPr>
            <w:tcW w:w="958" w:type="pct"/>
            <w:shd w:val="clear" w:color="auto" w:fill="auto"/>
            <w:vAlign w:val="bottom"/>
          </w:tcPr>
          <w:p w14:paraId="7ECD2537"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5.71</w:t>
            </w:r>
          </w:p>
        </w:tc>
        <w:tc>
          <w:tcPr>
            <w:tcW w:w="955" w:type="pct"/>
            <w:vAlign w:val="bottom"/>
          </w:tcPr>
          <w:p w14:paraId="1F19B2C8"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0.46</w:t>
            </w:r>
          </w:p>
        </w:tc>
      </w:tr>
      <w:tr w:rsidR="005D53E5" w:rsidRPr="0068236B" w14:paraId="1F890A66" w14:textId="77777777" w:rsidTr="00EB538C">
        <w:tc>
          <w:tcPr>
            <w:tcW w:w="3087" w:type="pct"/>
            <w:shd w:val="clear" w:color="auto" w:fill="auto"/>
            <w:vAlign w:val="bottom"/>
          </w:tcPr>
          <w:p w14:paraId="039C8667" w14:textId="77777777" w:rsidR="005D53E5" w:rsidRPr="0068236B" w:rsidRDefault="005D53E5" w:rsidP="005D53E5">
            <w:pPr>
              <w:spacing w:before="0" w:after="0" w:line="240" w:lineRule="auto"/>
              <w:jc w:val="left"/>
              <w:rPr>
                <w:rFonts w:cs="Tahoma"/>
                <w:color w:val="000000"/>
                <w:sz w:val="20"/>
                <w:szCs w:val="20"/>
              </w:rPr>
            </w:pPr>
            <w:r w:rsidRPr="0068236B">
              <w:rPr>
                <w:rFonts w:cs="Tahoma"/>
                <w:color w:val="000000"/>
                <w:sz w:val="20"/>
                <w:szCs w:val="20"/>
              </w:rPr>
              <w:t>313 Mixed forest</w:t>
            </w:r>
          </w:p>
        </w:tc>
        <w:tc>
          <w:tcPr>
            <w:tcW w:w="958" w:type="pct"/>
            <w:shd w:val="clear" w:color="auto" w:fill="auto"/>
            <w:vAlign w:val="bottom"/>
          </w:tcPr>
          <w:p w14:paraId="26DCD325"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0.00</w:t>
            </w:r>
          </w:p>
        </w:tc>
        <w:tc>
          <w:tcPr>
            <w:tcW w:w="955" w:type="pct"/>
            <w:vAlign w:val="bottom"/>
          </w:tcPr>
          <w:p w14:paraId="009CEEFD"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0.00</w:t>
            </w:r>
          </w:p>
        </w:tc>
      </w:tr>
      <w:tr w:rsidR="005D53E5" w:rsidRPr="0068236B" w14:paraId="6FBEF165" w14:textId="77777777" w:rsidTr="00EB538C">
        <w:tc>
          <w:tcPr>
            <w:tcW w:w="3087" w:type="pct"/>
            <w:shd w:val="clear" w:color="auto" w:fill="auto"/>
            <w:vAlign w:val="bottom"/>
          </w:tcPr>
          <w:p w14:paraId="67609E28" w14:textId="77777777" w:rsidR="005D53E5" w:rsidRPr="0068236B" w:rsidRDefault="005D53E5" w:rsidP="005D53E5">
            <w:pPr>
              <w:spacing w:before="0" w:after="0" w:line="240" w:lineRule="auto"/>
              <w:jc w:val="left"/>
              <w:rPr>
                <w:rFonts w:cs="Tahoma"/>
                <w:color w:val="000000"/>
                <w:sz w:val="20"/>
                <w:szCs w:val="20"/>
              </w:rPr>
            </w:pPr>
            <w:r w:rsidRPr="0068236B">
              <w:rPr>
                <w:rFonts w:cs="Tahoma"/>
                <w:color w:val="000000"/>
                <w:sz w:val="20"/>
                <w:szCs w:val="20"/>
              </w:rPr>
              <w:t>321 Natural grasslands</w:t>
            </w:r>
          </w:p>
        </w:tc>
        <w:tc>
          <w:tcPr>
            <w:tcW w:w="958" w:type="pct"/>
            <w:shd w:val="clear" w:color="auto" w:fill="auto"/>
            <w:vAlign w:val="bottom"/>
          </w:tcPr>
          <w:p w14:paraId="00A0453B"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2.94</w:t>
            </w:r>
          </w:p>
        </w:tc>
        <w:tc>
          <w:tcPr>
            <w:tcW w:w="955" w:type="pct"/>
            <w:vAlign w:val="bottom"/>
          </w:tcPr>
          <w:p w14:paraId="1F8C9864"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0.24</w:t>
            </w:r>
          </w:p>
        </w:tc>
      </w:tr>
      <w:tr w:rsidR="005D53E5" w:rsidRPr="0068236B" w14:paraId="1D046B2E" w14:textId="77777777" w:rsidTr="00EB538C">
        <w:tc>
          <w:tcPr>
            <w:tcW w:w="3087" w:type="pct"/>
            <w:shd w:val="clear" w:color="auto" w:fill="auto"/>
            <w:vAlign w:val="bottom"/>
          </w:tcPr>
          <w:p w14:paraId="0B3F9676" w14:textId="77777777" w:rsidR="005D53E5" w:rsidRPr="0068236B" w:rsidRDefault="005D53E5" w:rsidP="005D53E5">
            <w:pPr>
              <w:spacing w:before="0" w:after="0" w:line="240" w:lineRule="auto"/>
              <w:jc w:val="left"/>
              <w:rPr>
                <w:rFonts w:cs="Tahoma"/>
                <w:color w:val="000000"/>
                <w:sz w:val="20"/>
                <w:szCs w:val="20"/>
              </w:rPr>
            </w:pPr>
            <w:r w:rsidRPr="0068236B">
              <w:rPr>
                <w:rFonts w:cs="Tahoma"/>
                <w:color w:val="000000"/>
                <w:sz w:val="20"/>
                <w:szCs w:val="20"/>
              </w:rPr>
              <w:t>323 Sclerophyllous vegetation</w:t>
            </w:r>
          </w:p>
        </w:tc>
        <w:tc>
          <w:tcPr>
            <w:tcW w:w="958" w:type="pct"/>
            <w:shd w:val="clear" w:color="auto" w:fill="auto"/>
            <w:vAlign w:val="bottom"/>
          </w:tcPr>
          <w:p w14:paraId="217BD1CF"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363.52</w:t>
            </w:r>
          </w:p>
        </w:tc>
        <w:tc>
          <w:tcPr>
            <w:tcW w:w="955" w:type="pct"/>
            <w:vAlign w:val="bottom"/>
          </w:tcPr>
          <w:p w14:paraId="262CBABB"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29.51</w:t>
            </w:r>
          </w:p>
        </w:tc>
      </w:tr>
      <w:tr w:rsidR="005D53E5" w:rsidRPr="0068236B" w14:paraId="7F31D2DF" w14:textId="77777777" w:rsidTr="00EB538C">
        <w:tc>
          <w:tcPr>
            <w:tcW w:w="3087" w:type="pct"/>
            <w:shd w:val="clear" w:color="auto" w:fill="auto"/>
            <w:vAlign w:val="bottom"/>
          </w:tcPr>
          <w:p w14:paraId="4D9095FB" w14:textId="77777777" w:rsidR="005D53E5" w:rsidRPr="0068236B" w:rsidRDefault="005D53E5" w:rsidP="005D53E5">
            <w:pPr>
              <w:spacing w:before="0" w:after="0" w:line="240" w:lineRule="auto"/>
              <w:jc w:val="left"/>
              <w:rPr>
                <w:rFonts w:cs="Tahoma"/>
                <w:color w:val="000000"/>
                <w:sz w:val="20"/>
                <w:szCs w:val="20"/>
              </w:rPr>
            </w:pPr>
            <w:r w:rsidRPr="0068236B">
              <w:rPr>
                <w:rFonts w:cs="Tahoma"/>
                <w:color w:val="000000"/>
                <w:sz w:val="20"/>
                <w:szCs w:val="20"/>
              </w:rPr>
              <w:t>324 Transitional woodland-shrub</w:t>
            </w:r>
          </w:p>
        </w:tc>
        <w:tc>
          <w:tcPr>
            <w:tcW w:w="958" w:type="pct"/>
            <w:shd w:val="clear" w:color="auto" w:fill="auto"/>
            <w:vAlign w:val="bottom"/>
          </w:tcPr>
          <w:p w14:paraId="3ED6A8F5"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3.93</w:t>
            </w:r>
          </w:p>
        </w:tc>
        <w:tc>
          <w:tcPr>
            <w:tcW w:w="955" w:type="pct"/>
            <w:vAlign w:val="bottom"/>
          </w:tcPr>
          <w:p w14:paraId="4C1C92A0"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0.32</w:t>
            </w:r>
          </w:p>
        </w:tc>
      </w:tr>
      <w:tr w:rsidR="005D53E5" w:rsidRPr="0068236B" w14:paraId="72493784" w14:textId="77777777" w:rsidTr="00EB538C">
        <w:tc>
          <w:tcPr>
            <w:tcW w:w="3087" w:type="pct"/>
            <w:tcBorders>
              <w:bottom w:val="double" w:sz="4" w:space="0" w:color="auto"/>
            </w:tcBorders>
            <w:shd w:val="clear" w:color="auto" w:fill="auto"/>
            <w:vAlign w:val="bottom"/>
          </w:tcPr>
          <w:p w14:paraId="3573B18B" w14:textId="77777777" w:rsidR="005D53E5" w:rsidRPr="0068236B" w:rsidRDefault="005D53E5" w:rsidP="005D53E5">
            <w:pPr>
              <w:spacing w:before="0" w:after="0" w:line="240" w:lineRule="auto"/>
              <w:jc w:val="left"/>
              <w:rPr>
                <w:rFonts w:cs="Tahoma"/>
                <w:color w:val="000000"/>
                <w:sz w:val="20"/>
                <w:szCs w:val="20"/>
              </w:rPr>
            </w:pPr>
            <w:r w:rsidRPr="0068236B">
              <w:rPr>
                <w:rFonts w:cs="Tahoma"/>
                <w:color w:val="000000"/>
                <w:sz w:val="20"/>
                <w:szCs w:val="20"/>
              </w:rPr>
              <w:t>511 Water courses</w:t>
            </w:r>
          </w:p>
        </w:tc>
        <w:tc>
          <w:tcPr>
            <w:tcW w:w="958" w:type="pct"/>
            <w:tcBorders>
              <w:bottom w:val="double" w:sz="4" w:space="0" w:color="auto"/>
            </w:tcBorders>
            <w:shd w:val="clear" w:color="auto" w:fill="auto"/>
            <w:vAlign w:val="bottom"/>
          </w:tcPr>
          <w:p w14:paraId="326EF724"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358.91</w:t>
            </w:r>
          </w:p>
        </w:tc>
        <w:tc>
          <w:tcPr>
            <w:tcW w:w="955" w:type="pct"/>
            <w:tcBorders>
              <w:bottom w:val="double" w:sz="4" w:space="0" w:color="auto"/>
            </w:tcBorders>
            <w:vAlign w:val="bottom"/>
          </w:tcPr>
          <w:p w14:paraId="660BEB27"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29.14</w:t>
            </w:r>
          </w:p>
        </w:tc>
      </w:tr>
      <w:tr w:rsidR="005D53E5" w:rsidRPr="0068236B" w14:paraId="74064ADD" w14:textId="77777777" w:rsidTr="00EB538C">
        <w:tc>
          <w:tcPr>
            <w:tcW w:w="3087" w:type="pct"/>
            <w:tcBorders>
              <w:top w:val="double" w:sz="4" w:space="0" w:color="auto"/>
              <w:bottom w:val="double" w:sz="4" w:space="0" w:color="auto"/>
              <w:right w:val="double" w:sz="4" w:space="0" w:color="auto"/>
            </w:tcBorders>
            <w:shd w:val="clear" w:color="auto" w:fill="auto"/>
            <w:vAlign w:val="bottom"/>
          </w:tcPr>
          <w:p w14:paraId="7DE3C8EC" w14:textId="77777777" w:rsidR="005D53E5" w:rsidRPr="0068236B" w:rsidRDefault="005D53E5" w:rsidP="005D53E5">
            <w:pPr>
              <w:spacing w:before="0" w:after="0" w:line="240" w:lineRule="auto"/>
              <w:jc w:val="right"/>
              <w:rPr>
                <w:rFonts w:cs="Tahoma"/>
                <w:color w:val="000000"/>
                <w:sz w:val="20"/>
                <w:szCs w:val="20"/>
              </w:rPr>
            </w:pPr>
            <w:r w:rsidRPr="0068236B">
              <w:rPr>
                <w:rFonts w:cs="Tahoma"/>
                <w:color w:val="000000"/>
                <w:sz w:val="20"/>
                <w:szCs w:val="20"/>
              </w:rPr>
              <w:t>Total:</w:t>
            </w:r>
          </w:p>
        </w:tc>
        <w:tc>
          <w:tcPr>
            <w:tcW w:w="958" w:type="pct"/>
            <w:tcBorders>
              <w:top w:val="double" w:sz="4" w:space="0" w:color="auto"/>
              <w:left w:val="double" w:sz="4" w:space="0" w:color="auto"/>
              <w:bottom w:val="double" w:sz="4" w:space="0" w:color="auto"/>
              <w:right w:val="double" w:sz="4" w:space="0" w:color="auto"/>
            </w:tcBorders>
            <w:shd w:val="clear" w:color="auto" w:fill="auto"/>
            <w:vAlign w:val="bottom"/>
          </w:tcPr>
          <w:p w14:paraId="269FFD3F"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1,231.76</w:t>
            </w:r>
          </w:p>
        </w:tc>
        <w:tc>
          <w:tcPr>
            <w:tcW w:w="955" w:type="pct"/>
            <w:tcBorders>
              <w:top w:val="double" w:sz="4" w:space="0" w:color="auto"/>
              <w:left w:val="double" w:sz="4" w:space="0" w:color="auto"/>
              <w:bottom w:val="double" w:sz="4" w:space="0" w:color="auto"/>
            </w:tcBorders>
            <w:vAlign w:val="bottom"/>
          </w:tcPr>
          <w:p w14:paraId="62C328EF" w14:textId="77777777" w:rsidR="005D53E5" w:rsidRPr="0068236B" w:rsidRDefault="005D53E5" w:rsidP="005D53E5">
            <w:pPr>
              <w:spacing w:before="0" w:after="0"/>
              <w:jc w:val="center"/>
              <w:rPr>
                <w:rFonts w:cs="Tahoma"/>
                <w:color w:val="000000"/>
                <w:sz w:val="20"/>
                <w:szCs w:val="20"/>
              </w:rPr>
            </w:pPr>
            <w:r w:rsidRPr="0068236B">
              <w:rPr>
                <w:rFonts w:cs="Tahoma"/>
                <w:color w:val="000000"/>
                <w:sz w:val="20"/>
                <w:szCs w:val="20"/>
              </w:rPr>
              <w:t>100.00</w:t>
            </w:r>
          </w:p>
        </w:tc>
      </w:tr>
    </w:tbl>
    <w:p w14:paraId="3072EBA9" w14:textId="27BB4EC6" w:rsidR="001028EE" w:rsidRPr="0068236B" w:rsidRDefault="00952538" w:rsidP="005D53E5">
      <w:pPr>
        <w:pStyle w:val="ListBullet"/>
        <w:numPr>
          <w:ilvl w:val="0"/>
          <w:numId w:val="0"/>
        </w:numPr>
        <w:spacing w:before="60" w:after="240"/>
        <w:ind w:left="142"/>
        <w:jc w:val="left"/>
        <w:rPr>
          <w:sz w:val="18"/>
          <w:szCs w:val="20"/>
        </w:rPr>
      </w:pPr>
      <w:bookmarkStart w:id="253" w:name="_Toc113018177"/>
      <w:r w:rsidRPr="0068236B">
        <w:rPr>
          <w:sz w:val="18"/>
          <w:szCs w:val="20"/>
        </w:rPr>
        <w:t xml:space="preserve">Table </w:t>
      </w:r>
      <w:r w:rsidR="00377E43" w:rsidRPr="0068236B">
        <w:rPr>
          <w:sz w:val="18"/>
          <w:szCs w:val="20"/>
        </w:rPr>
        <w:fldChar w:fldCharType="begin"/>
      </w:r>
      <w:r w:rsidRPr="0068236B">
        <w:rPr>
          <w:sz w:val="18"/>
          <w:szCs w:val="20"/>
        </w:rPr>
        <w:instrText xml:space="preserve"> STYLEREF 1 \s </w:instrText>
      </w:r>
      <w:r w:rsidR="00377E43" w:rsidRPr="0068236B">
        <w:rPr>
          <w:sz w:val="18"/>
          <w:szCs w:val="20"/>
        </w:rPr>
        <w:fldChar w:fldCharType="separate"/>
      </w:r>
      <w:r w:rsidR="00FD57E6">
        <w:rPr>
          <w:noProof/>
          <w:sz w:val="18"/>
          <w:szCs w:val="20"/>
        </w:rPr>
        <w:t>7</w:t>
      </w:r>
      <w:r w:rsidR="00377E43" w:rsidRPr="0068236B">
        <w:rPr>
          <w:sz w:val="18"/>
          <w:szCs w:val="20"/>
        </w:rPr>
        <w:fldChar w:fldCharType="end"/>
      </w:r>
      <w:r w:rsidRPr="0068236B">
        <w:rPr>
          <w:sz w:val="18"/>
          <w:szCs w:val="20"/>
        </w:rPr>
        <w:t>.</w:t>
      </w:r>
      <w:r w:rsidR="00377E43" w:rsidRPr="0068236B">
        <w:rPr>
          <w:sz w:val="18"/>
          <w:szCs w:val="20"/>
        </w:rPr>
        <w:fldChar w:fldCharType="begin"/>
      </w:r>
      <w:r w:rsidRPr="0068236B">
        <w:rPr>
          <w:sz w:val="18"/>
          <w:szCs w:val="20"/>
        </w:rPr>
        <w:instrText xml:space="preserve"> SEQ Table \* ARABIC \s 1 </w:instrText>
      </w:r>
      <w:r w:rsidR="00377E43" w:rsidRPr="0068236B">
        <w:rPr>
          <w:sz w:val="18"/>
          <w:szCs w:val="20"/>
        </w:rPr>
        <w:fldChar w:fldCharType="separate"/>
      </w:r>
      <w:r w:rsidR="00FD57E6">
        <w:rPr>
          <w:noProof/>
          <w:sz w:val="18"/>
          <w:szCs w:val="20"/>
        </w:rPr>
        <w:t>6</w:t>
      </w:r>
      <w:r w:rsidR="00377E43" w:rsidRPr="0068236B">
        <w:rPr>
          <w:sz w:val="18"/>
          <w:szCs w:val="20"/>
        </w:rPr>
        <w:fldChar w:fldCharType="end"/>
      </w:r>
      <w:r w:rsidR="006E2AC4" w:rsidRPr="0068236B">
        <w:rPr>
          <w:sz w:val="18"/>
          <w:szCs w:val="20"/>
        </w:rPr>
        <w:t>:</w:t>
      </w:r>
      <w:r w:rsidRPr="0068236B">
        <w:rPr>
          <w:sz w:val="18"/>
          <w:szCs w:val="20"/>
        </w:rPr>
        <w:t xml:space="preserve"> Land cover according to CORINE Land Cover types within the study area of the proposed </w:t>
      </w:r>
      <w:r w:rsidR="00EB538C" w:rsidRPr="0068236B">
        <w:rPr>
          <w:sz w:val="18"/>
          <w:szCs w:val="20"/>
        </w:rPr>
        <w:t>recon</w:t>
      </w:r>
      <w:r w:rsidR="00873406" w:rsidRPr="0068236B">
        <w:rPr>
          <w:sz w:val="18"/>
          <w:szCs w:val="20"/>
        </w:rPr>
        <w:t xml:space="preserve">struction </w:t>
      </w:r>
      <w:r w:rsidRPr="0068236B">
        <w:rPr>
          <w:sz w:val="18"/>
          <w:szCs w:val="20"/>
        </w:rPr>
        <w:t xml:space="preserve">of the existing 110 kV </w:t>
      </w:r>
      <w:r w:rsidR="00036546" w:rsidRPr="0068236B">
        <w:rPr>
          <w:sz w:val="18"/>
          <w:szCs w:val="20"/>
        </w:rPr>
        <w:t xml:space="preserve">OHL </w:t>
      </w:r>
      <w:r w:rsidRPr="0068236B">
        <w:rPr>
          <w:sz w:val="18"/>
          <w:szCs w:val="20"/>
        </w:rPr>
        <w:t>from SS Valandovo to SS ‘EVP’ Miletkovo</w:t>
      </w:r>
      <w:bookmarkEnd w:id="253"/>
    </w:p>
    <w:p w14:paraId="43C7711C" w14:textId="77777777" w:rsidR="001028EE" w:rsidRPr="0068236B" w:rsidRDefault="001028EE" w:rsidP="00D24CEF">
      <w:pPr>
        <w:pStyle w:val="ListBullet"/>
        <w:numPr>
          <w:ilvl w:val="0"/>
          <w:numId w:val="97"/>
        </w:numPr>
        <w:spacing w:before="120" w:after="120"/>
        <w:ind w:left="714" w:hanging="357"/>
        <w:jc w:val="left"/>
        <w:rPr>
          <w:sz w:val="20"/>
        </w:rPr>
      </w:pPr>
      <w:r w:rsidRPr="0068236B">
        <w:rPr>
          <w:sz w:val="20"/>
        </w:rPr>
        <w:t>Construction of a new 110 kV OHL connector with the existing SS ‘EVP’ Miletkovo</w:t>
      </w:r>
    </w:p>
    <w:p w14:paraId="554B1A49" w14:textId="77777777" w:rsidR="005D53E5" w:rsidRPr="0068236B" w:rsidRDefault="005D53E5" w:rsidP="005D53E5">
      <w:pPr>
        <w:rPr>
          <w:rFonts w:cs="Tahoma"/>
          <w:sz w:val="20"/>
          <w:szCs w:val="20"/>
        </w:rPr>
      </w:pPr>
      <w:r w:rsidRPr="0068236B">
        <w:rPr>
          <w:rFonts w:cs="Tahoma"/>
          <w:sz w:val="20"/>
        </w:rPr>
        <w:t xml:space="preserve">The </w:t>
      </w:r>
      <w:r w:rsidR="00FB2184" w:rsidRPr="0068236B">
        <w:rPr>
          <w:rFonts w:cs="Tahoma"/>
          <w:sz w:val="20"/>
        </w:rPr>
        <w:t xml:space="preserve">land cover patterns </w:t>
      </w:r>
      <w:r w:rsidR="00FB2184" w:rsidRPr="0068236B">
        <w:rPr>
          <w:rFonts w:cs="Tahoma"/>
          <w:sz w:val="20"/>
          <w:szCs w:val="20"/>
        </w:rPr>
        <w:t xml:space="preserve">within the </w:t>
      </w:r>
      <w:r w:rsidRPr="0068236B">
        <w:rPr>
          <w:rFonts w:cs="Tahoma"/>
          <w:sz w:val="20"/>
        </w:rPr>
        <w:t>study area along the proposed corridor of this new transmission line</w:t>
      </w:r>
      <w:r w:rsidR="00FB2184" w:rsidRPr="0068236B">
        <w:rPr>
          <w:rFonts w:cs="Tahoma"/>
          <w:sz w:val="20"/>
        </w:rPr>
        <w:t xml:space="preserve"> </w:t>
      </w:r>
      <w:r w:rsidR="00FB2184" w:rsidRPr="0068236B">
        <w:rPr>
          <w:rFonts w:cs="Tahoma"/>
          <w:sz w:val="20"/>
          <w:szCs w:val="20"/>
        </w:rPr>
        <w:t>(T</w:t>
      </w:r>
      <w:r w:rsidR="00FB2184" w:rsidRPr="0068236B">
        <w:rPr>
          <w:rFonts w:cs="Tahoma"/>
          <w:sz w:val="20"/>
          <w:szCs w:val="20"/>
        </w:rPr>
        <w:t>a</w:t>
      </w:r>
      <w:r w:rsidR="00FB2184" w:rsidRPr="0068236B">
        <w:rPr>
          <w:rFonts w:cs="Tahoma"/>
          <w:sz w:val="20"/>
          <w:szCs w:val="20"/>
        </w:rPr>
        <w:t>ble below)</w:t>
      </w:r>
      <w:r w:rsidRPr="0068236B">
        <w:rPr>
          <w:rFonts w:cs="Tahoma"/>
          <w:sz w:val="20"/>
        </w:rPr>
        <w:t xml:space="preserve"> is characterized by the presence of highly degraded Sclerophyllous vegetation (CLC code 323) </w:t>
      </w:r>
      <w:r w:rsidRPr="0068236B">
        <w:rPr>
          <w:rFonts w:cs="Tahoma"/>
          <w:sz w:val="20"/>
        </w:rPr>
        <w:lastRenderedPageBreak/>
        <w:t>and small patches of Natural grasslands (CLC code 321). The surrounding area also contains significant po</w:t>
      </w:r>
      <w:r w:rsidRPr="0068236B">
        <w:rPr>
          <w:rFonts w:cs="Tahoma"/>
          <w:sz w:val="20"/>
        </w:rPr>
        <w:t>r</w:t>
      </w:r>
      <w:r w:rsidRPr="0068236B">
        <w:rPr>
          <w:rFonts w:cs="Tahoma"/>
          <w:sz w:val="20"/>
        </w:rPr>
        <w:t>tion of Non-irrigated arable land (CLC code 211) Complex cultivation patterns (38.72%).</w:t>
      </w:r>
    </w:p>
    <w:tbl>
      <w:tblPr>
        <w:tblStyle w:val="Kokan"/>
        <w:tblW w:w="7763" w:type="dxa"/>
        <w:tblLook w:val="04A0" w:firstRow="1" w:lastRow="0" w:firstColumn="1" w:lastColumn="0" w:noHBand="0" w:noVBand="1"/>
      </w:tblPr>
      <w:tblGrid>
        <w:gridCol w:w="4928"/>
        <w:gridCol w:w="1417"/>
        <w:gridCol w:w="1418"/>
      </w:tblGrid>
      <w:tr w:rsidR="00FA33C6" w:rsidRPr="00744C45" w14:paraId="136AAC2B" w14:textId="77777777" w:rsidTr="00FA33C6">
        <w:trPr>
          <w:cnfStyle w:val="100000000000" w:firstRow="1" w:lastRow="0" w:firstColumn="0" w:lastColumn="0" w:oddVBand="0" w:evenVBand="0" w:oddHBand="0" w:evenHBand="0" w:firstRowFirstColumn="0" w:firstRowLastColumn="0" w:lastRowFirstColumn="0" w:lastRowLastColumn="0"/>
          <w:trHeight w:val="300"/>
        </w:trPr>
        <w:tc>
          <w:tcPr>
            <w:tcW w:w="4928" w:type="dxa"/>
            <w:tcBorders>
              <w:top w:val="double" w:sz="4" w:space="0" w:color="auto"/>
              <w:bottom w:val="double" w:sz="4" w:space="0" w:color="auto"/>
              <w:right w:val="double" w:sz="4" w:space="0" w:color="auto"/>
            </w:tcBorders>
            <w:shd w:val="clear" w:color="auto" w:fill="B4C6E7" w:themeFill="accent1" w:themeFillTint="66"/>
            <w:noWrap/>
            <w:hideMark/>
          </w:tcPr>
          <w:p w14:paraId="3D3C3790" w14:textId="77777777" w:rsidR="005D53E5" w:rsidRPr="00744C45" w:rsidRDefault="005D53E5" w:rsidP="005D53E5">
            <w:pPr>
              <w:spacing w:before="0" w:after="0" w:line="240" w:lineRule="auto"/>
              <w:jc w:val="left"/>
              <w:rPr>
                <w:rFonts w:cs="Tahoma"/>
                <w:bCs/>
                <w:color w:val="auto"/>
                <w:sz w:val="20"/>
                <w:szCs w:val="20"/>
                <w:lang w:eastAsia="mk-MK"/>
              </w:rPr>
            </w:pPr>
            <w:r w:rsidRPr="00744C45">
              <w:rPr>
                <w:rFonts w:cs="Tahoma"/>
                <w:bCs/>
                <w:color w:val="auto"/>
                <w:sz w:val="20"/>
                <w:szCs w:val="20"/>
                <w:lang w:eastAsia="mk-MK"/>
              </w:rPr>
              <w:t>CORINE Land Cover classes</w:t>
            </w:r>
          </w:p>
          <w:p w14:paraId="4A2C6F5F" w14:textId="77777777" w:rsidR="005D53E5" w:rsidRPr="00744C45" w:rsidRDefault="005D53E5" w:rsidP="005D53E5">
            <w:pPr>
              <w:spacing w:before="0" w:after="0" w:line="240" w:lineRule="auto"/>
              <w:jc w:val="left"/>
              <w:rPr>
                <w:rFonts w:cs="Tahoma"/>
                <w:bCs/>
                <w:color w:val="auto"/>
                <w:sz w:val="20"/>
                <w:szCs w:val="20"/>
                <w:lang w:eastAsia="mk-MK"/>
              </w:rPr>
            </w:pPr>
            <w:r w:rsidRPr="00744C45">
              <w:rPr>
                <w:rFonts w:cs="Tahoma"/>
                <w:bCs/>
                <w:color w:val="auto"/>
                <w:sz w:val="20"/>
                <w:szCs w:val="20"/>
                <w:lang w:eastAsia="mk-MK"/>
              </w:rPr>
              <w:t>(broader study area of 1,000 metres wide corridor)</w:t>
            </w:r>
          </w:p>
        </w:tc>
        <w:tc>
          <w:tcPr>
            <w:tcW w:w="1417" w:type="dxa"/>
            <w:tcBorders>
              <w:top w:val="double" w:sz="4" w:space="0" w:color="auto"/>
              <w:left w:val="double" w:sz="4" w:space="0" w:color="auto"/>
              <w:bottom w:val="double" w:sz="4" w:space="0" w:color="auto"/>
              <w:right w:val="double" w:sz="4" w:space="0" w:color="auto"/>
            </w:tcBorders>
            <w:shd w:val="clear" w:color="auto" w:fill="B4C6E7" w:themeFill="accent1" w:themeFillTint="66"/>
            <w:noWrap/>
            <w:hideMark/>
          </w:tcPr>
          <w:p w14:paraId="25B9641C" w14:textId="77777777" w:rsidR="005D53E5" w:rsidRPr="00744C45" w:rsidRDefault="005D53E5" w:rsidP="005D53E5">
            <w:pPr>
              <w:keepLines/>
              <w:spacing w:before="0" w:after="0" w:line="240" w:lineRule="auto"/>
              <w:jc w:val="center"/>
              <w:rPr>
                <w:rFonts w:cs="Tahoma"/>
                <w:color w:val="auto"/>
                <w:sz w:val="20"/>
                <w:szCs w:val="20"/>
              </w:rPr>
            </w:pPr>
            <w:r w:rsidRPr="00744C45">
              <w:rPr>
                <w:rFonts w:eastAsia="Calibri" w:cs="Tahoma"/>
                <w:color w:val="auto"/>
                <w:sz w:val="20"/>
                <w:szCs w:val="20"/>
              </w:rPr>
              <w:t>Area</w:t>
            </w:r>
          </w:p>
          <w:p w14:paraId="54423C6B" w14:textId="77777777" w:rsidR="005D53E5" w:rsidRPr="00744C45" w:rsidRDefault="005D53E5" w:rsidP="005D53E5">
            <w:pPr>
              <w:keepLines/>
              <w:spacing w:before="0" w:after="0" w:line="240" w:lineRule="auto"/>
              <w:jc w:val="center"/>
              <w:rPr>
                <w:rFonts w:cs="Tahoma"/>
                <w:color w:val="auto"/>
                <w:sz w:val="20"/>
                <w:szCs w:val="20"/>
              </w:rPr>
            </w:pPr>
            <w:r w:rsidRPr="00744C45">
              <w:rPr>
                <w:rFonts w:cs="Tahoma"/>
                <w:color w:val="auto"/>
                <w:sz w:val="20"/>
                <w:szCs w:val="20"/>
              </w:rPr>
              <w:t>[hectares]</w:t>
            </w:r>
          </w:p>
        </w:tc>
        <w:tc>
          <w:tcPr>
            <w:tcW w:w="1418" w:type="dxa"/>
            <w:tcBorders>
              <w:top w:val="double" w:sz="4" w:space="0" w:color="auto"/>
              <w:left w:val="double" w:sz="4" w:space="0" w:color="auto"/>
              <w:bottom w:val="double" w:sz="4" w:space="0" w:color="auto"/>
            </w:tcBorders>
            <w:shd w:val="clear" w:color="auto" w:fill="B4C6E7" w:themeFill="accent1" w:themeFillTint="66"/>
          </w:tcPr>
          <w:p w14:paraId="0C14C232" w14:textId="77777777" w:rsidR="005D53E5" w:rsidRPr="00744C45" w:rsidRDefault="005D53E5" w:rsidP="005D53E5">
            <w:pPr>
              <w:keepLines/>
              <w:spacing w:before="0" w:after="0" w:line="240" w:lineRule="auto"/>
              <w:jc w:val="center"/>
              <w:rPr>
                <w:rFonts w:cs="Tahoma"/>
                <w:color w:val="auto"/>
                <w:sz w:val="20"/>
                <w:szCs w:val="20"/>
              </w:rPr>
            </w:pPr>
            <w:r w:rsidRPr="00744C45">
              <w:rPr>
                <w:rFonts w:eastAsia="Calibri" w:cs="Tahoma"/>
                <w:color w:val="auto"/>
                <w:sz w:val="20"/>
                <w:szCs w:val="20"/>
              </w:rPr>
              <w:t>Percentage [%]</w:t>
            </w:r>
          </w:p>
        </w:tc>
      </w:tr>
      <w:tr w:rsidR="005D53E5" w:rsidRPr="0068236B" w14:paraId="3A5F4F2C" w14:textId="77777777" w:rsidTr="00FA33C6">
        <w:trPr>
          <w:trHeight w:val="300"/>
        </w:trPr>
        <w:tc>
          <w:tcPr>
            <w:tcW w:w="4928" w:type="dxa"/>
            <w:tcBorders>
              <w:top w:val="double" w:sz="4" w:space="0" w:color="auto"/>
            </w:tcBorders>
            <w:noWrap/>
            <w:vAlign w:val="bottom"/>
            <w:hideMark/>
          </w:tcPr>
          <w:p w14:paraId="7E5BA357" w14:textId="77777777" w:rsidR="005D53E5" w:rsidRPr="0068236B" w:rsidRDefault="005D53E5" w:rsidP="005D53E5">
            <w:pPr>
              <w:spacing w:before="0" w:after="0" w:line="240" w:lineRule="auto"/>
              <w:jc w:val="left"/>
              <w:rPr>
                <w:rFonts w:cs="Tahoma"/>
                <w:color w:val="000000"/>
                <w:sz w:val="20"/>
                <w:szCs w:val="20"/>
              </w:rPr>
            </w:pPr>
            <w:r w:rsidRPr="0068236B">
              <w:rPr>
                <w:rFonts w:cs="Tahoma"/>
                <w:color w:val="000000"/>
                <w:sz w:val="20"/>
                <w:szCs w:val="20"/>
              </w:rPr>
              <w:t>211-Non-irrigated arable land</w:t>
            </w:r>
          </w:p>
        </w:tc>
        <w:tc>
          <w:tcPr>
            <w:tcW w:w="1417" w:type="dxa"/>
            <w:tcBorders>
              <w:top w:val="double" w:sz="4" w:space="0" w:color="auto"/>
            </w:tcBorders>
            <w:noWrap/>
            <w:vAlign w:val="bottom"/>
            <w:hideMark/>
          </w:tcPr>
          <w:p w14:paraId="1C9649E0" w14:textId="77777777" w:rsidR="005D53E5" w:rsidRPr="0068236B" w:rsidRDefault="005D53E5" w:rsidP="005D53E5">
            <w:pPr>
              <w:spacing w:before="0" w:after="0" w:line="240" w:lineRule="auto"/>
              <w:jc w:val="right"/>
              <w:rPr>
                <w:rFonts w:cs="Tahoma"/>
                <w:color w:val="000000"/>
                <w:sz w:val="20"/>
                <w:szCs w:val="20"/>
              </w:rPr>
            </w:pPr>
            <w:r w:rsidRPr="0068236B">
              <w:rPr>
                <w:rFonts w:cs="Tahoma"/>
                <w:color w:val="000000"/>
                <w:sz w:val="20"/>
                <w:szCs w:val="20"/>
              </w:rPr>
              <w:t>71.71</w:t>
            </w:r>
          </w:p>
        </w:tc>
        <w:tc>
          <w:tcPr>
            <w:tcW w:w="1418" w:type="dxa"/>
            <w:tcBorders>
              <w:top w:val="double" w:sz="4" w:space="0" w:color="auto"/>
            </w:tcBorders>
            <w:vAlign w:val="bottom"/>
          </w:tcPr>
          <w:p w14:paraId="4C9CE739" w14:textId="77777777" w:rsidR="005D53E5" w:rsidRPr="0068236B" w:rsidRDefault="005D53E5" w:rsidP="005D53E5">
            <w:pPr>
              <w:spacing w:before="0" w:after="0" w:line="240" w:lineRule="auto"/>
              <w:jc w:val="right"/>
              <w:rPr>
                <w:rFonts w:cs="Tahoma"/>
                <w:color w:val="000000"/>
                <w:sz w:val="20"/>
                <w:szCs w:val="20"/>
              </w:rPr>
            </w:pPr>
            <w:r w:rsidRPr="0068236B">
              <w:rPr>
                <w:rFonts w:cs="Tahoma"/>
                <w:color w:val="000000"/>
                <w:sz w:val="20"/>
                <w:szCs w:val="20"/>
              </w:rPr>
              <w:t>24.85</w:t>
            </w:r>
          </w:p>
        </w:tc>
      </w:tr>
      <w:tr w:rsidR="005D53E5" w:rsidRPr="0068236B" w14:paraId="57815F39" w14:textId="77777777" w:rsidTr="005D53E5">
        <w:trPr>
          <w:trHeight w:val="300"/>
        </w:trPr>
        <w:tc>
          <w:tcPr>
            <w:tcW w:w="4928" w:type="dxa"/>
            <w:tcBorders>
              <w:top w:val="single" w:sz="8" w:space="0" w:color="auto"/>
            </w:tcBorders>
            <w:noWrap/>
            <w:vAlign w:val="bottom"/>
            <w:hideMark/>
          </w:tcPr>
          <w:p w14:paraId="756D202D" w14:textId="77777777" w:rsidR="005D53E5" w:rsidRPr="0068236B" w:rsidRDefault="005D53E5" w:rsidP="005D53E5">
            <w:pPr>
              <w:spacing w:before="0" w:after="0" w:line="240" w:lineRule="auto"/>
              <w:jc w:val="left"/>
              <w:rPr>
                <w:rFonts w:cs="Tahoma"/>
                <w:color w:val="000000"/>
                <w:sz w:val="20"/>
                <w:szCs w:val="20"/>
              </w:rPr>
            </w:pPr>
            <w:r w:rsidRPr="0068236B">
              <w:rPr>
                <w:rFonts w:cs="Tahoma"/>
                <w:color w:val="000000"/>
                <w:sz w:val="20"/>
                <w:szCs w:val="20"/>
              </w:rPr>
              <w:t>242-Complex cultivation patterns</w:t>
            </w:r>
          </w:p>
        </w:tc>
        <w:tc>
          <w:tcPr>
            <w:tcW w:w="1417" w:type="dxa"/>
            <w:tcBorders>
              <w:top w:val="single" w:sz="8" w:space="0" w:color="auto"/>
            </w:tcBorders>
            <w:noWrap/>
            <w:vAlign w:val="bottom"/>
            <w:hideMark/>
          </w:tcPr>
          <w:p w14:paraId="76784C57" w14:textId="77777777" w:rsidR="005D53E5" w:rsidRPr="0068236B" w:rsidRDefault="005D53E5" w:rsidP="005D53E5">
            <w:pPr>
              <w:spacing w:before="0" w:after="0" w:line="240" w:lineRule="auto"/>
              <w:jc w:val="right"/>
              <w:rPr>
                <w:rFonts w:cs="Tahoma"/>
                <w:color w:val="000000"/>
                <w:sz w:val="20"/>
                <w:szCs w:val="20"/>
              </w:rPr>
            </w:pPr>
            <w:r w:rsidRPr="0068236B">
              <w:rPr>
                <w:rFonts w:cs="Tahoma"/>
                <w:color w:val="000000"/>
                <w:sz w:val="20"/>
                <w:szCs w:val="20"/>
              </w:rPr>
              <w:t>111.76</w:t>
            </w:r>
          </w:p>
        </w:tc>
        <w:tc>
          <w:tcPr>
            <w:tcW w:w="1418" w:type="dxa"/>
            <w:tcBorders>
              <w:top w:val="single" w:sz="8" w:space="0" w:color="auto"/>
            </w:tcBorders>
            <w:vAlign w:val="bottom"/>
          </w:tcPr>
          <w:p w14:paraId="00159853" w14:textId="77777777" w:rsidR="005D53E5" w:rsidRPr="0068236B" w:rsidRDefault="005D53E5" w:rsidP="005D53E5">
            <w:pPr>
              <w:spacing w:before="0" w:after="0" w:line="240" w:lineRule="auto"/>
              <w:jc w:val="right"/>
              <w:rPr>
                <w:rFonts w:cs="Tahoma"/>
                <w:color w:val="000000"/>
                <w:sz w:val="20"/>
                <w:szCs w:val="20"/>
              </w:rPr>
            </w:pPr>
            <w:r w:rsidRPr="0068236B">
              <w:rPr>
                <w:rFonts w:cs="Tahoma"/>
                <w:color w:val="000000"/>
                <w:sz w:val="20"/>
                <w:szCs w:val="20"/>
              </w:rPr>
              <w:t>38.72</w:t>
            </w:r>
          </w:p>
        </w:tc>
      </w:tr>
      <w:tr w:rsidR="005D53E5" w:rsidRPr="0068236B" w14:paraId="1DA58DF4" w14:textId="77777777" w:rsidTr="005D53E5">
        <w:trPr>
          <w:trHeight w:val="300"/>
        </w:trPr>
        <w:tc>
          <w:tcPr>
            <w:tcW w:w="4928" w:type="dxa"/>
            <w:noWrap/>
            <w:vAlign w:val="bottom"/>
            <w:hideMark/>
          </w:tcPr>
          <w:p w14:paraId="192EFAF5" w14:textId="77777777" w:rsidR="005D53E5" w:rsidRPr="0068236B" w:rsidRDefault="005D53E5" w:rsidP="005D53E5">
            <w:pPr>
              <w:spacing w:before="0" w:after="0" w:line="240" w:lineRule="auto"/>
              <w:jc w:val="left"/>
              <w:rPr>
                <w:rFonts w:cs="Tahoma"/>
                <w:color w:val="000000"/>
                <w:sz w:val="20"/>
                <w:szCs w:val="20"/>
              </w:rPr>
            </w:pPr>
            <w:r w:rsidRPr="0068236B">
              <w:rPr>
                <w:rFonts w:cs="Tahoma"/>
                <w:color w:val="000000"/>
                <w:sz w:val="20"/>
                <w:szCs w:val="20"/>
              </w:rPr>
              <w:t>243-Land principally occupied by agriculture, with significant areas of natural vegetation</w:t>
            </w:r>
          </w:p>
        </w:tc>
        <w:tc>
          <w:tcPr>
            <w:tcW w:w="1417" w:type="dxa"/>
            <w:noWrap/>
            <w:vAlign w:val="bottom"/>
            <w:hideMark/>
          </w:tcPr>
          <w:p w14:paraId="3A5E43AC" w14:textId="77777777" w:rsidR="005D53E5" w:rsidRPr="0068236B" w:rsidRDefault="005D53E5" w:rsidP="005D53E5">
            <w:pPr>
              <w:spacing w:before="0" w:after="0" w:line="240" w:lineRule="auto"/>
              <w:jc w:val="right"/>
              <w:rPr>
                <w:rFonts w:cs="Tahoma"/>
                <w:color w:val="000000"/>
                <w:sz w:val="20"/>
                <w:szCs w:val="20"/>
              </w:rPr>
            </w:pPr>
            <w:r w:rsidRPr="0068236B">
              <w:rPr>
                <w:rFonts w:cs="Tahoma"/>
                <w:color w:val="000000"/>
                <w:sz w:val="20"/>
                <w:szCs w:val="20"/>
              </w:rPr>
              <w:t>21.51</w:t>
            </w:r>
          </w:p>
        </w:tc>
        <w:tc>
          <w:tcPr>
            <w:tcW w:w="1418" w:type="dxa"/>
            <w:vAlign w:val="bottom"/>
          </w:tcPr>
          <w:p w14:paraId="4D56FFF1" w14:textId="77777777" w:rsidR="005D53E5" w:rsidRPr="0068236B" w:rsidRDefault="005D53E5" w:rsidP="005D53E5">
            <w:pPr>
              <w:spacing w:before="0" w:after="0" w:line="240" w:lineRule="auto"/>
              <w:jc w:val="right"/>
              <w:rPr>
                <w:rFonts w:cs="Tahoma"/>
                <w:color w:val="000000"/>
                <w:sz w:val="20"/>
                <w:szCs w:val="20"/>
              </w:rPr>
            </w:pPr>
            <w:r w:rsidRPr="0068236B">
              <w:rPr>
                <w:rFonts w:cs="Tahoma"/>
                <w:color w:val="000000"/>
                <w:sz w:val="20"/>
                <w:szCs w:val="20"/>
              </w:rPr>
              <w:t>7.45</w:t>
            </w:r>
          </w:p>
        </w:tc>
      </w:tr>
      <w:tr w:rsidR="005D53E5" w:rsidRPr="0068236B" w14:paraId="07DCCEF6" w14:textId="77777777" w:rsidTr="005D53E5">
        <w:trPr>
          <w:trHeight w:val="300"/>
        </w:trPr>
        <w:tc>
          <w:tcPr>
            <w:tcW w:w="4928" w:type="dxa"/>
            <w:noWrap/>
            <w:vAlign w:val="bottom"/>
            <w:hideMark/>
          </w:tcPr>
          <w:p w14:paraId="73439577" w14:textId="77777777" w:rsidR="005D53E5" w:rsidRPr="0068236B" w:rsidRDefault="005D53E5" w:rsidP="005D53E5">
            <w:pPr>
              <w:spacing w:before="0" w:after="0" w:line="240" w:lineRule="auto"/>
              <w:jc w:val="left"/>
              <w:rPr>
                <w:rFonts w:cs="Tahoma"/>
                <w:color w:val="000000"/>
                <w:sz w:val="20"/>
                <w:szCs w:val="20"/>
              </w:rPr>
            </w:pPr>
            <w:r w:rsidRPr="0068236B">
              <w:rPr>
                <w:rFonts w:cs="Tahoma"/>
                <w:color w:val="000000"/>
                <w:sz w:val="20"/>
                <w:szCs w:val="20"/>
              </w:rPr>
              <w:t>323-Sclerophyllous vegetation</w:t>
            </w:r>
          </w:p>
        </w:tc>
        <w:tc>
          <w:tcPr>
            <w:tcW w:w="1417" w:type="dxa"/>
            <w:noWrap/>
            <w:vAlign w:val="bottom"/>
            <w:hideMark/>
          </w:tcPr>
          <w:p w14:paraId="02C9EF8B" w14:textId="77777777" w:rsidR="005D53E5" w:rsidRPr="0068236B" w:rsidRDefault="005D53E5" w:rsidP="005D53E5">
            <w:pPr>
              <w:spacing w:before="0" w:after="0" w:line="240" w:lineRule="auto"/>
              <w:jc w:val="right"/>
              <w:rPr>
                <w:rFonts w:cs="Tahoma"/>
                <w:color w:val="000000"/>
                <w:sz w:val="20"/>
                <w:szCs w:val="20"/>
              </w:rPr>
            </w:pPr>
            <w:r w:rsidRPr="0068236B">
              <w:rPr>
                <w:rFonts w:cs="Tahoma"/>
                <w:color w:val="000000"/>
                <w:sz w:val="20"/>
                <w:szCs w:val="20"/>
              </w:rPr>
              <w:t>51.63</w:t>
            </w:r>
          </w:p>
        </w:tc>
        <w:tc>
          <w:tcPr>
            <w:tcW w:w="1418" w:type="dxa"/>
            <w:vAlign w:val="bottom"/>
          </w:tcPr>
          <w:p w14:paraId="17F75DF9" w14:textId="77777777" w:rsidR="005D53E5" w:rsidRPr="0068236B" w:rsidRDefault="005D53E5" w:rsidP="005D53E5">
            <w:pPr>
              <w:spacing w:before="0" w:after="0" w:line="240" w:lineRule="auto"/>
              <w:jc w:val="right"/>
              <w:rPr>
                <w:rFonts w:cs="Tahoma"/>
                <w:color w:val="000000"/>
                <w:sz w:val="20"/>
                <w:szCs w:val="20"/>
              </w:rPr>
            </w:pPr>
            <w:r w:rsidRPr="0068236B">
              <w:rPr>
                <w:rFonts w:cs="Tahoma"/>
                <w:color w:val="000000"/>
                <w:sz w:val="20"/>
                <w:szCs w:val="20"/>
              </w:rPr>
              <w:t>17.89</w:t>
            </w:r>
          </w:p>
        </w:tc>
      </w:tr>
      <w:tr w:rsidR="005D53E5" w:rsidRPr="0068236B" w14:paraId="06E6AC09" w14:textId="77777777" w:rsidTr="005D53E5">
        <w:trPr>
          <w:trHeight w:val="300"/>
        </w:trPr>
        <w:tc>
          <w:tcPr>
            <w:tcW w:w="4928" w:type="dxa"/>
            <w:noWrap/>
            <w:vAlign w:val="bottom"/>
            <w:hideMark/>
          </w:tcPr>
          <w:p w14:paraId="3CFC7202" w14:textId="77777777" w:rsidR="005D53E5" w:rsidRPr="0068236B" w:rsidRDefault="005D53E5" w:rsidP="005D53E5">
            <w:pPr>
              <w:spacing w:before="0" w:after="0" w:line="240" w:lineRule="auto"/>
              <w:jc w:val="left"/>
              <w:rPr>
                <w:rFonts w:cs="Tahoma"/>
                <w:color w:val="000000"/>
                <w:sz w:val="20"/>
                <w:szCs w:val="20"/>
              </w:rPr>
            </w:pPr>
            <w:r w:rsidRPr="0068236B">
              <w:rPr>
                <w:rFonts w:cs="Tahoma"/>
                <w:color w:val="000000"/>
                <w:sz w:val="20"/>
                <w:szCs w:val="20"/>
              </w:rPr>
              <w:t>324-Transitional woodland-shrub</w:t>
            </w:r>
          </w:p>
        </w:tc>
        <w:tc>
          <w:tcPr>
            <w:tcW w:w="1417" w:type="dxa"/>
            <w:noWrap/>
            <w:vAlign w:val="bottom"/>
            <w:hideMark/>
          </w:tcPr>
          <w:p w14:paraId="3BAE8ADF" w14:textId="77777777" w:rsidR="005D53E5" w:rsidRPr="0068236B" w:rsidRDefault="005D53E5" w:rsidP="005D53E5">
            <w:pPr>
              <w:spacing w:before="0" w:after="0" w:line="240" w:lineRule="auto"/>
              <w:jc w:val="right"/>
              <w:rPr>
                <w:rFonts w:cs="Tahoma"/>
                <w:color w:val="000000"/>
                <w:sz w:val="20"/>
                <w:szCs w:val="20"/>
              </w:rPr>
            </w:pPr>
            <w:r w:rsidRPr="0068236B">
              <w:rPr>
                <w:rFonts w:cs="Tahoma"/>
                <w:color w:val="000000"/>
                <w:sz w:val="20"/>
                <w:szCs w:val="20"/>
              </w:rPr>
              <w:t>0.04</w:t>
            </w:r>
          </w:p>
        </w:tc>
        <w:tc>
          <w:tcPr>
            <w:tcW w:w="1418" w:type="dxa"/>
            <w:vAlign w:val="bottom"/>
          </w:tcPr>
          <w:p w14:paraId="3212662D" w14:textId="77777777" w:rsidR="005D53E5" w:rsidRPr="0068236B" w:rsidRDefault="005D53E5" w:rsidP="005D53E5">
            <w:pPr>
              <w:spacing w:before="0" w:after="0" w:line="240" w:lineRule="auto"/>
              <w:jc w:val="right"/>
              <w:rPr>
                <w:rFonts w:cs="Tahoma"/>
                <w:color w:val="000000"/>
                <w:sz w:val="20"/>
                <w:szCs w:val="20"/>
              </w:rPr>
            </w:pPr>
            <w:r w:rsidRPr="0068236B">
              <w:rPr>
                <w:rFonts w:cs="Tahoma"/>
                <w:color w:val="000000"/>
                <w:sz w:val="20"/>
                <w:szCs w:val="20"/>
              </w:rPr>
              <w:t>0.02</w:t>
            </w:r>
          </w:p>
        </w:tc>
      </w:tr>
      <w:tr w:rsidR="005D53E5" w:rsidRPr="0068236B" w14:paraId="7280EAAA" w14:textId="77777777" w:rsidTr="005D53E5">
        <w:trPr>
          <w:trHeight w:val="300"/>
        </w:trPr>
        <w:tc>
          <w:tcPr>
            <w:tcW w:w="4928" w:type="dxa"/>
            <w:noWrap/>
            <w:vAlign w:val="bottom"/>
            <w:hideMark/>
          </w:tcPr>
          <w:p w14:paraId="5A628705" w14:textId="77777777" w:rsidR="005D53E5" w:rsidRPr="0068236B" w:rsidRDefault="005D53E5" w:rsidP="005D53E5">
            <w:pPr>
              <w:spacing w:before="0" w:after="0" w:line="240" w:lineRule="auto"/>
              <w:jc w:val="left"/>
              <w:rPr>
                <w:rFonts w:cs="Tahoma"/>
                <w:color w:val="000000"/>
                <w:sz w:val="20"/>
                <w:szCs w:val="20"/>
              </w:rPr>
            </w:pPr>
            <w:r w:rsidRPr="0068236B">
              <w:rPr>
                <w:rFonts w:cs="Tahoma"/>
                <w:color w:val="000000"/>
                <w:sz w:val="20"/>
                <w:szCs w:val="20"/>
              </w:rPr>
              <w:t>321-Natural grasslands</w:t>
            </w:r>
          </w:p>
        </w:tc>
        <w:tc>
          <w:tcPr>
            <w:tcW w:w="1417" w:type="dxa"/>
            <w:noWrap/>
            <w:vAlign w:val="bottom"/>
            <w:hideMark/>
          </w:tcPr>
          <w:p w14:paraId="10E2BC09" w14:textId="77777777" w:rsidR="005D53E5" w:rsidRPr="0068236B" w:rsidRDefault="005D53E5" w:rsidP="005D53E5">
            <w:pPr>
              <w:spacing w:before="0" w:after="0" w:line="240" w:lineRule="auto"/>
              <w:jc w:val="right"/>
              <w:rPr>
                <w:rFonts w:cs="Tahoma"/>
                <w:color w:val="000000"/>
                <w:sz w:val="20"/>
                <w:szCs w:val="20"/>
              </w:rPr>
            </w:pPr>
            <w:r w:rsidRPr="0068236B">
              <w:rPr>
                <w:rFonts w:cs="Tahoma"/>
                <w:color w:val="000000"/>
                <w:sz w:val="20"/>
                <w:szCs w:val="20"/>
              </w:rPr>
              <w:t>21.06</w:t>
            </w:r>
          </w:p>
        </w:tc>
        <w:tc>
          <w:tcPr>
            <w:tcW w:w="1418" w:type="dxa"/>
            <w:vAlign w:val="bottom"/>
          </w:tcPr>
          <w:p w14:paraId="65546A5A" w14:textId="77777777" w:rsidR="005D53E5" w:rsidRPr="0068236B" w:rsidRDefault="005D53E5" w:rsidP="005D53E5">
            <w:pPr>
              <w:spacing w:before="0" w:after="0" w:line="240" w:lineRule="auto"/>
              <w:jc w:val="right"/>
              <w:rPr>
                <w:rFonts w:cs="Tahoma"/>
                <w:color w:val="000000"/>
                <w:sz w:val="20"/>
                <w:szCs w:val="20"/>
              </w:rPr>
            </w:pPr>
            <w:r w:rsidRPr="0068236B">
              <w:rPr>
                <w:rFonts w:cs="Tahoma"/>
                <w:color w:val="000000"/>
                <w:sz w:val="20"/>
                <w:szCs w:val="20"/>
              </w:rPr>
              <w:t>7.30</w:t>
            </w:r>
          </w:p>
        </w:tc>
      </w:tr>
      <w:tr w:rsidR="005D53E5" w:rsidRPr="0068236B" w14:paraId="644FCCD7" w14:textId="77777777" w:rsidTr="005D53E5">
        <w:trPr>
          <w:trHeight w:val="300"/>
        </w:trPr>
        <w:tc>
          <w:tcPr>
            <w:tcW w:w="4928" w:type="dxa"/>
            <w:noWrap/>
            <w:vAlign w:val="bottom"/>
            <w:hideMark/>
          </w:tcPr>
          <w:p w14:paraId="56B77225" w14:textId="77777777" w:rsidR="005D53E5" w:rsidRPr="0068236B" w:rsidRDefault="005D53E5" w:rsidP="005D53E5">
            <w:pPr>
              <w:spacing w:before="0" w:after="0" w:line="240" w:lineRule="auto"/>
              <w:jc w:val="left"/>
              <w:rPr>
                <w:rFonts w:cs="Tahoma"/>
                <w:color w:val="000000"/>
                <w:sz w:val="20"/>
                <w:szCs w:val="20"/>
              </w:rPr>
            </w:pPr>
            <w:r w:rsidRPr="0068236B">
              <w:rPr>
                <w:rFonts w:cs="Tahoma"/>
                <w:color w:val="000000"/>
                <w:sz w:val="20"/>
                <w:szCs w:val="20"/>
              </w:rPr>
              <w:t>511-Water courses</w:t>
            </w:r>
          </w:p>
        </w:tc>
        <w:tc>
          <w:tcPr>
            <w:tcW w:w="1417" w:type="dxa"/>
            <w:noWrap/>
            <w:vAlign w:val="bottom"/>
            <w:hideMark/>
          </w:tcPr>
          <w:p w14:paraId="56A2CEFB" w14:textId="77777777" w:rsidR="005D53E5" w:rsidRPr="0068236B" w:rsidRDefault="005D53E5" w:rsidP="005D53E5">
            <w:pPr>
              <w:spacing w:before="0" w:after="0" w:line="240" w:lineRule="auto"/>
              <w:jc w:val="right"/>
              <w:rPr>
                <w:rFonts w:cs="Tahoma"/>
                <w:color w:val="000000"/>
                <w:sz w:val="20"/>
                <w:szCs w:val="20"/>
              </w:rPr>
            </w:pPr>
            <w:r w:rsidRPr="0068236B">
              <w:rPr>
                <w:rFonts w:cs="Tahoma"/>
                <w:color w:val="000000"/>
                <w:sz w:val="20"/>
                <w:szCs w:val="20"/>
              </w:rPr>
              <w:t>10.89</w:t>
            </w:r>
          </w:p>
        </w:tc>
        <w:tc>
          <w:tcPr>
            <w:tcW w:w="1418" w:type="dxa"/>
            <w:vAlign w:val="bottom"/>
          </w:tcPr>
          <w:p w14:paraId="3EEB4F59" w14:textId="77777777" w:rsidR="005D53E5" w:rsidRPr="0068236B" w:rsidRDefault="005D53E5" w:rsidP="005D53E5">
            <w:pPr>
              <w:spacing w:before="0" w:after="0" w:line="240" w:lineRule="auto"/>
              <w:jc w:val="right"/>
              <w:rPr>
                <w:rFonts w:cs="Tahoma"/>
                <w:color w:val="000000"/>
                <w:sz w:val="20"/>
                <w:szCs w:val="20"/>
              </w:rPr>
            </w:pPr>
            <w:r w:rsidRPr="0068236B">
              <w:rPr>
                <w:rFonts w:cs="Tahoma"/>
                <w:color w:val="000000"/>
                <w:sz w:val="20"/>
                <w:szCs w:val="20"/>
              </w:rPr>
              <w:t>3.77</w:t>
            </w:r>
          </w:p>
        </w:tc>
      </w:tr>
      <w:tr w:rsidR="005D53E5" w:rsidRPr="0068236B" w14:paraId="0E38C5AA" w14:textId="77777777" w:rsidTr="005D53E5">
        <w:trPr>
          <w:trHeight w:val="300"/>
        </w:trPr>
        <w:tc>
          <w:tcPr>
            <w:tcW w:w="4928" w:type="dxa"/>
            <w:tcBorders>
              <w:top w:val="double" w:sz="4" w:space="0" w:color="auto"/>
              <w:bottom w:val="double" w:sz="4" w:space="0" w:color="auto"/>
              <w:right w:val="double" w:sz="4" w:space="0" w:color="auto"/>
            </w:tcBorders>
            <w:noWrap/>
            <w:vAlign w:val="bottom"/>
            <w:hideMark/>
          </w:tcPr>
          <w:p w14:paraId="64724732" w14:textId="77777777" w:rsidR="005D53E5" w:rsidRPr="0068236B" w:rsidRDefault="005D53E5" w:rsidP="005D53E5">
            <w:pPr>
              <w:spacing w:before="0" w:after="0" w:line="240" w:lineRule="auto"/>
              <w:jc w:val="right"/>
              <w:rPr>
                <w:rFonts w:cs="Tahoma"/>
                <w:bCs/>
                <w:color w:val="000000"/>
                <w:sz w:val="20"/>
                <w:szCs w:val="20"/>
                <w:lang w:eastAsia="mk-MK"/>
              </w:rPr>
            </w:pPr>
            <w:r w:rsidRPr="0068236B">
              <w:rPr>
                <w:rFonts w:cs="Tahoma"/>
                <w:bCs/>
                <w:color w:val="000000"/>
                <w:sz w:val="20"/>
                <w:szCs w:val="20"/>
                <w:lang w:eastAsia="mk-MK"/>
              </w:rPr>
              <w:t>Total:</w:t>
            </w:r>
          </w:p>
        </w:tc>
        <w:tc>
          <w:tcPr>
            <w:tcW w:w="1417" w:type="dxa"/>
            <w:tcBorders>
              <w:top w:val="double" w:sz="4" w:space="0" w:color="auto"/>
              <w:left w:val="double" w:sz="4" w:space="0" w:color="auto"/>
              <w:bottom w:val="double" w:sz="4" w:space="0" w:color="auto"/>
              <w:right w:val="double" w:sz="4" w:space="0" w:color="auto"/>
            </w:tcBorders>
            <w:noWrap/>
            <w:vAlign w:val="bottom"/>
            <w:hideMark/>
          </w:tcPr>
          <w:p w14:paraId="0F222302" w14:textId="77777777" w:rsidR="005D53E5" w:rsidRPr="0068236B" w:rsidRDefault="005D53E5" w:rsidP="005D53E5">
            <w:pPr>
              <w:spacing w:before="0" w:after="0" w:line="240" w:lineRule="auto"/>
              <w:jc w:val="right"/>
              <w:rPr>
                <w:rFonts w:cs="Tahoma"/>
                <w:bCs/>
                <w:color w:val="000000"/>
                <w:sz w:val="20"/>
                <w:szCs w:val="20"/>
              </w:rPr>
            </w:pPr>
            <w:r w:rsidRPr="0068236B">
              <w:rPr>
                <w:rFonts w:cs="Tahoma"/>
                <w:bCs/>
                <w:color w:val="000000"/>
                <w:sz w:val="20"/>
                <w:szCs w:val="20"/>
              </w:rPr>
              <w:t>288.60</w:t>
            </w:r>
          </w:p>
        </w:tc>
        <w:tc>
          <w:tcPr>
            <w:tcW w:w="1418" w:type="dxa"/>
            <w:tcBorders>
              <w:top w:val="double" w:sz="4" w:space="0" w:color="auto"/>
              <w:left w:val="double" w:sz="4" w:space="0" w:color="auto"/>
              <w:bottom w:val="double" w:sz="4" w:space="0" w:color="auto"/>
              <w:right w:val="double" w:sz="4" w:space="0" w:color="auto"/>
            </w:tcBorders>
            <w:vAlign w:val="bottom"/>
          </w:tcPr>
          <w:p w14:paraId="2BA5AF09" w14:textId="77777777" w:rsidR="005D53E5" w:rsidRPr="0068236B" w:rsidRDefault="005D53E5" w:rsidP="005D53E5">
            <w:pPr>
              <w:spacing w:before="0" w:after="0" w:line="240" w:lineRule="auto"/>
              <w:jc w:val="right"/>
              <w:rPr>
                <w:rFonts w:cs="Tahoma"/>
                <w:bCs/>
                <w:color w:val="000000"/>
                <w:sz w:val="20"/>
                <w:szCs w:val="20"/>
              </w:rPr>
            </w:pPr>
            <w:r w:rsidRPr="0068236B">
              <w:rPr>
                <w:rFonts w:cs="Tahoma"/>
                <w:bCs/>
                <w:color w:val="000000"/>
                <w:sz w:val="20"/>
                <w:szCs w:val="20"/>
              </w:rPr>
              <w:t>100.00</w:t>
            </w:r>
          </w:p>
        </w:tc>
      </w:tr>
    </w:tbl>
    <w:p w14:paraId="3303B29F" w14:textId="78C495F7" w:rsidR="005D53E5" w:rsidRPr="0068236B" w:rsidRDefault="005D53E5" w:rsidP="005D53E5">
      <w:pPr>
        <w:spacing w:before="60" w:after="240" w:line="240" w:lineRule="auto"/>
        <w:jc w:val="left"/>
        <w:rPr>
          <w:sz w:val="18"/>
          <w:szCs w:val="20"/>
        </w:rPr>
      </w:pPr>
      <w:bookmarkStart w:id="254" w:name="_Toc113018178"/>
      <w:r w:rsidRPr="0068236B">
        <w:rPr>
          <w:sz w:val="18"/>
          <w:szCs w:val="20"/>
        </w:rPr>
        <w:t xml:space="preserve">Table </w:t>
      </w:r>
      <w:r w:rsidR="00377E43" w:rsidRPr="0068236B">
        <w:rPr>
          <w:b/>
          <w:sz w:val="18"/>
          <w:szCs w:val="20"/>
        </w:rPr>
        <w:fldChar w:fldCharType="begin"/>
      </w:r>
      <w:r w:rsidRPr="0068236B">
        <w:rPr>
          <w:sz w:val="18"/>
          <w:szCs w:val="20"/>
        </w:rPr>
        <w:instrText xml:space="preserve"> STYLEREF 1 \s </w:instrText>
      </w:r>
      <w:r w:rsidR="00377E43" w:rsidRPr="0068236B">
        <w:rPr>
          <w:b/>
          <w:sz w:val="18"/>
          <w:szCs w:val="20"/>
        </w:rPr>
        <w:fldChar w:fldCharType="separate"/>
      </w:r>
      <w:r w:rsidR="00FD57E6">
        <w:rPr>
          <w:noProof/>
          <w:sz w:val="18"/>
          <w:szCs w:val="20"/>
        </w:rPr>
        <w:t>7</w:t>
      </w:r>
      <w:r w:rsidR="00377E43" w:rsidRPr="0068236B">
        <w:rPr>
          <w:b/>
          <w:sz w:val="18"/>
          <w:szCs w:val="20"/>
        </w:rPr>
        <w:fldChar w:fldCharType="end"/>
      </w:r>
      <w:r w:rsidRPr="0068236B">
        <w:rPr>
          <w:sz w:val="18"/>
          <w:szCs w:val="20"/>
        </w:rPr>
        <w:t>.</w:t>
      </w:r>
      <w:r w:rsidR="00377E43" w:rsidRPr="0068236B">
        <w:rPr>
          <w:b/>
          <w:sz w:val="18"/>
          <w:szCs w:val="20"/>
        </w:rPr>
        <w:fldChar w:fldCharType="begin"/>
      </w:r>
      <w:r w:rsidRPr="0068236B">
        <w:rPr>
          <w:sz w:val="18"/>
          <w:szCs w:val="20"/>
        </w:rPr>
        <w:instrText xml:space="preserve"> SEQ Table \* ARABIC \s 1 </w:instrText>
      </w:r>
      <w:r w:rsidR="00377E43" w:rsidRPr="0068236B">
        <w:rPr>
          <w:b/>
          <w:sz w:val="18"/>
          <w:szCs w:val="20"/>
        </w:rPr>
        <w:fldChar w:fldCharType="separate"/>
      </w:r>
      <w:r w:rsidR="00FD57E6">
        <w:rPr>
          <w:noProof/>
          <w:sz w:val="18"/>
          <w:szCs w:val="20"/>
        </w:rPr>
        <w:t>7</w:t>
      </w:r>
      <w:r w:rsidR="00377E43" w:rsidRPr="0068236B">
        <w:rPr>
          <w:b/>
          <w:sz w:val="18"/>
          <w:szCs w:val="20"/>
        </w:rPr>
        <w:fldChar w:fldCharType="end"/>
      </w:r>
      <w:r w:rsidRPr="0068236B">
        <w:rPr>
          <w:sz w:val="18"/>
          <w:szCs w:val="20"/>
        </w:rPr>
        <w:t>: Land cover according to CORINE Land Cover types within the study area of the proposed construction of a new 110 kV OHL connector</w:t>
      </w:r>
      <w:r w:rsidR="00FA33C6" w:rsidRPr="0068236B">
        <w:rPr>
          <w:sz w:val="18"/>
          <w:szCs w:val="20"/>
        </w:rPr>
        <w:t>s</w:t>
      </w:r>
      <w:r w:rsidRPr="0068236B">
        <w:rPr>
          <w:sz w:val="18"/>
          <w:szCs w:val="20"/>
        </w:rPr>
        <w:t xml:space="preserve"> of the new </w:t>
      </w:r>
      <w:r w:rsidR="00B91B1E" w:rsidRPr="0068236B">
        <w:rPr>
          <w:sz w:val="18"/>
          <w:szCs w:val="20"/>
        </w:rPr>
        <w:t>400/110 kV SS Miletkovo</w:t>
      </w:r>
      <w:r w:rsidRPr="0068236B">
        <w:rPr>
          <w:sz w:val="18"/>
          <w:szCs w:val="20"/>
        </w:rPr>
        <w:t xml:space="preserve"> with the existing SS ‘EVP’ Miletkovo</w:t>
      </w:r>
      <w:bookmarkEnd w:id="254"/>
    </w:p>
    <w:p w14:paraId="42A79144" w14:textId="2E2B1597" w:rsidR="00741BC6" w:rsidRPr="0068236B" w:rsidRDefault="00741BC6" w:rsidP="00DB3C90">
      <w:pPr>
        <w:pStyle w:val="Heading2"/>
        <w:spacing w:before="480" w:after="240"/>
        <w:ind w:left="576" w:hanging="576"/>
        <w:rPr>
          <w:rFonts w:cs="Tahoma"/>
          <w:szCs w:val="20"/>
        </w:rPr>
      </w:pPr>
      <w:bookmarkStart w:id="255" w:name="_Toc112852250"/>
      <w:bookmarkStart w:id="256" w:name="_Toc71559781"/>
      <w:r w:rsidRPr="0068236B">
        <w:rPr>
          <w:rFonts w:cs="Tahoma"/>
          <w:szCs w:val="20"/>
        </w:rPr>
        <w:t>Natural Environment</w:t>
      </w:r>
      <w:bookmarkEnd w:id="255"/>
    </w:p>
    <w:p w14:paraId="132387AE" w14:textId="317CB392" w:rsidR="00DB3C90" w:rsidRPr="0068236B" w:rsidRDefault="00DB3C90" w:rsidP="00741BC6">
      <w:pPr>
        <w:pStyle w:val="Heading3"/>
      </w:pPr>
      <w:bookmarkStart w:id="257" w:name="_Toc112852251"/>
      <w:r w:rsidRPr="0068236B">
        <w:t>Biodiversity and Natural Heritage</w:t>
      </w:r>
      <w:bookmarkEnd w:id="256"/>
      <w:bookmarkEnd w:id="257"/>
    </w:p>
    <w:p w14:paraId="5518D3EF" w14:textId="77777777" w:rsidR="00DB3C90" w:rsidRPr="0068236B" w:rsidRDefault="00DB3C90" w:rsidP="00DB3C90">
      <w:pPr>
        <w:autoSpaceDE w:val="0"/>
        <w:autoSpaceDN w:val="0"/>
        <w:adjustRightInd w:val="0"/>
        <w:rPr>
          <w:rFonts w:cs="Tahoma"/>
          <w:sz w:val="20"/>
          <w:szCs w:val="20"/>
          <w:lang w:val="mk-MK" w:eastAsia="en-US"/>
        </w:rPr>
      </w:pPr>
      <w:r w:rsidRPr="0068236B">
        <w:rPr>
          <w:rFonts w:cs="Tahoma"/>
          <w:sz w:val="20"/>
          <w:szCs w:val="20"/>
          <w:lang w:eastAsia="en-US"/>
        </w:rPr>
        <w:t xml:space="preserve">The Project has the potential to affect the biodiversity (habitats and species of flora, fauna and fungia) and natural heritage sites. Special attention will need to be paid to the designated areas, important species and habitats with global, European or national importance (according to the international documents and </w:t>
      </w:r>
      <w:r w:rsidR="00036546" w:rsidRPr="0068236B">
        <w:rPr>
          <w:rFonts w:cs="Tahoma"/>
          <w:sz w:val="20"/>
          <w:szCs w:val="20"/>
          <w:lang w:eastAsia="en-US"/>
        </w:rPr>
        <w:t>Mac</w:t>
      </w:r>
      <w:r w:rsidR="00036546" w:rsidRPr="0068236B">
        <w:rPr>
          <w:rFonts w:cs="Tahoma"/>
          <w:sz w:val="20"/>
          <w:szCs w:val="20"/>
          <w:lang w:eastAsia="en-US"/>
        </w:rPr>
        <w:t>e</w:t>
      </w:r>
      <w:r w:rsidR="00036546" w:rsidRPr="0068236B">
        <w:rPr>
          <w:rFonts w:cs="Tahoma"/>
          <w:sz w:val="20"/>
          <w:szCs w:val="20"/>
          <w:lang w:eastAsia="en-US"/>
        </w:rPr>
        <w:t>donian</w:t>
      </w:r>
      <w:r w:rsidRPr="0068236B">
        <w:rPr>
          <w:rFonts w:cs="Tahoma"/>
          <w:sz w:val="20"/>
          <w:szCs w:val="20"/>
          <w:lang w:eastAsia="en-US"/>
        </w:rPr>
        <w:t xml:space="preserve"> legislation). The following text summarizes the study area, identified baseline as well as potential impacts and principle mitigation concerning biodiversity.</w:t>
      </w:r>
    </w:p>
    <w:p w14:paraId="7DFF27B5" w14:textId="49605ED3" w:rsidR="005B3E2D" w:rsidRPr="0068236B" w:rsidRDefault="005B3E2D" w:rsidP="00DB3C90">
      <w:pPr>
        <w:autoSpaceDE w:val="0"/>
        <w:autoSpaceDN w:val="0"/>
        <w:adjustRightInd w:val="0"/>
        <w:rPr>
          <w:rFonts w:cs="Tahoma"/>
          <w:sz w:val="20"/>
          <w:szCs w:val="20"/>
          <w:lang w:val="mk-MK" w:eastAsia="en-US"/>
        </w:rPr>
      </w:pPr>
      <w:r w:rsidRPr="0068236B">
        <w:rPr>
          <w:rFonts w:cs="Tahoma"/>
          <w:sz w:val="20"/>
          <w:szCs w:val="20"/>
          <w:lang w:eastAsia="en-US"/>
        </w:rPr>
        <w:t xml:space="preserve">Natural heritages sites were assessed against the existence of </w:t>
      </w:r>
      <w:r w:rsidRPr="0068236B">
        <w:rPr>
          <w:rFonts w:cs="Tahoma"/>
          <w:sz w:val="20"/>
        </w:rPr>
        <w:t>Emerald sites</w:t>
      </w:r>
      <w:r w:rsidRPr="0068236B">
        <w:rPr>
          <w:rStyle w:val="FootnoteReference"/>
          <w:rFonts w:cs="Tahoma"/>
          <w:sz w:val="20"/>
        </w:rPr>
        <w:footnoteReference w:id="81"/>
      </w:r>
      <w:r w:rsidRPr="0068236B">
        <w:rPr>
          <w:rFonts w:cs="Tahoma"/>
          <w:sz w:val="20"/>
        </w:rPr>
        <w:t xml:space="preserve"> (Bern Convention), Ramsar site (Ramsar Convention</w:t>
      </w:r>
      <w:r w:rsidRPr="0068236B">
        <w:rPr>
          <w:rStyle w:val="FootnoteReference"/>
          <w:rFonts w:cs="Tahoma"/>
          <w:sz w:val="20"/>
        </w:rPr>
        <w:footnoteReference w:id="82"/>
      </w:r>
      <w:r w:rsidRPr="0068236B">
        <w:rPr>
          <w:rFonts w:cs="Tahoma"/>
          <w:sz w:val="20"/>
        </w:rPr>
        <w:t>), Important Plant Areas – IPA</w:t>
      </w:r>
      <w:r w:rsidRPr="0068236B">
        <w:rPr>
          <w:rStyle w:val="FootnoteReference"/>
          <w:rFonts w:cs="Tahoma"/>
          <w:sz w:val="20"/>
        </w:rPr>
        <w:footnoteReference w:id="83"/>
      </w:r>
      <w:r w:rsidRPr="0068236B">
        <w:rPr>
          <w:rFonts w:cs="Tahoma"/>
          <w:sz w:val="20"/>
        </w:rPr>
        <w:t>, Important Bird Areas - IBA</w:t>
      </w:r>
      <w:r w:rsidRPr="0068236B">
        <w:rPr>
          <w:rStyle w:val="FootnoteReference"/>
          <w:rFonts w:cs="Tahoma"/>
          <w:sz w:val="20"/>
        </w:rPr>
        <w:footnoteReference w:id="84"/>
      </w:r>
      <w:r w:rsidRPr="0068236B">
        <w:rPr>
          <w:rFonts w:cs="Tahoma"/>
          <w:sz w:val="20"/>
        </w:rPr>
        <w:t>, Prime Butterfly Areas – PBA (van Swaay &amp; Warren 2006</w:t>
      </w:r>
      <w:r w:rsidRPr="0068236B">
        <w:rPr>
          <w:rStyle w:val="FootnoteReference"/>
          <w:rFonts w:cs="Tahoma"/>
          <w:sz w:val="20"/>
        </w:rPr>
        <w:footnoteReference w:id="85"/>
      </w:r>
      <w:r w:rsidRPr="0068236B">
        <w:rPr>
          <w:rFonts w:cs="Tahoma"/>
          <w:sz w:val="20"/>
        </w:rPr>
        <w:t>) , Key Bioidiversity Areas – KBA (Melovski et al. 2012</w:t>
      </w:r>
      <w:r w:rsidRPr="0068236B">
        <w:rPr>
          <w:rStyle w:val="FootnoteReference"/>
          <w:rFonts w:cs="Tahoma"/>
          <w:sz w:val="20"/>
        </w:rPr>
        <w:footnoteReference w:id="86"/>
      </w:r>
      <w:r w:rsidRPr="0068236B">
        <w:rPr>
          <w:rFonts w:cs="Tahoma"/>
          <w:sz w:val="20"/>
        </w:rPr>
        <w:t>).</w:t>
      </w:r>
    </w:p>
    <w:p w14:paraId="34875ABB" w14:textId="77777777" w:rsidR="00DB3C90" w:rsidRPr="0068236B" w:rsidRDefault="00DB3C90" w:rsidP="00741BC6">
      <w:pPr>
        <w:pStyle w:val="Heading4"/>
        <w:rPr>
          <w:sz w:val="20"/>
        </w:rPr>
      </w:pPr>
      <w:bookmarkStart w:id="258" w:name="_Toc71559782"/>
      <w:r w:rsidRPr="0068236B">
        <w:rPr>
          <w:sz w:val="20"/>
        </w:rPr>
        <w:t>Study Area</w:t>
      </w:r>
      <w:bookmarkEnd w:id="258"/>
    </w:p>
    <w:p w14:paraId="47B088C8" w14:textId="7D484C23" w:rsidR="00DB3C90" w:rsidRPr="0068236B" w:rsidRDefault="00BB4604" w:rsidP="00DB3C90">
      <w:pPr>
        <w:autoSpaceDE w:val="0"/>
        <w:autoSpaceDN w:val="0"/>
        <w:adjustRightInd w:val="0"/>
        <w:rPr>
          <w:rFonts w:cs="Tahoma"/>
          <w:sz w:val="20"/>
        </w:rPr>
      </w:pPr>
      <w:r w:rsidRPr="0068236B">
        <w:rPr>
          <w:rFonts w:cs="Tahoma"/>
          <w:sz w:val="20"/>
          <w:szCs w:val="20"/>
        </w:rPr>
        <w:t>The study area (Figure below) occupies the Valandovo plain, west of the town of Valandovo. The south bo</w:t>
      </w:r>
      <w:r w:rsidRPr="0068236B">
        <w:rPr>
          <w:rFonts w:cs="Tahoma"/>
          <w:sz w:val="20"/>
          <w:szCs w:val="20"/>
        </w:rPr>
        <w:t>r</w:t>
      </w:r>
      <w:r w:rsidRPr="0068236B">
        <w:rPr>
          <w:rFonts w:cs="Tahoma"/>
          <w:sz w:val="20"/>
          <w:szCs w:val="20"/>
        </w:rPr>
        <w:t>der of the study area is represented by the hills above villages Marvinci-Balincki-Brajkovci; the west border are the foothills of Marjanska Planina; the north border are the foothills of Plavush mountain. A buffer</w:t>
      </w:r>
      <w:r w:rsidR="00DB3C90" w:rsidRPr="0068236B">
        <w:rPr>
          <w:rFonts w:cs="Tahoma"/>
          <w:sz w:val="20"/>
          <w:szCs w:val="20"/>
          <w:lang w:eastAsia="en-US"/>
        </w:rPr>
        <w:t xml:space="preserve"> area of 1,000 metres wide OHL corridor</w:t>
      </w:r>
      <w:r w:rsidR="00036546" w:rsidRPr="0068236B">
        <w:rPr>
          <w:rFonts w:cs="Tahoma"/>
          <w:sz w:val="20"/>
          <w:szCs w:val="20"/>
          <w:lang w:eastAsia="en-US"/>
        </w:rPr>
        <w:t>(s)</w:t>
      </w:r>
      <w:r w:rsidR="00DB3C90" w:rsidRPr="0068236B">
        <w:rPr>
          <w:rFonts w:cs="Tahoma"/>
          <w:sz w:val="20"/>
          <w:szCs w:val="20"/>
          <w:lang w:eastAsia="en-US"/>
        </w:rPr>
        <w:t xml:space="preserve"> </w:t>
      </w:r>
      <w:r w:rsidR="00DB3C90" w:rsidRPr="0068236B">
        <w:rPr>
          <w:rFonts w:cs="Tahoma"/>
          <w:sz w:val="20"/>
          <w:szCs w:val="20"/>
        </w:rPr>
        <w:t>(</w:t>
      </w:r>
      <w:r w:rsidR="00DB3C90" w:rsidRPr="0068236B">
        <w:rPr>
          <w:rFonts w:cs="Tahoma"/>
          <w:sz w:val="20"/>
        </w:rPr>
        <w:t xml:space="preserve">500 metres </w:t>
      </w:r>
      <w:r w:rsidR="00DB3C90" w:rsidRPr="0068236B">
        <w:rPr>
          <w:sz w:val="20"/>
        </w:rPr>
        <w:t>on both sides from the longitudinal axis of the transmi</w:t>
      </w:r>
      <w:r w:rsidR="00DB3C90" w:rsidRPr="0068236B">
        <w:rPr>
          <w:sz w:val="20"/>
        </w:rPr>
        <w:t>s</w:t>
      </w:r>
      <w:r w:rsidR="00DB3C90" w:rsidRPr="0068236B">
        <w:rPr>
          <w:sz w:val="20"/>
        </w:rPr>
        <w:t>sion line</w:t>
      </w:r>
      <w:r w:rsidR="00DB3C90" w:rsidRPr="0068236B">
        <w:rPr>
          <w:rFonts w:cs="Tahoma"/>
          <w:sz w:val="20"/>
          <w:szCs w:val="20"/>
        </w:rPr>
        <w:t>), including the SS location,</w:t>
      </w:r>
      <w:r w:rsidR="00DB3C90" w:rsidRPr="0068236B">
        <w:rPr>
          <w:rFonts w:cs="Tahoma"/>
          <w:sz w:val="20"/>
          <w:szCs w:val="20"/>
          <w:lang w:eastAsia="en-US"/>
        </w:rPr>
        <w:t xml:space="preserve"> is used for this </w:t>
      </w:r>
      <w:r w:rsidR="00D24BAA" w:rsidRPr="0068236B">
        <w:rPr>
          <w:rFonts w:cs="Tahoma"/>
          <w:sz w:val="20"/>
          <w:szCs w:val="20"/>
          <w:lang w:eastAsia="en-US"/>
        </w:rPr>
        <w:t>assessment</w:t>
      </w:r>
      <w:r w:rsidR="00DB3C90" w:rsidRPr="0068236B">
        <w:rPr>
          <w:rFonts w:cs="Tahoma"/>
          <w:sz w:val="20"/>
          <w:szCs w:val="20"/>
          <w:lang w:eastAsia="en-US"/>
        </w:rPr>
        <w:t xml:space="preserve"> to present the baseline in wider context, which is considered as representative and sufficient to identify the current biodiversity status in the broader area and to assess indirect impacts from the Project. </w:t>
      </w:r>
      <w:r w:rsidR="00DB1272" w:rsidRPr="0068236B">
        <w:rPr>
          <w:rFonts w:cs="Tahoma"/>
          <w:sz w:val="20"/>
          <w:szCs w:val="20"/>
          <w:lang w:eastAsia="en-US"/>
        </w:rPr>
        <w:t xml:space="preserve">For </w:t>
      </w:r>
      <w:r w:rsidR="00970929" w:rsidRPr="0068236B">
        <w:rPr>
          <w:rFonts w:cs="Tahoma"/>
          <w:sz w:val="20"/>
          <w:szCs w:val="20"/>
          <w:lang w:eastAsia="en-US"/>
        </w:rPr>
        <w:t xml:space="preserve">Priority </w:t>
      </w:r>
      <w:r w:rsidR="00DB1272" w:rsidRPr="0068236B">
        <w:rPr>
          <w:rFonts w:cs="Tahoma"/>
          <w:sz w:val="20"/>
          <w:szCs w:val="20"/>
          <w:lang w:eastAsia="en-US"/>
        </w:rPr>
        <w:t>Biodiversity Features</w:t>
      </w:r>
      <w:r w:rsidR="00970929" w:rsidRPr="0068236B">
        <w:rPr>
          <w:rFonts w:cs="Tahoma"/>
          <w:sz w:val="20"/>
          <w:szCs w:val="20"/>
          <w:lang w:eastAsia="en-US"/>
        </w:rPr>
        <w:t xml:space="preserve"> (PBFs)</w:t>
      </w:r>
      <w:r w:rsidR="00DB1272" w:rsidRPr="0068236B">
        <w:rPr>
          <w:rFonts w:cs="Tahoma"/>
          <w:sz w:val="20"/>
          <w:szCs w:val="20"/>
          <w:lang w:eastAsia="en-US"/>
        </w:rPr>
        <w:t xml:space="preserve"> and </w:t>
      </w:r>
      <w:r w:rsidR="00970929" w:rsidRPr="0068236B">
        <w:rPr>
          <w:rFonts w:cs="Tahoma"/>
          <w:sz w:val="20"/>
          <w:szCs w:val="20"/>
          <w:lang w:eastAsia="en-US"/>
        </w:rPr>
        <w:t>C</w:t>
      </w:r>
      <w:r w:rsidR="00DB1272" w:rsidRPr="0068236B">
        <w:rPr>
          <w:rFonts w:cs="Tahoma"/>
          <w:sz w:val="20"/>
          <w:szCs w:val="20"/>
          <w:lang w:eastAsia="en-US"/>
        </w:rPr>
        <w:t xml:space="preserve">ritical </w:t>
      </w:r>
      <w:r w:rsidR="00DB1272" w:rsidRPr="0068236B">
        <w:rPr>
          <w:rFonts w:cs="Tahoma"/>
          <w:sz w:val="20"/>
          <w:szCs w:val="20"/>
          <w:lang w:eastAsia="en-US"/>
        </w:rPr>
        <w:lastRenderedPageBreak/>
        <w:t>Habitats</w:t>
      </w:r>
      <w:r w:rsidR="00970929" w:rsidRPr="0068236B">
        <w:rPr>
          <w:rFonts w:cs="Tahoma"/>
          <w:sz w:val="20"/>
          <w:szCs w:val="20"/>
          <w:lang w:eastAsia="en-US"/>
        </w:rPr>
        <w:t xml:space="preserve"> (CH)</w:t>
      </w:r>
      <w:r w:rsidR="00DB1272" w:rsidRPr="0068236B">
        <w:rPr>
          <w:rFonts w:cs="Tahoma"/>
          <w:sz w:val="20"/>
          <w:szCs w:val="20"/>
          <w:lang w:eastAsia="en-US"/>
        </w:rPr>
        <w:t xml:space="preserve"> an Ecologically Appropriate Area</w:t>
      </w:r>
      <w:r w:rsidR="00970929" w:rsidRPr="0068236B">
        <w:rPr>
          <w:rFonts w:cs="Tahoma"/>
          <w:sz w:val="20"/>
          <w:szCs w:val="20"/>
          <w:lang w:eastAsia="en-US"/>
        </w:rPr>
        <w:t xml:space="preserve"> of Analysis</w:t>
      </w:r>
      <w:r w:rsidR="00DB1272" w:rsidRPr="0068236B">
        <w:rPr>
          <w:rFonts w:cs="Tahoma"/>
          <w:sz w:val="20"/>
          <w:szCs w:val="20"/>
          <w:lang w:eastAsia="en-US"/>
        </w:rPr>
        <w:t xml:space="preserve"> (EAAA) </w:t>
      </w:r>
      <w:r w:rsidRPr="0068236B">
        <w:rPr>
          <w:rFonts w:cs="Tahoma"/>
          <w:sz w:val="20"/>
          <w:szCs w:val="20"/>
          <w:lang w:eastAsia="en-US"/>
        </w:rPr>
        <w:t>were</w:t>
      </w:r>
      <w:r w:rsidR="00DB1272" w:rsidRPr="0068236B">
        <w:rPr>
          <w:rFonts w:cs="Tahoma"/>
          <w:sz w:val="20"/>
          <w:szCs w:val="20"/>
          <w:lang w:eastAsia="en-US"/>
        </w:rPr>
        <w:t xml:space="preserve"> designed</w:t>
      </w:r>
      <w:r w:rsidRPr="0068236B">
        <w:rPr>
          <w:rFonts w:cs="Tahoma"/>
          <w:sz w:val="20"/>
          <w:szCs w:val="20"/>
          <w:lang w:eastAsia="en-US"/>
        </w:rPr>
        <w:t xml:space="preserve"> (see Section 7.2.1.3). It is important to note that the study area encompasses all of the EAAAs for particular species and habitats. </w:t>
      </w:r>
      <w:r w:rsidRPr="0068236B">
        <w:rPr>
          <w:rFonts w:cs="Tahoma"/>
          <w:sz w:val="20"/>
        </w:rPr>
        <w:t>The baseline of the area is based on the desk-based information, map of ecosystems of Macedonia, and biod</w:t>
      </w:r>
      <w:r w:rsidRPr="0068236B">
        <w:rPr>
          <w:rFonts w:cs="Tahoma"/>
          <w:sz w:val="20"/>
        </w:rPr>
        <w:t>i</w:t>
      </w:r>
      <w:r w:rsidRPr="0068236B">
        <w:rPr>
          <w:rFonts w:cs="Tahoma"/>
          <w:sz w:val="20"/>
        </w:rPr>
        <w:t>versity surveys undertaken from 25 and 28 May 2021 and from 18 and 20 August 2021. All of the data on habitats and species are from the observations during the executed surveys</w:t>
      </w:r>
      <w:r w:rsidR="00DB1272" w:rsidRPr="0068236B">
        <w:rPr>
          <w:rFonts w:cs="Tahoma"/>
          <w:sz w:val="20"/>
          <w:szCs w:val="20"/>
          <w:lang w:eastAsia="en-US"/>
        </w:rPr>
        <w:t xml:space="preserve">. </w:t>
      </w:r>
    </w:p>
    <w:p w14:paraId="65988A5E" w14:textId="77777777" w:rsidR="00BB4604" w:rsidRPr="0068236B" w:rsidRDefault="00BB4604" w:rsidP="00BB4604">
      <w:pPr>
        <w:autoSpaceDE w:val="0"/>
        <w:autoSpaceDN w:val="0"/>
        <w:adjustRightInd w:val="0"/>
        <w:rPr>
          <w:rFonts w:cs="Tahoma"/>
          <w:sz w:val="20"/>
        </w:rPr>
      </w:pPr>
      <w:r w:rsidRPr="0068236B">
        <w:rPr>
          <w:rFonts w:cs="Tahoma"/>
          <w:noProof/>
          <w:sz w:val="20"/>
          <w:lang w:val="mk-MK" w:eastAsia="mk-MK"/>
        </w:rPr>
        <w:drawing>
          <wp:inline distT="0" distB="0" distL="0" distR="0" wp14:anchorId="5151AC93" wp14:editId="3A1B08EC">
            <wp:extent cx="5784820" cy="4089197"/>
            <wp:effectExtent l="19050" t="0" r="6380" b="0"/>
            <wp:docPr id="233" name="Picture 4" descr="D:\EIA\MK OHL Dubrovo-Valandovo-Strumica\ESIA\SP1\Study ar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IA\MK OHL Dubrovo-Valandovo-Strumica\ESIA\SP1\Study area.jp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782251" cy="4087381"/>
                    </a:xfrm>
                    <a:prstGeom prst="rect">
                      <a:avLst/>
                    </a:prstGeom>
                    <a:noFill/>
                    <a:ln w="9525">
                      <a:noFill/>
                      <a:miter lim="800000"/>
                      <a:headEnd/>
                      <a:tailEnd/>
                    </a:ln>
                  </pic:spPr>
                </pic:pic>
              </a:graphicData>
            </a:graphic>
          </wp:inline>
        </w:drawing>
      </w:r>
    </w:p>
    <w:p w14:paraId="6C71D22A" w14:textId="05B87487" w:rsidR="00BB4604" w:rsidRPr="0068236B" w:rsidRDefault="00BB4604" w:rsidP="00BB4604">
      <w:pPr>
        <w:autoSpaceDE w:val="0"/>
        <w:autoSpaceDN w:val="0"/>
        <w:adjustRightInd w:val="0"/>
        <w:spacing w:after="240"/>
        <w:rPr>
          <w:rFonts w:cs="Tahoma"/>
          <w:sz w:val="20"/>
        </w:rPr>
      </w:pPr>
      <w:bookmarkStart w:id="259" w:name="_Toc112928884"/>
      <w:r w:rsidRPr="0068236B">
        <w:rPr>
          <w:rFonts w:cs="Tahoma"/>
          <w:sz w:val="18"/>
          <w:szCs w:val="20"/>
        </w:rPr>
        <w:t xml:space="preserve">Figure </w:t>
      </w:r>
      <w:r w:rsidRPr="0068236B">
        <w:rPr>
          <w:rFonts w:cs="Tahoma"/>
          <w:sz w:val="18"/>
          <w:szCs w:val="20"/>
        </w:rPr>
        <w:fldChar w:fldCharType="begin"/>
      </w:r>
      <w:r w:rsidRPr="0068236B">
        <w:rPr>
          <w:rFonts w:cs="Tahoma"/>
          <w:sz w:val="18"/>
          <w:szCs w:val="20"/>
        </w:rPr>
        <w:instrText xml:space="preserve"> STYLEREF 1 \s </w:instrText>
      </w:r>
      <w:r w:rsidRPr="0068236B">
        <w:rPr>
          <w:rFonts w:cs="Tahoma"/>
          <w:sz w:val="18"/>
          <w:szCs w:val="20"/>
        </w:rPr>
        <w:fldChar w:fldCharType="separate"/>
      </w:r>
      <w:r w:rsidR="00FD57E6">
        <w:rPr>
          <w:rFonts w:cs="Tahoma"/>
          <w:noProof/>
          <w:sz w:val="18"/>
          <w:szCs w:val="20"/>
        </w:rPr>
        <w:t>7</w:t>
      </w:r>
      <w:r w:rsidRPr="0068236B">
        <w:rPr>
          <w:rFonts w:cs="Tahoma"/>
          <w:sz w:val="18"/>
          <w:szCs w:val="20"/>
        </w:rPr>
        <w:fldChar w:fldCharType="end"/>
      </w:r>
      <w:r w:rsidRPr="0068236B">
        <w:rPr>
          <w:rFonts w:cs="Tahoma"/>
          <w:sz w:val="18"/>
          <w:szCs w:val="20"/>
        </w:rPr>
        <w:t>.</w:t>
      </w:r>
      <w:r w:rsidRPr="0068236B">
        <w:rPr>
          <w:rFonts w:cs="Tahoma"/>
          <w:sz w:val="18"/>
          <w:szCs w:val="20"/>
        </w:rPr>
        <w:fldChar w:fldCharType="begin"/>
      </w:r>
      <w:r w:rsidRPr="0068236B">
        <w:rPr>
          <w:rFonts w:cs="Tahoma"/>
          <w:sz w:val="18"/>
          <w:szCs w:val="20"/>
        </w:rPr>
        <w:instrText xml:space="preserve"> SEQ Figure \* ARABIC \s 1 </w:instrText>
      </w:r>
      <w:r w:rsidRPr="0068236B">
        <w:rPr>
          <w:rFonts w:cs="Tahoma"/>
          <w:sz w:val="18"/>
          <w:szCs w:val="20"/>
        </w:rPr>
        <w:fldChar w:fldCharType="separate"/>
      </w:r>
      <w:r w:rsidR="00FD57E6">
        <w:rPr>
          <w:rFonts w:cs="Tahoma"/>
          <w:noProof/>
          <w:sz w:val="18"/>
          <w:szCs w:val="20"/>
        </w:rPr>
        <w:t>13</w:t>
      </w:r>
      <w:r w:rsidRPr="0068236B">
        <w:rPr>
          <w:rFonts w:cs="Tahoma"/>
          <w:sz w:val="18"/>
          <w:szCs w:val="20"/>
        </w:rPr>
        <w:fldChar w:fldCharType="end"/>
      </w:r>
      <w:r w:rsidRPr="0068236B">
        <w:rPr>
          <w:rFonts w:cs="Tahoma"/>
          <w:sz w:val="18"/>
          <w:szCs w:val="20"/>
        </w:rPr>
        <w:t>: Study area, buffer area (2x500m) and the routes of the transmission lines</w:t>
      </w:r>
      <w:bookmarkEnd w:id="259"/>
    </w:p>
    <w:p w14:paraId="2AB25035" w14:textId="6318A9DE" w:rsidR="00DB1272" w:rsidRPr="0068236B" w:rsidRDefault="00DB1272" w:rsidP="00DB3C90">
      <w:pPr>
        <w:autoSpaceDE w:val="0"/>
        <w:autoSpaceDN w:val="0"/>
        <w:adjustRightInd w:val="0"/>
        <w:rPr>
          <w:rFonts w:cs="Tahoma"/>
          <w:sz w:val="20"/>
        </w:rPr>
      </w:pPr>
      <w:r w:rsidRPr="0068236B">
        <w:rPr>
          <w:rFonts w:cs="Tahoma"/>
          <w:sz w:val="20"/>
        </w:rPr>
        <w:t xml:space="preserve">The description of habitats and species composition </w:t>
      </w:r>
      <w:r w:rsidR="00741BC6" w:rsidRPr="0068236B">
        <w:rPr>
          <w:rFonts w:cs="Tahoma"/>
          <w:sz w:val="20"/>
        </w:rPr>
        <w:t>provided in this assessment</w:t>
      </w:r>
      <w:r w:rsidR="00172852" w:rsidRPr="0068236B">
        <w:rPr>
          <w:rFonts w:cs="Tahoma"/>
          <w:sz w:val="20"/>
        </w:rPr>
        <w:t xml:space="preserve"> </w:t>
      </w:r>
      <w:r w:rsidRPr="0068236B">
        <w:rPr>
          <w:rFonts w:cs="Tahoma"/>
          <w:sz w:val="20"/>
        </w:rPr>
        <w:t>was based solely on fiel</w:t>
      </w:r>
      <w:r w:rsidRPr="0068236B">
        <w:rPr>
          <w:rFonts w:cs="Tahoma"/>
          <w:sz w:val="20"/>
        </w:rPr>
        <w:t>d</w:t>
      </w:r>
      <w:r w:rsidRPr="0068236B">
        <w:rPr>
          <w:rFonts w:cs="Tahoma"/>
          <w:sz w:val="20"/>
        </w:rPr>
        <w:t>work observations. Habitats were identified during the field work based on the present plant associations, dominant (edifier) plant species, preservation status and composition of plant species in all layer of the hab</w:t>
      </w:r>
      <w:r w:rsidRPr="0068236B">
        <w:rPr>
          <w:rFonts w:cs="Tahoma"/>
          <w:sz w:val="20"/>
        </w:rPr>
        <w:t>i</w:t>
      </w:r>
      <w:r w:rsidRPr="0068236B">
        <w:rPr>
          <w:rFonts w:cs="Tahoma"/>
          <w:sz w:val="20"/>
        </w:rPr>
        <w:t>tat (trees, shrubs and herbs layers). All of these data were taken with OruxMaps free software for Android (</w:t>
      </w:r>
      <w:hyperlink r:id="rId108" w:history="1">
        <w:r w:rsidRPr="0068236B">
          <w:rPr>
            <w:rStyle w:val="Hyperlink"/>
            <w:rFonts w:cs="Tahoma"/>
            <w:color w:val="auto"/>
            <w:sz w:val="20"/>
            <w:u w:val="none"/>
          </w:rPr>
          <w:t>https://www.oruxmaps.com/cs/en/</w:t>
        </w:r>
      </w:hyperlink>
      <w:r w:rsidRPr="0068236B">
        <w:rPr>
          <w:rFonts w:cs="Tahoma"/>
          <w:sz w:val="20"/>
        </w:rPr>
        <w:t>). The records of individual species (plants, animals) were recorded with Memento Database for Android (</w:t>
      </w:r>
      <w:hyperlink r:id="rId109" w:history="1">
        <w:r w:rsidR="00BB4604" w:rsidRPr="0068236B">
          <w:rPr>
            <w:rStyle w:val="Hyperlink"/>
            <w:rFonts w:cs="Tahoma"/>
            <w:sz w:val="20"/>
          </w:rPr>
          <w:t>https://mementodatabase.com/</w:t>
        </w:r>
      </w:hyperlink>
      <w:r w:rsidRPr="0068236B">
        <w:rPr>
          <w:rFonts w:cs="Tahoma"/>
          <w:sz w:val="20"/>
        </w:rPr>
        <w:t>).</w:t>
      </w:r>
    </w:p>
    <w:p w14:paraId="50566FF6" w14:textId="77777777" w:rsidR="00BB4604" w:rsidRPr="0068236B" w:rsidRDefault="00BB4604" w:rsidP="00BB4604">
      <w:pPr>
        <w:autoSpaceDE w:val="0"/>
        <w:autoSpaceDN w:val="0"/>
        <w:adjustRightInd w:val="0"/>
        <w:spacing w:after="60"/>
        <w:rPr>
          <w:rFonts w:cs="Tahoma"/>
          <w:sz w:val="20"/>
        </w:rPr>
      </w:pPr>
      <w:r w:rsidRPr="0068236B">
        <w:rPr>
          <w:rFonts w:cs="Tahoma"/>
          <w:noProof/>
          <w:sz w:val="20"/>
          <w:lang w:val="mk-MK" w:eastAsia="mk-MK"/>
        </w:rPr>
        <w:lastRenderedPageBreak/>
        <w:drawing>
          <wp:inline distT="0" distB="0" distL="0" distR="0" wp14:anchorId="1240E360" wp14:editId="5E5FA82C">
            <wp:extent cx="6115685" cy="4323080"/>
            <wp:effectExtent l="19050" t="0" r="0" b="0"/>
            <wp:docPr id="234" name="Picture 6" descr="D:\EIA\MK OHL Dubrovo-Valandovo-Strumica\ESIA\SP1\Field wo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IA\MK OHL Dubrovo-Valandovo-Strumica\ESIA\SP1\Field work.jp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15685" cy="4323080"/>
                    </a:xfrm>
                    <a:prstGeom prst="rect">
                      <a:avLst/>
                    </a:prstGeom>
                    <a:noFill/>
                    <a:ln w="9525">
                      <a:noFill/>
                      <a:miter lim="800000"/>
                      <a:headEnd/>
                      <a:tailEnd/>
                    </a:ln>
                  </pic:spPr>
                </pic:pic>
              </a:graphicData>
            </a:graphic>
          </wp:inline>
        </w:drawing>
      </w:r>
    </w:p>
    <w:p w14:paraId="1F120B1C" w14:textId="77777777" w:rsidR="00BB4604" w:rsidRPr="0068236B" w:rsidRDefault="00BB4604" w:rsidP="00BB4604">
      <w:pPr>
        <w:spacing w:before="60" w:after="240"/>
        <w:jc w:val="left"/>
        <w:rPr>
          <w:rFonts w:cs="Tahoma"/>
          <w:sz w:val="18"/>
          <w:szCs w:val="20"/>
        </w:rPr>
      </w:pPr>
      <w:bookmarkStart w:id="260" w:name="_Toc112928885"/>
      <w:r w:rsidRPr="0068236B">
        <w:rPr>
          <w:rFonts w:cs="Tahoma"/>
          <w:sz w:val="18"/>
          <w:szCs w:val="20"/>
        </w:rPr>
        <w:t xml:space="preserve">Figure </w:t>
      </w:r>
      <w:r w:rsidRPr="0068236B">
        <w:rPr>
          <w:rFonts w:cs="Tahoma"/>
          <w:sz w:val="18"/>
          <w:szCs w:val="20"/>
        </w:rPr>
        <w:fldChar w:fldCharType="begin"/>
      </w:r>
      <w:r w:rsidRPr="0068236B">
        <w:rPr>
          <w:rFonts w:cs="Tahoma"/>
          <w:sz w:val="18"/>
          <w:szCs w:val="20"/>
        </w:rPr>
        <w:instrText xml:space="preserve"> STYLEREF 1 \s </w:instrText>
      </w:r>
      <w:r w:rsidRPr="0068236B">
        <w:rPr>
          <w:rFonts w:cs="Tahoma"/>
          <w:sz w:val="18"/>
          <w:szCs w:val="20"/>
        </w:rPr>
        <w:fldChar w:fldCharType="separate"/>
      </w:r>
      <w:r w:rsidR="00FD57E6">
        <w:rPr>
          <w:rFonts w:cs="Tahoma"/>
          <w:noProof/>
          <w:sz w:val="18"/>
          <w:szCs w:val="20"/>
        </w:rPr>
        <w:t>7</w:t>
      </w:r>
      <w:r w:rsidRPr="0068236B">
        <w:rPr>
          <w:rFonts w:cs="Tahoma"/>
          <w:sz w:val="18"/>
          <w:szCs w:val="20"/>
        </w:rPr>
        <w:fldChar w:fldCharType="end"/>
      </w:r>
      <w:r w:rsidRPr="0068236B">
        <w:rPr>
          <w:rFonts w:cs="Tahoma"/>
          <w:sz w:val="18"/>
          <w:szCs w:val="20"/>
        </w:rPr>
        <w:t>.</w:t>
      </w:r>
      <w:r w:rsidRPr="0068236B">
        <w:rPr>
          <w:rFonts w:cs="Tahoma"/>
          <w:sz w:val="18"/>
          <w:szCs w:val="20"/>
        </w:rPr>
        <w:fldChar w:fldCharType="begin"/>
      </w:r>
      <w:r w:rsidRPr="0068236B">
        <w:rPr>
          <w:rFonts w:cs="Tahoma"/>
          <w:sz w:val="18"/>
          <w:szCs w:val="20"/>
        </w:rPr>
        <w:instrText xml:space="preserve"> SEQ Figure \* ARABIC \s 1 </w:instrText>
      </w:r>
      <w:r w:rsidRPr="0068236B">
        <w:rPr>
          <w:rFonts w:cs="Tahoma"/>
          <w:sz w:val="18"/>
          <w:szCs w:val="20"/>
        </w:rPr>
        <w:fldChar w:fldCharType="separate"/>
      </w:r>
      <w:r w:rsidR="00FD57E6">
        <w:rPr>
          <w:rFonts w:cs="Tahoma"/>
          <w:noProof/>
          <w:sz w:val="18"/>
          <w:szCs w:val="20"/>
        </w:rPr>
        <w:t>14</w:t>
      </w:r>
      <w:r w:rsidRPr="0068236B">
        <w:rPr>
          <w:rFonts w:cs="Tahoma"/>
          <w:sz w:val="18"/>
          <w:szCs w:val="20"/>
        </w:rPr>
        <w:fldChar w:fldCharType="end"/>
      </w:r>
      <w:r w:rsidRPr="0068236B">
        <w:rPr>
          <w:rFonts w:cs="Tahoma"/>
          <w:sz w:val="18"/>
          <w:szCs w:val="20"/>
        </w:rPr>
        <w:t>: Study area and routes of the field work</w:t>
      </w:r>
      <w:bookmarkEnd w:id="260"/>
    </w:p>
    <w:p w14:paraId="5A7C3A1F" w14:textId="23C64C90" w:rsidR="00DB3C90" w:rsidRPr="0068236B" w:rsidRDefault="00741BC6" w:rsidP="00DB3C90">
      <w:pPr>
        <w:pStyle w:val="NumberedParagraph"/>
        <w:rPr>
          <w:rFonts w:cs="Tahoma"/>
          <w:sz w:val="20"/>
          <w:szCs w:val="20"/>
          <w:lang w:eastAsia="en-US"/>
        </w:rPr>
      </w:pPr>
      <w:r w:rsidRPr="0068236B">
        <w:rPr>
          <w:rFonts w:cs="Tahoma"/>
          <w:sz w:val="20"/>
          <w:szCs w:val="20"/>
          <w:lang w:eastAsia="en-US"/>
        </w:rPr>
        <w:t xml:space="preserve">For the purposes of this E&amp;S Assessment </w:t>
      </w:r>
      <w:r w:rsidR="00DB3C90" w:rsidRPr="0068236B">
        <w:rPr>
          <w:rFonts w:cs="Tahoma"/>
          <w:sz w:val="20"/>
          <w:szCs w:val="20"/>
          <w:lang w:eastAsia="en-US"/>
        </w:rPr>
        <w:t xml:space="preserve">Report, the study area within the infrastructure corridor </w:t>
      </w:r>
      <w:r w:rsidR="00DB3C90" w:rsidRPr="0068236B">
        <w:rPr>
          <w:rFonts w:cs="Tahoma"/>
          <w:sz w:val="20"/>
          <w:szCs w:val="20"/>
        </w:rPr>
        <w:t xml:space="preserve">(defined for the purpose of this appraisal as 100 metres wide corridor) </w:t>
      </w:r>
      <w:r w:rsidR="00DB3C90" w:rsidRPr="0068236B">
        <w:rPr>
          <w:rFonts w:cs="Tahoma"/>
          <w:sz w:val="20"/>
          <w:szCs w:val="20"/>
          <w:lang w:eastAsia="en-US"/>
        </w:rPr>
        <w:t>will be used for consideration of the direct effects on the key biodiversity components affected by the Project – especially habitats. This area is genera</w:t>
      </w:r>
      <w:r w:rsidR="00DB3C90" w:rsidRPr="0068236B">
        <w:rPr>
          <w:rFonts w:cs="Tahoma"/>
          <w:sz w:val="20"/>
          <w:szCs w:val="20"/>
          <w:lang w:eastAsia="en-US"/>
        </w:rPr>
        <w:t>l</w:t>
      </w:r>
      <w:r w:rsidR="00DB3C90" w:rsidRPr="0068236B">
        <w:rPr>
          <w:rFonts w:cs="Tahoma"/>
          <w:sz w:val="20"/>
          <w:szCs w:val="20"/>
          <w:lang w:eastAsia="en-US"/>
        </w:rPr>
        <w:t>ly considered as zone of influence encompassing the main likely significant ecological effects of the Project, including those which would occur by habitat loss or degradation. However, the study area may be extended to a broader context for important habitats (patches of larger size), disturbance of species, etc.</w:t>
      </w:r>
    </w:p>
    <w:p w14:paraId="6ACE8C74" w14:textId="1A33CA65" w:rsidR="00DB3C90" w:rsidRPr="0068236B" w:rsidRDefault="00741BC6" w:rsidP="00DB3C90">
      <w:pPr>
        <w:pStyle w:val="NumberedParagraph"/>
        <w:rPr>
          <w:rFonts w:cs="Tahoma"/>
          <w:sz w:val="20"/>
          <w:szCs w:val="20"/>
          <w:lang w:eastAsia="en-US"/>
        </w:rPr>
      </w:pPr>
      <w:r w:rsidRPr="0068236B">
        <w:rPr>
          <w:rFonts w:cs="Tahoma"/>
          <w:sz w:val="20"/>
          <w:szCs w:val="20"/>
          <w:lang w:eastAsia="en-US"/>
        </w:rPr>
        <w:t>For the purposes of the assessment</w:t>
      </w:r>
      <w:r w:rsidR="00DB3C90" w:rsidRPr="0068236B">
        <w:rPr>
          <w:rFonts w:cs="Tahoma"/>
          <w:sz w:val="20"/>
          <w:szCs w:val="20"/>
          <w:lang w:eastAsia="en-US"/>
        </w:rPr>
        <w:t>, each site designated for nature conservation interest or proposed for designation (legally protected area and/or internationally recognised area), likely to be affected by the Pr</w:t>
      </w:r>
      <w:r w:rsidR="00DB3C90" w:rsidRPr="0068236B">
        <w:rPr>
          <w:rFonts w:cs="Tahoma"/>
          <w:sz w:val="20"/>
          <w:szCs w:val="20"/>
          <w:lang w:eastAsia="en-US"/>
        </w:rPr>
        <w:t>o</w:t>
      </w:r>
      <w:r w:rsidR="00DB3C90" w:rsidRPr="0068236B">
        <w:rPr>
          <w:rFonts w:cs="Tahoma"/>
          <w:sz w:val="20"/>
          <w:szCs w:val="20"/>
          <w:lang w:eastAsia="en-US"/>
        </w:rPr>
        <w:t>ject, is considered as a study area as a whole in terms to the potential of the project to impact its conserv</w:t>
      </w:r>
      <w:r w:rsidR="00DB3C90" w:rsidRPr="0068236B">
        <w:rPr>
          <w:rFonts w:cs="Tahoma"/>
          <w:sz w:val="20"/>
          <w:szCs w:val="20"/>
          <w:lang w:eastAsia="en-US"/>
        </w:rPr>
        <w:t>a</w:t>
      </w:r>
      <w:r w:rsidR="00DB3C90" w:rsidRPr="0068236B">
        <w:rPr>
          <w:rFonts w:cs="Tahoma"/>
          <w:sz w:val="20"/>
          <w:szCs w:val="20"/>
          <w:lang w:eastAsia="en-US"/>
        </w:rPr>
        <w:t xml:space="preserve">tion objective and integrity. </w:t>
      </w:r>
    </w:p>
    <w:p w14:paraId="10EF2C23" w14:textId="77777777" w:rsidR="00DB3C90" w:rsidRPr="0068236B" w:rsidRDefault="00DB3C90" w:rsidP="00741BC6">
      <w:pPr>
        <w:pStyle w:val="Heading4"/>
        <w:rPr>
          <w:sz w:val="20"/>
        </w:rPr>
      </w:pPr>
      <w:bookmarkStart w:id="261" w:name="_Toc71559783"/>
      <w:r w:rsidRPr="0068236B">
        <w:rPr>
          <w:sz w:val="20"/>
        </w:rPr>
        <w:t>Baseline Conditions</w:t>
      </w:r>
      <w:bookmarkEnd w:id="261"/>
    </w:p>
    <w:p w14:paraId="1F13320A" w14:textId="2A9DC262" w:rsidR="007B4131" w:rsidRPr="0068236B" w:rsidRDefault="007B4131" w:rsidP="008E77D3">
      <w:pPr>
        <w:pStyle w:val="Heading4"/>
        <w:numPr>
          <w:ilvl w:val="4"/>
          <w:numId w:val="43"/>
        </w:numPr>
        <w:rPr>
          <w:sz w:val="20"/>
        </w:rPr>
      </w:pPr>
      <w:r w:rsidRPr="0068236B">
        <w:rPr>
          <w:sz w:val="20"/>
        </w:rPr>
        <w:t>Biodiversity Components</w:t>
      </w:r>
    </w:p>
    <w:p w14:paraId="5184F489" w14:textId="39BC11C4" w:rsidR="00B83AE6" w:rsidRPr="0068236B" w:rsidRDefault="00B83AE6" w:rsidP="00B83AE6">
      <w:pPr>
        <w:pStyle w:val="NumberedParagraph"/>
        <w:jc w:val="left"/>
        <w:rPr>
          <w:sz w:val="20"/>
        </w:rPr>
      </w:pPr>
      <w:r w:rsidRPr="0068236B">
        <w:rPr>
          <w:sz w:val="20"/>
        </w:rPr>
        <w:t xml:space="preserve">The baseline biodiversity conditions </w:t>
      </w:r>
      <w:r w:rsidR="00741BC6" w:rsidRPr="0068236B">
        <w:rPr>
          <w:sz w:val="20"/>
        </w:rPr>
        <w:t xml:space="preserve">within the study area </w:t>
      </w:r>
      <w:r w:rsidRPr="0068236B">
        <w:rPr>
          <w:sz w:val="20"/>
        </w:rPr>
        <w:t>are provided below.</w:t>
      </w:r>
    </w:p>
    <w:p w14:paraId="74A6120B" w14:textId="39339887" w:rsidR="00B83AE6" w:rsidRPr="0068236B" w:rsidRDefault="00B83AE6" w:rsidP="00D24CEF">
      <w:pPr>
        <w:pStyle w:val="ListBullet"/>
        <w:numPr>
          <w:ilvl w:val="0"/>
          <w:numId w:val="97"/>
        </w:numPr>
        <w:spacing w:before="120" w:after="120"/>
        <w:ind w:left="714" w:hanging="357"/>
        <w:jc w:val="left"/>
        <w:rPr>
          <w:sz w:val="20"/>
        </w:rPr>
      </w:pPr>
      <w:r w:rsidRPr="0068236B">
        <w:rPr>
          <w:sz w:val="20"/>
        </w:rPr>
        <w:t xml:space="preserve">The new 400/110 kV substation </w:t>
      </w:r>
      <w:r w:rsidR="00FA33C6" w:rsidRPr="0068236B">
        <w:rPr>
          <w:sz w:val="20"/>
        </w:rPr>
        <w:t>Miletkovo</w:t>
      </w:r>
      <w:r w:rsidRPr="0068236B">
        <w:rPr>
          <w:sz w:val="20"/>
        </w:rPr>
        <w:t xml:space="preserve"> and ‘i</w:t>
      </w:r>
      <w:r w:rsidRPr="0068236B">
        <w:rPr>
          <w:rFonts w:eastAsia="Calibri" w:cs="Tahoma"/>
          <w:color w:val="000000"/>
          <w:sz w:val="20"/>
        </w:rPr>
        <w:t xml:space="preserve">n-out’ connection with </w:t>
      </w:r>
      <w:r w:rsidRPr="0068236B">
        <w:rPr>
          <w:sz w:val="20"/>
        </w:rPr>
        <w:t>the existing 400 kV line from SS Dubrovo to Thessalonica (GR)</w:t>
      </w:r>
    </w:p>
    <w:p w14:paraId="220F2DE1" w14:textId="77777777" w:rsidR="00DB3C90" w:rsidRPr="0068236B" w:rsidRDefault="00DB3C90" w:rsidP="00DB3C90">
      <w:pPr>
        <w:ind w:left="720" w:firstLine="720"/>
        <w:rPr>
          <w:rFonts w:cs="Tahoma"/>
          <w:sz w:val="20"/>
          <w:szCs w:val="20"/>
          <w:u w:val="single"/>
        </w:rPr>
      </w:pPr>
      <w:r w:rsidRPr="0068236B">
        <w:rPr>
          <w:rFonts w:cs="Tahoma"/>
          <w:sz w:val="20"/>
          <w:szCs w:val="20"/>
          <w:u w:val="single"/>
        </w:rPr>
        <w:t>Vegetation and Habitats</w:t>
      </w:r>
    </w:p>
    <w:p w14:paraId="3B5FCA35" w14:textId="7E7C0AA5" w:rsidR="000C4006" w:rsidRPr="0068236B" w:rsidRDefault="000C4006" w:rsidP="000C4006">
      <w:pPr>
        <w:rPr>
          <w:rFonts w:cs="Tahoma"/>
          <w:sz w:val="20"/>
          <w:szCs w:val="20"/>
        </w:rPr>
      </w:pPr>
      <w:r w:rsidRPr="0068236B">
        <w:rPr>
          <w:rFonts w:cs="Tahoma"/>
          <w:sz w:val="20"/>
          <w:szCs w:val="20"/>
        </w:rPr>
        <w:t>Most of the study area passes through an agricultural land with low biodiversity values. The area is chara</w:t>
      </w:r>
      <w:r w:rsidRPr="0068236B">
        <w:rPr>
          <w:rFonts w:cs="Tahoma"/>
          <w:sz w:val="20"/>
          <w:szCs w:val="20"/>
        </w:rPr>
        <w:t>c</w:t>
      </w:r>
      <w:r w:rsidRPr="0068236B">
        <w:rPr>
          <w:rFonts w:cs="Tahoma"/>
          <w:sz w:val="20"/>
          <w:szCs w:val="20"/>
        </w:rPr>
        <w:t>terized by very degraded pseudomaquis with dominance of Christ's thorn (</w:t>
      </w:r>
      <w:r w:rsidRPr="0068236B">
        <w:rPr>
          <w:rFonts w:cs="Tahoma"/>
          <w:i/>
          <w:sz w:val="20"/>
          <w:szCs w:val="20"/>
        </w:rPr>
        <w:t>Paliurus spina-christi</w:t>
      </w:r>
      <w:r w:rsidRPr="0068236B">
        <w:rPr>
          <w:rFonts w:cs="Tahoma"/>
          <w:sz w:val="20"/>
          <w:szCs w:val="20"/>
        </w:rPr>
        <w:t>) and small patches of Kermes oak woodlands (</w:t>
      </w:r>
      <w:r w:rsidRPr="0068236B">
        <w:rPr>
          <w:rFonts w:cs="Tahoma"/>
          <w:i/>
          <w:sz w:val="20"/>
          <w:szCs w:val="20"/>
        </w:rPr>
        <w:t>Coccifero-Carpinetum orientalis</w:t>
      </w:r>
      <w:r w:rsidRPr="0068236B">
        <w:rPr>
          <w:rFonts w:cs="Tahoma"/>
          <w:sz w:val="20"/>
          <w:szCs w:val="20"/>
        </w:rPr>
        <w:t>).</w:t>
      </w:r>
      <w:r w:rsidR="005925AF" w:rsidRPr="0068236B">
        <w:rPr>
          <w:rFonts w:cs="Tahoma"/>
          <w:sz w:val="20"/>
          <w:szCs w:val="20"/>
          <w:lang w:val="mk-MK"/>
        </w:rPr>
        <w:t xml:space="preserve"> </w:t>
      </w:r>
      <w:r w:rsidR="005550C1" w:rsidRPr="0068236B">
        <w:rPr>
          <w:rFonts w:cs="Tahoma"/>
          <w:sz w:val="20"/>
          <w:szCs w:val="20"/>
        </w:rPr>
        <w:t xml:space="preserve"> None of the habitats is listed in Annex I of the EU H</w:t>
      </w:r>
      <w:r w:rsidR="00CD38F0">
        <w:rPr>
          <w:rFonts w:cs="Tahoma"/>
          <w:sz w:val="20"/>
          <w:szCs w:val="20"/>
        </w:rPr>
        <w:t>abitats Directive (see Table 7.8</w:t>
      </w:r>
      <w:r w:rsidR="005550C1" w:rsidRPr="0068236B">
        <w:rPr>
          <w:rFonts w:cs="Tahoma"/>
          <w:sz w:val="20"/>
          <w:szCs w:val="20"/>
        </w:rPr>
        <w:t>).</w:t>
      </w:r>
    </w:p>
    <w:p w14:paraId="64DD394E" w14:textId="77777777" w:rsidR="000C4006" w:rsidRPr="0068236B" w:rsidRDefault="000C4006" w:rsidP="000C4006">
      <w:pPr>
        <w:ind w:left="720" w:firstLine="720"/>
        <w:rPr>
          <w:rFonts w:cs="Tahoma"/>
          <w:sz w:val="20"/>
          <w:szCs w:val="20"/>
          <w:u w:val="single"/>
        </w:rPr>
      </w:pPr>
      <w:r w:rsidRPr="0068236B">
        <w:rPr>
          <w:rFonts w:cs="Tahoma"/>
          <w:sz w:val="20"/>
          <w:szCs w:val="20"/>
          <w:u w:val="single"/>
        </w:rPr>
        <w:lastRenderedPageBreak/>
        <w:t>Flora</w:t>
      </w:r>
    </w:p>
    <w:p w14:paraId="15EC4E50" w14:textId="1A922736" w:rsidR="000C4006" w:rsidRPr="0068236B" w:rsidRDefault="000C4006" w:rsidP="000C4006">
      <w:pPr>
        <w:rPr>
          <w:rFonts w:cs="Tahoma"/>
          <w:sz w:val="20"/>
          <w:szCs w:val="20"/>
        </w:rPr>
      </w:pPr>
      <w:r w:rsidRPr="0068236B">
        <w:rPr>
          <w:rFonts w:cs="Tahoma"/>
          <w:sz w:val="20"/>
          <w:szCs w:val="20"/>
        </w:rPr>
        <w:t xml:space="preserve">There are no literature data which are specific for the study area. However, the field surveys carried out to date showed presence of common species for the area of pseudomaquis. The dominant tree/shrub species are </w:t>
      </w:r>
      <w:r w:rsidRPr="0068236B">
        <w:rPr>
          <w:rFonts w:cs="Tahoma"/>
          <w:i/>
          <w:sz w:val="20"/>
          <w:szCs w:val="20"/>
        </w:rPr>
        <w:t>Quercus coccifera, Paliurus spina-christi, Fraxinus ornus, Phyllirea media, Platanus orientalis, Salix alba</w:t>
      </w:r>
      <w:r w:rsidRPr="0068236B">
        <w:rPr>
          <w:rFonts w:cs="Tahoma"/>
          <w:sz w:val="20"/>
          <w:szCs w:val="20"/>
        </w:rPr>
        <w:t xml:space="preserve">, </w:t>
      </w:r>
      <w:r w:rsidRPr="0068236B">
        <w:rPr>
          <w:rFonts w:cs="Tahoma"/>
          <w:i/>
          <w:sz w:val="20"/>
          <w:szCs w:val="20"/>
        </w:rPr>
        <w:t>Rubus sanguineus</w:t>
      </w:r>
      <w:r w:rsidRPr="0068236B">
        <w:rPr>
          <w:rFonts w:cs="Tahoma"/>
          <w:sz w:val="20"/>
          <w:szCs w:val="20"/>
        </w:rPr>
        <w:t>, etc. There are no rare, threatened or otherwise important plant species that were re</w:t>
      </w:r>
      <w:r w:rsidRPr="0068236B">
        <w:rPr>
          <w:rFonts w:cs="Tahoma"/>
          <w:sz w:val="20"/>
          <w:szCs w:val="20"/>
        </w:rPr>
        <w:t>c</w:t>
      </w:r>
      <w:r w:rsidRPr="0068236B">
        <w:rPr>
          <w:rFonts w:cs="Tahoma"/>
          <w:sz w:val="20"/>
          <w:szCs w:val="20"/>
        </w:rPr>
        <w:t>orded</w:t>
      </w:r>
      <w:r w:rsidR="00CD38F0">
        <w:rPr>
          <w:rFonts w:cs="Tahoma"/>
          <w:sz w:val="20"/>
          <w:szCs w:val="20"/>
        </w:rPr>
        <w:t xml:space="preserve"> (see Table 7.9</w:t>
      </w:r>
      <w:r w:rsidR="005550C1" w:rsidRPr="0068236B">
        <w:rPr>
          <w:rFonts w:cs="Tahoma"/>
          <w:sz w:val="20"/>
          <w:szCs w:val="20"/>
        </w:rPr>
        <w:t>)</w:t>
      </w:r>
      <w:r w:rsidRPr="0068236B">
        <w:rPr>
          <w:rFonts w:cs="Tahoma"/>
          <w:sz w:val="20"/>
          <w:szCs w:val="20"/>
        </w:rPr>
        <w:t>.</w:t>
      </w:r>
    </w:p>
    <w:p w14:paraId="258518E6" w14:textId="77777777" w:rsidR="000C4006" w:rsidRPr="0068236B" w:rsidRDefault="000C4006" w:rsidP="000C4006">
      <w:pPr>
        <w:ind w:left="720" w:firstLine="720"/>
        <w:rPr>
          <w:rFonts w:cs="Tahoma"/>
          <w:sz w:val="20"/>
          <w:szCs w:val="20"/>
          <w:u w:val="single"/>
        </w:rPr>
      </w:pPr>
      <w:r w:rsidRPr="0068236B">
        <w:rPr>
          <w:rFonts w:cs="Tahoma"/>
          <w:sz w:val="20"/>
          <w:szCs w:val="20"/>
          <w:u w:val="single"/>
        </w:rPr>
        <w:t>Fauna</w:t>
      </w:r>
    </w:p>
    <w:p w14:paraId="7E18EE1E" w14:textId="0EC9F0B3" w:rsidR="000C4006" w:rsidRPr="0068236B" w:rsidRDefault="000C4006" w:rsidP="000C4006">
      <w:pPr>
        <w:rPr>
          <w:rFonts w:cs="Tahoma"/>
          <w:sz w:val="20"/>
          <w:szCs w:val="20"/>
        </w:rPr>
      </w:pPr>
      <w:r w:rsidRPr="0068236B">
        <w:rPr>
          <w:rFonts w:cs="Tahoma"/>
          <w:sz w:val="20"/>
          <w:szCs w:val="20"/>
        </w:rPr>
        <w:t>There are no literature data which are specific for the fauna of the study area, as well. During the field su</w:t>
      </w:r>
      <w:r w:rsidRPr="0068236B">
        <w:rPr>
          <w:rFonts w:cs="Tahoma"/>
          <w:sz w:val="20"/>
          <w:szCs w:val="20"/>
        </w:rPr>
        <w:t>r</w:t>
      </w:r>
      <w:r w:rsidRPr="0068236B">
        <w:rPr>
          <w:rFonts w:cs="Tahoma"/>
          <w:sz w:val="20"/>
          <w:szCs w:val="20"/>
        </w:rPr>
        <w:t xml:space="preserve">veys the following species were registered: </w:t>
      </w:r>
      <w:r w:rsidRPr="0068236B">
        <w:rPr>
          <w:rFonts w:cs="Tahoma"/>
          <w:i/>
          <w:sz w:val="20"/>
          <w:szCs w:val="20"/>
        </w:rPr>
        <w:t>Lanius collurio, Merops apiaster, Buteo buteo, Ciconia ciconia</w:t>
      </w:r>
      <w:r w:rsidRPr="0068236B">
        <w:rPr>
          <w:rFonts w:cs="Tahoma"/>
          <w:sz w:val="20"/>
          <w:szCs w:val="20"/>
        </w:rPr>
        <w:t xml:space="preserve"> (birds), </w:t>
      </w:r>
      <w:r w:rsidRPr="0068236B">
        <w:rPr>
          <w:rFonts w:cs="Tahoma"/>
          <w:i/>
          <w:sz w:val="20"/>
          <w:szCs w:val="20"/>
        </w:rPr>
        <w:t xml:space="preserve">Podarcis muralis, Lacerta trilineata, Testudo graeca </w:t>
      </w:r>
      <w:r w:rsidRPr="0068236B">
        <w:rPr>
          <w:rFonts w:cs="Tahoma"/>
          <w:sz w:val="20"/>
          <w:szCs w:val="20"/>
        </w:rPr>
        <w:t xml:space="preserve">(reptiles), </w:t>
      </w:r>
      <w:r w:rsidRPr="0068236B">
        <w:rPr>
          <w:rFonts w:cs="Tahoma"/>
          <w:i/>
          <w:sz w:val="20"/>
          <w:szCs w:val="20"/>
        </w:rPr>
        <w:t>Iphiclides podalirius, Maniola jurtina, Pararge aegeria, Lybithea celtis, Polyommatus icarus</w:t>
      </w:r>
      <w:r w:rsidRPr="0068236B">
        <w:rPr>
          <w:rFonts w:cs="Tahoma"/>
          <w:sz w:val="20"/>
          <w:szCs w:val="20"/>
        </w:rPr>
        <w:t xml:space="preserve"> (butterflies). Attention should be paid to the fauna of birds and reptiles where particular important species are likely present</w:t>
      </w:r>
      <w:r w:rsidR="00CD38F0">
        <w:rPr>
          <w:rFonts w:cs="Tahoma"/>
          <w:sz w:val="20"/>
          <w:szCs w:val="20"/>
        </w:rPr>
        <w:t xml:space="preserve"> (see Table 7.10</w:t>
      </w:r>
      <w:r w:rsidR="005550C1" w:rsidRPr="0068236B">
        <w:rPr>
          <w:rFonts w:cs="Tahoma"/>
          <w:sz w:val="20"/>
          <w:szCs w:val="20"/>
        </w:rPr>
        <w:t xml:space="preserve"> and Table 7.1</w:t>
      </w:r>
      <w:r w:rsidR="00CD38F0">
        <w:rPr>
          <w:rFonts w:cs="Tahoma"/>
          <w:sz w:val="20"/>
          <w:szCs w:val="20"/>
        </w:rPr>
        <w:t>1</w:t>
      </w:r>
      <w:r w:rsidR="005550C1" w:rsidRPr="0068236B">
        <w:rPr>
          <w:rFonts w:cs="Tahoma"/>
          <w:sz w:val="20"/>
          <w:szCs w:val="20"/>
        </w:rPr>
        <w:t>)</w:t>
      </w:r>
      <w:r w:rsidRPr="0068236B">
        <w:rPr>
          <w:rFonts w:cs="Tahoma"/>
          <w:sz w:val="20"/>
          <w:szCs w:val="20"/>
        </w:rPr>
        <w:t>.</w:t>
      </w:r>
    </w:p>
    <w:p w14:paraId="1D73E871" w14:textId="77777777" w:rsidR="00DB3C90" w:rsidRPr="0068236B" w:rsidRDefault="00DB3C90" w:rsidP="00DB3C90">
      <w:pPr>
        <w:ind w:left="720" w:firstLine="720"/>
        <w:rPr>
          <w:rFonts w:cs="Tahoma"/>
          <w:sz w:val="20"/>
          <w:szCs w:val="20"/>
          <w:u w:val="single"/>
        </w:rPr>
      </w:pPr>
      <w:r w:rsidRPr="0068236B">
        <w:rPr>
          <w:rFonts w:cs="Tahoma"/>
          <w:sz w:val="20"/>
          <w:szCs w:val="20"/>
          <w:u w:val="single"/>
        </w:rPr>
        <w:t>Natural Heritage Sites</w:t>
      </w:r>
    </w:p>
    <w:p w14:paraId="02A8EE21" w14:textId="5C39ECF1" w:rsidR="00B83AE6" w:rsidRPr="0068236B" w:rsidRDefault="00B83AE6" w:rsidP="00974A91">
      <w:pPr>
        <w:rPr>
          <w:rFonts w:cs="Tahoma"/>
          <w:sz w:val="20"/>
        </w:rPr>
      </w:pPr>
      <w:r w:rsidRPr="0068236B">
        <w:rPr>
          <w:rFonts w:cs="Tahoma"/>
          <w:sz w:val="20"/>
        </w:rPr>
        <w:t>There are no nationally natural herit</w:t>
      </w:r>
      <w:r w:rsidR="005550C1" w:rsidRPr="0068236B">
        <w:rPr>
          <w:rFonts w:cs="Tahoma"/>
          <w:sz w:val="20"/>
        </w:rPr>
        <w:t xml:space="preserve">age sites - </w:t>
      </w:r>
      <w:r w:rsidRPr="0068236B">
        <w:rPr>
          <w:rFonts w:cs="Tahoma"/>
          <w:sz w:val="20"/>
        </w:rPr>
        <w:t>legally protected areas or internationally recognized areas</w:t>
      </w:r>
      <w:r w:rsidR="005550C1" w:rsidRPr="0068236B">
        <w:rPr>
          <w:rFonts w:cs="Tahoma"/>
          <w:sz w:val="20"/>
        </w:rPr>
        <w:t xml:space="preserve"> (Emerald sites, Ramsar sites, IPA, IBA, PBA, KBA, etc.</w:t>
      </w:r>
      <w:r w:rsidR="00974A91" w:rsidRPr="0068236B">
        <w:rPr>
          <w:rFonts w:cs="Tahoma"/>
          <w:sz w:val="20"/>
        </w:rPr>
        <w:t>)</w:t>
      </w:r>
      <w:r w:rsidRPr="0068236B">
        <w:rPr>
          <w:rFonts w:cs="Tahoma"/>
          <w:sz w:val="20"/>
        </w:rPr>
        <w:t xml:space="preserve"> </w:t>
      </w:r>
      <w:r w:rsidRPr="0068236B">
        <w:rPr>
          <w:sz w:val="20"/>
        </w:rPr>
        <w:t xml:space="preserve">within the study area of the proposed new </w:t>
      </w:r>
      <w:r w:rsidR="00B91B1E" w:rsidRPr="0068236B">
        <w:rPr>
          <w:sz w:val="20"/>
        </w:rPr>
        <w:t>400/110 kV SS Miletkovo</w:t>
      </w:r>
      <w:r w:rsidRPr="0068236B">
        <w:rPr>
          <w:sz w:val="20"/>
        </w:rPr>
        <w:t>, including the proposed ‘i</w:t>
      </w:r>
      <w:r w:rsidRPr="0068236B">
        <w:rPr>
          <w:rFonts w:eastAsia="Calibri" w:cs="Tahoma"/>
          <w:color w:val="000000"/>
          <w:sz w:val="20"/>
        </w:rPr>
        <w:t xml:space="preserve">n-out’ connection with </w:t>
      </w:r>
      <w:r w:rsidRPr="0068236B">
        <w:rPr>
          <w:sz w:val="20"/>
        </w:rPr>
        <w:t>the existing 400 kV OHL from SS Dubrovo to Thessalonica (GR)</w:t>
      </w:r>
      <w:r w:rsidRPr="0068236B">
        <w:rPr>
          <w:rFonts w:cs="Tahoma"/>
          <w:sz w:val="20"/>
        </w:rPr>
        <w:t>.</w:t>
      </w:r>
      <w:bookmarkStart w:id="262" w:name="_Toc48829095"/>
      <w:bookmarkStart w:id="263" w:name="_Toc71559784"/>
    </w:p>
    <w:p w14:paraId="25C40882" w14:textId="0D261366" w:rsidR="001177B2" w:rsidRPr="0068236B" w:rsidRDefault="00741BC6" w:rsidP="00D24CEF">
      <w:pPr>
        <w:pStyle w:val="ListBullet"/>
        <w:numPr>
          <w:ilvl w:val="0"/>
          <w:numId w:val="97"/>
        </w:numPr>
        <w:spacing w:before="120" w:after="120"/>
        <w:ind w:left="714" w:hanging="357"/>
        <w:jc w:val="left"/>
        <w:rPr>
          <w:sz w:val="20"/>
        </w:rPr>
      </w:pPr>
      <w:r w:rsidRPr="0068236B">
        <w:rPr>
          <w:sz w:val="20"/>
        </w:rPr>
        <w:t xml:space="preserve">Reconstruction </w:t>
      </w:r>
      <w:r w:rsidR="001177B2" w:rsidRPr="0068236B">
        <w:rPr>
          <w:sz w:val="20"/>
        </w:rPr>
        <w:t>the existing 110 kV transmission line from SS Valandovo to SS ‘EVP’ Miletkovo.</w:t>
      </w:r>
    </w:p>
    <w:p w14:paraId="6C87369F" w14:textId="6AB16771" w:rsidR="001177B2" w:rsidRPr="0068236B" w:rsidRDefault="001177B2" w:rsidP="001177B2">
      <w:pPr>
        <w:ind w:left="720" w:firstLine="720"/>
        <w:rPr>
          <w:rFonts w:cs="Tahoma"/>
          <w:sz w:val="20"/>
          <w:szCs w:val="20"/>
          <w:u w:val="single"/>
        </w:rPr>
      </w:pPr>
      <w:r w:rsidRPr="0068236B">
        <w:rPr>
          <w:rFonts w:cs="Tahoma"/>
          <w:sz w:val="20"/>
          <w:szCs w:val="20"/>
          <w:u w:val="single"/>
        </w:rPr>
        <w:t>Vegetation and Habitats</w:t>
      </w:r>
      <w:r w:rsidR="00F8548D" w:rsidRPr="0068236B">
        <w:rPr>
          <w:rFonts w:cs="Tahoma"/>
          <w:sz w:val="20"/>
          <w:szCs w:val="20"/>
          <w:u w:val="single"/>
        </w:rPr>
        <w:t xml:space="preserve"> </w:t>
      </w:r>
    </w:p>
    <w:p w14:paraId="1A4768FA" w14:textId="4769A0AC" w:rsidR="000C4006" w:rsidRPr="0068236B" w:rsidRDefault="000C4006" w:rsidP="000C4006">
      <w:pPr>
        <w:pStyle w:val="NumberedParagraph"/>
        <w:rPr>
          <w:sz w:val="20"/>
        </w:rPr>
      </w:pPr>
      <w:r w:rsidRPr="0068236B">
        <w:rPr>
          <w:sz w:val="20"/>
        </w:rPr>
        <w:t xml:space="preserve">The existing line passes through environmental area of low sensitivity with </w:t>
      </w:r>
      <w:r w:rsidR="00AE7639" w:rsidRPr="0068236B">
        <w:rPr>
          <w:sz w:val="20"/>
        </w:rPr>
        <w:t>dominance</w:t>
      </w:r>
      <w:r w:rsidRPr="0068236B">
        <w:rPr>
          <w:sz w:val="20"/>
        </w:rPr>
        <w:t xml:space="preserve"> of agricultural land. The first </w:t>
      </w:r>
      <w:r w:rsidR="00AE7639" w:rsidRPr="0068236B">
        <w:rPr>
          <w:sz w:val="20"/>
        </w:rPr>
        <w:t xml:space="preserve">approx. </w:t>
      </w:r>
      <w:r w:rsidRPr="0068236B">
        <w:rPr>
          <w:sz w:val="20"/>
        </w:rPr>
        <w:t>600</w:t>
      </w:r>
      <w:r w:rsidR="00AE7639" w:rsidRPr="0068236B">
        <w:rPr>
          <w:sz w:val="20"/>
        </w:rPr>
        <w:t xml:space="preserve"> </w:t>
      </w:r>
      <w:r w:rsidRPr="0068236B">
        <w:rPr>
          <w:sz w:val="20"/>
        </w:rPr>
        <w:t xml:space="preserve">m </w:t>
      </w:r>
      <w:r w:rsidR="00AE7639" w:rsidRPr="0068236B">
        <w:rPr>
          <w:sz w:val="20"/>
        </w:rPr>
        <w:t xml:space="preserve">long section </w:t>
      </w:r>
      <w:r w:rsidRPr="0068236B">
        <w:rPr>
          <w:sz w:val="20"/>
        </w:rPr>
        <w:t xml:space="preserve">of the </w:t>
      </w:r>
      <w:r w:rsidR="00AE7639" w:rsidRPr="0068236B">
        <w:rPr>
          <w:sz w:val="20"/>
        </w:rPr>
        <w:t>corridor, starting from the</w:t>
      </w:r>
      <w:r w:rsidRPr="0068236B">
        <w:rPr>
          <w:sz w:val="20"/>
        </w:rPr>
        <w:t xml:space="preserve"> SS Valandovo pass</w:t>
      </w:r>
      <w:r w:rsidR="00AE7639" w:rsidRPr="0068236B">
        <w:rPr>
          <w:sz w:val="20"/>
        </w:rPr>
        <w:t>es</w:t>
      </w:r>
      <w:r w:rsidRPr="0068236B">
        <w:rPr>
          <w:sz w:val="20"/>
        </w:rPr>
        <w:t xml:space="preserve"> through Kermes oak shrubland (Pseudomaquis). The rest of the route pass</w:t>
      </w:r>
      <w:r w:rsidR="00AE7639" w:rsidRPr="0068236B">
        <w:rPr>
          <w:sz w:val="20"/>
        </w:rPr>
        <w:t>es</w:t>
      </w:r>
      <w:r w:rsidRPr="0068236B">
        <w:rPr>
          <w:sz w:val="20"/>
        </w:rPr>
        <w:t xml:space="preserve"> through agricultural land. In this part the </w:t>
      </w:r>
      <w:r w:rsidR="00AE7639" w:rsidRPr="0068236B">
        <w:rPr>
          <w:sz w:val="20"/>
        </w:rPr>
        <w:t>line</w:t>
      </w:r>
      <w:r w:rsidRPr="0068236B">
        <w:rPr>
          <w:sz w:val="20"/>
        </w:rPr>
        <w:t xml:space="preserve"> crosses river Anska Reka at two points (22.533219</w:t>
      </w:r>
      <w:r w:rsidR="00AE7639" w:rsidRPr="0068236B">
        <w:rPr>
          <w:sz w:val="20"/>
        </w:rPr>
        <w:t>E</w:t>
      </w:r>
      <w:r w:rsidRPr="0068236B">
        <w:rPr>
          <w:sz w:val="20"/>
        </w:rPr>
        <w:t>, 41.307299</w:t>
      </w:r>
      <w:r w:rsidR="00AE7639" w:rsidRPr="0068236B">
        <w:rPr>
          <w:sz w:val="20"/>
        </w:rPr>
        <w:t>N</w:t>
      </w:r>
      <w:r w:rsidRPr="0068236B">
        <w:rPr>
          <w:sz w:val="20"/>
        </w:rPr>
        <w:t xml:space="preserve"> and 22.485034</w:t>
      </w:r>
      <w:r w:rsidR="00AE7639" w:rsidRPr="0068236B">
        <w:rPr>
          <w:sz w:val="20"/>
        </w:rPr>
        <w:t>E</w:t>
      </w:r>
      <w:r w:rsidRPr="0068236B">
        <w:rPr>
          <w:sz w:val="20"/>
        </w:rPr>
        <w:t>, 41.292345</w:t>
      </w:r>
      <w:r w:rsidR="00AE7639" w:rsidRPr="0068236B">
        <w:rPr>
          <w:sz w:val="20"/>
        </w:rPr>
        <w:t>N</w:t>
      </w:r>
      <w:r w:rsidRPr="0068236B">
        <w:rPr>
          <w:sz w:val="20"/>
        </w:rPr>
        <w:t xml:space="preserve">). Anska Reka is </w:t>
      </w:r>
      <w:r w:rsidR="00AE7639" w:rsidRPr="0068236B">
        <w:rPr>
          <w:sz w:val="20"/>
        </w:rPr>
        <w:t>canalized</w:t>
      </w:r>
      <w:r w:rsidRPr="0068236B">
        <w:rPr>
          <w:sz w:val="20"/>
        </w:rPr>
        <w:t xml:space="preserve"> and its riparian vegetation is degraded and represented by willow shrubs (</w:t>
      </w:r>
      <w:r w:rsidRPr="0068236B">
        <w:rPr>
          <w:i/>
          <w:sz w:val="20"/>
        </w:rPr>
        <w:t>Salix alba</w:t>
      </w:r>
      <w:r w:rsidRPr="0068236B">
        <w:rPr>
          <w:sz w:val="20"/>
        </w:rPr>
        <w:t xml:space="preserve">), </w:t>
      </w:r>
      <w:r w:rsidRPr="0068236B">
        <w:rPr>
          <w:i/>
          <w:sz w:val="20"/>
        </w:rPr>
        <w:t>Tamarix</w:t>
      </w:r>
      <w:r w:rsidRPr="0068236B">
        <w:rPr>
          <w:sz w:val="20"/>
        </w:rPr>
        <w:t xml:space="preserve"> spp, </w:t>
      </w:r>
      <w:r w:rsidRPr="0068236B">
        <w:rPr>
          <w:i/>
          <w:sz w:val="20"/>
        </w:rPr>
        <w:t>Rubus</w:t>
      </w:r>
      <w:r w:rsidRPr="0068236B">
        <w:rPr>
          <w:sz w:val="20"/>
        </w:rPr>
        <w:t xml:space="preserve"> spp. and some herb species. </w:t>
      </w:r>
      <w:r w:rsidR="00AE7639" w:rsidRPr="0068236B">
        <w:rPr>
          <w:sz w:val="20"/>
        </w:rPr>
        <w:t xml:space="preserve">The transmission line </w:t>
      </w:r>
      <w:r w:rsidRPr="0068236B">
        <w:rPr>
          <w:sz w:val="20"/>
        </w:rPr>
        <w:t xml:space="preserve">also crosses </w:t>
      </w:r>
      <w:r w:rsidR="00AE7639" w:rsidRPr="0068236B">
        <w:rPr>
          <w:sz w:val="20"/>
        </w:rPr>
        <w:t>the</w:t>
      </w:r>
      <w:r w:rsidR="00562E86" w:rsidRPr="0068236B">
        <w:rPr>
          <w:sz w:val="20"/>
        </w:rPr>
        <w:t xml:space="preserve"> </w:t>
      </w:r>
      <w:r w:rsidRPr="0068236B">
        <w:rPr>
          <w:sz w:val="20"/>
        </w:rPr>
        <w:t xml:space="preserve">Vardar </w:t>
      </w:r>
      <w:r w:rsidR="00AE7639" w:rsidRPr="0068236B">
        <w:rPr>
          <w:sz w:val="20"/>
        </w:rPr>
        <w:t xml:space="preserve">River </w:t>
      </w:r>
      <w:r w:rsidRPr="0068236B">
        <w:rPr>
          <w:sz w:val="20"/>
        </w:rPr>
        <w:t>(22.480452</w:t>
      </w:r>
      <w:r w:rsidR="00AE7639" w:rsidRPr="0068236B">
        <w:rPr>
          <w:sz w:val="20"/>
        </w:rPr>
        <w:t>E</w:t>
      </w:r>
      <w:r w:rsidRPr="0068236B">
        <w:rPr>
          <w:sz w:val="20"/>
        </w:rPr>
        <w:t>, 41.290926</w:t>
      </w:r>
      <w:r w:rsidR="00AE7639" w:rsidRPr="0068236B">
        <w:rPr>
          <w:sz w:val="20"/>
        </w:rPr>
        <w:t>N</w:t>
      </w:r>
      <w:r w:rsidRPr="0068236B">
        <w:rPr>
          <w:sz w:val="20"/>
        </w:rPr>
        <w:t>) – the vegetation in this part is represented by Willow belt (Salicetum albae-fragilis) which is very narrow and adjacent to the river as well as degraded sandy habitats. Out of the nat</w:t>
      </w:r>
      <w:r w:rsidRPr="0068236B">
        <w:rPr>
          <w:sz w:val="20"/>
        </w:rPr>
        <w:t>u</w:t>
      </w:r>
      <w:r w:rsidRPr="0068236B">
        <w:rPr>
          <w:sz w:val="20"/>
        </w:rPr>
        <w:t>ral habitats</w:t>
      </w:r>
      <w:r w:rsidR="00AE7639" w:rsidRPr="0068236B">
        <w:rPr>
          <w:sz w:val="20"/>
        </w:rPr>
        <w:t>,</w:t>
      </w:r>
      <w:r w:rsidRPr="0068236B">
        <w:rPr>
          <w:sz w:val="20"/>
        </w:rPr>
        <w:t xml:space="preserve"> </w:t>
      </w:r>
      <w:r w:rsidR="00AE7639" w:rsidRPr="0068236B">
        <w:rPr>
          <w:sz w:val="20"/>
        </w:rPr>
        <w:t xml:space="preserve">only </w:t>
      </w:r>
      <w:r w:rsidRPr="0068236B">
        <w:rPr>
          <w:sz w:val="20"/>
        </w:rPr>
        <w:t>Floating Duckweed</w:t>
      </w:r>
      <w:r w:rsidR="00AE7639" w:rsidRPr="0068236B">
        <w:rPr>
          <w:sz w:val="20"/>
        </w:rPr>
        <w:t xml:space="preserve"> </w:t>
      </w:r>
      <w:r w:rsidRPr="0068236B">
        <w:rPr>
          <w:sz w:val="20"/>
        </w:rPr>
        <w:t>covers (EUNIS code C1.221)</w:t>
      </w:r>
      <w:r w:rsidR="00AE7639" w:rsidRPr="0068236B">
        <w:rPr>
          <w:sz w:val="20"/>
        </w:rPr>
        <w:t xml:space="preserve"> should be mentioned, </w:t>
      </w:r>
      <w:r w:rsidRPr="0068236B">
        <w:rPr>
          <w:sz w:val="20"/>
        </w:rPr>
        <w:t>noticed on Anska Reka</w:t>
      </w:r>
      <w:r w:rsidR="00AE7639" w:rsidRPr="0068236B">
        <w:rPr>
          <w:sz w:val="20"/>
        </w:rPr>
        <w:t>.</w:t>
      </w:r>
    </w:p>
    <w:p w14:paraId="4092F1FF" w14:textId="0B6F3343" w:rsidR="001177B2" w:rsidRPr="0068236B" w:rsidRDefault="001177B2" w:rsidP="001177B2">
      <w:pPr>
        <w:ind w:left="720" w:firstLine="720"/>
        <w:rPr>
          <w:rFonts w:cs="Tahoma"/>
          <w:sz w:val="20"/>
          <w:szCs w:val="20"/>
          <w:u w:val="single"/>
        </w:rPr>
      </w:pPr>
      <w:r w:rsidRPr="0068236B">
        <w:rPr>
          <w:rFonts w:cs="Tahoma"/>
          <w:sz w:val="20"/>
          <w:szCs w:val="20"/>
          <w:u w:val="single"/>
        </w:rPr>
        <w:t>Flora</w:t>
      </w:r>
    </w:p>
    <w:p w14:paraId="605A9FCC" w14:textId="01217F21" w:rsidR="00413CDA" w:rsidRPr="0068236B" w:rsidRDefault="00413CDA" w:rsidP="00413CDA">
      <w:pPr>
        <w:rPr>
          <w:rFonts w:cs="Tahoma"/>
          <w:sz w:val="20"/>
          <w:szCs w:val="20"/>
        </w:rPr>
      </w:pPr>
      <w:r w:rsidRPr="0068236B">
        <w:rPr>
          <w:rFonts w:cs="Tahoma"/>
          <w:sz w:val="20"/>
          <w:szCs w:val="20"/>
        </w:rPr>
        <w:t xml:space="preserve">The flora in the study area is poor in species. The most diverse floristic composition was noticed at the crossings of rivers Anska Reka and Vardar: </w:t>
      </w:r>
      <w:r w:rsidRPr="0068236B">
        <w:rPr>
          <w:rFonts w:cs="Tahoma"/>
          <w:i/>
          <w:sz w:val="20"/>
          <w:szCs w:val="20"/>
        </w:rPr>
        <w:t xml:space="preserve">Salix alba, Tamarix </w:t>
      </w:r>
      <w:r w:rsidRPr="0068236B">
        <w:rPr>
          <w:rFonts w:cs="Tahoma"/>
          <w:sz w:val="20"/>
          <w:szCs w:val="20"/>
        </w:rPr>
        <w:t>spp</w:t>
      </w:r>
      <w:r w:rsidRPr="0068236B">
        <w:rPr>
          <w:rFonts w:cs="Tahoma"/>
          <w:i/>
          <w:sz w:val="20"/>
          <w:szCs w:val="20"/>
        </w:rPr>
        <w:t>., Lythrum salicaria, Rubus sanguineus, R. discolour, Phragmites australis, Populus alba, Sambucus ebulus, Humulus lupulus, Convolvulus arvensis, Typha latifolia, Urtica dioica</w:t>
      </w:r>
      <w:r w:rsidRPr="0068236B">
        <w:rPr>
          <w:rFonts w:cs="Tahoma"/>
          <w:sz w:val="20"/>
          <w:szCs w:val="20"/>
        </w:rPr>
        <w:t>, etc. None of the species is threatened or rare</w:t>
      </w:r>
      <w:r w:rsidR="00CD38F0">
        <w:rPr>
          <w:rFonts w:cs="Tahoma"/>
          <w:sz w:val="20"/>
          <w:szCs w:val="20"/>
        </w:rPr>
        <w:t xml:space="preserve"> (see Table 7.9</w:t>
      </w:r>
      <w:r w:rsidR="00BC6242" w:rsidRPr="0068236B">
        <w:rPr>
          <w:rFonts w:cs="Tahoma"/>
          <w:sz w:val="20"/>
          <w:szCs w:val="20"/>
        </w:rPr>
        <w:t>)</w:t>
      </w:r>
      <w:r w:rsidRPr="0068236B">
        <w:rPr>
          <w:rFonts w:cs="Tahoma"/>
          <w:sz w:val="20"/>
          <w:szCs w:val="20"/>
        </w:rPr>
        <w:t xml:space="preserve">. </w:t>
      </w:r>
    </w:p>
    <w:p w14:paraId="0FB13EFC" w14:textId="77777777" w:rsidR="001177B2" w:rsidRPr="0068236B" w:rsidRDefault="001177B2" w:rsidP="001177B2">
      <w:pPr>
        <w:ind w:left="720" w:firstLine="720"/>
        <w:rPr>
          <w:rFonts w:cs="Tahoma"/>
          <w:sz w:val="20"/>
          <w:szCs w:val="20"/>
          <w:u w:val="single"/>
        </w:rPr>
      </w:pPr>
      <w:r w:rsidRPr="0068236B">
        <w:rPr>
          <w:rFonts w:cs="Tahoma"/>
          <w:sz w:val="20"/>
          <w:szCs w:val="20"/>
          <w:u w:val="single"/>
        </w:rPr>
        <w:t>Fauna</w:t>
      </w:r>
    </w:p>
    <w:p w14:paraId="1DCA1647" w14:textId="58002F66" w:rsidR="00413CDA" w:rsidRPr="0068236B" w:rsidRDefault="00413CDA" w:rsidP="00413CDA">
      <w:pPr>
        <w:rPr>
          <w:rFonts w:cs="Tahoma"/>
          <w:sz w:val="20"/>
          <w:szCs w:val="20"/>
        </w:rPr>
      </w:pPr>
      <w:r w:rsidRPr="0068236B">
        <w:rPr>
          <w:rFonts w:cs="Tahoma"/>
          <w:sz w:val="20"/>
          <w:szCs w:val="20"/>
        </w:rPr>
        <w:t xml:space="preserve">The fauna in the study area is not documented in the literature. </w:t>
      </w:r>
      <w:r w:rsidR="00BC6242" w:rsidRPr="0068236B">
        <w:rPr>
          <w:rFonts w:cs="Tahoma"/>
          <w:sz w:val="20"/>
          <w:szCs w:val="20"/>
        </w:rPr>
        <w:t>According to the field surveys, t</w:t>
      </w:r>
      <w:r w:rsidRPr="0068236B">
        <w:rPr>
          <w:rFonts w:cs="Tahoma"/>
          <w:sz w:val="20"/>
          <w:szCs w:val="20"/>
        </w:rPr>
        <w:t xml:space="preserve">he most common species are </w:t>
      </w:r>
      <w:r w:rsidRPr="0068236B">
        <w:rPr>
          <w:rFonts w:cs="Tahoma"/>
          <w:i/>
          <w:sz w:val="20"/>
          <w:szCs w:val="20"/>
        </w:rPr>
        <w:t xml:space="preserve">Lanius collurio, Buteo buteo, Pernis apivorus, Passer domesticus, P. hispanioliensis, Ciconia ciconia, Ardea cinerea, A. alba, Egretta garzetta, Luscinia megarhynchos, </w:t>
      </w:r>
      <w:r w:rsidRPr="0068236B">
        <w:rPr>
          <w:rFonts w:cs="Tahoma"/>
          <w:sz w:val="20"/>
          <w:szCs w:val="20"/>
        </w:rPr>
        <w:t>etc</w:t>
      </w:r>
      <w:r w:rsidRPr="0068236B">
        <w:rPr>
          <w:rFonts w:cs="Tahoma"/>
          <w:i/>
          <w:sz w:val="20"/>
          <w:szCs w:val="20"/>
        </w:rPr>
        <w:t>.</w:t>
      </w:r>
      <w:r w:rsidRPr="0068236B">
        <w:rPr>
          <w:rFonts w:cs="Tahoma"/>
          <w:sz w:val="20"/>
          <w:szCs w:val="20"/>
        </w:rPr>
        <w:t xml:space="preserve"> Amphibians (</w:t>
      </w:r>
      <w:r w:rsidRPr="0068236B">
        <w:rPr>
          <w:rFonts w:cs="Tahoma"/>
          <w:i/>
          <w:sz w:val="20"/>
          <w:szCs w:val="20"/>
        </w:rPr>
        <w:t>Peloph</w:t>
      </w:r>
      <w:r w:rsidRPr="0068236B">
        <w:rPr>
          <w:rFonts w:cs="Tahoma"/>
          <w:i/>
          <w:sz w:val="20"/>
          <w:szCs w:val="20"/>
        </w:rPr>
        <w:t>y</w:t>
      </w:r>
      <w:r w:rsidRPr="0068236B">
        <w:rPr>
          <w:rFonts w:cs="Tahoma"/>
          <w:i/>
          <w:sz w:val="20"/>
          <w:szCs w:val="20"/>
        </w:rPr>
        <w:t>lax ridibundus, Bufo viridis, Rana graeca</w:t>
      </w:r>
      <w:r w:rsidRPr="0068236B">
        <w:rPr>
          <w:rFonts w:cs="Tahoma"/>
          <w:sz w:val="20"/>
          <w:szCs w:val="20"/>
        </w:rPr>
        <w:t>) are present along the Vardar River</w:t>
      </w:r>
      <w:r w:rsidR="00CD38F0">
        <w:rPr>
          <w:rFonts w:cs="Tahoma"/>
          <w:sz w:val="20"/>
          <w:szCs w:val="20"/>
        </w:rPr>
        <w:t xml:space="preserve"> (see Table 7.10 and Table 7.11)</w:t>
      </w:r>
      <w:r w:rsidRPr="0068236B">
        <w:rPr>
          <w:rFonts w:cs="Tahoma"/>
          <w:sz w:val="20"/>
          <w:szCs w:val="20"/>
        </w:rPr>
        <w:t>.</w:t>
      </w:r>
    </w:p>
    <w:p w14:paraId="6CC55544" w14:textId="77777777" w:rsidR="001177B2" w:rsidRPr="0068236B" w:rsidRDefault="001177B2" w:rsidP="001177B2">
      <w:pPr>
        <w:ind w:left="720" w:firstLine="720"/>
        <w:rPr>
          <w:rFonts w:cs="Tahoma"/>
          <w:sz w:val="20"/>
          <w:szCs w:val="20"/>
          <w:u w:val="single"/>
        </w:rPr>
      </w:pPr>
      <w:r w:rsidRPr="0068236B">
        <w:rPr>
          <w:rFonts w:cs="Tahoma"/>
          <w:sz w:val="20"/>
          <w:szCs w:val="20"/>
          <w:u w:val="single"/>
        </w:rPr>
        <w:t>Natural Heritage Sites</w:t>
      </w:r>
    </w:p>
    <w:p w14:paraId="696509BC" w14:textId="682CF0BC" w:rsidR="001177B2" w:rsidRPr="0068236B" w:rsidRDefault="001177B2" w:rsidP="001177B2">
      <w:pPr>
        <w:rPr>
          <w:rFonts w:cs="Tahoma"/>
          <w:sz w:val="20"/>
        </w:rPr>
      </w:pPr>
      <w:r w:rsidRPr="0068236B">
        <w:rPr>
          <w:rFonts w:cs="Tahoma"/>
          <w:sz w:val="20"/>
        </w:rPr>
        <w:t xml:space="preserve">There are no nationally natural heritage sites </w:t>
      </w:r>
      <w:r w:rsidR="00BC6242" w:rsidRPr="0068236B">
        <w:rPr>
          <w:rFonts w:cs="Tahoma"/>
          <w:sz w:val="20"/>
        </w:rPr>
        <w:t xml:space="preserve">- </w:t>
      </w:r>
      <w:r w:rsidRPr="0068236B">
        <w:rPr>
          <w:rFonts w:cs="Tahoma"/>
          <w:sz w:val="20"/>
        </w:rPr>
        <w:t>legally protected areas or internationally recognized areas</w:t>
      </w:r>
      <w:r w:rsidR="00BC6242" w:rsidRPr="0068236B">
        <w:rPr>
          <w:rFonts w:cs="Tahoma"/>
          <w:sz w:val="20"/>
        </w:rPr>
        <w:t xml:space="preserve"> (Emerald sites, Ramsar sites, IPA, IBA, PBA, KBA, etc.</w:t>
      </w:r>
      <w:r w:rsidRPr="0068236B">
        <w:rPr>
          <w:rFonts w:cs="Tahoma"/>
          <w:sz w:val="20"/>
        </w:rPr>
        <w:t xml:space="preserve">) </w:t>
      </w:r>
      <w:r w:rsidRPr="0068236B">
        <w:rPr>
          <w:sz w:val="20"/>
        </w:rPr>
        <w:t xml:space="preserve">within the study area of the proposed </w:t>
      </w:r>
      <w:r w:rsidR="00873406" w:rsidRPr="0068236B">
        <w:rPr>
          <w:sz w:val="20"/>
        </w:rPr>
        <w:t>recontruction</w:t>
      </w:r>
      <w:r w:rsidRPr="0068236B">
        <w:rPr>
          <w:sz w:val="20"/>
        </w:rPr>
        <w:t xml:space="preserve"> of the existing 110 kV OHL from SS Valandovo to SS ‘EVP’ Miletkovo.</w:t>
      </w:r>
    </w:p>
    <w:p w14:paraId="7159152D" w14:textId="77777777" w:rsidR="00CD38F0" w:rsidRDefault="00CD38F0">
      <w:pPr>
        <w:spacing w:before="0" w:after="0" w:line="240" w:lineRule="auto"/>
        <w:jc w:val="left"/>
        <w:rPr>
          <w:sz w:val="20"/>
        </w:rPr>
      </w:pPr>
      <w:r>
        <w:rPr>
          <w:sz w:val="20"/>
        </w:rPr>
        <w:br w:type="page"/>
      </w:r>
    </w:p>
    <w:p w14:paraId="7D5A5F26" w14:textId="1A2750F2" w:rsidR="00EA03D0" w:rsidRPr="0068236B" w:rsidRDefault="001177B2" w:rsidP="00D24CEF">
      <w:pPr>
        <w:pStyle w:val="ListBullet"/>
        <w:numPr>
          <w:ilvl w:val="0"/>
          <w:numId w:val="97"/>
        </w:numPr>
        <w:spacing w:before="120" w:after="120"/>
        <w:ind w:left="714" w:hanging="357"/>
        <w:jc w:val="left"/>
        <w:rPr>
          <w:sz w:val="20"/>
        </w:rPr>
      </w:pPr>
      <w:r w:rsidRPr="0068236B">
        <w:rPr>
          <w:sz w:val="20"/>
        </w:rPr>
        <w:lastRenderedPageBreak/>
        <w:t>Construction of a new 110 kV OHL connector</w:t>
      </w:r>
      <w:r w:rsidR="00377B68" w:rsidRPr="0068236B">
        <w:rPr>
          <w:sz w:val="20"/>
        </w:rPr>
        <w:t>s</w:t>
      </w:r>
      <w:r w:rsidRPr="0068236B">
        <w:rPr>
          <w:sz w:val="20"/>
        </w:rPr>
        <w:t xml:space="preserve"> with the existing SS ‘EVP’ Miletkovo</w:t>
      </w:r>
    </w:p>
    <w:p w14:paraId="248A8DB1" w14:textId="742CFFB3" w:rsidR="001177B2" w:rsidRPr="0068236B" w:rsidRDefault="001177B2" w:rsidP="001177B2">
      <w:pPr>
        <w:ind w:left="720" w:firstLine="720"/>
        <w:rPr>
          <w:rFonts w:cs="Tahoma"/>
          <w:sz w:val="20"/>
          <w:szCs w:val="20"/>
          <w:u w:val="single"/>
        </w:rPr>
      </w:pPr>
      <w:r w:rsidRPr="0068236B">
        <w:rPr>
          <w:rFonts w:cs="Tahoma"/>
          <w:sz w:val="20"/>
          <w:szCs w:val="20"/>
          <w:u w:val="single"/>
        </w:rPr>
        <w:t>Vegetation and Habitats</w:t>
      </w:r>
    </w:p>
    <w:p w14:paraId="726A82CF" w14:textId="77777777" w:rsidR="00413CDA" w:rsidRPr="0068236B" w:rsidRDefault="00413CDA" w:rsidP="00413CDA">
      <w:pPr>
        <w:rPr>
          <w:rFonts w:cs="Tahoma"/>
          <w:sz w:val="20"/>
          <w:szCs w:val="20"/>
        </w:rPr>
      </w:pPr>
      <w:r w:rsidRPr="0068236B">
        <w:rPr>
          <w:rFonts w:cs="Tahoma"/>
          <w:sz w:val="20"/>
          <w:szCs w:val="20"/>
        </w:rPr>
        <w:t xml:space="preserve">The </w:t>
      </w:r>
      <w:r w:rsidR="00C46554" w:rsidRPr="0068236B">
        <w:rPr>
          <w:rFonts w:cs="Tahoma"/>
          <w:sz w:val="20"/>
          <w:szCs w:val="20"/>
        </w:rPr>
        <w:t xml:space="preserve">corridor of the proposed </w:t>
      </w:r>
      <w:r w:rsidRPr="0068236B">
        <w:rPr>
          <w:rFonts w:cs="Tahoma"/>
          <w:sz w:val="20"/>
          <w:szCs w:val="20"/>
        </w:rPr>
        <w:t>transmission line passes through an agricultural area with low biodiversity va</w:t>
      </w:r>
      <w:r w:rsidRPr="0068236B">
        <w:rPr>
          <w:rFonts w:cs="Tahoma"/>
          <w:sz w:val="20"/>
          <w:szCs w:val="20"/>
        </w:rPr>
        <w:t>l</w:t>
      </w:r>
      <w:r w:rsidRPr="0068236B">
        <w:rPr>
          <w:rFonts w:cs="Tahoma"/>
          <w:sz w:val="20"/>
          <w:szCs w:val="20"/>
        </w:rPr>
        <w:t>ues. Some remains of natural communities are scattered within the agricultural matrix, but these are of very limited extent. At the periphery of the study area there are the riparian communities along the Vardar River.</w:t>
      </w:r>
    </w:p>
    <w:p w14:paraId="7B293249" w14:textId="77777777" w:rsidR="001177B2" w:rsidRPr="0068236B" w:rsidRDefault="001177B2" w:rsidP="001177B2">
      <w:pPr>
        <w:ind w:left="720" w:firstLine="720"/>
        <w:rPr>
          <w:rFonts w:cs="Tahoma"/>
          <w:sz w:val="20"/>
          <w:szCs w:val="20"/>
          <w:u w:val="single"/>
        </w:rPr>
      </w:pPr>
      <w:r w:rsidRPr="0068236B">
        <w:rPr>
          <w:rFonts w:cs="Tahoma"/>
          <w:sz w:val="20"/>
          <w:szCs w:val="20"/>
          <w:u w:val="single"/>
        </w:rPr>
        <w:t>Flora</w:t>
      </w:r>
    </w:p>
    <w:p w14:paraId="767B1AB8" w14:textId="49684A45" w:rsidR="00C46554" w:rsidRPr="0068236B" w:rsidRDefault="00C46554" w:rsidP="00C46554">
      <w:pPr>
        <w:rPr>
          <w:rFonts w:cs="Tahoma"/>
          <w:sz w:val="20"/>
          <w:szCs w:val="20"/>
        </w:rPr>
      </w:pPr>
      <w:r w:rsidRPr="0068236B">
        <w:rPr>
          <w:rFonts w:cs="Tahoma"/>
          <w:sz w:val="20"/>
          <w:szCs w:val="20"/>
        </w:rPr>
        <w:t>The flora in the study area is consisted mainly of widespread and ruderal species. No important or endemic species were recorded during the field surveys</w:t>
      </w:r>
      <w:r w:rsidR="0053173E" w:rsidRPr="0068236B">
        <w:rPr>
          <w:rFonts w:cs="Tahoma"/>
          <w:sz w:val="20"/>
          <w:szCs w:val="20"/>
        </w:rPr>
        <w:t xml:space="preserve"> (see Table 7.</w:t>
      </w:r>
      <w:r w:rsidR="00CD38F0">
        <w:rPr>
          <w:rFonts w:cs="Tahoma"/>
          <w:sz w:val="20"/>
          <w:szCs w:val="20"/>
        </w:rPr>
        <w:t>9</w:t>
      </w:r>
      <w:r w:rsidR="0053173E" w:rsidRPr="0068236B">
        <w:rPr>
          <w:rFonts w:cs="Tahoma"/>
          <w:sz w:val="20"/>
          <w:szCs w:val="20"/>
        </w:rPr>
        <w:t>)</w:t>
      </w:r>
      <w:r w:rsidRPr="0068236B">
        <w:rPr>
          <w:rFonts w:cs="Tahoma"/>
          <w:sz w:val="20"/>
          <w:szCs w:val="20"/>
        </w:rPr>
        <w:t>.</w:t>
      </w:r>
    </w:p>
    <w:p w14:paraId="6BBCFCF4" w14:textId="77777777" w:rsidR="001177B2" w:rsidRPr="0068236B" w:rsidRDefault="001177B2" w:rsidP="001177B2">
      <w:pPr>
        <w:ind w:left="720" w:firstLine="720"/>
        <w:rPr>
          <w:rFonts w:cs="Tahoma"/>
          <w:sz w:val="20"/>
          <w:szCs w:val="20"/>
          <w:u w:val="single"/>
        </w:rPr>
      </w:pPr>
      <w:r w:rsidRPr="0068236B">
        <w:rPr>
          <w:rFonts w:cs="Tahoma"/>
          <w:sz w:val="20"/>
          <w:szCs w:val="20"/>
          <w:u w:val="single"/>
        </w:rPr>
        <w:t>Fauna</w:t>
      </w:r>
    </w:p>
    <w:p w14:paraId="4C40FD13" w14:textId="797966B3" w:rsidR="001177B2" w:rsidRPr="0068236B" w:rsidRDefault="00C46554" w:rsidP="00C46554">
      <w:pPr>
        <w:rPr>
          <w:rFonts w:cs="Tahoma"/>
          <w:sz w:val="20"/>
          <w:szCs w:val="20"/>
        </w:rPr>
      </w:pPr>
      <w:r w:rsidRPr="0068236B">
        <w:rPr>
          <w:rFonts w:cs="Tahoma"/>
          <w:sz w:val="20"/>
          <w:szCs w:val="20"/>
        </w:rPr>
        <w:t xml:space="preserve">The fauna in the study area is not documented in the literature. During the field visits the following species were registered: </w:t>
      </w:r>
      <w:r w:rsidRPr="0068236B">
        <w:rPr>
          <w:rFonts w:cs="Tahoma"/>
          <w:i/>
          <w:sz w:val="20"/>
          <w:szCs w:val="20"/>
        </w:rPr>
        <w:t>Lanius collurio, Merops apiaster, Buteo buteo, Ciconia ciconia</w:t>
      </w:r>
      <w:r w:rsidRPr="0068236B">
        <w:rPr>
          <w:rFonts w:cs="Tahoma"/>
          <w:sz w:val="20"/>
          <w:szCs w:val="20"/>
        </w:rPr>
        <w:t xml:space="preserve"> (birds), </w:t>
      </w:r>
      <w:r w:rsidRPr="0068236B">
        <w:rPr>
          <w:rFonts w:cs="Tahoma"/>
          <w:i/>
          <w:sz w:val="20"/>
          <w:szCs w:val="20"/>
        </w:rPr>
        <w:t xml:space="preserve">Podarcis muralis, </w:t>
      </w:r>
      <w:r w:rsidRPr="0068236B">
        <w:rPr>
          <w:rFonts w:cs="Tahoma"/>
          <w:sz w:val="20"/>
          <w:szCs w:val="20"/>
        </w:rPr>
        <w:t xml:space="preserve">(reptiles), </w:t>
      </w:r>
      <w:r w:rsidRPr="0068236B">
        <w:rPr>
          <w:rFonts w:cs="Tahoma"/>
          <w:i/>
          <w:sz w:val="20"/>
          <w:szCs w:val="20"/>
        </w:rPr>
        <w:t>Iphiclides podalirius, Maniola jurtina, Pararge aegeria, Lybithea celtis, Polyommatus icarus</w:t>
      </w:r>
      <w:r w:rsidRPr="0068236B">
        <w:rPr>
          <w:rFonts w:cs="Tahoma"/>
          <w:sz w:val="20"/>
          <w:szCs w:val="20"/>
        </w:rPr>
        <w:t xml:space="preserve"> (butte</w:t>
      </w:r>
      <w:r w:rsidRPr="0068236B">
        <w:rPr>
          <w:rFonts w:cs="Tahoma"/>
          <w:sz w:val="20"/>
          <w:szCs w:val="20"/>
        </w:rPr>
        <w:t>r</w:t>
      </w:r>
      <w:r w:rsidRPr="0068236B">
        <w:rPr>
          <w:rFonts w:cs="Tahoma"/>
          <w:sz w:val="20"/>
          <w:szCs w:val="20"/>
        </w:rPr>
        <w:t>flies)</w:t>
      </w:r>
      <w:r w:rsidR="0053173E" w:rsidRPr="0068236B">
        <w:rPr>
          <w:rFonts w:cs="Tahoma"/>
          <w:sz w:val="20"/>
          <w:szCs w:val="20"/>
        </w:rPr>
        <w:t xml:space="preserve"> (see Table 7.</w:t>
      </w:r>
      <w:r w:rsidR="00CD38F0">
        <w:rPr>
          <w:rFonts w:cs="Tahoma"/>
          <w:sz w:val="20"/>
          <w:szCs w:val="20"/>
        </w:rPr>
        <w:t>10</w:t>
      </w:r>
      <w:r w:rsidR="0053173E" w:rsidRPr="0068236B">
        <w:rPr>
          <w:rFonts w:cs="Tahoma"/>
          <w:sz w:val="20"/>
          <w:szCs w:val="20"/>
        </w:rPr>
        <w:t xml:space="preserve"> and Table 7.1</w:t>
      </w:r>
      <w:r w:rsidR="00CD38F0">
        <w:rPr>
          <w:rFonts w:cs="Tahoma"/>
          <w:sz w:val="20"/>
          <w:szCs w:val="20"/>
        </w:rPr>
        <w:t>1</w:t>
      </w:r>
      <w:r w:rsidR="0053173E" w:rsidRPr="0068236B">
        <w:rPr>
          <w:rFonts w:cs="Tahoma"/>
          <w:sz w:val="20"/>
          <w:szCs w:val="20"/>
        </w:rPr>
        <w:t>)</w:t>
      </w:r>
      <w:r w:rsidRPr="0068236B">
        <w:rPr>
          <w:rFonts w:cs="Tahoma"/>
          <w:sz w:val="20"/>
          <w:szCs w:val="20"/>
        </w:rPr>
        <w:t>.</w:t>
      </w:r>
    </w:p>
    <w:p w14:paraId="7439930C" w14:textId="77777777" w:rsidR="001177B2" w:rsidRPr="0068236B" w:rsidRDefault="001177B2" w:rsidP="001177B2">
      <w:pPr>
        <w:ind w:left="720" w:firstLine="720"/>
        <w:rPr>
          <w:rFonts w:cs="Tahoma"/>
          <w:sz w:val="20"/>
          <w:szCs w:val="20"/>
          <w:u w:val="single"/>
        </w:rPr>
      </w:pPr>
      <w:r w:rsidRPr="0068236B">
        <w:rPr>
          <w:rFonts w:cs="Tahoma"/>
          <w:sz w:val="20"/>
          <w:szCs w:val="20"/>
          <w:u w:val="single"/>
        </w:rPr>
        <w:t>Natural Heritage Sites</w:t>
      </w:r>
    </w:p>
    <w:p w14:paraId="5FCB28B2" w14:textId="5F726EC8" w:rsidR="001177B2" w:rsidRPr="0068236B" w:rsidRDefault="001177B2" w:rsidP="001177B2">
      <w:pPr>
        <w:rPr>
          <w:sz w:val="20"/>
        </w:rPr>
      </w:pPr>
      <w:r w:rsidRPr="0068236B">
        <w:rPr>
          <w:rFonts w:cs="Tahoma"/>
          <w:sz w:val="20"/>
        </w:rPr>
        <w:t>There are no nat</w:t>
      </w:r>
      <w:r w:rsidR="0053173E" w:rsidRPr="0068236B">
        <w:rPr>
          <w:rFonts w:cs="Tahoma"/>
          <w:sz w:val="20"/>
        </w:rPr>
        <w:t xml:space="preserve">ionally natural heritage sites - </w:t>
      </w:r>
      <w:r w:rsidRPr="0068236B">
        <w:rPr>
          <w:rFonts w:cs="Tahoma"/>
          <w:sz w:val="20"/>
        </w:rPr>
        <w:t>legally protected areas or internationally recognized areas</w:t>
      </w:r>
      <w:r w:rsidR="0053173E" w:rsidRPr="0068236B">
        <w:rPr>
          <w:rFonts w:cs="Tahoma"/>
          <w:sz w:val="20"/>
        </w:rPr>
        <w:t xml:space="preserve"> (Emerald sites, Ramsar sites, IPA, IBA, PBA, KBA, etc.</w:t>
      </w:r>
      <w:r w:rsidRPr="0068236B">
        <w:rPr>
          <w:rFonts w:cs="Tahoma"/>
          <w:sz w:val="20"/>
        </w:rPr>
        <w:t xml:space="preserve">) </w:t>
      </w:r>
      <w:r w:rsidRPr="0068236B">
        <w:rPr>
          <w:sz w:val="20"/>
        </w:rPr>
        <w:t>within the study area of the proposed construction of a new 110 kV OHL connector</w:t>
      </w:r>
      <w:r w:rsidR="00377B68" w:rsidRPr="0068236B">
        <w:rPr>
          <w:sz w:val="20"/>
        </w:rPr>
        <w:t>s</w:t>
      </w:r>
      <w:r w:rsidRPr="0068236B">
        <w:rPr>
          <w:sz w:val="20"/>
        </w:rPr>
        <w:t xml:space="preserve"> of the new </w:t>
      </w:r>
      <w:r w:rsidR="00B91B1E" w:rsidRPr="0068236B">
        <w:rPr>
          <w:sz w:val="20"/>
        </w:rPr>
        <w:t>400/110 kV SS Miletkovo</w:t>
      </w:r>
      <w:r w:rsidRPr="0068236B">
        <w:rPr>
          <w:sz w:val="20"/>
        </w:rPr>
        <w:t xml:space="preserve"> with the existing SS ‘EVP’ Miletkovo.</w:t>
      </w:r>
    </w:p>
    <w:p w14:paraId="32644793" w14:textId="0B7B907F" w:rsidR="007B4131" w:rsidRPr="0068236B" w:rsidRDefault="007B4131" w:rsidP="008E77D3">
      <w:pPr>
        <w:pStyle w:val="Heading4"/>
        <w:numPr>
          <w:ilvl w:val="4"/>
          <w:numId w:val="43"/>
        </w:numPr>
        <w:rPr>
          <w:sz w:val="20"/>
        </w:rPr>
      </w:pPr>
      <w:r w:rsidRPr="0068236B">
        <w:rPr>
          <w:rFonts w:cs="Tahoma"/>
          <w:sz w:val="20"/>
          <w:szCs w:val="20"/>
        </w:rPr>
        <w:t>Valorization of Habitats and Species of Flora and Fauna</w:t>
      </w:r>
    </w:p>
    <w:p w14:paraId="410355CF" w14:textId="6CC21F2E" w:rsidR="00FA33C6" w:rsidRPr="0068236B" w:rsidRDefault="00FA33C6" w:rsidP="00FA33C6">
      <w:pPr>
        <w:rPr>
          <w:rFonts w:cs="Tahoma"/>
          <w:sz w:val="20"/>
          <w:szCs w:val="20"/>
        </w:rPr>
      </w:pPr>
      <w:r w:rsidRPr="0068236B">
        <w:rPr>
          <w:rFonts w:cs="Tahoma"/>
          <w:sz w:val="20"/>
          <w:szCs w:val="20"/>
        </w:rPr>
        <w:t>The following Table presents the list of identified habitats in the study area They are listed according to their trivial name which describes the community and its degradation status or other important aspects of its physiognomy. All of the habitats were also identified according to the EUNIS classification system of hab</w:t>
      </w:r>
      <w:r w:rsidRPr="0068236B">
        <w:rPr>
          <w:rFonts w:cs="Tahoma"/>
          <w:sz w:val="20"/>
          <w:szCs w:val="20"/>
        </w:rPr>
        <w:t>i</w:t>
      </w:r>
      <w:r w:rsidRPr="0068236B">
        <w:rPr>
          <w:rFonts w:cs="Tahoma"/>
          <w:sz w:val="20"/>
          <w:szCs w:val="20"/>
        </w:rPr>
        <w:t>tats</w:t>
      </w:r>
      <w:r w:rsidRPr="0068236B">
        <w:rPr>
          <w:rStyle w:val="FootnoteReference"/>
          <w:rFonts w:cs="Tahoma"/>
          <w:sz w:val="20"/>
          <w:szCs w:val="20"/>
        </w:rPr>
        <w:footnoteReference w:id="87"/>
      </w:r>
      <w:r w:rsidRPr="0068236B">
        <w:rPr>
          <w:rFonts w:cs="Tahoma"/>
          <w:sz w:val="20"/>
          <w:szCs w:val="20"/>
        </w:rPr>
        <w:t xml:space="preserve"> which isa a comprehensive system of all habitats on the European continents. Important habitats were selected according to the Annex I of the Habitats Directive</w:t>
      </w:r>
      <w:r w:rsidRPr="0068236B">
        <w:rPr>
          <w:rStyle w:val="FootnoteReference"/>
          <w:rFonts w:cs="Tahoma"/>
          <w:sz w:val="20"/>
          <w:szCs w:val="20"/>
        </w:rPr>
        <w:footnoteReference w:id="88"/>
      </w:r>
      <w:r w:rsidRPr="0068236B">
        <w:rPr>
          <w:rFonts w:cs="Tahoma"/>
          <w:sz w:val="20"/>
          <w:szCs w:val="20"/>
        </w:rPr>
        <w:t xml:space="preserve">. Bern Convention (Resolution No. 4, updated version of Annex I, </w:t>
      </w:r>
      <w:hyperlink r:id="rId111" w:history="1">
        <w:r w:rsidRPr="0068236B">
          <w:rPr>
            <w:rStyle w:val="Hyperlink"/>
            <w:rFonts w:cs="Tahoma"/>
            <w:color w:val="auto"/>
            <w:sz w:val="20"/>
            <w:szCs w:val="20"/>
          </w:rPr>
          <w:t>https://eunis.eea.europa.eu/references/2442</w:t>
        </w:r>
      </w:hyperlink>
      <w:r w:rsidRPr="0068236B">
        <w:rPr>
          <w:rFonts w:cs="Tahoma"/>
          <w:sz w:val="20"/>
          <w:szCs w:val="20"/>
        </w:rPr>
        <w:t>) was also used to identify important hab</w:t>
      </w:r>
      <w:r w:rsidRPr="0068236B">
        <w:rPr>
          <w:rFonts w:cs="Tahoma"/>
          <w:sz w:val="20"/>
          <w:szCs w:val="20"/>
        </w:rPr>
        <w:t>i</w:t>
      </w:r>
      <w:r w:rsidRPr="0068236B">
        <w:rPr>
          <w:rFonts w:cs="Tahoma"/>
          <w:sz w:val="20"/>
          <w:szCs w:val="20"/>
        </w:rPr>
        <w:t>tats. One should bear in mind that both Bern Convention (Resolution 4 - Annex I) and EU Habitats Directive (Annex I) are not comprehensive classification systems and they focus only on important habitats.</w:t>
      </w:r>
    </w:p>
    <w:p w14:paraId="37FFBB2B" w14:textId="05CD6DE2" w:rsidR="00FA33C6" w:rsidRPr="0068236B" w:rsidRDefault="00FA33C6" w:rsidP="00FA33C6">
      <w:pPr>
        <w:rPr>
          <w:rFonts w:cs="Tahoma"/>
          <w:sz w:val="20"/>
          <w:szCs w:val="20"/>
        </w:rPr>
      </w:pPr>
      <w:r w:rsidRPr="0068236B">
        <w:rPr>
          <w:rFonts w:cs="Tahoma"/>
          <w:sz w:val="20"/>
          <w:szCs w:val="20"/>
        </w:rPr>
        <w:t>According to the EU Habitats Directive there is onle one important habitats: 92A0 Salix alba and Populus alba galleries. This habitat represents the riparian belts consisted of willows and poplars along the Vardar River.</w:t>
      </w:r>
    </w:p>
    <w:tbl>
      <w:tblPr>
        <w:tblStyle w:val="Kokan"/>
        <w:tblW w:w="9936" w:type="dxa"/>
        <w:jc w:val="center"/>
        <w:tblCellMar>
          <w:left w:w="57" w:type="dxa"/>
          <w:right w:w="57" w:type="dxa"/>
        </w:tblCellMar>
        <w:tblLook w:val="04A0" w:firstRow="1" w:lastRow="0" w:firstColumn="1" w:lastColumn="0" w:noHBand="0" w:noVBand="1"/>
      </w:tblPr>
      <w:tblGrid>
        <w:gridCol w:w="1805"/>
        <w:gridCol w:w="1973"/>
        <w:gridCol w:w="2544"/>
        <w:gridCol w:w="2342"/>
        <w:gridCol w:w="464"/>
        <w:gridCol w:w="409"/>
        <w:gridCol w:w="387"/>
        <w:gridCol w:w="12"/>
      </w:tblGrid>
      <w:tr w:rsidR="00FA33C6" w:rsidRPr="00744C45" w14:paraId="63B56C6C" w14:textId="77777777" w:rsidTr="00FA33C6">
        <w:trPr>
          <w:gridAfter w:val="1"/>
          <w:cnfStyle w:val="100000000000" w:firstRow="1" w:lastRow="0" w:firstColumn="0" w:lastColumn="0" w:oddVBand="0" w:evenVBand="0" w:oddHBand="0" w:evenHBand="0" w:firstRowFirstColumn="0" w:firstRowLastColumn="0" w:lastRowFirstColumn="0" w:lastRowLastColumn="0"/>
          <w:wAfter w:w="12" w:type="dxa"/>
          <w:trHeight w:val="300"/>
          <w:jc w:val="center"/>
        </w:trPr>
        <w:tc>
          <w:tcPr>
            <w:tcW w:w="1805" w:type="dxa"/>
            <w:vMerge w:val="restart"/>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79640824" w14:textId="77777777" w:rsidR="00FA33C6" w:rsidRPr="00744C45" w:rsidRDefault="00FA33C6" w:rsidP="00FA33C6">
            <w:pPr>
              <w:spacing w:before="0" w:after="0" w:line="240" w:lineRule="auto"/>
              <w:jc w:val="center"/>
              <w:rPr>
                <w:rFonts w:cs="Tahoma"/>
                <w:bCs/>
                <w:color w:val="auto"/>
                <w:sz w:val="20"/>
                <w:szCs w:val="20"/>
                <w:lang w:eastAsia="mk-MK"/>
              </w:rPr>
            </w:pPr>
            <w:r w:rsidRPr="00744C45">
              <w:rPr>
                <w:rFonts w:cs="Tahoma"/>
                <w:bCs/>
                <w:color w:val="auto"/>
                <w:sz w:val="20"/>
                <w:szCs w:val="20"/>
                <w:lang w:eastAsia="mk-MK"/>
              </w:rPr>
              <w:t>Habitats</w:t>
            </w:r>
          </w:p>
          <w:p w14:paraId="0D993FA6" w14:textId="77777777" w:rsidR="00FA33C6" w:rsidRPr="00744C45" w:rsidRDefault="00FA33C6" w:rsidP="00FA33C6">
            <w:pPr>
              <w:spacing w:before="0" w:after="0" w:line="240" w:lineRule="auto"/>
              <w:jc w:val="center"/>
              <w:rPr>
                <w:rFonts w:cs="Tahoma"/>
                <w:bCs/>
                <w:color w:val="auto"/>
                <w:sz w:val="20"/>
                <w:szCs w:val="20"/>
                <w:lang w:eastAsia="mk-MK"/>
              </w:rPr>
            </w:pPr>
            <w:r w:rsidRPr="00744C45">
              <w:rPr>
                <w:rFonts w:cs="Tahoma"/>
                <w:bCs/>
                <w:color w:val="auto"/>
                <w:sz w:val="20"/>
                <w:szCs w:val="20"/>
                <w:lang w:eastAsia="mk-MK"/>
              </w:rPr>
              <w:t>(trivial name)</w:t>
            </w:r>
          </w:p>
        </w:tc>
        <w:tc>
          <w:tcPr>
            <w:tcW w:w="1973" w:type="dxa"/>
            <w:vMerge w:val="restart"/>
            <w:tcBorders>
              <w:top w:val="double" w:sz="4" w:space="0" w:color="auto"/>
              <w:right w:val="double" w:sz="4" w:space="0" w:color="auto"/>
            </w:tcBorders>
            <w:shd w:val="clear" w:color="auto" w:fill="B4C6E7" w:themeFill="accent1" w:themeFillTint="66"/>
            <w:tcMar>
              <w:left w:w="28" w:type="dxa"/>
              <w:right w:w="28" w:type="dxa"/>
            </w:tcMar>
          </w:tcPr>
          <w:p w14:paraId="4B2B6C71" w14:textId="77777777" w:rsidR="00FA33C6" w:rsidRPr="00744C45" w:rsidRDefault="00FA33C6" w:rsidP="00FA33C6">
            <w:pPr>
              <w:spacing w:before="0" w:after="0" w:line="240" w:lineRule="auto"/>
              <w:jc w:val="center"/>
              <w:rPr>
                <w:rFonts w:cs="Tahoma"/>
                <w:bCs/>
                <w:color w:val="auto"/>
                <w:sz w:val="20"/>
                <w:szCs w:val="20"/>
                <w:lang w:eastAsia="mk-MK"/>
              </w:rPr>
            </w:pPr>
            <w:r w:rsidRPr="00744C45">
              <w:rPr>
                <w:rFonts w:cs="Tahoma"/>
                <w:bCs/>
                <w:color w:val="auto"/>
                <w:sz w:val="20"/>
                <w:szCs w:val="20"/>
                <w:lang w:eastAsia="mk-MK"/>
              </w:rPr>
              <w:t>Habitats</w:t>
            </w:r>
          </w:p>
          <w:p w14:paraId="5BEBFA2C" w14:textId="77777777" w:rsidR="00FA33C6" w:rsidRPr="00744C45" w:rsidRDefault="00FA33C6" w:rsidP="00FA33C6">
            <w:pPr>
              <w:spacing w:before="0" w:after="0" w:line="240" w:lineRule="auto"/>
              <w:jc w:val="center"/>
              <w:rPr>
                <w:rFonts w:cs="Tahoma"/>
                <w:bCs/>
                <w:color w:val="auto"/>
                <w:sz w:val="20"/>
                <w:szCs w:val="20"/>
                <w:lang w:eastAsia="mk-MK"/>
              </w:rPr>
            </w:pPr>
            <w:r w:rsidRPr="00744C45">
              <w:rPr>
                <w:rFonts w:cs="Tahoma"/>
                <w:bCs/>
                <w:color w:val="auto"/>
                <w:sz w:val="20"/>
                <w:szCs w:val="20"/>
                <w:lang w:eastAsia="mk-MK"/>
              </w:rPr>
              <w:t>(EUNIS)</w:t>
            </w:r>
          </w:p>
        </w:tc>
        <w:tc>
          <w:tcPr>
            <w:tcW w:w="2544" w:type="dxa"/>
            <w:vMerge w:val="restart"/>
            <w:tcBorders>
              <w:top w:val="double" w:sz="4" w:space="0" w:color="auto"/>
            </w:tcBorders>
            <w:shd w:val="clear" w:color="auto" w:fill="B4C6E7" w:themeFill="accent1" w:themeFillTint="66"/>
            <w:tcMar>
              <w:left w:w="28" w:type="dxa"/>
              <w:right w:w="28" w:type="dxa"/>
            </w:tcMar>
          </w:tcPr>
          <w:p w14:paraId="06E962FF" w14:textId="77777777" w:rsidR="00FA33C6" w:rsidRPr="00744C45" w:rsidRDefault="00FA33C6" w:rsidP="00FA33C6">
            <w:pPr>
              <w:spacing w:before="0" w:after="0" w:line="240" w:lineRule="auto"/>
              <w:jc w:val="center"/>
              <w:rPr>
                <w:rFonts w:cs="Tahoma"/>
                <w:bCs/>
                <w:color w:val="auto"/>
                <w:sz w:val="20"/>
                <w:szCs w:val="20"/>
                <w:lang w:val="fr-FR" w:eastAsia="mk-MK"/>
              </w:rPr>
            </w:pPr>
            <w:r w:rsidRPr="00744C45">
              <w:rPr>
                <w:rFonts w:cs="Tahoma"/>
                <w:bCs/>
                <w:color w:val="auto"/>
                <w:sz w:val="20"/>
                <w:szCs w:val="20"/>
                <w:lang w:val="fr-FR" w:eastAsia="mk-MK"/>
              </w:rPr>
              <w:t>Habitats (Bern Convention)</w:t>
            </w:r>
          </w:p>
          <w:p w14:paraId="42879186" w14:textId="77777777" w:rsidR="00FA33C6" w:rsidRPr="00744C45" w:rsidRDefault="00FA33C6" w:rsidP="00FA33C6">
            <w:pPr>
              <w:spacing w:before="0" w:after="0" w:line="240" w:lineRule="auto"/>
              <w:jc w:val="center"/>
              <w:rPr>
                <w:rFonts w:cs="Tahoma"/>
                <w:bCs/>
                <w:color w:val="auto"/>
                <w:sz w:val="20"/>
                <w:szCs w:val="20"/>
                <w:lang w:val="fr-FR" w:eastAsia="mk-MK"/>
              </w:rPr>
            </w:pPr>
            <w:r w:rsidRPr="00744C45">
              <w:rPr>
                <w:rFonts w:cs="Tahoma"/>
                <w:bCs/>
                <w:color w:val="auto"/>
                <w:sz w:val="20"/>
                <w:szCs w:val="20"/>
                <w:lang w:val="fr-FR" w:eastAsia="mk-MK"/>
              </w:rPr>
              <w:t>! – selected habitats</w:t>
            </w:r>
          </w:p>
        </w:tc>
        <w:tc>
          <w:tcPr>
            <w:tcW w:w="2342" w:type="dxa"/>
            <w:vMerge w:val="restart"/>
            <w:tcBorders>
              <w:top w:val="double" w:sz="4" w:space="0" w:color="auto"/>
              <w:bottom w:val="double" w:sz="4" w:space="0" w:color="auto"/>
              <w:right w:val="single" w:sz="8" w:space="0" w:color="auto"/>
            </w:tcBorders>
            <w:shd w:val="clear" w:color="auto" w:fill="B4C6E7" w:themeFill="accent1" w:themeFillTint="66"/>
            <w:tcMar>
              <w:left w:w="28" w:type="dxa"/>
              <w:right w:w="28" w:type="dxa"/>
            </w:tcMar>
          </w:tcPr>
          <w:p w14:paraId="65E6A70E" w14:textId="77777777" w:rsidR="00FA33C6" w:rsidRPr="00744C45" w:rsidRDefault="00FA33C6" w:rsidP="00FA33C6">
            <w:pPr>
              <w:spacing w:before="0" w:after="0" w:line="240" w:lineRule="auto"/>
              <w:jc w:val="center"/>
              <w:rPr>
                <w:rFonts w:cs="Tahoma"/>
                <w:bCs/>
                <w:color w:val="auto"/>
                <w:sz w:val="20"/>
                <w:szCs w:val="20"/>
                <w:lang w:val="fr-FR" w:eastAsia="mk-MK"/>
              </w:rPr>
            </w:pPr>
            <w:r w:rsidRPr="00744C45">
              <w:rPr>
                <w:rFonts w:cs="Tahoma"/>
                <w:bCs/>
                <w:color w:val="auto"/>
                <w:sz w:val="20"/>
                <w:szCs w:val="20"/>
                <w:lang w:val="fr-FR" w:eastAsia="mk-MK"/>
              </w:rPr>
              <w:t>Habitats (EU Habitats Directive)</w:t>
            </w:r>
          </w:p>
          <w:p w14:paraId="5CA3BB12" w14:textId="77777777" w:rsidR="00FA33C6" w:rsidRPr="00744C45" w:rsidRDefault="00FA33C6" w:rsidP="00FA33C6">
            <w:pPr>
              <w:spacing w:before="0" w:after="0" w:line="240" w:lineRule="auto"/>
              <w:jc w:val="center"/>
              <w:rPr>
                <w:rFonts w:cs="Tahoma"/>
                <w:bCs/>
                <w:color w:val="auto"/>
                <w:sz w:val="20"/>
                <w:szCs w:val="20"/>
                <w:lang w:val="fr-FR" w:eastAsia="mk-MK"/>
              </w:rPr>
            </w:pPr>
            <w:r w:rsidRPr="00744C45">
              <w:rPr>
                <w:rFonts w:cs="Tahoma"/>
                <w:bCs/>
                <w:color w:val="auto"/>
                <w:sz w:val="20"/>
                <w:szCs w:val="20"/>
                <w:lang w:val="fr-FR" w:eastAsia="mk-MK"/>
              </w:rPr>
              <w:t>* - priority habitats</w:t>
            </w:r>
          </w:p>
        </w:tc>
        <w:tc>
          <w:tcPr>
            <w:tcW w:w="1260" w:type="dxa"/>
            <w:gridSpan w:val="3"/>
            <w:tcBorders>
              <w:top w:val="double" w:sz="4" w:space="0" w:color="auto"/>
              <w:left w:val="single" w:sz="8" w:space="0" w:color="auto"/>
              <w:bottom w:val="double" w:sz="4" w:space="0" w:color="auto"/>
              <w:right w:val="double" w:sz="4" w:space="0" w:color="auto"/>
            </w:tcBorders>
            <w:shd w:val="clear" w:color="auto" w:fill="B4C6E7" w:themeFill="accent1" w:themeFillTint="66"/>
          </w:tcPr>
          <w:p w14:paraId="250C3993" w14:textId="77777777" w:rsidR="00FA33C6" w:rsidRPr="00744C45" w:rsidRDefault="00FA33C6" w:rsidP="00FA33C6">
            <w:pPr>
              <w:spacing w:before="0" w:after="0" w:line="240" w:lineRule="auto"/>
              <w:jc w:val="center"/>
              <w:rPr>
                <w:rFonts w:cs="Tahoma"/>
                <w:color w:val="auto"/>
                <w:sz w:val="20"/>
                <w:szCs w:val="20"/>
              </w:rPr>
            </w:pPr>
            <w:r w:rsidRPr="00744C45">
              <w:rPr>
                <w:rFonts w:cs="Tahoma"/>
                <w:color w:val="auto"/>
                <w:sz w:val="20"/>
                <w:szCs w:val="20"/>
              </w:rPr>
              <w:t>Project</w:t>
            </w:r>
          </w:p>
          <w:p w14:paraId="104C8C77" w14:textId="61097F50" w:rsidR="00FA33C6" w:rsidRPr="00744C45" w:rsidRDefault="00FA33C6" w:rsidP="00FA33C6">
            <w:pPr>
              <w:spacing w:before="0" w:after="0" w:line="240" w:lineRule="auto"/>
              <w:jc w:val="center"/>
              <w:rPr>
                <w:rFonts w:cs="Tahoma"/>
                <w:color w:val="auto"/>
                <w:sz w:val="20"/>
                <w:szCs w:val="20"/>
              </w:rPr>
            </w:pPr>
            <w:r w:rsidRPr="00744C45">
              <w:rPr>
                <w:rFonts w:cs="Tahoma"/>
                <w:color w:val="auto"/>
                <w:sz w:val="20"/>
                <w:szCs w:val="20"/>
              </w:rPr>
              <w:t>element</w:t>
            </w:r>
          </w:p>
        </w:tc>
      </w:tr>
      <w:tr w:rsidR="00A32FBA" w:rsidRPr="0068236B" w14:paraId="6B65476E" w14:textId="77777777" w:rsidTr="00FA33C6">
        <w:trPr>
          <w:trHeight w:val="218"/>
          <w:jc w:val="center"/>
        </w:trPr>
        <w:tc>
          <w:tcPr>
            <w:tcW w:w="1805" w:type="dxa"/>
            <w:vMerge/>
            <w:tcBorders>
              <w:top w:val="double" w:sz="4" w:space="0" w:color="auto"/>
              <w:bottom w:val="double" w:sz="4" w:space="0" w:color="auto"/>
              <w:right w:val="double" w:sz="4" w:space="0" w:color="auto"/>
            </w:tcBorders>
            <w:shd w:val="clear" w:color="auto" w:fill="D5DCE4" w:themeFill="text2" w:themeFillTint="33"/>
            <w:noWrap/>
            <w:tcMar>
              <w:left w:w="28" w:type="dxa"/>
              <w:right w:w="28" w:type="dxa"/>
            </w:tcMar>
            <w:hideMark/>
          </w:tcPr>
          <w:p w14:paraId="420D581B" w14:textId="77777777" w:rsidR="00FA33C6" w:rsidRPr="0068236B" w:rsidRDefault="00FA33C6" w:rsidP="00FA33C6">
            <w:pPr>
              <w:spacing w:before="0" w:after="0" w:line="240" w:lineRule="auto"/>
              <w:jc w:val="center"/>
              <w:rPr>
                <w:rFonts w:cs="Tahoma"/>
                <w:bCs/>
                <w:sz w:val="20"/>
                <w:szCs w:val="20"/>
                <w:lang w:eastAsia="mk-MK"/>
              </w:rPr>
            </w:pPr>
          </w:p>
        </w:tc>
        <w:tc>
          <w:tcPr>
            <w:tcW w:w="1973" w:type="dxa"/>
            <w:vMerge/>
            <w:tcBorders>
              <w:bottom w:val="double" w:sz="4" w:space="0" w:color="auto"/>
              <w:right w:val="double" w:sz="4" w:space="0" w:color="auto"/>
            </w:tcBorders>
            <w:shd w:val="clear" w:color="auto" w:fill="D5DCE4" w:themeFill="text2" w:themeFillTint="33"/>
            <w:tcMar>
              <w:left w:w="28" w:type="dxa"/>
              <w:right w:w="28" w:type="dxa"/>
            </w:tcMar>
          </w:tcPr>
          <w:p w14:paraId="14F9DABA" w14:textId="77777777" w:rsidR="00FA33C6" w:rsidRPr="0068236B" w:rsidRDefault="00FA33C6" w:rsidP="00FA33C6">
            <w:pPr>
              <w:keepLines/>
              <w:spacing w:before="0" w:after="0" w:line="240" w:lineRule="auto"/>
              <w:jc w:val="center"/>
              <w:rPr>
                <w:rFonts w:cs="Tahoma"/>
                <w:sz w:val="20"/>
                <w:szCs w:val="20"/>
              </w:rPr>
            </w:pPr>
          </w:p>
        </w:tc>
        <w:tc>
          <w:tcPr>
            <w:tcW w:w="2544" w:type="dxa"/>
            <w:vMerge/>
            <w:tcBorders>
              <w:bottom w:val="double" w:sz="4" w:space="0" w:color="auto"/>
            </w:tcBorders>
            <w:shd w:val="clear" w:color="auto" w:fill="D5DCE4" w:themeFill="text2" w:themeFillTint="33"/>
            <w:tcMar>
              <w:left w:w="28" w:type="dxa"/>
              <w:right w:w="28" w:type="dxa"/>
            </w:tcMar>
          </w:tcPr>
          <w:p w14:paraId="5048E005" w14:textId="77777777" w:rsidR="00FA33C6" w:rsidRPr="0068236B" w:rsidRDefault="00FA33C6" w:rsidP="00FA33C6">
            <w:pPr>
              <w:keepLines/>
              <w:spacing w:before="0" w:after="0" w:line="240" w:lineRule="auto"/>
              <w:jc w:val="center"/>
              <w:rPr>
                <w:rFonts w:cs="Tahoma"/>
                <w:sz w:val="20"/>
                <w:szCs w:val="20"/>
              </w:rPr>
            </w:pPr>
          </w:p>
        </w:tc>
        <w:tc>
          <w:tcPr>
            <w:tcW w:w="2342" w:type="dxa"/>
            <w:vMerge/>
            <w:tcBorders>
              <w:top w:val="single" w:sz="8" w:space="0" w:color="auto"/>
              <w:bottom w:val="double" w:sz="4" w:space="0" w:color="auto"/>
              <w:right w:val="double" w:sz="4" w:space="0" w:color="auto"/>
            </w:tcBorders>
            <w:shd w:val="clear" w:color="auto" w:fill="D5DCE4" w:themeFill="text2" w:themeFillTint="33"/>
            <w:tcMar>
              <w:left w:w="28" w:type="dxa"/>
              <w:right w:w="28" w:type="dxa"/>
            </w:tcMar>
          </w:tcPr>
          <w:p w14:paraId="16C7007A" w14:textId="77777777" w:rsidR="00FA33C6" w:rsidRPr="0068236B" w:rsidRDefault="00FA33C6" w:rsidP="00FA33C6">
            <w:pPr>
              <w:keepLines/>
              <w:spacing w:before="0" w:after="0" w:line="240" w:lineRule="auto"/>
              <w:jc w:val="center"/>
              <w:rPr>
                <w:rFonts w:cs="Tahoma"/>
                <w:sz w:val="20"/>
                <w:szCs w:val="20"/>
              </w:rPr>
            </w:pPr>
          </w:p>
        </w:tc>
        <w:tc>
          <w:tcPr>
            <w:tcW w:w="464" w:type="dxa"/>
            <w:tcBorders>
              <w:top w:val="double" w:sz="4" w:space="0" w:color="auto"/>
              <w:left w:val="double" w:sz="4" w:space="0" w:color="auto"/>
              <w:bottom w:val="double" w:sz="4" w:space="0" w:color="auto"/>
              <w:right w:val="double" w:sz="4" w:space="0" w:color="auto"/>
            </w:tcBorders>
            <w:shd w:val="clear" w:color="auto" w:fill="B4C6E7" w:themeFill="accent1" w:themeFillTint="66"/>
            <w:tcMar>
              <w:left w:w="28" w:type="dxa"/>
              <w:right w:w="28" w:type="dxa"/>
            </w:tcMar>
          </w:tcPr>
          <w:p w14:paraId="6B6A07EF" w14:textId="77777777" w:rsidR="00FA33C6" w:rsidRPr="0068236B" w:rsidRDefault="00FA33C6" w:rsidP="00FA33C6">
            <w:pPr>
              <w:spacing w:before="0" w:after="0" w:line="240" w:lineRule="auto"/>
              <w:jc w:val="center"/>
              <w:rPr>
                <w:rFonts w:cs="Tahoma"/>
                <w:bCs/>
                <w:sz w:val="20"/>
                <w:szCs w:val="20"/>
                <w:lang w:eastAsia="mk-MK"/>
              </w:rPr>
            </w:pPr>
            <w:r w:rsidRPr="0068236B">
              <w:rPr>
                <w:rFonts w:cs="Tahoma"/>
                <w:bCs/>
                <w:sz w:val="20"/>
                <w:szCs w:val="20"/>
                <w:lang w:eastAsia="mk-MK"/>
              </w:rPr>
              <w:t>1a</w:t>
            </w:r>
          </w:p>
        </w:tc>
        <w:tc>
          <w:tcPr>
            <w:tcW w:w="409" w:type="dxa"/>
            <w:tcBorders>
              <w:top w:val="double" w:sz="4" w:space="0" w:color="auto"/>
              <w:left w:val="double" w:sz="4" w:space="0" w:color="auto"/>
              <w:bottom w:val="double" w:sz="4" w:space="0" w:color="auto"/>
              <w:right w:val="double" w:sz="4" w:space="0" w:color="auto"/>
            </w:tcBorders>
            <w:shd w:val="clear" w:color="auto" w:fill="B4C6E7" w:themeFill="accent1" w:themeFillTint="66"/>
            <w:tcMar>
              <w:left w:w="28" w:type="dxa"/>
              <w:right w:w="28" w:type="dxa"/>
            </w:tcMar>
          </w:tcPr>
          <w:p w14:paraId="5DBF3DD4" w14:textId="77777777" w:rsidR="00FA33C6" w:rsidRPr="0068236B" w:rsidRDefault="00FA33C6" w:rsidP="00FA33C6">
            <w:pPr>
              <w:spacing w:before="0" w:after="0" w:line="240" w:lineRule="auto"/>
              <w:jc w:val="center"/>
              <w:rPr>
                <w:rFonts w:cs="Tahoma"/>
                <w:bCs/>
                <w:sz w:val="20"/>
                <w:szCs w:val="20"/>
                <w:lang w:eastAsia="mk-MK"/>
              </w:rPr>
            </w:pPr>
            <w:r w:rsidRPr="0068236B">
              <w:rPr>
                <w:rFonts w:cs="Tahoma"/>
                <w:bCs/>
                <w:sz w:val="20"/>
                <w:szCs w:val="20"/>
                <w:lang w:eastAsia="mk-MK"/>
              </w:rPr>
              <w:t>1b</w:t>
            </w:r>
          </w:p>
        </w:tc>
        <w:tc>
          <w:tcPr>
            <w:tcW w:w="399" w:type="dxa"/>
            <w:gridSpan w:val="2"/>
            <w:tcBorders>
              <w:top w:val="double" w:sz="4" w:space="0" w:color="auto"/>
              <w:left w:val="double" w:sz="4" w:space="0" w:color="auto"/>
              <w:bottom w:val="double" w:sz="4" w:space="0" w:color="auto"/>
              <w:right w:val="double" w:sz="4" w:space="0" w:color="auto"/>
            </w:tcBorders>
            <w:shd w:val="clear" w:color="auto" w:fill="B4C6E7" w:themeFill="accent1" w:themeFillTint="66"/>
            <w:tcMar>
              <w:left w:w="28" w:type="dxa"/>
              <w:right w:w="28" w:type="dxa"/>
            </w:tcMar>
          </w:tcPr>
          <w:p w14:paraId="0CB3DE56" w14:textId="77777777" w:rsidR="00FA33C6" w:rsidRPr="0068236B" w:rsidRDefault="00FA33C6" w:rsidP="00FA33C6">
            <w:pPr>
              <w:spacing w:before="0" w:after="0" w:line="240" w:lineRule="auto"/>
              <w:jc w:val="center"/>
              <w:rPr>
                <w:rFonts w:cs="Tahoma"/>
                <w:bCs/>
                <w:sz w:val="20"/>
                <w:szCs w:val="20"/>
                <w:lang w:eastAsia="mk-MK"/>
              </w:rPr>
            </w:pPr>
            <w:r w:rsidRPr="0068236B">
              <w:rPr>
                <w:rFonts w:cs="Tahoma"/>
                <w:bCs/>
                <w:sz w:val="20"/>
                <w:szCs w:val="20"/>
                <w:lang w:eastAsia="mk-MK"/>
              </w:rPr>
              <w:t>1c</w:t>
            </w:r>
          </w:p>
        </w:tc>
      </w:tr>
      <w:tr w:rsidR="00FA33C6" w:rsidRPr="0068236B" w14:paraId="5EE25163" w14:textId="77777777" w:rsidTr="00377B68">
        <w:trPr>
          <w:trHeight w:val="454"/>
          <w:jc w:val="center"/>
        </w:trPr>
        <w:tc>
          <w:tcPr>
            <w:tcW w:w="1805" w:type="dxa"/>
            <w:tcBorders>
              <w:top w:val="single" w:sz="8" w:space="0" w:color="auto"/>
            </w:tcBorders>
            <w:noWrap/>
            <w:tcMar>
              <w:left w:w="28" w:type="dxa"/>
              <w:right w:w="28" w:type="dxa"/>
            </w:tcMar>
            <w:vAlign w:val="center"/>
            <w:hideMark/>
          </w:tcPr>
          <w:p w14:paraId="27723E06" w14:textId="77777777" w:rsidR="00FA33C6" w:rsidRPr="0068236B" w:rsidRDefault="00FA33C6" w:rsidP="00FA33C6">
            <w:pPr>
              <w:spacing w:before="0" w:after="0" w:line="240" w:lineRule="auto"/>
              <w:jc w:val="left"/>
              <w:rPr>
                <w:rFonts w:cs="Tahoma"/>
                <w:sz w:val="20"/>
                <w:szCs w:val="20"/>
                <w:lang w:eastAsia="mk-MK"/>
              </w:rPr>
            </w:pPr>
            <w:r w:rsidRPr="0068236B">
              <w:rPr>
                <w:rFonts w:cs="Tahoma"/>
                <w:sz w:val="20"/>
                <w:szCs w:val="20"/>
              </w:rPr>
              <w:t>Very degraded pseudomaquis</w:t>
            </w:r>
          </w:p>
        </w:tc>
        <w:tc>
          <w:tcPr>
            <w:tcW w:w="1973" w:type="dxa"/>
            <w:vMerge w:val="restart"/>
            <w:tcBorders>
              <w:top w:val="single" w:sz="8" w:space="0" w:color="auto"/>
            </w:tcBorders>
            <w:tcMar>
              <w:left w:w="28" w:type="dxa"/>
              <w:right w:w="28" w:type="dxa"/>
            </w:tcMar>
          </w:tcPr>
          <w:p w14:paraId="64C237C8" w14:textId="77777777" w:rsidR="00FA33C6" w:rsidRPr="0068236B" w:rsidRDefault="00FA33C6" w:rsidP="00FA33C6">
            <w:pPr>
              <w:spacing w:before="0" w:after="0" w:line="240" w:lineRule="auto"/>
              <w:jc w:val="left"/>
              <w:rPr>
                <w:rFonts w:cs="Tahoma"/>
                <w:sz w:val="20"/>
                <w:szCs w:val="20"/>
              </w:rPr>
            </w:pPr>
            <w:r w:rsidRPr="0068236B">
              <w:rPr>
                <w:rFonts w:cs="Tahoma"/>
                <w:bCs/>
                <w:sz w:val="20"/>
                <w:szCs w:val="20"/>
              </w:rPr>
              <w:t>F5.31: Helleno-Balkanic pseudom</w:t>
            </w:r>
            <w:r w:rsidRPr="0068236B">
              <w:rPr>
                <w:rFonts w:cs="Tahoma"/>
                <w:bCs/>
                <w:sz w:val="20"/>
                <w:szCs w:val="20"/>
              </w:rPr>
              <w:t>a</w:t>
            </w:r>
            <w:r w:rsidRPr="0068236B">
              <w:rPr>
                <w:rFonts w:cs="Tahoma"/>
                <w:bCs/>
                <w:sz w:val="20"/>
                <w:szCs w:val="20"/>
              </w:rPr>
              <w:t>quis</w:t>
            </w:r>
          </w:p>
        </w:tc>
        <w:tc>
          <w:tcPr>
            <w:tcW w:w="2544" w:type="dxa"/>
            <w:tcBorders>
              <w:top w:val="single" w:sz="8" w:space="0" w:color="auto"/>
            </w:tcBorders>
            <w:tcMar>
              <w:left w:w="28" w:type="dxa"/>
              <w:right w:w="28" w:type="dxa"/>
            </w:tcMar>
            <w:vAlign w:val="center"/>
          </w:tcPr>
          <w:p w14:paraId="09E2D810"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c>
          <w:tcPr>
            <w:tcW w:w="2342" w:type="dxa"/>
            <w:tcBorders>
              <w:top w:val="single" w:sz="8" w:space="0" w:color="auto"/>
            </w:tcBorders>
            <w:tcMar>
              <w:left w:w="28" w:type="dxa"/>
              <w:right w:w="28" w:type="dxa"/>
            </w:tcMar>
            <w:vAlign w:val="center"/>
          </w:tcPr>
          <w:p w14:paraId="5E87A092"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c>
          <w:tcPr>
            <w:tcW w:w="464" w:type="dxa"/>
            <w:tcBorders>
              <w:top w:val="single" w:sz="8" w:space="0" w:color="auto"/>
            </w:tcBorders>
            <w:tcMar>
              <w:left w:w="28" w:type="dxa"/>
              <w:right w:w="28" w:type="dxa"/>
            </w:tcMar>
            <w:vAlign w:val="center"/>
          </w:tcPr>
          <w:p w14:paraId="1427FB2D"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c>
          <w:tcPr>
            <w:tcW w:w="409" w:type="dxa"/>
            <w:tcBorders>
              <w:top w:val="single" w:sz="8" w:space="0" w:color="auto"/>
            </w:tcBorders>
            <w:tcMar>
              <w:left w:w="28" w:type="dxa"/>
              <w:right w:w="28" w:type="dxa"/>
            </w:tcMar>
            <w:vAlign w:val="center"/>
          </w:tcPr>
          <w:p w14:paraId="5CDBA3AB" w14:textId="77777777" w:rsidR="00FA33C6" w:rsidRPr="0068236B" w:rsidRDefault="00FA33C6" w:rsidP="00FA33C6">
            <w:pPr>
              <w:spacing w:before="0" w:after="0" w:line="240" w:lineRule="auto"/>
              <w:jc w:val="center"/>
              <w:rPr>
                <w:rFonts w:cs="Tahoma"/>
                <w:sz w:val="20"/>
                <w:szCs w:val="20"/>
              </w:rPr>
            </w:pPr>
          </w:p>
        </w:tc>
        <w:tc>
          <w:tcPr>
            <w:tcW w:w="399" w:type="dxa"/>
            <w:gridSpan w:val="2"/>
            <w:tcBorders>
              <w:top w:val="single" w:sz="8" w:space="0" w:color="auto"/>
            </w:tcBorders>
            <w:tcMar>
              <w:left w:w="28" w:type="dxa"/>
              <w:right w:w="28" w:type="dxa"/>
            </w:tcMar>
            <w:vAlign w:val="center"/>
          </w:tcPr>
          <w:p w14:paraId="7122CB68" w14:textId="77777777" w:rsidR="00FA33C6" w:rsidRPr="0068236B" w:rsidRDefault="00FA33C6" w:rsidP="00FA33C6">
            <w:pPr>
              <w:spacing w:before="0" w:after="0" w:line="240" w:lineRule="auto"/>
              <w:jc w:val="center"/>
              <w:rPr>
                <w:rFonts w:cs="Tahoma"/>
                <w:sz w:val="20"/>
                <w:szCs w:val="20"/>
              </w:rPr>
            </w:pPr>
          </w:p>
        </w:tc>
      </w:tr>
      <w:tr w:rsidR="00FA33C6" w:rsidRPr="0068236B" w14:paraId="5B576D89" w14:textId="77777777" w:rsidTr="00FA33C6">
        <w:trPr>
          <w:trHeight w:val="240"/>
          <w:jc w:val="center"/>
        </w:trPr>
        <w:tc>
          <w:tcPr>
            <w:tcW w:w="1805" w:type="dxa"/>
            <w:tcBorders>
              <w:top w:val="single" w:sz="8" w:space="0" w:color="auto"/>
            </w:tcBorders>
            <w:noWrap/>
            <w:tcMar>
              <w:left w:w="28" w:type="dxa"/>
              <w:right w:w="28" w:type="dxa"/>
            </w:tcMar>
            <w:vAlign w:val="center"/>
            <w:hideMark/>
          </w:tcPr>
          <w:p w14:paraId="2B591F81" w14:textId="77777777" w:rsidR="00FA33C6" w:rsidRPr="0068236B" w:rsidRDefault="00FA33C6" w:rsidP="00FA33C6">
            <w:pPr>
              <w:spacing w:before="0" w:after="0" w:line="240" w:lineRule="auto"/>
              <w:jc w:val="left"/>
              <w:rPr>
                <w:rFonts w:cs="Tahoma"/>
                <w:sz w:val="20"/>
                <w:szCs w:val="20"/>
              </w:rPr>
            </w:pPr>
            <w:r w:rsidRPr="0068236B">
              <w:rPr>
                <w:rFonts w:cs="Tahoma"/>
                <w:sz w:val="20"/>
                <w:szCs w:val="20"/>
              </w:rPr>
              <w:t>Pseudomaquis</w:t>
            </w:r>
          </w:p>
        </w:tc>
        <w:tc>
          <w:tcPr>
            <w:tcW w:w="1973" w:type="dxa"/>
            <w:vMerge/>
            <w:tcMar>
              <w:left w:w="28" w:type="dxa"/>
              <w:right w:w="28" w:type="dxa"/>
            </w:tcMar>
          </w:tcPr>
          <w:p w14:paraId="151A57DB" w14:textId="77777777" w:rsidR="00FA33C6" w:rsidRPr="0068236B" w:rsidRDefault="00FA33C6" w:rsidP="00FA33C6">
            <w:pPr>
              <w:spacing w:before="0" w:after="0" w:line="240" w:lineRule="auto"/>
              <w:jc w:val="left"/>
              <w:rPr>
                <w:rFonts w:cs="Tahoma"/>
                <w:sz w:val="20"/>
                <w:szCs w:val="20"/>
              </w:rPr>
            </w:pPr>
          </w:p>
        </w:tc>
        <w:tc>
          <w:tcPr>
            <w:tcW w:w="2544" w:type="dxa"/>
            <w:tcBorders>
              <w:top w:val="single" w:sz="8" w:space="0" w:color="auto"/>
            </w:tcBorders>
            <w:tcMar>
              <w:left w:w="28" w:type="dxa"/>
              <w:right w:w="28" w:type="dxa"/>
            </w:tcMar>
            <w:vAlign w:val="center"/>
          </w:tcPr>
          <w:p w14:paraId="2EA924AE"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c>
          <w:tcPr>
            <w:tcW w:w="2342" w:type="dxa"/>
            <w:tcBorders>
              <w:top w:val="single" w:sz="8" w:space="0" w:color="auto"/>
            </w:tcBorders>
            <w:tcMar>
              <w:left w:w="28" w:type="dxa"/>
              <w:right w:w="28" w:type="dxa"/>
            </w:tcMar>
            <w:vAlign w:val="center"/>
          </w:tcPr>
          <w:p w14:paraId="29F102ED"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c>
          <w:tcPr>
            <w:tcW w:w="464" w:type="dxa"/>
            <w:tcBorders>
              <w:top w:val="single" w:sz="8" w:space="0" w:color="auto"/>
            </w:tcBorders>
            <w:tcMar>
              <w:left w:w="28" w:type="dxa"/>
              <w:right w:w="28" w:type="dxa"/>
            </w:tcMar>
            <w:vAlign w:val="center"/>
          </w:tcPr>
          <w:p w14:paraId="1E09FE2A" w14:textId="77777777" w:rsidR="00FA33C6" w:rsidRPr="0068236B" w:rsidRDefault="00FA33C6" w:rsidP="00FA33C6">
            <w:pPr>
              <w:spacing w:before="0" w:after="0" w:line="240" w:lineRule="auto"/>
              <w:jc w:val="center"/>
              <w:rPr>
                <w:rFonts w:cs="Tahoma"/>
                <w:sz w:val="20"/>
                <w:szCs w:val="20"/>
              </w:rPr>
            </w:pPr>
          </w:p>
        </w:tc>
        <w:tc>
          <w:tcPr>
            <w:tcW w:w="409" w:type="dxa"/>
            <w:tcBorders>
              <w:top w:val="single" w:sz="8" w:space="0" w:color="auto"/>
            </w:tcBorders>
            <w:tcMar>
              <w:left w:w="28" w:type="dxa"/>
              <w:right w:w="28" w:type="dxa"/>
            </w:tcMar>
            <w:vAlign w:val="center"/>
          </w:tcPr>
          <w:p w14:paraId="0068505A"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c>
          <w:tcPr>
            <w:tcW w:w="399" w:type="dxa"/>
            <w:gridSpan w:val="2"/>
            <w:tcBorders>
              <w:top w:val="single" w:sz="8" w:space="0" w:color="auto"/>
            </w:tcBorders>
            <w:tcMar>
              <w:left w:w="28" w:type="dxa"/>
              <w:right w:w="28" w:type="dxa"/>
            </w:tcMar>
            <w:vAlign w:val="center"/>
          </w:tcPr>
          <w:p w14:paraId="3CDF3DEC" w14:textId="77777777" w:rsidR="00FA33C6" w:rsidRPr="0068236B" w:rsidRDefault="00FA33C6" w:rsidP="00FA33C6">
            <w:pPr>
              <w:spacing w:before="0" w:after="0" w:line="240" w:lineRule="auto"/>
              <w:jc w:val="center"/>
              <w:rPr>
                <w:rFonts w:cs="Tahoma"/>
                <w:sz w:val="20"/>
                <w:szCs w:val="20"/>
              </w:rPr>
            </w:pPr>
          </w:p>
        </w:tc>
      </w:tr>
      <w:tr w:rsidR="00FA33C6" w:rsidRPr="0068236B" w14:paraId="2A67CEE6" w14:textId="77777777" w:rsidTr="00377B68">
        <w:trPr>
          <w:trHeight w:val="454"/>
          <w:jc w:val="center"/>
        </w:trPr>
        <w:tc>
          <w:tcPr>
            <w:tcW w:w="1805" w:type="dxa"/>
            <w:tcBorders>
              <w:top w:val="single" w:sz="8" w:space="0" w:color="auto"/>
            </w:tcBorders>
            <w:noWrap/>
            <w:tcMar>
              <w:left w:w="28" w:type="dxa"/>
              <w:right w:w="28" w:type="dxa"/>
            </w:tcMar>
            <w:vAlign w:val="center"/>
            <w:hideMark/>
          </w:tcPr>
          <w:p w14:paraId="44121116" w14:textId="77777777" w:rsidR="00FA33C6" w:rsidRPr="0068236B" w:rsidRDefault="00FA33C6" w:rsidP="00FA33C6">
            <w:pPr>
              <w:spacing w:before="0" w:after="0" w:line="240" w:lineRule="auto"/>
              <w:jc w:val="left"/>
              <w:rPr>
                <w:rFonts w:cs="Tahoma"/>
                <w:sz w:val="20"/>
                <w:szCs w:val="20"/>
              </w:rPr>
            </w:pPr>
            <w:r w:rsidRPr="0068236B">
              <w:rPr>
                <w:rFonts w:cs="Tahoma"/>
                <w:sz w:val="20"/>
                <w:szCs w:val="20"/>
              </w:rPr>
              <w:t>Patches of Kermes oak woodlands</w:t>
            </w:r>
          </w:p>
        </w:tc>
        <w:tc>
          <w:tcPr>
            <w:tcW w:w="1973" w:type="dxa"/>
            <w:vMerge/>
            <w:tcMar>
              <w:left w:w="28" w:type="dxa"/>
              <w:right w:w="28" w:type="dxa"/>
            </w:tcMar>
          </w:tcPr>
          <w:p w14:paraId="04265D8D" w14:textId="77777777" w:rsidR="00FA33C6" w:rsidRPr="0068236B" w:rsidRDefault="00FA33C6" w:rsidP="00FA33C6">
            <w:pPr>
              <w:spacing w:before="0" w:after="0" w:line="240" w:lineRule="auto"/>
              <w:jc w:val="left"/>
              <w:rPr>
                <w:rFonts w:cs="Tahoma"/>
                <w:sz w:val="20"/>
                <w:szCs w:val="20"/>
              </w:rPr>
            </w:pPr>
          </w:p>
        </w:tc>
        <w:tc>
          <w:tcPr>
            <w:tcW w:w="2544" w:type="dxa"/>
            <w:tcBorders>
              <w:top w:val="single" w:sz="8" w:space="0" w:color="auto"/>
            </w:tcBorders>
            <w:tcMar>
              <w:left w:w="28" w:type="dxa"/>
              <w:right w:w="28" w:type="dxa"/>
            </w:tcMar>
            <w:vAlign w:val="center"/>
          </w:tcPr>
          <w:p w14:paraId="4EDF948E"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c>
          <w:tcPr>
            <w:tcW w:w="2342" w:type="dxa"/>
            <w:tcBorders>
              <w:top w:val="single" w:sz="8" w:space="0" w:color="auto"/>
            </w:tcBorders>
            <w:tcMar>
              <w:left w:w="28" w:type="dxa"/>
              <w:right w:w="28" w:type="dxa"/>
            </w:tcMar>
            <w:vAlign w:val="center"/>
          </w:tcPr>
          <w:p w14:paraId="7252FD79"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c>
          <w:tcPr>
            <w:tcW w:w="464" w:type="dxa"/>
            <w:tcBorders>
              <w:top w:val="single" w:sz="8" w:space="0" w:color="auto"/>
            </w:tcBorders>
            <w:tcMar>
              <w:left w:w="28" w:type="dxa"/>
              <w:right w:w="28" w:type="dxa"/>
            </w:tcMar>
            <w:vAlign w:val="center"/>
          </w:tcPr>
          <w:p w14:paraId="74D30EC1"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c>
          <w:tcPr>
            <w:tcW w:w="409" w:type="dxa"/>
            <w:tcBorders>
              <w:top w:val="single" w:sz="8" w:space="0" w:color="auto"/>
            </w:tcBorders>
            <w:tcMar>
              <w:left w:w="28" w:type="dxa"/>
              <w:right w:w="28" w:type="dxa"/>
            </w:tcMar>
            <w:vAlign w:val="center"/>
          </w:tcPr>
          <w:p w14:paraId="5FE9EF6F" w14:textId="77777777" w:rsidR="00FA33C6" w:rsidRPr="0068236B" w:rsidRDefault="00FA33C6" w:rsidP="00FA33C6">
            <w:pPr>
              <w:spacing w:before="0" w:after="0" w:line="240" w:lineRule="auto"/>
              <w:jc w:val="center"/>
              <w:rPr>
                <w:rFonts w:cs="Tahoma"/>
                <w:sz w:val="20"/>
                <w:szCs w:val="20"/>
              </w:rPr>
            </w:pPr>
          </w:p>
        </w:tc>
        <w:tc>
          <w:tcPr>
            <w:tcW w:w="399" w:type="dxa"/>
            <w:gridSpan w:val="2"/>
            <w:tcBorders>
              <w:top w:val="single" w:sz="8" w:space="0" w:color="auto"/>
            </w:tcBorders>
            <w:tcMar>
              <w:left w:w="28" w:type="dxa"/>
              <w:right w:w="28" w:type="dxa"/>
            </w:tcMar>
            <w:vAlign w:val="center"/>
          </w:tcPr>
          <w:p w14:paraId="2C934FC4" w14:textId="77777777" w:rsidR="00FA33C6" w:rsidRPr="0068236B" w:rsidRDefault="00FA33C6" w:rsidP="00FA33C6">
            <w:pPr>
              <w:spacing w:before="0" w:after="0" w:line="240" w:lineRule="auto"/>
              <w:jc w:val="center"/>
              <w:rPr>
                <w:rFonts w:cs="Tahoma"/>
                <w:sz w:val="20"/>
                <w:szCs w:val="20"/>
              </w:rPr>
            </w:pPr>
          </w:p>
        </w:tc>
      </w:tr>
      <w:tr w:rsidR="00FA33C6" w:rsidRPr="0068236B" w14:paraId="28394FFD" w14:textId="77777777" w:rsidTr="00377B68">
        <w:trPr>
          <w:trHeight w:val="454"/>
          <w:jc w:val="center"/>
        </w:trPr>
        <w:tc>
          <w:tcPr>
            <w:tcW w:w="1805" w:type="dxa"/>
            <w:noWrap/>
            <w:tcMar>
              <w:left w:w="28" w:type="dxa"/>
              <w:right w:w="28" w:type="dxa"/>
            </w:tcMar>
            <w:vAlign w:val="center"/>
            <w:hideMark/>
          </w:tcPr>
          <w:p w14:paraId="6B7905F9" w14:textId="77777777" w:rsidR="00FA33C6" w:rsidRPr="0068236B" w:rsidRDefault="00FA33C6" w:rsidP="00FA33C6">
            <w:pPr>
              <w:spacing w:before="0" w:after="0" w:line="240" w:lineRule="auto"/>
              <w:jc w:val="left"/>
              <w:rPr>
                <w:rFonts w:cs="Tahoma"/>
                <w:sz w:val="20"/>
                <w:szCs w:val="20"/>
                <w:lang w:eastAsia="mk-MK"/>
              </w:rPr>
            </w:pPr>
            <w:r w:rsidRPr="0068236B">
              <w:rPr>
                <w:rFonts w:cs="Tahoma"/>
                <w:sz w:val="20"/>
                <w:szCs w:val="20"/>
              </w:rPr>
              <w:t>Willow belt</w:t>
            </w:r>
          </w:p>
        </w:tc>
        <w:tc>
          <w:tcPr>
            <w:tcW w:w="1973" w:type="dxa"/>
            <w:vMerge w:val="restart"/>
            <w:tcMar>
              <w:left w:w="28" w:type="dxa"/>
              <w:right w:w="28" w:type="dxa"/>
            </w:tcMar>
          </w:tcPr>
          <w:p w14:paraId="1CE7190C" w14:textId="77777777" w:rsidR="00FA33C6" w:rsidRPr="0068236B" w:rsidRDefault="00FA33C6" w:rsidP="00FA33C6">
            <w:pPr>
              <w:spacing w:before="0" w:after="0" w:line="240" w:lineRule="auto"/>
              <w:jc w:val="left"/>
              <w:rPr>
                <w:rFonts w:cs="Tahoma"/>
                <w:sz w:val="20"/>
                <w:szCs w:val="20"/>
              </w:rPr>
            </w:pPr>
            <w:r w:rsidRPr="0068236B">
              <w:rPr>
                <w:rFonts w:cs="Tahoma"/>
                <w:sz w:val="20"/>
                <w:szCs w:val="20"/>
              </w:rPr>
              <w:t xml:space="preserve">G1.3 - Mediterranean </w:t>
            </w:r>
            <w:r w:rsidRPr="0068236B">
              <w:rPr>
                <w:rFonts w:cs="Tahoma"/>
                <w:sz w:val="20"/>
                <w:szCs w:val="20"/>
              </w:rPr>
              <w:lastRenderedPageBreak/>
              <w:t>riparian woodland</w:t>
            </w:r>
          </w:p>
        </w:tc>
        <w:tc>
          <w:tcPr>
            <w:tcW w:w="2544" w:type="dxa"/>
            <w:vMerge w:val="restart"/>
            <w:tcMar>
              <w:left w:w="28" w:type="dxa"/>
              <w:right w:w="28" w:type="dxa"/>
            </w:tcMar>
          </w:tcPr>
          <w:p w14:paraId="68B890F0" w14:textId="77777777" w:rsidR="00FA33C6" w:rsidRPr="0068236B" w:rsidRDefault="00FA33C6" w:rsidP="00FA33C6">
            <w:pPr>
              <w:spacing w:before="0" w:after="0" w:line="240" w:lineRule="auto"/>
              <w:jc w:val="left"/>
              <w:rPr>
                <w:rFonts w:cs="Tahoma"/>
                <w:sz w:val="20"/>
                <w:szCs w:val="20"/>
              </w:rPr>
            </w:pPr>
            <w:r w:rsidRPr="0068236B">
              <w:rPr>
                <w:rFonts w:cs="Tahoma"/>
                <w:sz w:val="20"/>
                <w:szCs w:val="20"/>
                <w:lang w:eastAsia="mk-MK"/>
              </w:rPr>
              <w:lastRenderedPageBreak/>
              <w:t xml:space="preserve">G1.1 Riparian and gallery </w:t>
            </w:r>
            <w:r w:rsidRPr="0068236B">
              <w:rPr>
                <w:rFonts w:cs="Tahoma"/>
                <w:sz w:val="20"/>
                <w:szCs w:val="20"/>
                <w:lang w:eastAsia="mk-MK"/>
              </w:rPr>
              <w:lastRenderedPageBreak/>
              <w:t>woodland, with dominant [</w:t>
            </w:r>
            <w:r w:rsidRPr="0068236B">
              <w:rPr>
                <w:rFonts w:cs="Tahoma"/>
                <w:i/>
                <w:sz w:val="20"/>
                <w:szCs w:val="20"/>
                <w:lang w:eastAsia="mk-MK"/>
              </w:rPr>
              <w:t>Alnus</w:t>
            </w:r>
            <w:r w:rsidRPr="0068236B">
              <w:rPr>
                <w:rFonts w:cs="Tahoma"/>
                <w:sz w:val="20"/>
                <w:szCs w:val="20"/>
                <w:lang w:eastAsia="mk-MK"/>
              </w:rPr>
              <w:t>], [</w:t>
            </w:r>
            <w:r w:rsidRPr="0068236B">
              <w:rPr>
                <w:rFonts w:cs="Tahoma"/>
                <w:i/>
                <w:sz w:val="20"/>
                <w:szCs w:val="20"/>
                <w:lang w:eastAsia="mk-MK"/>
              </w:rPr>
              <w:t>Betula</w:t>
            </w:r>
            <w:r w:rsidRPr="0068236B">
              <w:rPr>
                <w:rFonts w:cs="Tahoma"/>
                <w:sz w:val="20"/>
                <w:szCs w:val="20"/>
                <w:lang w:eastAsia="mk-MK"/>
              </w:rPr>
              <w:t>], [</w:t>
            </w:r>
            <w:r w:rsidRPr="0068236B">
              <w:rPr>
                <w:rFonts w:cs="Tahoma"/>
                <w:i/>
                <w:sz w:val="20"/>
                <w:szCs w:val="20"/>
                <w:lang w:eastAsia="mk-MK"/>
              </w:rPr>
              <w:t>Populus</w:t>
            </w:r>
            <w:r w:rsidRPr="0068236B">
              <w:rPr>
                <w:rFonts w:cs="Tahoma"/>
                <w:sz w:val="20"/>
                <w:szCs w:val="20"/>
                <w:lang w:eastAsia="mk-MK"/>
              </w:rPr>
              <w:t>] or [</w:t>
            </w:r>
            <w:r w:rsidRPr="0068236B">
              <w:rPr>
                <w:rFonts w:cs="Tahoma"/>
                <w:i/>
                <w:sz w:val="20"/>
                <w:szCs w:val="20"/>
                <w:lang w:eastAsia="mk-MK"/>
              </w:rPr>
              <w:t>Salix</w:t>
            </w:r>
            <w:r w:rsidRPr="0068236B">
              <w:rPr>
                <w:rFonts w:cs="Tahoma"/>
                <w:sz w:val="20"/>
                <w:szCs w:val="20"/>
                <w:lang w:eastAsia="mk-MK"/>
              </w:rPr>
              <w:t>]</w:t>
            </w:r>
          </w:p>
        </w:tc>
        <w:tc>
          <w:tcPr>
            <w:tcW w:w="2342" w:type="dxa"/>
            <w:vMerge w:val="restart"/>
            <w:tcMar>
              <w:left w:w="28" w:type="dxa"/>
              <w:right w:w="28" w:type="dxa"/>
            </w:tcMar>
          </w:tcPr>
          <w:p w14:paraId="0B9D2E24" w14:textId="77777777" w:rsidR="00FA33C6" w:rsidRPr="0068236B" w:rsidRDefault="00FA33C6" w:rsidP="00FA33C6">
            <w:pPr>
              <w:spacing w:before="0" w:after="0" w:line="240" w:lineRule="auto"/>
              <w:jc w:val="left"/>
              <w:rPr>
                <w:rFonts w:cs="Tahoma"/>
                <w:sz w:val="20"/>
                <w:szCs w:val="20"/>
              </w:rPr>
            </w:pPr>
            <w:r w:rsidRPr="0068236B">
              <w:rPr>
                <w:rFonts w:cs="Tahoma"/>
                <w:sz w:val="20"/>
                <w:szCs w:val="20"/>
              </w:rPr>
              <w:lastRenderedPageBreak/>
              <w:t xml:space="preserve">92A0 Salix alba and </w:t>
            </w:r>
            <w:r w:rsidRPr="0068236B">
              <w:rPr>
                <w:rFonts w:cs="Tahoma"/>
                <w:sz w:val="20"/>
                <w:szCs w:val="20"/>
              </w:rPr>
              <w:lastRenderedPageBreak/>
              <w:t>Populus alba galleries</w:t>
            </w:r>
          </w:p>
        </w:tc>
        <w:tc>
          <w:tcPr>
            <w:tcW w:w="464" w:type="dxa"/>
            <w:tcMar>
              <w:left w:w="28" w:type="dxa"/>
              <w:right w:w="28" w:type="dxa"/>
            </w:tcMar>
            <w:vAlign w:val="center"/>
          </w:tcPr>
          <w:p w14:paraId="27FFE496" w14:textId="77777777" w:rsidR="00FA33C6" w:rsidRPr="0068236B" w:rsidRDefault="00FA33C6" w:rsidP="00FA33C6">
            <w:pPr>
              <w:spacing w:before="0" w:after="0" w:line="240" w:lineRule="auto"/>
              <w:jc w:val="center"/>
              <w:rPr>
                <w:rFonts w:cs="Tahoma"/>
                <w:sz w:val="20"/>
                <w:szCs w:val="20"/>
              </w:rPr>
            </w:pPr>
          </w:p>
        </w:tc>
        <w:tc>
          <w:tcPr>
            <w:tcW w:w="409" w:type="dxa"/>
            <w:tcMar>
              <w:left w:w="28" w:type="dxa"/>
              <w:right w:w="28" w:type="dxa"/>
            </w:tcMar>
            <w:vAlign w:val="center"/>
          </w:tcPr>
          <w:p w14:paraId="1EF1093D"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c>
          <w:tcPr>
            <w:tcW w:w="399" w:type="dxa"/>
            <w:gridSpan w:val="2"/>
            <w:tcMar>
              <w:left w:w="28" w:type="dxa"/>
              <w:right w:w="28" w:type="dxa"/>
            </w:tcMar>
            <w:vAlign w:val="center"/>
          </w:tcPr>
          <w:p w14:paraId="1FFC2C39"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r>
      <w:tr w:rsidR="00FA33C6" w:rsidRPr="0068236B" w14:paraId="20103B27" w14:textId="77777777" w:rsidTr="00377B68">
        <w:trPr>
          <w:trHeight w:val="454"/>
          <w:jc w:val="center"/>
        </w:trPr>
        <w:tc>
          <w:tcPr>
            <w:tcW w:w="1805" w:type="dxa"/>
            <w:noWrap/>
            <w:tcMar>
              <w:left w:w="28" w:type="dxa"/>
              <w:right w:w="28" w:type="dxa"/>
            </w:tcMar>
            <w:vAlign w:val="center"/>
            <w:hideMark/>
          </w:tcPr>
          <w:p w14:paraId="39BE691D" w14:textId="77777777" w:rsidR="00FA33C6" w:rsidRPr="0068236B" w:rsidRDefault="00FA33C6" w:rsidP="00FA33C6">
            <w:pPr>
              <w:spacing w:before="0" w:after="0" w:line="240" w:lineRule="auto"/>
              <w:jc w:val="left"/>
              <w:rPr>
                <w:rFonts w:cs="Tahoma"/>
                <w:sz w:val="20"/>
                <w:szCs w:val="20"/>
                <w:lang w:eastAsia="mk-MK"/>
              </w:rPr>
            </w:pPr>
            <w:r w:rsidRPr="0068236B">
              <w:rPr>
                <w:rFonts w:cs="Tahoma"/>
                <w:sz w:val="20"/>
                <w:szCs w:val="20"/>
              </w:rPr>
              <w:lastRenderedPageBreak/>
              <w:t>Willow and Poplar belt</w:t>
            </w:r>
          </w:p>
        </w:tc>
        <w:tc>
          <w:tcPr>
            <w:tcW w:w="1973" w:type="dxa"/>
            <w:vMerge/>
            <w:tcMar>
              <w:left w:w="28" w:type="dxa"/>
              <w:right w:w="28" w:type="dxa"/>
            </w:tcMar>
          </w:tcPr>
          <w:p w14:paraId="58D34CF5" w14:textId="77777777" w:rsidR="00FA33C6" w:rsidRPr="0068236B" w:rsidRDefault="00FA33C6" w:rsidP="00FA33C6">
            <w:pPr>
              <w:spacing w:before="0" w:after="0" w:line="240" w:lineRule="auto"/>
              <w:jc w:val="left"/>
              <w:rPr>
                <w:rFonts w:cs="Tahoma"/>
                <w:sz w:val="20"/>
                <w:szCs w:val="20"/>
              </w:rPr>
            </w:pPr>
          </w:p>
        </w:tc>
        <w:tc>
          <w:tcPr>
            <w:tcW w:w="2544" w:type="dxa"/>
            <w:vMerge/>
            <w:tcMar>
              <w:left w:w="28" w:type="dxa"/>
              <w:right w:w="28" w:type="dxa"/>
            </w:tcMar>
          </w:tcPr>
          <w:p w14:paraId="3D3C4186" w14:textId="77777777" w:rsidR="00FA33C6" w:rsidRPr="0068236B" w:rsidRDefault="00FA33C6" w:rsidP="00FA33C6">
            <w:pPr>
              <w:spacing w:before="0" w:after="0" w:line="240" w:lineRule="auto"/>
              <w:jc w:val="center"/>
              <w:rPr>
                <w:rFonts w:cs="Tahoma"/>
                <w:sz w:val="20"/>
                <w:szCs w:val="20"/>
              </w:rPr>
            </w:pPr>
          </w:p>
        </w:tc>
        <w:tc>
          <w:tcPr>
            <w:tcW w:w="2342" w:type="dxa"/>
            <w:vMerge/>
            <w:tcMar>
              <w:left w:w="28" w:type="dxa"/>
              <w:right w:w="28" w:type="dxa"/>
            </w:tcMar>
          </w:tcPr>
          <w:p w14:paraId="4BAA8872" w14:textId="77777777" w:rsidR="00FA33C6" w:rsidRPr="0068236B" w:rsidRDefault="00FA33C6" w:rsidP="00FA33C6">
            <w:pPr>
              <w:spacing w:before="0" w:after="0" w:line="240" w:lineRule="auto"/>
              <w:jc w:val="left"/>
              <w:rPr>
                <w:rFonts w:cs="Tahoma"/>
                <w:sz w:val="20"/>
                <w:szCs w:val="20"/>
              </w:rPr>
            </w:pPr>
          </w:p>
        </w:tc>
        <w:tc>
          <w:tcPr>
            <w:tcW w:w="464" w:type="dxa"/>
            <w:tcMar>
              <w:left w:w="28" w:type="dxa"/>
              <w:right w:w="28" w:type="dxa"/>
            </w:tcMar>
            <w:vAlign w:val="center"/>
          </w:tcPr>
          <w:p w14:paraId="6841644A" w14:textId="77777777" w:rsidR="00FA33C6" w:rsidRPr="0068236B" w:rsidRDefault="00FA33C6" w:rsidP="00FA33C6">
            <w:pPr>
              <w:spacing w:before="0" w:after="0" w:line="240" w:lineRule="auto"/>
              <w:jc w:val="center"/>
              <w:rPr>
                <w:rFonts w:cs="Tahoma"/>
                <w:sz w:val="20"/>
                <w:szCs w:val="20"/>
              </w:rPr>
            </w:pPr>
          </w:p>
        </w:tc>
        <w:tc>
          <w:tcPr>
            <w:tcW w:w="409" w:type="dxa"/>
            <w:tcMar>
              <w:left w:w="28" w:type="dxa"/>
              <w:right w:w="28" w:type="dxa"/>
            </w:tcMar>
            <w:vAlign w:val="center"/>
          </w:tcPr>
          <w:p w14:paraId="2FB153C9" w14:textId="77777777" w:rsidR="00FA33C6" w:rsidRPr="0068236B" w:rsidRDefault="00FA33C6" w:rsidP="00FA33C6">
            <w:pPr>
              <w:spacing w:before="0" w:after="0" w:line="240" w:lineRule="auto"/>
              <w:jc w:val="center"/>
              <w:rPr>
                <w:rFonts w:cs="Tahoma"/>
                <w:sz w:val="20"/>
                <w:szCs w:val="20"/>
              </w:rPr>
            </w:pPr>
          </w:p>
        </w:tc>
        <w:tc>
          <w:tcPr>
            <w:tcW w:w="399" w:type="dxa"/>
            <w:gridSpan w:val="2"/>
            <w:tcMar>
              <w:left w:w="28" w:type="dxa"/>
              <w:right w:w="28" w:type="dxa"/>
            </w:tcMar>
            <w:vAlign w:val="center"/>
          </w:tcPr>
          <w:p w14:paraId="40E804E2"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r>
      <w:tr w:rsidR="00FA33C6" w:rsidRPr="0068236B" w14:paraId="04BCF807" w14:textId="77777777" w:rsidTr="00377B68">
        <w:trPr>
          <w:trHeight w:val="454"/>
          <w:jc w:val="center"/>
        </w:trPr>
        <w:tc>
          <w:tcPr>
            <w:tcW w:w="1805" w:type="dxa"/>
            <w:noWrap/>
            <w:tcMar>
              <w:left w:w="28" w:type="dxa"/>
              <w:right w:w="28" w:type="dxa"/>
            </w:tcMar>
            <w:vAlign w:val="center"/>
            <w:hideMark/>
          </w:tcPr>
          <w:p w14:paraId="29BA13F9" w14:textId="77777777" w:rsidR="00FA33C6" w:rsidRPr="0068236B" w:rsidRDefault="00FA33C6" w:rsidP="00FA33C6">
            <w:pPr>
              <w:spacing w:before="0" w:after="0" w:line="240" w:lineRule="auto"/>
              <w:jc w:val="left"/>
              <w:rPr>
                <w:rFonts w:cs="Tahoma"/>
                <w:sz w:val="20"/>
                <w:szCs w:val="20"/>
                <w:lang w:eastAsia="mk-MK"/>
              </w:rPr>
            </w:pPr>
            <w:r w:rsidRPr="0068236B">
              <w:rPr>
                <w:rFonts w:cs="Tahoma"/>
                <w:sz w:val="20"/>
                <w:szCs w:val="20"/>
              </w:rPr>
              <w:lastRenderedPageBreak/>
              <w:t>Floating Duckweed covers</w:t>
            </w:r>
          </w:p>
        </w:tc>
        <w:tc>
          <w:tcPr>
            <w:tcW w:w="1973" w:type="dxa"/>
            <w:tcMar>
              <w:left w:w="28" w:type="dxa"/>
              <w:right w:w="28" w:type="dxa"/>
            </w:tcMar>
          </w:tcPr>
          <w:p w14:paraId="629CF1E6" w14:textId="77777777" w:rsidR="00FA33C6" w:rsidRPr="0068236B" w:rsidRDefault="00FA33C6" w:rsidP="00FA33C6">
            <w:pPr>
              <w:spacing w:before="0" w:after="0" w:line="240" w:lineRule="auto"/>
              <w:jc w:val="left"/>
              <w:rPr>
                <w:rFonts w:cs="Tahoma"/>
                <w:sz w:val="20"/>
                <w:szCs w:val="20"/>
              </w:rPr>
            </w:pPr>
            <w:r w:rsidRPr="0068236B">
              <w:rPr>
                <w:rFonts w:cs="Tahoma"/>
                <w:sz w:val="20"/>
                <w:szCs w:val="20"/>
              </w:rPr>
              <w:t>C1.221 - Duckweed covers</w:t>
            </w:r>
          </w:p>
        </w:tc>
        <w:tc>
          <w:tcPr>
            <w:tcW w:w="2544" w:type="dxa"/>
            <w:tcMar>
              <w:left w:w="28" w:type="dxa"/>
              <w:right w:w="28" w:type="dxa"/>
            </w:tcMar>
            <w:vAlign w:val="center"/>
          </w:tcPr>
          <w:p w14:paraId="39F8F878"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c>
          <w:tcPr>
            <w:tcW w:w="2342" w:type="dxa"/>
            <w:tcMar>
              <w:left w:w="28" w:type="dxa"/>
              <w:right w:w="28" w:type="dxa"/>
            </w:tcMar>
            <w:vAlign w:val="center"/>
          </w:tcPr>
          <w:p w14:paraId="1F60ED5C"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c>
          <w:tcPr>
            <w:tcW w:w="464" w:type="dxa"/>
            <w:tcMar>
              <w:left w:w="28" w:type="dxa"/>
              <w:right w:w="28" w:type="dxa"/>
            </w:tcMar>
            <w:vAlign w:val="center"/>
          </w:tcPr>
          <w:p w14:paraId="647EAD20" w14:textId="77777777" w:rsidR="00FA33C6" w:rsidRPr="0068236B" w:rsidRDefault="00FA33C6" w:rsidP="00FA33C6">
            <w:pPr>
              <w:spacing w:before="0" w:after="0" w:line="240" w:lineRule="auto"/>
              <w:jc w:val="center"/>
              <w:rPr>
                <w:rFonts w:cs="Tahoma"/>
                <w:sz w:val="20"/>
                <w:szCs w:val="20"/>
              </w:rPr>
            </w:pPr>
          </w:p>
        </w:tc>
        <w:tc>
          <w:tcPr>
            <w:tcW w:w="409" w:type="dxa"/>
            <w:tcMar>
              <w:left w:w="28" w:type="dxa"/>
              <w:right w:w="28" w:type="dxa"/>
            </w:tcMar>
            <w:vAlign w:val="center"/>
          </w:tcPr>
          <w:p w14:paraId="6AC48222" w14:textId="77777777" w:rsidR="00FA33C6" w:rsidRPr="0068236B" w:rsidRDefault="00FA33C6" w:rsidP="00FA33C6">
            <w:pPr>
              <w:spacing w:before="0" w:after="0" w:line="240" w:lineRule="auto"/>
              <w:jc w:val="center"/>
              <w:rPr>
                <w:rFonts w:cs="Tahoma"/>
                <w:sz w:val="20"/>
                <w:szCs w:val="20"/>
              </w:rPr>
            </w:pPr>
          </w:p>
        </w:tc>
        <w:tc>
          <w:tcPr>
            <w:tcW w:w="399" w:type="dxa"/>
            <w:gridSpan w:val="2"/>
            <w:tcMar>
              <w:left w:w="28" w:type="dxa"/>
              <w:right w:w="28" w:type="dxa"/>
            </w:tcMar>
            <w:vAlign w:val="center"/>
          </w:tcPr>
          <w:p w14:paraId="0FC14692"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r>
      <w:tr w:rsidR="00FA33C6" w:rsidRPr="0068236B" w14:paraId="6C1F0DBE" w14:textId="77777777" w:rsidTr="00377B68">
        <w:trPr>
          <w:trHeight w:val="454"/>
          <w:jc w:val="center"/>
        </w:trPr>
        <w:tc>
          <w:tcPr>
            <w:tcW w:w="1805" w:type="dxa"/>
            <w:noWrap/>
            <w:tcMar>
              <w:left w:w="28" w:type="dxa"/>
              <w:right w:w="28" w:type="dxa"/>
            </w:tcMar>
            <w:vAlign w:val="center"/>
            <w:hideMark/>
          </w:tcPr>
          <w:p w14:paraId="6083E5BB" w14:textId="77777777" w:rsidR="00FA33C6" w:rsidRPr="0068236B" w:rsidRDefault="00FA33C6" w:rsidP="00FA33C6">
            <w:pPr>
              <w:spacing w:before="0" w:after="0" w:line="240" w:lineRule="auto"/>
              <w:jc w:val="left"/>
              <w:rPr>
                <w:rFonts w:cs="Tahoma"/>
                <w:sz w:val="20"/>
                <w:szCs w:val="20"/>
                <w:lang w:eastAsia="mk-MK"/>
              </w:rPr>
            </w:pPr>
            <w:r w:rsidRPr="0068236B">
              <w:rPr>
                <w:rFonts w:cs="Tahoma"/>
                <w:sz w:val="20"/>
                <w:szCs w:val="20"/>
                <w:lang w:eastAsia="mk-MK"/>
              </w:rPr>
              <w:t>Canalized river</w:t>
            </w:r>
          </w:p>
        </w:tc>
        <w:tc>
          <w:tcPr>
            <w:tcW w:w="1973" w:type="dxa"/>
            <w:tcMar>
              <w:left w:w="28" w:type="dxa"/>
              <w:right w:w="28" w:type="dxa"/>
            </w:tcMar>
          </w:tcPr>
          <w:p w14:paraId="3F1111D2" w14:textId="77777777" w:rsidR="00FA33C6" w:rsidRPr="0068236B" w:rsidRDefault="00FA33C6" w:rsidP="00FA33C6">
            <w:pPr>
              <w:spacing w:before="0" w:after="0" w:line="240" w:lineRule="auto"/>
              <w:jc w:val="left"/>
              <w:rPr>
                <w:rFonts w:cs="Tahoma"/>
                <w:sz w:val="20"/>
                <w:szCs w:val="20"/>
              </w:rPr>
            </w:pPr>
            <w:r w:rsidRPr="0068236B">
              <w:rPr>
                <w:rFonts w:cs="Tahoma"/>
                <w:sz w:val="20"/>
                <w:szCs w:val="20"/>
              </w:rPr>
              <w:t>C2.3 : Permanent non-tidal, smooth-flowing watercourses</w:t>
            </w:r>
          </w:p>
        </w:tc>
        <w:tc>
          <w:tcPr>
            <w:tcW w:w="2544" w:type="dxa"/>
            <w:tcMar>
              <w:left w:w="28" w:type="dxa"/>
              <w:right w:w="28" w:type="dxa"/>
            </w:tcMar>
            <w:vAlign w:val="center"/>
          </w:tcPr>
          <w:p w14:paraId="0CE58BCB"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c>
          <w:tcPr>
            <w:tcW w:w="2342" w:type="dxa"/>
            <w:tcMar>
              <w:left w:w="28" w:type="dxa"/>
              <w:right w:w="28" w:type="dxa"/>
            </w:tcMar>
            <w:vAlign w:val="center"/>
          </w:tcPr>
          <w:p w14:paraId="5D30B0CD"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c>
          <w:tcPr>
            <w:tcW w:w="464" w:type="dxa"/>
            <w:tcMar>
              <w:left w:w="28" w:type="dxa"/>
              <w:right w:w="28" w:type="dxa"/>
            </w:tcMar>
            <w:vAlign w:val="center"/>
          </w:tcPr>
          <w:p w14:paraId="2FFBA24F" w14:textId="77777777" w:rsidR="00FA33C6" w:rsidRPr="0068236B" w:rsidRDefault="00FA33C6" w:rsidP="00FA33C6">
            <w:pPr>
              <w:spacing w:before="0" w:after="0" w:line="240" w:lineRule="auto"/>
              <w:jc w:val="center"/>
              <w:rPr>
                <w:rFonts w:cs="Tahoma"/>
                <w:sz w:val="20"/>
                <w:szCs w:val="20"/>
              </w:rPr>
            </w:pPr>
          </w:p>
        </w:tc>
        <w:tc>
          <w:tcPr>
            <w:tcW w:w="409" w:type="dxa"/>
            <w:tcMar>
              <w:left w:w="28" w:type="dxa"/>
              <w:right w:w="28" w:type="dxa"/>
            </w:tcMar>
            <w:vAlign w:val="center"/>
          </w:tcPr>
          <w:p w14:paraId="638E7183"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c>
          <w:tcPr>
            <w:tcW w:w="399" w:type="dxa"/>
            <w:gridSpan w:val="2"/>
            <w:tcMar>
              <w:left w:w="28" w:type="dxa"/>
              <w:right w:w="28" w:type="dxa"/>
            </w:tcMar>
            <w:vAlign w:val="center"/>
          </w:tcPr>
          <w:p w14:paraId="6AA58CFF" w14:textId="77777777" w:rsidR="00FA33C6" w:rsidRPr="0068236B" w:rsidRDefault="00FA33C6" w:rsidP="00FA33C6">
            <w:pPr>
              <w:spacing w:before="0" w:after="0" w:line="240" w:lineRule="auto"/>
              <w:jc w:val="center"/>
              <w:rPr>
                <w:rFonts w:cs="Tahoma"/>
                <w:sz w:val="20"/>
                <w:szCs w:val="20"/>
              </w:rPr>
            </w:pPr>
          </w:p>
        </w:tc>
      </w:tr>
      <w:tr w:rsidR="00FA33C6" w:rsidRPr="0068236B" w14:paraId="0AF33E4C" w14:textId="77777777" w:rsidTr="00377B68">
        <w:trPr>
          <w:trHeight w:val="454"/>
          <w:jc w:val="center"/>
        </w:trPr>
        <w:tc>
          <w:tcPr>
            <w:tcW w:w="1805" w:type="dxa"/>
            <w:noWrap/>
            <w:tcMar>
              <w:left w:w="28" w:type="dxa"/>
              <w:right w:w="28" w:type="dxa"/>
            </w:tcMar>
            <w:vAlign w:val="center"/>
            <w:hideMark/>
          </w:tcPr>
          <w:p w14:paraId="7E5F1C91" w14:textId="77777777" w:rsidR="00FA33C6" w:rsidRPr="0068236B" w:rsidRDefault="00FA33C6" w:rsidP="00FA33C6">
            <w:pPr>
              <w:spacing w:before="0" w:after="0" w:line="240" w:lineRule="auto"/>
              <w:jc w:val="left"/>
              <w:rPr>
                <w:rFonts w:cs="Tahoma"/>
                <w:sz w:val="20"/>
                <w:szCs w:val="20"/>
                <w:lang w:eastAsia="mk-MK"/>
              </w:rPr>
            </w:pPr>
            <w:r w:rsidRPr="0068236B">
              <w:rPr>
                <w:rFonts w:cs="Tahoma"/>
                <w:sz w:val="20"/>
                <w:szCs w:val="20"/>
                <w:lang w:eastAsia="mk-MK"/>
              </w:rPr>
              <w:t>Lowland rivers</w:t>
            </w:r>
          </w:p>
        </w:tc>
        <w:tc>
          <w:tcPr>
            <w:tcW w:w="1973" w:type="dxa"/>
            <w:tcMar>
              <w:left w:w="28" w:type="dxa"/>
              <w:right w:w="28" w:type="dxa"/>
            </w:tcMar>
          </w:tcPr>
          <w:p w14:paraId="21D7F21F" w14:textId="77777777" w:rsidR="00FA33C6" w:rsidRPr="0068236B" w:rsidRDefault="00FA33C6" w:rsidP="00FA33C6">
            <w:pPr>
              <w:spacing w:before="0" w:after="0" w:line="240" w:lineRule="auto"/>
              <w:jc w:val="left"/>
              <w:rPr>
                <w:rFonts w:cs="Tahoma"/>
                <w:sz w:val="20"/>
                <w:szCs w:val="20"/>
              </w:rPr>
            </w:pPr>
            <w:r w:rsidRPr="0068236B">
              <w:rPr>
                <w:rFonts w:cs="Tahoma"/>
                <w:sz w:val="20"/>
                <w:szCs w:val="20"/>
              </w:rPr>
              <w:t>C2.31 : Epipotamal streams</w:t>
            </w:r>
          </w:p>
        </w:tc>
        <w:tc>
          <w:tcPr>
            <w:tcW w:w="2544" w:type="dxa"/>
            <w:tcMar>
              <w:left w:w="28" w:type="dxa"/>
              <w:right w:w="28" w:type="dxa"/>
            </w:tcMar>
            <w:vAlign w:val="center"/>
          </w:tcPr>
          <w:p w14:paraId="74704415"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c>
          <w:tcPr>
            <w:tcW w:w="2342" w:type="dxa"/>
            <w:tcMar>
              <w:left w:w="28" w:type="dxa"/>
              <w:right w:w="28" w:type="dxa"/>
            </w:tcMar>
            <w:vAlign w:val="center"/>
          </w:tcPr>
          <w:p w14:paraId="11F0DC02"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c>
          <w:tcPr>
            <w:tcW w:w="464" w:type="dxa"/>
            <w:tcMar>
              <w:left w:w="28" w:type="dxa"/>
              <w:right w:w="28" w:type="dxa"/>
            </w:tcMar>
            <w:vAlign w:val="center"/>
          </w:tcPr>
          <w:p w14:paraId="6034EE4C" w14:textId="77777777" w:rsidR="00FA33C6" w:rsidRPr="0068236B" w:rsidRDefault="00FA33C6" w:rsidP="00FA33C6">
            <w:pPr>
              <w:spacing w:before="0" w:after="0" w:line="240" w:lineRule="auto"/>
              <w:jc w:val="center"/>
              <w:rPr>
                <w:rFonts w:cs="Tahoma"/>
                <w:sz w:val="20"/>
                <w:szCs w:val="20"/>
              </w:rPr>
            </w:pPr>
          </w:p>
        </w:tc>
        <w:tc>
          <w:tcPr>
            <w:tcW w:w="409" w:type="dxa"/>
            <w:tcMar>
              <w:left w:w="28" w:type="dxa"/>
              <w:right w:w="28" w:type="dxa"/>
            </w:tcMar>
            <w:vAlign w:val="center"/>
          </w:tcPr>
          <w:p w14:paraId="69A6D4F0" w14:textId="77777777" w:rsidR="00FA33C6" w:rsidRPr="0068236B" w:rsidRDefault="00FA33C6" w:rsidP="00FA33C6">
            <w:pPr>
              <w:spacing w:before="0" w:after="0" w:line="240" w:lineRule="auto"/>
              <w:jc w:val="center"/>
              <w:rPr>
                <w:rFonts w:cs="Tahoma"/>
                <w:sz w:val="20"/>
                <w:szCs w:val="20"/>
              </w:rPr>
            </w:pPr>
          </w:p>
        </w:tc>
        <w:tc>
          <w:tcPr>
            <w:tcW w:w="399" w:type="dxa"/>
            <w:gridSpan w:val="2"/>
            <w:tcMar>
              <w:left w:w="28" w:type="dxa"/>
              <w:right w:w="28" w:type="dxa"/>
            </w:tcMar>
            <w:vAlign w:val="center"/>
          </w:tcPr>
          <w:p w14:paraId="4043FAA4"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r>
      <w:tr w:rsidR="00FA33C6" w:rsidRPr="0068236B" w14:paraId="28EA4F1F" w14:textId="77777777" w:rsidTr="00377B68">
        <w:trPr>
          <w:trHeight w:val="454"/>
          <w:jc w:val="center"/>
        </w:trPr>
        <w:tc>
          <w:tcPr>
            <w:tcW w:w="1805" w:type="dxa"/>
            <w:tcBorders>
              <w:top w:val="single" w:sz="8" w:space="0" w:color="auto"/>
            </w:tcBorders>
            <w:noWrap/>
            <w:tcMar>
              <w:left w:w="28" w:type="dxa"/>
              <w:right w:w="28" w:type="dxa"/>
            </w:tcMar>
            <w:vAlign w:val="center"/>
            <w:hideMark/>
          </w:tcPr>
          <w:p w14:paraId="30A99F7C" w14:textId="77777777" w:rsidR="00FA33C6" w:rsidRPr="0068236B" w:rsidRDefault="00FA33C6" w:rsidP="00FA33C6">
            <w:pPr>
              <w:spacing w:before="0" w:after="0" w:line="240" w:lineRule="auto"/>
              <w:jc w:val="left"/>
              <w:rPr>
                <w:rFonts w:cs="Tahoma"/>
                <w:sz w:val="20"/>
                <w:szCs w:val="20"/>
                <w:lang w:eastAsia="mk-MK"/>
              </w:rPr>
            </w:pPr>
            <w:r w:rsidRPr="0068236B">
              <w:rPr>
                <w:rFonts w:cs="Tahoma"/>
                <w:sz w:val="20"/>
                <w:szCs w:val="20"/>
                <w:lang w:eastAsia="mk-MK"/>
              </w:rPr>
              <w:t>Agricultural land</w:t>
            </w:r>
          </w:p>
        </w:tc>
        <w:tc>
          <w:tcPr>
            <w:tcW w:w="1973" w:type="dxa"/>
            <w:tcBorders>
              <w:top w:val="single" w:sz="8" w:space="0" w:color="auto"/>
            </w:tcBorders>
            <w:tcMar>
              <w:left w:w="28" w:type="dxa"/>
              <w:right w:w="28" w:type="dxa"/>
            </w:tcMar>
          </w:tcPr>
          <w:p w14:paraId="76582286" w14:textId="77777777" w:rsidR="00FA33C6" w:rsidRPr="0068236B" w:rsidRDefault="00FA33C6" w:rsidP="00FA33C6">
            <w:pPr>
              <w:spacing w:before="0" w:after="0" w:line="240" w:lineRule="auto"/>
              <w:jc w:val="left"/>
              <w:rPr>
                <w:rFonts w:cs="Tahoma"/>
                <w:sz w:val="20"/>
                <w:szCs w:val="20"/>
              </w:rPr>
            </w:pPr>
            <w:r w:rsidRPr="0068236B">
              <w:rPr>
                <w:rFonts w:cs="Tahoma"/>
                <w:sz w:val="20"/>
                <w:szCs w:val="20"/>
              </w:rPr>
              <w:t>I1 : Arable land and market gardens</w:t>
            </w:r>
          </w:p>
        </w:tc>
        <w:tc>
          <w:tcPr>
            <w:tcW w:w="2544" w:type="dxa"/>
            <w:tcBorders>
              <w:top w:val="single" w:sz="8" w:space="0" w:color="auto"/>
            </w:tcBorders>
            <w:tcMar>
              <w:left w:w="28" w:type="dxa"/>
              <w:right w:w="28" w:type="dxa"/>
            </w:tcMar>
            <w:vAlign w:val="center"/>
          </w:tcPr>
          <w:p w14:paraId="2E315DA6"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c>
          <w:tcPr>
            <w:tcW w:w="2342" w:type="dxa"/>
            <w:tcBorders>
              <w:top w:val="single" w:sz="8" w:space="0" w:color="auto"/>
            </w:tcBorders>
            <w:tcMar>
              <w:left w:w="28" w:type="dxa"/>
              <w:right w:w="28" w:type="dxa"/>
            </w:tcMar>
            <w:vAlign w:val="center"/>
          </w:tcPr>
          <w:p w14:paraId="36E28398"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c>
          <w:tcPr>
            <w:tcW w:w="464" w:type="dxa"/>
            <w:tcBorders>
              <w:top w:val="single" w:sz="8" w:space="0" w:color="auto"/>
            </w:tcBorders>
            <w:tcMar>
              <w:left w:w="28" w:type="dxa"/>
              <w:right w:w="28" w:type="dxa"/>
            </w:tcMar>
            <w:vAlign w:val="center"/>
          </w:tcPr>
          <w:p w14:paraId="2ADF3357" w14:textId="77777777" w:rsidR="00FA33C6" w:rsidRPr="0068236B" w:rsidRDefault="00FA33C6" w:rsidP="00FA33C6">
            <w:pPr>
              <w:spacing w:before="0" w:after="0" w:line="240" w:lineRule="auto"/>
              <w:jc w:val="center"/>
              <w:rPr>
                <w:rFonts w:cs="Tahoma"/>
                <w:sz w:val="20"/>
                <w:szCs w:val="20"/>
              </w:rPr>
            </w:pPr>
          </w:p>
        </w:tc>
        <w:tc>
          <w:tcPr>
            <w:tcW w:w="409" w:type="dxa"/>
            <w:tcBorders>
              <w:top w:val="single" w:sz="8" w:space="0" w:color="auto"/>
            </w:tcBorders>
            <w:tcMar>
              <w:left w:w="28" w:type="dxa"/>
              <w:right w:w="28" w:type="dxa"/>
            </w:tcMar>
            <w:vAlign w:val="center"/>
          </w:tcPr>
          <w:p w14:paraId="4FC15145" w14:textId="77777777" w:rsidR="00FA33C6" w:rsidRPr="0068236B" w:rsidRDefault="00FA33C6" w:rsidP="00FA33C6">
            <w:pPr>
              <w:spacing w:before="0" w:after="0" w:line="240" w:lineRule="auto"/>
              <w:jc w:val="center"/>
              <w:rPr>
                <w:rFonts w:cs="Tahoma"/>
                <w:sz w:val="20"/>
                <w:szCs w:val="20"/>
              </w:rPr>
            </w:pPr>
            <w:r w:rsidRPr="0068236B">
              <w:rPr>
                <w:rFonts w:cs="Tahoma"/>
                <w:sz w:val="20"/>
                <w:szCs w:val="20"/>
              </w:rPr>
              <w:t>√</w:t>
            </w:r>
          </w:p>
        </w:tc>
        <w:tc>
          <w:tcPr>
            <w:tcW w:w="399" w:type="dxa"/>
            <w:gridSpan w:val="2"/>
            <w:tcBorders>
              <w:top w:val="single" w:sz="8" w:space="0" w:color="auto"/>
            </w:tcBorders>
            <w:tcMar>
              <w:left w:w="28" w:type="dxa"/>
              <w:right w:w="28" w:type="dxa"/>
            </w:tcMar>
            <w:vAlign w:val="center"/>
          </w:tcPr>
          <w:p w14:paraId="4657948A" w14:textId="77777777" w:rsidR="00FA33C6" w:rsidRPr="0068236B" w:rsidRDefault="00FA33C6" w:rsidP="00FA33C6">
            <w:pPr>
              <w:spacing w:before="0" w:after="0" w:line="240" w:lineRule="auto"/>
              <w:jc w:val="center"/>
              <w:rPr>
                <w:rFonts w:cs="Tahoma"/>
                <w:sz w:val="20"/>
                <w:szCs w:val="20"/>
              </w:rPr>
            </w:pPr>
          </w:p>
        </w:tc>
      </w:tr>
    </w:tbl>
    <w:p w14:paraId="3702F82C" w14:textId="07F5AC36" w:rsidR="00FA33C6" w:rsidRPr="0068236B" w:rsidRDefault="00FA33C6" w:rsidP="00FA33C6">
      <w:pPr>
        <w:pStyle w:val="ListBullet"/>
        <w:numPr>
          <w:ilvl w:val="0"/>
          <w:numId w:val="0"/>
        </w:numPr>
        <w:spacing w:before="60"/>
        <w:ind w:left="142"/>
        <w:jc w:val="left"/>
        <w:rPr>
          <w:sz w:val="18"/>
          <w:szCs w:val="18"/>
        </w:rPr>
      </w:pPr>
      <w:bookmarkStart w:id="264" w:name="_Toc113018179"/>
      <w:r w:rsidRPr="0068236B">
        <w:rPr>
          <w:sz w:val="18"/>
          <w:szCs w:val="20"/>
        </w:rPr>
        <w:t xml:space="preserve">Table </w:t>
      </w:r>
      <w:r w:rsidRPr="0068236B">
        <w:rPr>
          <w:sz w:val="18"/>
          <w:szCs w:val="20"/>
        </w:rPr>
        <w:fldChar w:fldCharType="begin"/>
      </w:r>
      <w:r w:rsidRPr="0068236B">
        <w:rPr>
          <w:sz w:val="18"/>
          <w:szCs w:val="20"/>
        </w:rPr>
        <w:instrText xml:space="preserve"> STYLEREF 1 \s </w:instrText>
      </w:r>
      <w:r w:rsidRPr="0068236B">
        <w:rPr>
          <w:sz w:val="18"/>
          <w:szCs w:val="20"/>
        </w:rPr>
        <w:fldChar w:fldCharType="separate"/>
      </w:r>
      <w:r w:rsidR="00FD57E6">
        <w:rPr>
          <w:noProof/>
          <w:sz w:val="18"/>
          <w:szCs w:val="20"/>
        </w:rPr>
        <w:t>7</w:t>
      </w:r>
      <w:r w:rsidRPr="0068236B">
        <w:rPr>
          <w:sz w:val="18"/>
          <w:szCs w:val="20"/>
        </w:rPr>
        <w:fldChar w:fldCharType="end"/>
      </w:r>
      <w:r w:rsidRPr="0068236B">
        <w:rPr>
          <w:sz w:val="18"/>
          <w:szCs w:val="20"/>
        </w:rPr>
        <w:t>.</w:t>
      </w:r>
      <w:r w:rsidRPr="0068236B">
        <w:rPr>
          <w:sz w:val="18"/>
          <w:szCs w:val="20"/>
        </w:rPr>
        <w:fldChar w:fldCharType="begin"/>
      </w:r>
      <w:r w:rsidRPr="0068236B">
        <w:rPr>
          <w:sz w:val="18"/>
          <w:szCs w:val="20"/>
        </w:rPr>
        <w:instrText xml:space="preserve"> SEQ Table \* ARABIC \s 1 </w:instrText>
      </w:r>
      <w:r w:rsidRPr="0068236B">
        <w:rPr>
          <w:sz w:val="18"/>
          <w:szCs w:val="20"/>
        </w:rPr>
        <w:fldChar w:fldCharType="separate"/>
      </w:r>
      <w:r w:rsidR="00FD57E6">
        <w:rPr>
          <w:noProof/>
          <w:sz w:val="18"/>
          <w:szCs w:val="20"/>
        </w:rPr>
        <w:t>8</w:t>
      </w:r>
      <w:r w:rsidRPr="0068236B">
        <w:rPr>
          <w:sz w:val="18"/>
          <w:szCs w:val="20"/>
        </w:rPr>
        <w:fldChar w:fldCharType="end"/>
      </w:r>
      <w:r w:rsidRPr="0068236B">
        <w:rPr>
          <w:sz w:val="18"/>
          <w:szCs w:val="20"/>
        </w:rPr>
        <w:t>:</w:t>
      </w:r>
      <w:r w:rsidRPr="0068236B">
        <w:rPr>
          <w:b/>
          <w:sz w:val="18"/>
          <w:szCs w:val="20"/>
        </w:rPr>
        <w:t xml:space="preserve"> </w:t>
      </w:r>
      <w:r w:rsidRPr="0068236B">
        <w:rPr>
          <w:sz w:val="18"/>
          <w:szCs w:val="20"/>
        </w:rPr>
        <w:t>Habitats within study area, their valorization and distribution per Project element</w:t>
      </w:r>
      <w:bookmarkEnd w:id="264"/>
    </w:p>
    <w:p w14:paraId="7F197A66" w14:textId="5386C40E" w:rsidR="00FA33C6" w:rsidRPr="0068236B" w:rsidRDefault="00FA33C6" w:rsidP="00FA33C6">
      <w:pPr>
        <w:pStyle w:val="ListBullet"/>
        <w:numPr>
          <w:ilvl w:val="0"/>
          <w:numId w:val="0"/>
        </w:numPr>
        <w:spacing w:before="60" w:after="240"/>
        <w:ind w:left="142"/>
        <w:jc w:val="left"/>
        <w:rPr>
          <w:rFonts w:cs="Tahoma"/>
          <w:sz w:val="16"/>
          <w:szCs w:val="16"/>
        </w:rPr>
      </w:pPr>
      <w:r w:rsidRPr="0068236B">
        <w:rPr>
          <w:sz w:val="16"/>
          <w:szCs w:val="16"/>
        </w:rPr>
        <w:t xml:space="preserve">Note: </w:t>
      </w:r>
      <w:r w:rsidR="00FD3B24" w:rsidRPr="0068236B">
        <w:rPr>
          <w:rFonts w:cs="Tahoma"/>
          <w:sz w:val="16"/>
          <w:szCs w:val="16"/>
        </w:rPr>
        <w:t xml:space="preserve">1a - </w:t>
      </w:r>
      <w:r w:rsidRPr="0068236B">
        <w:rPr>
          <w:rFonts w:cs="Tahoma"/>
          <w:sz w:val="16"/>
          <w:szCs w:val="16"/>
        </w:rPr>
        <w:t xml:space="preserve">new 400/110 kV SS and </w:t>
      </w:r>
      <w:r w:rsidR="00FD3B24" w:rsidRPr="0068236B">
        <w:rPr>
          <w:rFonts w:cs="Tahoma"/>
          <w:sz w:val="16"/>
          <w:szCs w:val="16"/>
        </w:rPr>
        <w:t xml:space="preserve">400 kV in-out connector; 1b - </w:t>
      </w:r>
      <w:r w:rsidRPr="0068236B">
        <w:rPr>
          <w:rFonts w:cs="Tahoma"/>
          <w:sz w:val="16"/>
          <w:szCs w:val="16"/>
        </w:rPr>
        <w:t>new 110 kV connector</w:t>
      </w:r>
      <w:r w:rsidR="00FD3B24" w:rsidRPr="0068236B">
        <w:rPr>
          <w:rFonts w:cs="Tahoma"/>
          <w:sz w:val="16"/>
          <w:szCs w:val="16"/>
        </w:rPr>
        <w:t>s</w:t>
      </w:r>
      <w:r w:rsidRPr="0068236B">
        <w:rPr>
          <w:rFonts w:cs="Tahoma"/>
          <w:sz w:val="16"/>
          <w:szCs w:val="16"/>
        </w:rPr>
        <w:t xml:space="preserve"> to SS ‘EVP’ Miletko</w:t>
      </w:r>
      <w:r w:rsidR="00FD3B24" w:rsidRPr="0068236B">
        <w:rPr>
          <w:rFonts w:cs="Tahoma"/>
          <w:sz w:val="16"/>
          <w:szCs w:val="16"/>
        </w:rPr>
        <w:t>vo</w:t>
      </w:r>
      <w:r w:rsidRPr="0068236B">
        <w:rPr>
          <w:rFonts w:cs="Tahoma"/>
          <w:sz w:val="16"/>
          <w:szCs w:val="16"/>
        </w:rPr>
        <w:t xml:space="preserve">; 1c - </w:t>
      </w:r>
      <w:r w:rsidR="00FD3B24" w:rsidRPr="0068236B">
        <w:rPr>
          <w:rFonts w:cs="Tahoma"/>
          <w:sz w:val="16"/>
          <w:szCs w:val="16"/>
        </w:rPr>
        <w:t>reconstruction</w:t>
      </w:r>
      <w:r w:rsidRPr="0068236B">
        <w:rPr>
          <w:rFonts w:cs="Tahoma"/>
          <w:sz w:val="16"/>
          <w:szCs w:val="16"/>
        </w:rPr>
        <w:t xml:space="preserve"> of 110 kV </w:t>
      </w:r>
      <w:r w:rsidR="00FD3B24" w:rsidRPr="0068236B">
        <w:rPr>
          <w:rFonts w:cs="Tahoma"/>
          <w:sz w:val="16"/>
          <w:szCs w:val="16"/>
        </w:rPr>
        <w:t>OHL from Valandovo to Miletkovo.</w:t>
      </w:r>
    </w:p>
    <w:p w14:paraId="2E7C63DA" w14:textId="48E89F7B" w:rsidR="00FA33C6" w:rsidRPr="0068236B" w:rsidRDefault="00FA33C6" w:rsidP="00377B68">
      <w:pPr>
        <w:pStyle w:val="ListBullet"/>
        <w:numPr>
          <w:ilvl w:val="0"/>
          <w:numId w:val="0"/>
        </w:numPr>
        <w:spacing w:before="120" w:after="120"/>
        <w:ind w:left="142"/>
        <w:rPr>
          <w:rFonts w:cs="Tahoma"/>
          <w:sz w:val="20"/>
          <w:szCs w:val="18"/>
        </w:rPr>
      </w:pPr>
      <w:r w:rsidRPr="0068236B">
        <w:rPr>
          <w:rFonts w:cs="Tahoma"/>
          <w:sz w:val="20"/>
          <w:szCs w:val="18"/>
        </w:rPr>
        <w:t>The valorization of species was based on both national and international criteria. National criteria included the List (bylaw) of strictly protected and protected species</w:t>
      </w:r>
      <w:r w:rsidRPr="0068236B">
        <w:rPr>
          <w:rStyle w:val="FootnoteReference"/>
          <w:rFonts w:cs="Tahoma"/>
          <w:sz w:val="20"/>
          <w:szCs w:val="18"/>
        </w:rPr>
        <w:footnoteReference w:id="89"/>
      </w:r>
      <w:r w:rsidRPr="0068236B">
        <w:rPr>
          <w:rFonts w:cs="Tahoma"/>
          <w:sz w:val="20"/>
          <w:szCs w:val="18"/>
        </w:rPr>
        <w:t xml:space="preserve"> (Official Gazette of RM no. 139/2011) as well as assessment of the endemism and their rarity (expert assessment).</w:t>
      </w:r>
    </w:p>
    <w:p w14:paraId="750F7776" w14:textId="77777777" w:rsidR="00FA33C6" w:rsidRPr="0068236B" w:rsidRDefault="00FA33C6" w:rsidP="00377B68">
      <w:pPr>
        <w:pStyle w:val="ListBullet"/>
        <w:numPr>
          <w:ilvl w:val="0"/>
          <w:numId w:val="0"/>
        </w:numPr>
        <w:spacing w:before="120" w:after="120"/>
        <w:ind w:left="142"/>
        <w:rPr>
          <w:rFonts w:cs="Tahoma"/>
          <w:sz w:val="20"/>
          <w:szCs w:val="18"/>
        </w:rPr>
      </w:pPr>
      <w:r w:rsidRPr="0068236B">
        <w:rPr>
          <w:rFonts w:cs="Tahoma"/>
          <w:sz w:val="20"/>
          <w:szCs w:val="18"/>
        </w:rPr>
        <w:t>Since no reliable records of plant species are known for the area it was very difficult to compile a complete list of plant species. Based on the previous field work and personal databases in the wider area a list of all plant species were elaborated and are presented in this E&amp;S Assessment Report. This list contains more than 550 species.</w:t>
      </w:r>
    </w:p>
    <w:p w14:paraId="6D66DED4" w14:textId="1620EF5A" w:rsidR="00FA33C6" w:rsidRPr="0068236B" w:rsidRDefault="00FA33C6" w:rsidP="00FA33C6">
      <w:pPr>
        <w:pStyle w:val="ListBullet"/>
        <w:numPr>
          <w:ilvl w:val="0"/>
          <w:numId w:val="0"/>
        </w:numPr>
        <w:spacing w:before="120" w:after="120"/>
        <w:ind w:left="142"/>
        <w:rPr>
          <w:rFonts w:cs="Tahoma"/>
          <w:sz w:val="20"/>
          <w:szCs w:val="18"/>
        </w:rPr>
      </w:pPr>
      <w:r w:rsidRPr="0068236B">
        <w:rPr>
          <w:rFonts w:cs="Tahoma"/>
          <w:sz w:val="20"/>
          <w:szCs w:val="18"/>
        </w:rPr>
        <w:t xml:space="preserve">The following Table presents the list of plant species which were recorded during the field work. None of the species has certain conservation status. </w:t>
      </w:r>
      <w:r w:rsidR="0053173E" w:rsidRPr="0068236B">
        <w:rPr>
          <w:rFonts w:cs="Tahoma"/>
          <w:sz w:val="20"/>
          <w:szCs w:val="18"/>
        </w:rPr>
        <w:t xml:space="preserve">Some of the species have a potential to be used as medicinal plants: </w:t>
      </w:r>
      <w:r w:rsidR="0053173E" w:rsidRPr="0068236B">
        <w:rPr>
          <w:rFonts w:cs="Tahoma"/>
          <w:i/>
          <w:sz w:val="20"/>
          <w:szCs w:val="18"/>
        </w:rPr>
        <w:t xml:space="preserve">Malva sylvestris, Humulus lupulus, Prunus cerasifera, Rubus </w:t>
      </w:r>
      <w:r w:rsidR="0053173E" w:rsidRPr="0068236B">
        <w:rPr>
          <w:rFonts w:cs="Tahoma"/>
          <w:sz w:val="20"/>
          <w:szCs w:val="18"/>
        </w:rPr>
        <w:t xml:space="preserve">spp., </w:t>
      </w:r>
      <w:r w:rsidR="0053173E" w:rsidRPr="0068236B">
        <w:rPr>
          <w:rFonts w:cs="Tahoma"/>
          <w:i/>
          <w:sz w:val="20"/>
          <w:szCs w:val="18"/>
        </w:rPr>
        <w:t>Urtica dioica, Ficus carica</w:t>
      </w:r>
      <w:r w:rsidR="0053173E" w:rsidRPr="0068236B">
        <w:rPr>
          <w:rFonts w:cs="Tahoma"/>
          <w:sz w:val="20"/>
          <w:szCs w:val="18"/>
        </w:rPr>
        <w:t>.</w:t>
      </w:r>
    </w:p>
    <w:tbl>
      <w:tblPr>
        <w:tblStyle w:val="Kokan"/>
        <w:tblW w:w="8043" w:type="dxa"/>
        <w:tblCellMar>
          <w:left w:w="57" w:type="dxa"/>
          <w:right w:w="57" w:type="dxa"/>
        </w:tblCellMar>
        <w:tblLook w:val="04A0" w:firstRow="1" w:lastRow="0" w:firstColumn="1" w:lastColumn="0" w:noHBand="0" w:noVBand="1"/>
      </w:tblPr>
      <w:tblGrid>
        <w:gridCol w:w="3005"/>
        <w:gridCol w:w="1919"/>
        <w:gridCol w:w="1418"/>
        <w:gridCol w:w="567"/>
        <w:gridCol w:w="567"/>
        <w:gridCol w:w="561"/>
        <w:gridCol w:w="6"/>
      </w:tblGrid>
      <w:tr w:rsidR="00FD3B24" w:rsidRPr="00744C45" w14:paraId="731E3287" w14:textId="77777777" w:rsidTr="00FD3B24">
        <w:trPr>
          <w:gridAfter w:val="1"/>
          <w:cnfStyle w:val="100000000000" w:firstRow="1" w:lastRow="0" w:firstColumn="0" w:lastColumn="0" w:oddVBand="0" w:evenVBand="0" w:oddHBand="0" w:evenHBand="0" w:firstRowFirstColumn="0" w:firstRowLastColumn="0" w:lastRowFirstColumn="0" w:lastRowLastColumn="0"/>
          <w:wAfter w:w="6" w:type="dxa"/>
          <w:trHeight w:val="300"/>
          <w:tblHeader/>
        </w:trPr>
        <w:tc>
          <w:tcPr>
            <w:tcW w:w="3005" w:type="dxa"/>
            <w:vMerge w:val="restart"/>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725C3E6D" w14:textId="77777777" w:rsidR="00FD3B24" w:rsidRPr="00744C45" w:rsidRDefault="00FD3B24" w:rsidP="00377B68">
            <w:pPr>
              <w:spacing w:before="0" w:after="0" w:line="240" w:lineRule="auto"/>
              <w:jc w:val="center"/>
              <w:rPr>
                <w:rFonts w:cs="Tahoma"/>
                <w:bCs/>
                <w:color w:val="auto"/>
                <w:sz w:val="20"/>
                <w:szCs w:val="20"/>
                <w:lang w:eastAsia="mk-MK"/>
              </w:rPr>
            </w:pPr>
            <w:r w:rsidRPr="00744C45">
              <w:rPr>
                <w:rFonts w:cs="Tahoma"/>
                <w:bCs/>
                <w:color w:val="auto"/>
                <w:sz w:val="20"/>
                <w:szCs w:val="20"/>
                <w:lang w:eastAsia="mk-MK"/>
              </w:rPr>
              <w:t>Species</w:t>
            </w:r>
          </w:p>
        </w:tc>
        <w:tc>
          <w:tcPr>
            <w:tcW w:w="1919" w:type="dxa"/>
            <w:vMerge w:val="restart"/>
            <w:tcBorders>
              <w:top w:val="double" w:sz="4" w:space="0" w:color="auto"/>
              <w:right w:val="double" w:sz="4" w:space="0" w:color="auto"/>
            </w:tcBorders>
            <w:shd w:val="clear" w:color="auto" w:fill="B4C6E7" w:themeFill="accent1" w:themeFillTint="66"/>
            <w:tcMar>
              <w:left w:w="28" w:type="dxa"/>
              <w:right w:w="28" w:type="dxa"/>
            </w:tcMar>
          </w:tcPr>
          <w:p w14:paraId="57D3D55B" w14:textId="77777777" w:rsidR="00FD3B24" w:rsidRPr="00744C45" w:rsidRDefault="00FD3B24" w:rsidP="00377B68">
            <w:pPr>
              <w:spacing w:before="0" w:after="0" w:line="240" w:lineRule="auto"/>
              <w:jc w:val="center"/>
              <w:rPr>
                <w:rFonts w:cs="Tahoma"/>
                <w:bCs/>
                <w:color w:val="auto"/>
                <w:sz w:val="20"/>
                <w:szCs w:val="20"/>
                <w:lang w:eastAsia="mk-MK"/>
              </w:rPr>
            </w:pPr>
            <w:r w:rsidRPr="00744C45">
              <w:rPr>
                <w:rFonts w:cs="Tahoma"/>
                <w:bCs/>
                <w:color w:val="auto"/>
                <w:sz w:val="20"/>
                <w:szCs w:val="20"/>
                <w:lang w:eastAsia="mk-MK"/>
              </w:rPr>
              <w:t>National</w:t>
            </w:r>
          </w:p>
          <w:p w14:paraId="74ACE457" w14:textId="77777777" w:rsidR="00FD3B24" w:rsidRPr="00744C45" w:rsidRDefault="00FD3B24" w:rsidP="00377B68">
            <w:pPr>
              <w:spacing w:before="0" w:after="0" w:line="240" w:lineRule="auto"/>
              <w:jc w:val="center"/>
              <w:rPr>
                <w:rFonts w:cs="Tahoma"/>
                <w:bCs/>
                <w:color w:val="auto"/>
                <w:sz w:val="20"/>
                <w:szCs w:val="20"/>
                <w:lang w:eastAsia="mk-MK"/>
              </w:rPr>
            </w:pPr>
            <w:r w:rsidRPr="00744C45">
              <w:rPr>
                <w:rFonts w:cs="Tahoma"/>
                <w:bCs/>
                <w:color w:val="auto"/>
                <w:sz w:val="20"/>
                <w:szCs w:val="20"/>
                <w:lang w:eastAsia="mk-MK"/>
              </w:rPr>
              <w:t>importance</w:t>
            </w:r>
          </w:p>
        </w:tc>
        <w:tc>
          <w:tcPr>
            <w:tcW w:w="1418" w:type="dxa"/>
            <w:vMerge w:val="restart"/>
            <w:tcBorders>
              <w:top w:val="double" w:sz="4" w:space="0" w:color="auto"/>
              <w:bottom w:val="double" w:sz="4" w:space="0" w:color="auto"/>
              <w:right w:val="double" w:sz="4" w:space="0" w:color="auto"/>
            </w:tcBorders>
            <w:shd w:val="clear" w:color="auto" w:fill="B4C6E7" w:themeFill="accent1" w:themeFillTint="66"/>
            <w:tcMar>
              <w:left w:w="28" w:type="dxa"/>
              <w:right w:w="28" w:type="dxa"/>
            </w:tcMar>
          </w:tcPr>
          <w:p w14:paraId="27C0C71B" w14:textId="77777777" w:rsidR="00FD3B24" w:rsidRPr="00744C45" w:rsidRDefault="00FD3B24" w:rsidP="00377B68">
            <w:pPr>
              <w:spacing w:before="0" w:after="0" w:line="240" w:lineRule="auto"/>
              <w:jc w:val="center"/>
              <w:rPr>
                <w:rFonts w:cs="Tahoma"/>
                <w:bCs/>
                <w:color w:val="auto"/>
                <w:sz w:val="20"/>
                <w:szCs w:val="20"/>
                <w:lang w:eastAsia="mk-MK"/>
              </w:rPr>
            </w:pPr>
            <w:r w:rsidRPr="00744C45">
              <w:rPr>
                <w:rFonts w:cs="Tahoma"/>
                <w:bCs/>
                <w:color w:val="auto"/>
                <w:sz w:val="20"/>
                <w:szCs w:val="20"/>
                <w:lang w:eastAsia="mk-MK"/>
              </w:rPr>
              <w:t>International importance</w:t>
            </w:r>
          </w:p>
        </w:tc>
        <w:tc>
          <w:tcPr>
            <w:tcW w:w="1695" w:type="dxa"/>
            <w:gridSpan w:val="3"/>
            <w:tcBorders>
              <w:top w:val="double" w:sz="4" w:space="0" w:color="auto"/>
              <w:left w:val="double" w:sz="4" w:space="0" w:color="auto"/>
              <w:bottom w:val="double" w:sz="4" w:space="0" w:color="auto"/>
            </w:tcBorders>
            <w:shd w:val="clear" w:color="auto" w:fill="B4C6E7" w:themeFill="accent1" w:themeFillTint="66"/>
          </w:tcPr>
          <w:p w14:paraId="29A3270F" w14:textId="4B3B84BE" w:rsidR="00FD3B24" w:rsidRPr="00744C45" w:rsidRDefault="00FD3B24" w:rsidP="00FD3B24">
            <w:pPr>
              <w:spacing w:before="0" w:after="0" w:line="240" w:lineRule="auto"/>
              <w:jc w:val="center"/>
              <w:rPr>
                <w:rFonts w:cs="Tahoma"/>
                <w:color w:val="auto"/>
                <w:sz w:val="20"/>
                <w:szCs w:val="20"/>
              </w:rPr>
            </w:pPr>
            <w:r w:rsidRPr="00744C45">
              <w:rPr>
                <w:rFonts w:cs="Tahoma"/>
                <w:color w:val="auto"/>
                <w:sz w:val="20"/>
                <w:szCs w:val="20"/>
              </w:rPr>
              <w:t>Project element</w:t>
            </w:r>
          </w:p>
        </w:tc>
      </w:tr>
      <w:tr w:rsidR="00FD3B24" w:rsidRPr="0068236B" w14:paraId="5AA8337F" w14:textId="77777777" w:rsidTr="00FD3B24">
        <w:trPr>
          <w:trHeight w:val="218"/>
        </w:trPr>
        <w:tc>
          <w:tcPr>
            <w:tcW w:w="3005" w:type="dxa"/>
            <w:vMerge/>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68855B34" w14:textId="77777777" w:rsidR="00FD3B24" w:rsidRPr="0068236B" w:rsidRDefault="00FD3B24" w:rsidP="00377B68">
            <w:pPr>
              <w:spacing w:before="0" w:after="0" w:line="240" w:lineRule="auto"/>
              <w:jc w:val="center"/>
              <w:rPr>
                <w:rFonts w:cs="Tahoma"/>
                <w:bCs/>
                <w:sz w:val="20"/>
                <w:szCs w:val="20"/>
                <w:lang w:eastAsia="mk-MK"/>
              </w:rPr>
            </w:pPr>
          </w:p>
        </w:tc>
        <w:tc>
          <w:tcPr>
            <w:tcW w:w="1919" w:type="dxa"/>
            <w:vMerge/>
            <w:tcBorders>
              <w:bottom w:val="double" w:sz="4" w:space="0" w:color="auto"/>
              <w:right w:val="double" w:sz="4" w:space="0" w:color="auto"/>
            </w:tcBorders>
            <w:shd w:val="clear" w:color="auto" w:fill="B4C6E7" w:themeFill="accent1" w:themeFillTint="66"/>
            <w:tcMar>
              <w:left w:w="28" w:type="dxa"/>
              <w:right w:w="28" w:type="dxa"/>
            </w:tcMar>
          </w:tcPr>
          <w:p w14:paraId="5F08C4F6" w14:textId="77777777" w:rsidR="00FD3B24" w:rsidRPr="0068236B" w:rsidRDefault="00FD3B24" w:rsidP="00377B68">
            <w:pPr>
              <w:keepLines/>
              <w:spacing w:before="0" w:after="0" w:line="240" w:lineRule="auto"/>
              <w:jc w:val="center"/>
              <w:rPr>
                <w:rFonts w:cs="Tahoma"/>
                <w:sz w:val="20"/>
                <w:szCs w:val="20"/>
              </w:rPr>
            </w:pPr>
          </w:p>
        </w:tc>
        <w:tc>
          <w:tcPr>
            <w:tcW w:w="1418" w:type="dxa"/>
            <w:vMerge/>
            <w:tcBorders>
              <w:top w:val="single" w:sz="8" w:space="0" w:color="auto"/>
              <w:bottom w:val="double" w:sz="4" w:space="0" w:color="auto"/>
            </w:tcBorders>
            <w:shd w:val="clear" w:color="auto" w:fill="B4C6E7" w:themeFill="accent1" w:themeFillTint="66"/>
            <w:tcMar>
              <w:left w:w="28" w:type="dxa"/>
              <w:right w:w="28" w:type="dxa"/>
            </w:tcMar>
          </w:tcPr>
          <w:p w14:paraId="6E7900DC" w14:textId="77777777" w:rsidR="00FD3B24" w:rsidRPr="0068236B" w:rsidRDefault="00FD3B24" w:rsidP="00377B68">
            <w:pPr>
              <w:keepLines/>
              <w:spacing w:before="0" w:after="0" w:line="240" w:lineRule="auto"/>
              <w:jc w:val="center"/>
              <w:rPr>
                <w:rFonts w:cs="Tahoma"/>
                <w:sz w:val="20"/>
                <w:szCs w:val="20"/>
              </w:rPr>
            </w:pPr>
          </w:p>
        </w:tc>
        <w:tc>
          <w:tcPr>
            <w:tcW w:w="567" w:type="dxa"/>
            <w:tcBorders>
              <w:top w:val="double" w:sz="4" w:space="0" w:color="auto"/>
              <w:left w:val="double" w:sz="4" w:space="0" w:color="auto"/>
              <w:bottom w:val="double" w:sz="4" w:space="0" w:color="auto"/>
              <w:right w:val="double" w:sz="4" w:space="0" w:color="auto"/>
            </w:tcBorders>
            <w:shd w:val="clear" w:color="auto" w:fill="B4C6E7" w:themeFill="accent1" w:themeFillTint="66"/>
            <w:tcMar>
              <w:left w:w="28" w:type="dxa"/>
              <w:right w:w="28" w:type="dxa"/>
            </w:tcMar>
          </w:tcPr>
          <w:p w14:paraId="3322DC8D" w14:textId="77777777" w:rsidR="00FD3B24" w:rsidRPr="0068236B" w:rsidRDefault="00FD3B24" w:rsidP="00377B68">
            <w:pPr>
              <w:keepLines/>
              <w:spacing w:before="0" w:after="0" w:line="240" w:lineRule="auto"/>
              <w:jc w:val="center"/>
              <w:rPr>
                <w:rFonts w:cs="Tahoma"/>
                <w:sz w:val="20"/>
                <w:szCs w:val="20"/>
              </w:rPr>
            </w:pPr>
            <w:r w:rsidRPr="0068236B">
              <w:rPr>
                <w:rFonts w:cs="Tahoma"/>
                <w:sz w:val="20"/>
                <w:szCs w:val="20"/>
              </w:rPr>
              <w:t>1a</w:t>
            </w:r>
          </w:p>
        </w:tc>
        <w:tc>
          <w:tcPr>
            <w:tcW w:w="567" w:type="dxa"/>
            <w:tcBorders>
              <w:top w:val="double" w:sz="4" w:space="0" w:color="auto"/>
              <w:left w:val="double" w:sz="4" w:space="0" w:color="auto"/>
              <w:bottom w:val="double" w:sz="4" w:space="0" w:color="auto"/>
              <w:right w:val="double" w:sz="4" w:space="0" w:color="auto"/>
            </w:tcBorders>
            <w:shd w:val="clear" w:color="auto" w:fill="B4C6E7" w:themeFill="accent1" w:themeFillTint="66"/>
            <w:tcMar>
              <w:left w:w="28" w:type="dxa"/>
              <w:right w:w="28" w:type="dxa"/>
            </w:tcMar>
          </w:tcPr>
          <w:p w14:paraId="5B73E4F6" w14:textId="77777777" w:rsidR="00FD3B24" w:rsidRPr="0068236B" w:rsidRDefault="00FD3B24" w:rsidP="00377B68">
            <w:pPr>
              <w:keepLines/>
              <w:spacing w:before="0" w:after="0" w:line="240" w:lineRule="auto"/>
              <w:jc w:val="center"/>
              <w:rPr>
                <w:rFonts w:cs="Tahoma"/>
                <w:sz w:val="20"/>
                <w:szCs w:val="20"/>
              </w:rPr>
            </w:pPr>
            <w:r w:rsidRPr="0068236B">
              <w:rPr>
                <w:rFonts w:cs="Tahoma"/>
                <w:sz w:val="20"/>
                <w:szCs w:val="20"/>
              </w:rPr>
              <w:t>1b</w:t>
            </w:r>
          </w:p>
        </w:tc>
        <w:tc>
          <w:tcPr>
            <w:tcW w:w="567" w:type="dxa"/>
            <w:gridSpan w:val="2"/>
            <w:tcBorders>
              <w:top w:val="double" w:sz="4" w:space="0" w:color="auto"/>
              <w:left w:val="double" w:sz="4" w:space="0" w:color="auto"/>
              <w:bottom w:val="double" w:sz="4" w:space="0" w:color="auto"/>
              <w:right w:val="double" w:sz="4" w:space="0" w:color="auto"/>
            </w:tcBorders>
            <w:shd w:val="clear" w:color="auto" w:fill="B4C6E7" w:themeFill="accent1" w:themeFillTint="66"/>
            <w:tcMar>
              <w:left w:w="28" w:type="dxa"/>
              <w:right w:w="28" w:type="dxa"/>
            </w:tcMar>
          </w:tcPr>
          <w:p w14:paraId="0823A61C" w14:textId="77777777" w:rsidR="00FD3B24" w:rsidRPr="0068236B" w:rsidRDefault="00FD3B24" w:rsidP="00377B68">
            <w:pPr>
              <w:keepLines/>
              <w:spacing w:before="0" w:after="0" w:line="240" w:lineRule="auto"/>
              <w:jc w:val="center"/>
              <w:rPr>
                <w:rFonts w:cs="Tahoma"/>
                <w:sz w:val="20"/>
                <w:szCs w:val="20"/>
              </w:rPr>
            </w:pPr>
            <w:r w:rsidRPr="0068236B">
              <w:rPr>
                <w:rFonts w:cs="Tahoma"/>
                <w:sz w:val="20"/>
                <w:szCs w:val="20"/>
              </w:rPr>
              <w:t>1c</w:t>
            </w:r>
          </w:p>
        </w:tc>
      </w:tr>
      <w:tr w:rsidR="00FD3B24" w:rsidRPr="0068236B" w14:paraId="7911786C" w14:textId="77777777" w:rsidTr="00FD3B24">
        <w:trPr>
          <w:trHeight w:val="227"/>
        </w:trPr>
        <w:tc>
          <w:tcPr>
            <w:tcW w:w="3005" w:type="dxa"/>
            <w:tcBorders>
              <w:top w:val="single" w:sz="8" w:space="0" w:color="auto"/>
              <w:bottom w:val="single" w:sz="8" w:space="0" w:color="auto"/>
            </w:tcBorders>
            <w:noWrap/>
            <w:tcMar>
              <w:left w:w="28" w:type="dxa"/>
              <w:right w:w="28" w:type="dxa"/>
            </w:tcMar>
            <w:vAlign w:val="center"/>
            <w:hideMark/>
          </w:tcPr>
          <w:p w14:paraId="01CC793D"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Carpinus orientalis</w:t>
            </w:r>
          </w:p>
        </w:tc>
        <w:tc>
          <w:tcPr>
            <w:tcW w:w="1919" w:type="dxa"/>
            <w:tcBorders>
              <w:top w:val="single" w:sz="8" w:space="0" w:color="auto"/>
              <w:bottom w:val="single" w:sz="8" w:space="0" w:color="auto"/>
            </w:tcBorders>
            <w:tcMar>
              <w:left w:w="28" w:type="dxa"/>
              <w:right w:w="28" w:type="dxa"/>
            </w:tcMar>
          </w:tcPr>
          <w:p w14:paraId="1C53D46E"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bottom w:val="single" w:sz="8" w:space="0" w:color="auto"/>
            </w:tcBorders>
            <w:tcMar>
              <w:left w:w="28" w:type="dxa"/>
              <w:right w:w="28" w:type="dxa"/>
            </w:tcMar>
          </w:tcPr>
          <w:p w14:paraId="57094D70"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tcPr>
          <w:p w14:paraId="1AECAB7D"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tcPr>
          <w:p w14:paraId="047BA02C"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Borders>
              <w:top w:val="single" w:sz="8" w:space="0" w:color="auto"/>
              <w:bottom w:val="single" w:sz="8" w:space="0" w:color="auto"/>
            </w:tcBorders>
            <w:tcMar>
              <w:left w:w="28" w:type="dxa"/>
              <w:right w:w="28" w:type="dxa"/>
            </w:tcMar>
          </w:tcPr>
          <w:p w14:paraId="15BC6F96"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r w:rsidR="00FD3B24" w:rsidRPr="0068236B" w14:paraId="76314883" w14:textId="77777777" w:rsidTr="00FD3B24">
        <w:trPr>
          <w:trHeight w:val="227"/>
        </w:trPr>
        <w:tc>
          <w:tcPr>
            <w:tcW w:w="3005" w:type="dxa"/>
            <w:tcBorders>
              <w:top w:val="single" w:sz="8" w:space="0" w:color="auto"/>
              <w:bottom w:val="single" w:sz="8" w:space="0" w:color="auto"/>
            </w:tcBorders>
            <w:noWrap/>
            <w:tcMar>
              <w:left w:w="28" w:type="dxa"/>
              <w:right w:w="28" w:type="dxa"/>
            </w:tcMar>
            <w:vAlign w:val="center"/>
            <w:hideMark/>
          </w:tcPr>
          <w:p w14:paraId="2E45CA83"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Cistus villosus</w:t>
            </w:r>
          </w:p>
        </w:tc>
        <w:tc>
          <w:tcPr>
            <w:tcW w:w="1919" w:type="dxa"/>
            <w:tcBorders>
              <w:top w:val="single" w:sz="8" w:space="0" w:color="auto"/>
              <w:bottom w:val="single" w:sz="8" w:space="0" w:color="auto"/>
            </w:tcBorders>
            <w:tcMar>
              <w:left w:w="28" w:type="dxa"/>
              <w:right w:w="28" w:type="dxa"/>
            </w:tcMar>
          </w:tcPr>
          <w:p w14:paraId="4676C00F"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bottom w:val="single" w:sz="8" w:space="0" w:color="auto"/>
            </w:tcBorders>
            <w:tcMar>
              <w:left w:w="28" w:type="dxa"/>
              <w:right w:w="28" w:type="dxa"/>
            </w:tcMar>
          </w:tcPr>
          <w:p w14:paraId="54B2C954"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vAlign w:val="center"/>
          </w:tcPr>
          <w:p w14:paraId="69E27919" w14:textId="77777777" w:rsidR="00FD3B24" w:rsidRPr="0068236B" w:rsidRDefault="00FD3B24" w:rsidP="00377B68">
            <w:pPr>
              <w:spacing w:before="0" w:after="0" w:line="240" w:lineRule="auto"/>
              <w:jc w:val="center"/>
              <w:rPr>
                <w:rFonts w:cs="Tahoma"/>
                <w:sz w:val="20"/>
                <w:szCs w:val="20"/>
              </w:rPr>
            </w:pPr>
          </w:p>
        </w:tc>
        <w:tc>
          <w:tcPr>
            <w:tcW w:w="567" w:type="dxa"/>
            <w:tcBorders>
              <w:top w:val="single" w:sz="8" w:space="0" w:color="auto"/>
              <w:bottom w:val="single" w:sz="8" w:space="0" w:color="auto"/>
            </w:tcBorders>
            <w:tcMar>
              <w:left w:w="28" w:type="dxa"/>
              <w:right w:w="28" w:type="dxa"/>
            </w:tcMar>
            <w:vAlign w:val="center"/>
          </w:tcPr>
          <w:p w14:paraId="304CAF44" w14:textId="77777777" w:rsidR="00FD3B24" w:rsidRPr="0068236B" w:rsidRDefault="00FD3B24" w:rsidP="00377B68">
            <w:pPr>
              <w:spacing w:before="0" w:after="0" w:line="240" w:lineRule="auto"/>
              <w:jc w:val="center"/>
              <w:rPr>
                <w:rFonts w:cs="Tahoma"/>
                <w:sz w:val="20"/>
                <w:szCs w:val="20"/>
              </w:rPr>
            </w:pPr>
          </w:p>
        </w:tc>
        <w:tc>
          <w:tcPr>
            <w:tcW w:w="567" w:type="dxa"/>
            <w:gridSpan w:val="2"/>
            <w:tcBorders>
              <w:top w:val="single" w:sz="8" w:space="0" w:color="auto"/>
              <w:bottom w:val="single" w:sz="8" w:space="0" w:color="auto"/>
            </w:tcBorders>
            <w:tcMar>
              <w:left w:w="28" w:type="dxa"/>
              <w:right w:w="28" w:type="dxa"/>
            </w:tcMar>
            <w:vAlign w:val="center"/>
          </w:tcPr>
          <w:p w14:paraId="08EC8EDC"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r w:rsidR="00FD3B24" w:rsidRPr="0068236B" w14:paraId="6B60735F" w14:textId="77777777" w:rsidTr="00FD3B24">
        <w:trPr>
          <w:trHeight w:val="227"/>
        </w:trPr>
        <w:tc>
          <w:tcPr>
            <w:tcW w:w="3005" w:type="dxa"/>
            <w:tcBorders>
              <w:top w:val="single" w:sz="8" w:space="0" w:color="auto"/>
              <w:bottom w:val="single" w:sz="8" w:space="0" w:color="auto"/>
            </w:tcBorders>
            <w:noWrap/>
            <w:tcMar>
              <w:left w:w="28" w:type="dxa"/>
              <w:right w:w="28" w:type="dxa"/>
            </w:tcMar>
            <w:vAlign w:val="center"/>
            <w:hideMark/>
          </w:tcPr>
          <w:p w14:paraId="5BB7CB70"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Clematis flammula</w:t>
            </w:r>
          </w:p>
        </w:tc>
        <w:tc>
          <w:tcPr>
            <w:tcW w:w="1919" w:type="dxa"/>
            <w:tcBorders>
              <w:top w:val="single" w:sz="8" w:space="0" w:color="auto"/>
              <w:bottom w:val="single" w:sz="8" w:space="0" w:color="auto"/>
            </w:tcBorders>
            <w:tcMar>
              <w:left w:w="28" w:type="dxa"/>
              <w:right w:w="28" w:type="dxa"/>
            </w:tcMar>
          </w:tcPr>
          <w:p w14:paraId="35047FA6"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bottom w:val="single" w:sz="8" w:space="0" w:color="auto"/>
            </w:tcBorders>
            <w:tcMar>
              <w:left w:w="28" w:type="dxa"/>
              <w:right w:w="28" w:type="dxa"/>
            </w:tcMar>
          </w:tcPr>
          <w:p w14:paraId="08A1D5BB"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tcPr>
          <w:p w14:paraId="439112EB"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tcPr>
          <w:p w14:paraId="2F8F8CC0"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Borders>
              <w:top w:val="single" w:sz="8" w:space="0" w:color="auto"/>
              <w:bottom w:val="single" w:sz="8" w:space="0" w:color="auto"/>
            </w:tcBorders>
            <w:tcMar>
              <w:left w:w="28" w:type="dxa"/>
              <w:right w:w="28" w:type="dxa"/>
            </w:tcMar>
          </w:tcPr>
          <w:p w14:paraId="31177140"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r w:rsidR="00FD3B24" w:rsidRPr="0068236B" w14:paraId="0B892091" w14:textId="77777777" w:rsidTr="00FD3B24">
        <w:trPr>
          <w:trHeight w:val="227"/>
        </w:trPr>
        <w:tc>
          <w:tcPr>
            <w:tcW w:w="3005" w:type="dxa"/>
            <w:tcBorders>
              <w:top w:val="single" w:sz="8" w:space="0" w:color="auto"/>
              <w:bottom w:val="single" w:sz="8" w:space="0" w:color="auto"/>
            </w:tcBorders>
            <w:noWrap/>
            <w:tcMar>
              <w:left w:w="28" w:type="dxa"/>
              <w:right w:w="28" w:type="dxa"/>
            </w:tcMar>
            <w:vAlign w:val="center"/>
            <w:hideMark/>
          </w:tcPr>
          <w:p w14:paraId="6E36FC85"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Clematis vitalba</w:t>
            </w:r>
          </w:p>
        </w:tc>
        <w:tc>
          <w:tcPr>
            <w:tcW w:w="1919" w:type="dxa"/>
            <w:tcBorders>
              <w:top w:val="single" w:sz="8" w:space="0" w:color="auto"/>
              <w:bottom w:val="single" w:sz="8" w:space="0" w:color="auto"/>
            </w:tcBorders>
            <w:tcMar>
              <w:left w:w="28" w:type="dxa"/>
              <w:right w:w="28" w:type="dxa"/>
            </w:tcMar>
          </w:tcPr>
          <w:p w14:paraId="4E8261A4"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bottom w:val="single" w:sz="8" w:space="0" w:color="auto"/>
            </w:tcBorders>
            <w:tcMar>
              <w:left w:w="28" w:type="dxa"/>
              <w:right w:w="28" w:type="dxa"/>
            </w:tcMar>
          </w:tcPr>
          <w:p w14:paraId="7AE8BCFF"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tcPr>
          <w:p w14:paraId="4DA77C78" w14:textId="77777777" w:rsidR="00FD3B24" w:rsidRPr="0068236B" w:rsidRDefault="00FD3B24" w:rsidP="00377B68">
            <w:pPr>
              <w:spacing w:before="0" w:after="0" w:line="240" w:lineRule="auto"/>
              <w:jc w:val="center"/>
              <w:rPr>
                <w:rFonts w:cs="Tahoma"/>
                <w:sz w:val="20"/>
                <w:szCs w:val="20"/>
              </w:rPr>
            </w:pPr>
          </w:p>
        </w:tc>
        <w:tc>
          <w:tcPr>
            <w:tcW w:w="567" w:type="dxa"/>
            <w:tcBorders>
              <w:top w:val="single" w:sz="8" w:space="0" w:color="auto"/>
              <w:bottom w:val="single" w:sz="8" w:space="0" w:color="auto"/>
            </w:tcBorders>
            <w:tcMar>
              <w:left w:w="28" w:type="dxa"/>
              <w:right w:w="28" w:type="dxa"/>
            </w:tcMar>
          </w:tcPr>
          <w:p w14:paraId="2D5EEEC5" w14:textId="77777777" w:rsidR="00FD3B24" w:rsidRPr="0068236B" w:rsidRDefault="00FD3B24" w:rsidP="00377B68">
            <w:pPr>
              <w:spacing w:before="0" w:after="0" w:line="240" w:lineRule="auto"/>
              <w:jc w:val="center"/>
              <w:rPr>
                <w:rFonts w:cs="Tahoma"/>
                <w:sz w:val="20"/>
                <w:szCs w:val="20"/>
              </w:rPr>
            </w:pPr>
          </w:p>
        </w:tc>
        <w:tc>
          <w:tcPr>
            <w:tcW w:w="567" w:type="dxa"/>
            <w:gridSpan w:val="2"/>
            <w:tcBorders>
              <w:top w:val="single" w:sz="8" w:space="0" w:color="auto"/>
              <w:bottom w:val="single" w:sz="8" w:space="0" w:color="auto"/>
            </w:tcBorders>
            <w:tcMar>
              <w:left w:w="28" w:type="dxa"/>
              <w:right w:w="28" w:type="dxa"/>
            </w:tcMar>
          </w:tcPr>
          <w:p w14:paraId="2DFAD9FA"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r w:rsidR="00FD3B24" w:rsidRPr="0068236B" w14:paraId="14257C80" w14:textId="77777777" w:rsidTr="00FD3B24">
        <w:trPr>
          <w:trHeight w:val="227"/>
        </w:trPr>
        <w:tc>
          <w:tcPr>
            <w:tcW w:w="3005" w:type="dxa"/>
            <w:tcBorders>
              <w:top w:val="single" w:sz="8" w:space="0" w:color="auto"/>
              <w:bottom w:val="single" w:sz="8" w:space="0" w:color="auto"/>
            </w:tcBorders>
            <w:noWrap/>
            <w:tcMar>
              <w:left w:w="28" w:type="dxa"/>
              <w:right w:w="28" w:type="dxa"/>
            </w:tcMar>
            <w:vAlign w:val="center"/>
            <w:hideMark/>
          </w:tcPr>
          <w:p w14:paraId="26B31EDD"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Convolvulus arvensis</w:t>
            </w:r>
          </w:p>
        </w:tc>
        <w:tc>
          <w:tcPr>
            <w:tcW w:w="1919" w:type="dxa"/>
            <w:tcBorders>
              <w:top w:val="single" w:sz="8" w:space="0" w:color="auto"/>
              <w:bottom w:val="single" w:sz="8" w:space="0" w:color="auto"/>
            </w:tcBorders>
            <w:tcMar>
              <w:left w:w="28" w:type="dxa"/>
              <w:right w:w="28" w:type="dxa"/>
            </w:tcMar>
          </w:tcPr>
          <w:p w14:paraId="40B3C300"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bottom w:val="single" w:sz="8" w:space="0" w:color="auto"/>
            </w:tcBorders>
            <w:tcMar>
              <w:left w:w="28" w:type="dxa"/>
              <w:right w:w="28" w:type="dxa"/>
            </w:tcMar>
          </w:tcPr>
          <w:p w14:paraId="4B4CB21D"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tcPr>
          <w:p w14:paraId="5859D794"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tcPr>
          <w:p w14:paraId="09B028D4"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Borders>
              <w:top w:val="single" w:sz="8" w:space="0" w:color="auto"/>
              <w:bottom w:val="single" w:sz="8" w:space="0" w:color="auto"/>
            </w:tcBorders>
            <w:tcMar>
              <w:left w:w="28" w:type="dxa"/>
              <w:right w:w="28" w:type="dxa"/>
            </w:tcMar>
          </w:tcPr>
          <w:p w14:paraId="461AFB3F"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r w:rsidR="00FD3B24" w:rsidRPr="0068236B" w14:paraId="11D78DD2" w14:textId="77777777" w:rsidTr="00FD3B24">
        <w:trPr>
          <w:trHeight w:val="227"/>
        </w:trPr>
        <w:tc>
          <w:tcPr>
            <w:tcW w:w="3005" w:type="dxa"/>
            <w:noWrap/>
            <w:tcMar>
              <w:left w:w="28" w:type="dxa"/>
              <w:right w:w="28" w:type="dxa"/>
            </w:tcMar>
            <w:vAlign w:val="center"/>
            <w:hideMark/>
          </w:tcPr>
          <w:p w14:paraId="7D260174" w14:textId="77777777" w:rsidR="00FD3B24" w:rsidRPr="0068236B" w:rsidRDefault="00FD3B24" w:rsidP="00377B68">
            <w:pPr>
              <w:spacing w:before="0" w:after="0" w:line="240" w:lineRule="auto"/>
              <w:jc w:val="left"/>
              <w:rPr>
                <w:rFonts w:cs="Tahoma"/>
                <w:sz w:val="20"/>
                <w:szCs w:val="20"/>
              </w:rPr>
            </w:pPr>
            <w:r w:rsidRPr="0068236B">
              <w:rPr>
                <w:rFonts w:cs="Tahoma"/>
                <w:i/>
                <w:sz w:val="20"/>
                <w:szCs w:val="20"/>
              </w:rPr>
              <w:t>Fraxinus ornus</w:t>
            </w:r>
          </w:p>
        </w:tc>
        <w:tc>
          <w:tcPr>
            <w:tcW w:w="1919" w:type="dxa"/>
            <w:tcMar>
              <w:left w:w="28" w:type="dxa"/>
              <w:right w:w="28" w:type="dxa"/>
            </w:tcMar>
          </w:tcPr>
          <w:p w14:paraId="3612BFDE"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Mar>
              <w:left w:w="28" w:type="dxa"/>
              <w:right w:w="28" w:type="dxa"/>
            </w:tcMar>
          </w:tcPr>
          <w:p w14:paraId="085783BD"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Mar>
              <w:left w:w="28" w:type="dxa"/>
              <w:right w:w="28" w:type="dxa"/>
            </w:tcMar>
          </w:tcPr>
          <w:p w14:paraId="2065A634"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Mar>
              <w:left w:w="28" w:type="dxa"/>
              <w:right w:w="28" w:type="dxa"/>
            </w:tcMar>
          </w:tcPr>
          <w:p w14:paraId="76A5E9BC"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Mar>
              <w:left w:w="28" w:type="dxa"/>
              <w:right w:w="28" w:type="dxa"/>
            </w:tcMar>
          </w:tcPr>
          <w:p w14:paraId="5604D120"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r w:rsidR="00FD3B24" w:rsidRPr="0068236B" w14:paraId="73860902" w14:textId="77777777" w:rsidTr="00FD3B24">
        <w:trPr>
          <w:trHeight w:val="227"/>
        </w:trPr>
        <w:tc>
          <w:tcPr>
            <w:tcW w:w="3005" w:type="dxa"/>
            <w:tcBorders>
              <w:top w:val="single" w:sz="8" w:space="0" w:color="auto"/>
              <w:bottom w:val="single" w:sz="8" w:space="0" w:color="auto"/>
            </w:tcBorders>
            <w:noWrap/>
            <w:tcMar>
              <w:left w:w="28" w:type="dxa"/>
              <w:right w:w="28" w:type="dxa"/>
            </w:tcMar>
            <w:vAlign w:val="center"/>
            <w:hideMark/>
          </w:tcPr>
          <w:p w14:paraId="156878EC"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Humulus lupulus</w:t>
            </w:r>
          </w:p>
        </w:tc>
        <w:tc>
          <w:tcPr>
            <w:tcW w:w="1919" w:type="dxa"/>
            <w:tcBorders>
              <w:top w:val="single" w:sz="8" w:space="0" w:color="auto"/>
              <w:bottom w:val="single" w:sz="8" w:space="0" w:color="auto"/>
            </w:tcBorders>
            <w:tcMar>
              <w:left w:w="28" w:type="dxa"/>
              <w:right w:w="28" w:type="dxa"/>
            </w:tcMar>
          </w:tcPr>
          <w:p w14:paraId="63F3C216"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bottom w:val="single" w:sz="8" w:space="0" w:color="auto"/>
            </w:tcBorders>
            <w:tcMar>
              <w:left w:w="28" w:type="dxa"/>
              <w:right w:w="28" w:type="dxa"/>
            </w:tcMar>
          </w:tcPr>
          <w:p w14:paraId="1969A35B"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vAlign w:val="center"/>
          </w:tcPr>
          <w:p w14:paraId="04AC99FA" w14:textId="77777777" w:rsidR="00FD3B24" w:rsidRPr="0068236B" w:rsidRDefault="00FD3B24" w:rsidP="00377B68">
            <w:pPr>
              <w:spacing w:before="0" w:after="0" w:line="240" w:lineRule="auto"/>
              <w:jc w:val="center"/>
              <w:rPr>
                <w:rFonts w:cs="Tahoma"/>
                <w:sz w:val="20"/>
                <w:szCs w:val="20"/>
              </w:rPr>
            </w:pPr>
          </w:p>
        </w:tc>
        <w:tc>
          <w:tcPr>
            <w:tcW w:w="567" w:type="dxa"/>
            <w:tcBorders>
              <w:top w:val="single" w:sz="8" w:space="0" w:color="auto"/>
              <w:bottom w:val="single" w:sz="8" w:space="0" w:color="auto"/>
            </w:tcBorders>
            <w:tcMar>
              <w:left w:w="28" w:type="dxa"/>
              <w:right w:w="28" w:type="dxa"/>
            </w:tcMar>
          </w:tcPr>
          <w:p w14:paraId="6C9BBCF9"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Borders>
              <w:top w:val="single" w:sz="8" w:space="0" w:color="auto"/>
              <w:bottom w:val="single" w:sz="8" w:space="0" w:color="auto"/>
            </w:tcBorders>
            <w:tcMar>
              <w:left w:w="28" w:type="dxa"/>
              <w:right w:w="28" w:type="dxa"/>
            </w:tcMar>
            <w:vAlign w:val="center"/>
          </w:tcPr>
          <w:p w14:paraId="2DAD7C4B"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r w:rsidR="00FD3B24" w:rsidRPr="0068236B" w14:paraId="47169E57" w14:textId="77777777" w:rsidTr="00FD3B24">
        <w:trPr>
          <w:trHeight w:val="227"/>
        </w:trPr>
        <w:tc>
          <w:tcPr>
            <w:tcW w:w="3005" w:type="dxa"/>
            <w:tcBorders>
              <w:top w:val="single" w:sz="8" w:space="0" w:color="auto"/>
              <w:bottom w:val="single" w:sz="8" w:space="0" w:color="auto"/>
            </w:tcBorders>
            <w:noWrap/>
            <w:tcMar>
              <w:left w:w="28" w:type="dxa"/>
              <w:right w:w="28" w:type="dxa"/>
            </w:tcMar>
            <w:vAlign w:val="center"/>
            <w:hideMark/>
          </w:tcPr>
          <w:p w14:paraId="781481AB"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Lonicera etrusca</w:t>
            </w:r>
          </w:p>
        </w:tc>
        <w:tc>
          <w:tcPr>
            <w:tcW w:w="1919" w:type="dxa"/>
            <w:tcBorders>
              <w:top w:val="single" w:sz="8" w:space="0" w:color="auto"/>
              <w:bottom w:val="single" w:sz="8" w:space="0" w:color="auto"/>
            </w:tcBorders>
            <w:tcMar>
              <w:left w:w="28" w:type="dxa"/>
              <w:right w:w="28" w:type="dxa"/>
            </w:tcMar>
          </w:tcPr>
          <w:p w14:paraId="45BF6532"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bottom w:val="single" w:sz="8" w:space="0" w:color="auto"/>
            </w:tcBorders>
            <w:tcMar>
              <w:left w:w="28" w:type="dxa"/>
              <w:right w:w="28" w:type="dxa"/>
            </w:tcMar>
          </w:tcPr>
          <w:p w14:paraId="5A9A148A"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vAlign w:val="center"/>
          </w:tcPr>
          <w:p w14:paraId="6412E91E" w14:textId="77777777" w:rsidR="00FD3B24" w:rsidRPr="0068236B" w:rsidRDefault="00FD3B24" w:rsidP="00377B68">
            <w:pPr>
              <w:spacing w:before="0" w:after="0" w:line="240" w:lineRule="auto"/>
              <w:jc w:val="center"/>
              <w:rPr>
                <w:rFonts w:cs="Tahoma"/>
                <w:sz w:val="20"/>
                <w:szCs w:val="20"/>
              </w:rPr>
            </w:pPr>
          </w:p>
        </w:tc>
        <w:tc>
          <w:tcPr>
            <w:tcW w:w="567" w:type="dxa"/>
            <w:tcBorders>
              <w:top w:val="single" w:sz="8" w:space="0" w:color="auto"/>
              <w:bottom w:val="single" w:sz="8" w:space="0" w:color="auto"/>
            </w:tcBorders>
            <w:tcMar>
              <w:left w:w="28" w:type="dxa"/>
              <w:right w:w="28" w:type="dxa"/>
            </w:tcMar>
            <w:vAlign w:val="center"/>
          </w:tcPr>
          <w:p w14:paraId="44860ED2" w14:textId="77777777" w:rsidR="00FD3B24" w:rsidRPr="0068236B" w:rsidRDefault="00FD3B24" w:rsidP="00377B68">
            <w:pPr>
              <w:spacing w:before="0" w:after="0" w:line="240" w:lineRule="auto"/>
              <w:jc w:val="center"/>
              <w:rPr>
                <w:rFonts w:cs="Tahoma"/>
                <w:sz w:val="20"/>
                <w:szCs w:val="20"/>
              </w:rPr>
            </w:pPr>
          </w:p>
        </w:tc>
        <w:tc>
          <w:tcPr>
            <w:tcW w:w="567" w:type="dxa"/>
            <w:gridSpan w:val="2"/>
            <w:tcBorders>
              <w:top w:val="single" w:sz="8" w:space="0" w:color="auto"/>
              <w:bottom w:val="single" w:sz="8" w:space="0" w:color="auto"/>
            </w:tcBorders>
            <w:tcMar>
              <w:left w:w="28" w:type="dxa"/>
              <w:right w:w="28" w:type="dxa"/>
            </w:tcMar>
            <w:vAlign w:val="center"/>
          </w:tcPr>
          <w:p w14:paraId="65F36FD8"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r w:rsidR="00FD3B24" w:rsidRPr="0068236B" w14:paraId="6BD48E5A" w14:textId="77777777" w:rsidTr="00FD3B24">
        <w:trPr>
          <w:trHeight w:val="227"/>
        </w:trPr>
        <w:tc>
          <w:tcPr>
            <w:tcW w:w="3005" w:type="dxa"/>
            <w:tcBorders>
              <w:top w:val="single" w:sz="8" w:space="0" w:color="auto"/>
              <w:bottom w:val="single" w:sz="8" w:space="0" w:color="auto"/>
            </w:tcBorders>
            <w:noWrap/>
            <w:tcMar>
              <w:left w:w="28" w:type="dxa"/>
              <w:right w:w="28" w:type="dxa"/>
            </w:tcMar>
            <w:vAlign w:val="center"/>
            <w:hideMark/>
          </w:tcPr>
          <w:p w14:paraId="49C54686"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Lythrum salicaria</w:t>
            </w:r>
          </w:p>
        </w:tc>
        <w:tc>
          <w:tcPr>
            <w:tcW w:w="1919" w:type="dxa"/>
            <w:tcBorders>
              <w:top w:val="single" w:sz="8" w:space="0" w:color="auto"/>
              <w:bottom w:val="single" w:sz="8" w:space="0" w:color="auto"/>
            </w:tcBorders>
            <w:tcMar>
              <w:left w:w="28" w:type="dxa"/>
              <w:right w:w="28" w:type="dxa"/>
            </w:tcMar>
          </w:tcPr>
          <w:p w14:paraId="302F5122"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bottom w:val="single" w:sz="8" w:space="0" w:color="auto"/>
            </w:tcBorders>
            <w:tcMar>
              <w:left w:w="28" w:type="dxa"/>
              <w:right w:w="28" w:type="dxa"/>
            </w:tcMar>
          </w:tcPr>
          <w:p w14:paraId="22483FA6"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vAlign w:val="center"/>
          </w:tcPr>
          <w:p w14:paraId="48BE82EB" w14:textId="77777777" w:rsidR="00FD3B24" w:rsidRPr="0068236B" w:rsidRDefault="00FD3B24" w:rsidP="00377B68">
            <w:pPr>
              <w:spacing w:before="0" w:after="0" w:line="240" w:lineRule="auto"/>
              <w:jc w:val="center"/>
              <w:rPr>
                <w:rFonts w:cs="Tahoma"/>
                <w:sz w:val="20"/>
                <w:szCs w:val="20"/>
              </w:rPr>
            </w:pPr>
          </w:p>
        </w:tc>
        <w:tc>
          <w:tcPr>
            <w:tcW w:w="567" w:type="dxa"/>
            <w:tcBorders>
              <w:top w:val="single" w:sz="8" w:space="0" w:color="auto"/>
              <w:bottom w:val="single" w:sz="8" w:space="0" w:color="auto"/>
            </w:tcBorders>
            <w:tcMar>
              <w:left w:w="28" w:type="dxa"/>
              <w:right w:w="28" w:type="dxa"/>
            </w:tcMar>
            <w:vAlign w:val="center"/>
          </w:tcPr>
          <w:p w14:paraId="4FB15360"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Borders>
              <w:top w:val="single" w:sz="8" w:space="0" w:color="auto"/>
              <w:bottom w:val="single" w:sz="8" w:space="0" w:color="auto"/>
            </w:tcBorders>
            <w:tcMar>
              <w:left w:w="28" w:type="dxa"/>
              <w:right w:w="28" w:type="dxa"/>
            </w:tcMar>
            <w:vAlign w:val="center"/>
          </w:tcPr>
          <w:p w14:paraId="60D87A31"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r w:rsidR="00FD3B24" w:rsidRPr="0068236B" w14:paraId="016FBA89" w14:textId="77777777" w:rsidTr="00FD3B24">
        <w:trPr>
          <w:trHeight w:val="227"/>
        </w:trPr>
        <w:tc>
          <w:tcPr>
            <w:tcW w:w="3005" w:type="dxa"/>
            <w:tcBorders>
              <w:top w:val="single" w:sz="8" w:space="0" w:color="auto"/>
              <w:bottom w:val="single" w:sz="8" w:space="0" w:color="auto"/>
            </w:tcBorders>
            <w:noWrap/>
            <w:tcMar>
              <w:left w:w="28" w:type="dxa"/>
              <w:right w:w="28" w:type="dxa"/>
            </w:tcMar>
            <w:vAlign w:val="center"/>
            <w:hideMark/>
          </w:tcPr>
          <w:p w14:paraId="546609C1"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Malva sylvestris</w:t>
            </w:r>
          </w:p>
        </w:tc>
        <w:tc>
          <w:tcPr>
            <w:tcW w:w="1919" w:type="dxa"/>
            <w:tcBorders>
              <w:top w:val="single" w:sz="8" w:space="0" w:color="auto"/>
              <w:bottom w:val="single" w:sz="8" w:space="0" w:color="auto"/>
            </w:tcBorders>
            <w:tcMar>
              <w:left w:w="28" w:type="dxa"/>
              <w:right w:w="28" w:type="dxa"/>
            </w:tcMar>
          </w:tcPr>
          <w:p w14:paraId="69912314"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bottom w:val="single" w:sz="8" w:space="0" w:color="auto"/>
            </w:tcBorders>
            <w:tcMar>
              <w:left w:w="28" w:type="dxa"/>
              <w:right w:w="28" w:type="dxa"/>
            </w:tcMar>
          </w:tcPr>
          <w:p w14:paraId="7FFB9AAA" w14:textId="77777777" w:rsidR="00FD3B24" w:rsidRPr="0068236B" w:rsidRDefault="00FD3B24" w:rsidP="00377B68">
            <w:pPr>
              <w:spacing w:before="0" w:after="0" w:line="240" w:lineRule="auto"/>
              <w:jc w:val="center"/>
              <w:rPr>
                <w:rFonts w:cs="Tahoma"/>
                <w:sz w:val="20"/>
                <w:szCs w:val="20"/>
              </w:rPr>
            </w:pPr>
          </w:p>
        </w:tc>
        <w:tc>
          <w:tcPr>
            <w:tcW w:w="567" w:type="dxa"/>
            <w:tcBorders>
              <w:top w:val="single" w:sz="8" w:space="0" w:color="auto"/>
              <w:bottom w:val="single" w:sz="8" w:space="0" w:color="auto"/>
            </w:tcBorders>
            <w:tcMar>
              <w:left w:w="28" w:type="dxa"/>
              <w:right w:w="28" w:type="dxa"/>
            </w:tcMar>
          </w:tcPr>
          <w:p w14:paraId="72697B3E"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tcPr>
          <w:p w14:paraId="53A9F3BB"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Borders>
              <w:top w:val="single" w:sz="8" w:space="0" w:color="auto"/>
              <w:bottom w:val="single" w:sz="8" w:space="0" w:color="auto"/>
            </w:tcBorders>
            <w:tcMar>
              <w:left w:w="28" w:type="dxa"/>
              <w:right w:w="28" w:type="dxa"/>
            </w:tcMar>
          </w:tcPr>
          <w:p w14:paraId="39F830AA"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r w:rsidR="00FD3B24" w:rsidRPr="0068236B" w14:paraId="4221E404" w14:textId="77777777" w:rsidTr="00FD3B24">
        <w:trPr>
          <w:trHeight w:val="227"/>
        </w:trPr>
        <w:tc>
          <w:tcPr>
            <w:tcW w:w="3005" w:type="dxa"/>
            <w:tcBorders>
              <w:top w:val="single" w:sz="8" w:space="0" w:color="auto"/>
            </w:tcBorders>
            <w:noWrap/>
            <w:tcMar>
              <w:left w:w="28" w:type="dxa"/>
              <w:right w:w="28" w:type="dxa"/>
            </w:tcMar>
            <w:vAlign w:val="center"/>
            <w:hideMark/>
          </w:tcPr>
          <w:p w14:paraId="3653C5E7" w14:textId="77777777" w:rsidR="00FD3B24" w:rsidRPr="0068236B" w:rsidRDefault="00FD3B24" w:rsidP="00377B68">
            <w:pPr>
              <w:spacing w:before="0" w:after="0" w:line="240" w:lineRule="auto"/>
              <w:jc w:val="left"/>
              <w:rPr>
                <w:rFonts w:cs="Tahoma"/>
                <w:sz w:val="20"/>
                <w:szCs w:val="20"/>
              </w:rPr>
            </w:pPr>
            <w:r w:rsidRPr="0068236B">
              <w:rPr>
                <w:rFonts w:cs="Tahoma"/>
                <w:i/>
                <w:sz w:val="20"/>
                <w:szCs w:val="20"/>
              </w:rPr>
              <w:t>Paliurus spina-christi</w:t>
            </w:r>
          </w:p>
        </w:tc>
        <w:tc>
          <w:tcPr>
            <w:tcW w:w="1919" w:type="dxa"/>
            <w:tcBorders>
              <w:top w:val="single" w:sz="8" w:space="0" w:color="auto"/>
            </w:tcBorders>
            <w:tcMar>
              <w:left w:w="28" w:type="dxa"/>
              <w:right w:w="28" w:type="dxa"/>
            </w:tcMar>
          </w:tcPr>
          <w:p w14:paraId="46DC083C"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tcBorders>
            <w:tcMar>
              <w:left w:w="28" w:type="dxa"/>
              <w:right w:w="28" w:type="dxa"/>
            </w:tcMar>
          </w:tcPr>
          <w:p w14:paraId="0234B886"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tcBorders>
            <w:tcMar>
              <w:left w:w="28" w:type="dxa"/>
              <w:right w:w="28" w:type="dxa"/>
            </w:tcMar>
            <w:vAlign w:val="center"/>
          </w:tcPr>
          <w:p w14:paraId="3B978E2C"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tcBorders>
            <w:tcMar>
              <w:left w:w="28" w:type="dxa"/>
              <w:right w:w="28" w:type="dxa"/>
            </w:tcMar>
            <w:vAlign w:val="center"/>
          </w:tcPr>
          <w:p w14:paraId="40360F3E"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Borders>
              <w:top w:val="single" w:sz="8" w:space="0" w:color="auto"/>
            </w:tcBorders>
            <w:tcMar>
              <w:left w:w="28" w:type="dxa"/>
              <w:right w:w="28" w:type="dxa"/>
            </w:tcMar>
            <w:vAlign w:val="center"/>
          </w:tcPr>
          <w:p w14:paraId="74F3A585"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r w:rsidR="00FD3B24" w:rsidRPr="0068236B" w14:paraId="603F260F" w14:textId="77777777" w:rsidTr="00FD3B24">
        <w:trPr>
          <w:trHeight w:val="227"/>
        </w:trPr>
        <w:tc>
          <w:tcPr>
            <w:tcW w:w="3005" w:type="dxa"/>
            <w:tcBorders>
              <w:top w:val="single" w:sz="8" w:space="0" w:color="auto"/>
              <w:bottom w:val="single" w:sz="8" w:space="0" w:color="auto"/>
            </w:tcBorders>
            <w:noWrap/>
            <w:tcMar>
              <w:left w:w="28" w:type="dxa"/>
              <w:right w:w="28" w:type="dxa"/>
            </w:tcMar>
            <w:vAlign w:val="center"/>
            <w:hideMark/>
          </w:tcPr>
          <w:p w14:paraId="29353B4E"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Phragmites australis</w:t>
            </w:r>
          </w:p>
        </w:tc>
        <w:tc>
          <w:tcPr>
            <w:tcW w:w="1919" w:type="dxa"/>
            <w:tcBorders>
              <w:top w:val="single" w:sz="8" w:space="0" w:color="auto"/>
              <w:bottom w:val="single" w:sz="8" w:space="0" w:color="auto"/>
            </w:tcBorders>
            <w:tcMar>
              <w:left w:w="28" w:type="dxa"/>
              <w:right w:w="28" w:type="dxa"/>
            </w:tcMar>
          </w:tcPr>
          <w:p w14:paraId="7A30EE9B"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bottom w:val="single" w:sz="8" w:space="0" w:color="auto"/>
            </w:tcBorders>
            <w:tcMar>
              <w:left w:w="28" w:type="dxa"/>
              <w:right w:w="28" w:type="dxa"/>
            </w:tcMar>
          </w:tcPr>
          <w:p w14:paraId="423EB741"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vAlign w:val="center"/>
          </w:tcPr>
          <w:p w14:paraId="7B0917B2" w14:textId="77777777" w:rsidR="00FD3B24" w:rsidRPr="0068236B" w:rsidRDefault="00FD3B24" w:rsidP="00377B68">
            <w:pPr>
              <w:spacing w:before="0" w:after="0" w:line="240" w:lineRule="auto"/>
              <w:jc w:val="center"/>
              <w:rPr>
                <w:rFonts w:cs="Tahoma"/>
                <w:sz w:val="20"/>
                <w:szCs w:val="20"/>
              </w:rPr>
            </w:pPr>
          </w:p>
        </w:tc>
        <w:tc>
          <w:tcPr>
            <w:tcW w:w="567" w:type="dxa"/>
            <w:tcBorders>
              <w:top w:val="single" w:sz="8" w:space="0" w:color="auto"/>
              <w:bottom w:val="single" w:sz="8" w:space="0" w:color="auto"/>
            </w:tcBorders>
            <w:tcMar>
              <w:left w:w="28" w:type="dxa"/>
              <w:right w:w="28" w:type="dxa"/>
            </w:tcMar>
          </w:tcPr>
          <w:p w14:paraId="26DEF4C3"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Borders>
              <w:top w:val="single" w:sz="8" w:space="0" w:color="auto"/>
              <w:bottom w:val="single" w:sz="8" w:space="0" w:color="auto"/>
            </w:tcBorders>
            <w:tcMar>
              <w:left w:w="28" w:type="dxa"/>
              <w:right w:w="28" w:type="dxa"/>
            </w:tcMar>
            <w:vAlign w:val="center"/>
          </w:tcPr>
          <w:p w14:paraId="5260A24C"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r w:rsidR="00FD3B24" w:rsidRPr="0068236B" w14:paraId="08CA4ED9" w14:textId="77777777" w:rsidTr="00FD3B24">
        <w:trPr>
          <w:trHeight w:val="227"/>
        </w:trPr>
        <w:tc>
          <w:tcPr>
            <w:tcW w:w="3005" w:type="dxa"/>
            <w:noWrap/>
            <w:tcMar>
              <w:left w:w="28" w:type="dxa"/>
              <w:right w:w="28" w:type="dxa"/>
            </w:tcMar>
            <w:vAlign w:val="center"/>
            <w:hideMark/>
          </w:tcPr>
          <w:p w14:paraId="71A3EF3A" w14:textId="77777777" w:rsidR="00FD3B24" w:rsidRPr="0068236B" w:rsidRDefault="00FD3B24" w:rsidP="00377B68">
            <w:pPr>
              <w:spacing w:before="0" w:after="0" w:line="240" w:lineRule="auto"/>
              <w:jc w:val="left"/>
              <w:rPr>
                <w:rFonts w:cs="Tahoma"/>
                <w:sz w:val="20"/>
                <w:szCs w:val="20"/>
                <w:lang w:eastAsia="mk-MK"/>
              </w:rPr>
            </w:pPr>
            <w:r w:rsidRPr="0068236B">
              <w:rPr>
                <w:rFonts w:cs="Tahoma"/>
                <w:i/>
                <w:sz w:val="20"/>
                <w:szCs w:val="20"/>
              </w:rPr>
              <w:t>Phyllirea media</w:t>
            </w:r>
          </w:p>
        </w:tc>
        <w:tc>
          <w:tcPr>
            <w:tcW w:w="1919" w:type="dxa"/>
            <w:tcMar>
              <w:left w:w="28" w:type="dxa"/>
              <w:right w:w="28" w:type="dxa"/>
            </w:tcMar>
          </w:tcPr>
          <w:p w14:paraId="391D85D9"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Mar>
              <w:left w:w="28" w:type="dxa"/>
              <w:right w:w="28" w:type="dxa"/>
            </w:tcMar>
          </w:tcPr>
          <w:p w14:paraId="3CA4A063"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Mar>
              <w:left w:w="28" w:type="dxa"/>
              <w:right w:w="28" w:type="dxa"/>
            </w:tcMar>
          </w:tcPr>
          <w:p w14:paraId="12A9C58B"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Mar>
              <w:left w:w="28" w:type="dxa"/>
              <w:right w:w="28" w:type="dxa"/>
            </w:tcMar>
          </w:tcPr>
          <w:p w14:paraId="160C153A"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Mar>
              <w:left w:w="28" w:type="dxa"/>
              <w:right w:w="28" w:type="dxa"/>
            </w:tcMar>
          </w:tcPr>
          <w:p w14:paraId="68972098"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r w:rsidR="00FD3B24" w:rsidRPr="0068236B" w14:paraId="5E5F857D" w14:textId="77777777" w:rsidTr="00FD3B24">
        <w:trPr>
          <w:trHeight w:val="227"/>
        </w:trPr>
        <w:tc>
          <w:tcPr>
            <w:tcW w:w="3005" w:type="dxa"/>
            <w:noWrap/>
            <w:tcMar>
              <w:left w:w="28" w:type="dxa"/>
              <w:right w:w="28" w:type="dxa"/>
            </w:tcMar>
            <w:vAlign w:val="center"/>
            <w:hideMark/>
          </w:tcPr>
          <w:p w14:paraId="543F9653" w14:textId="77777777" w:rsidR="00FD3B24" w:rsidRPr="0068236B" w:rsidRDefault="00FD3B24" w:rsidP="00377B68">
            <w:pPr>
              <w:spacing w:before="0" w:after="0" w:line="240" w:lineRule="auto"/>
              <w:jc w:val="left"/>
              <w:rPr>
                <w:rFonts w:cs="Tahoma"/>
                <w:sz w:val="20"/>
                <w:szCs w:val="20"/>
                <w:lang w:eastAsia="mk-MK"/>
              </w:rPr>
            </w:pPr>
            <w:r w:rsidRPr="0068236B">
              <w:rPr>
                <w:rFonts w:cs="Tahoma"/>
                <w:i/>
                <w:sz w:val="20"/>
                <w:szCs w:val="20"/>
              </w:rPr>
              <w:t>Platanus orientalis</w:t>
            </w:r>
          </w:p>
        </w:tc>
        <w:tc>
          <w:tcPr>
            <w:tcW w:w="1919" w:type="dxa"/>
            <w:tcMar>
              <w:left w:w="28" w:type="dxa"/>
              <w:right w:w="28" w:type="dxa"/>
            </w:tcMar>
          </w:tcPr>
          <w:p w14:paraId="2676D089"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Mar>
              <w:left w:w="28" w:type="dxa"/>
              <w:right w:w="28" w:type="dxa"/>
            </w:tcMar>
          </w:tcPr>
          <w:p w14:paraId="372ADE34"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Mar>
              <w:left w:w="28" w:type="dxa"/>
              <w:right w:w="28" w:type="dxa"/>
            </w:tcMar>
            <w:vAlign w:val="center"/>
          </w:tcPr>
          <w:p w14:paraId="029B40D8"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Mar>
              <w:left w:w="28" w:type="dxa"/>
              <w:right w:w="28" w:type="dxa"/>
            </w:tcMar>
            <w:vAlign w:val="center"/>
          </w:tcPr>
          <w:p w14:paraId="19134AAE" w14:textId="77777777" w:rsidR="00FD3B24" w:rsidRPr="0068236B" w:rsidRDefault="00FD3B24" w:rsidP="00377B68">
            <w:pPr>
              <w:spacing w:before="0" w:after="0" w:line="240" w:lineRule="auto"/>
              <w:jc w:val="center"/>
              <w:rPr>
                <w:rFonts w:cs="Tahoma"/>
                <w:sz w:val="20"/>
                <w:szCs w:val="20"/>
              </w:rPr>
            </w:pPr>
          </w:p>
        </w:tc>
        <w:tc>
          <w:tcPr>
            <w:tcW w:w="567" w:type="dxa"/>
            <w:gridSpan w:val="2"/>
            <w:tcMar>
              <w:left w:w="28" w:type="dxa"/>
              <w:right w:w="28" w:type="dxa"/>
            </w:tcMar>
            <w:vAlign w:val="center"/>
          </w:tcPr>
          <w:p w14:paraId="1424AF23" w14:textId="77777777" w:rsidR="00FD3B24" w:rsidRPr="0068236B" w:rsidRDefault="00FD3B24" w:rsidP="00377B68">
            <w:pPr>
              <w:spacing w:before="0" w:after="0" w:line="240" w:lineRule="auto"/>
              <w:jc w:val="center"/>
              <w:rPr>
                <w:rFonts w:cs="Tahoma"/>
                <w:sz w:val="20"/>
                <w:szCs w:val="20"/>
              </w:rPr>
            </w:pPr>
          </w:p>
        </w:tc>
      </w:tr>
      <w:tr w:rsidR="00FD3B24" w:rsidRPr="0068236B" w14:paraId="6E0FE98D" w14:textId="77777777" w:rsidTr="00FD3B24">
        <w:trPr>
          <w:trHeight w:val="227"/>
        </w:trPr>
        <w:tc>
          <w:tcPr>
            <w:tcW w:w="3005" w:type="dxa"/>
            <w:tcBorders>
              <w:top w:val="single" w:sz="8" w:space="0" w:color="auto"/>
              <w:bottom w:val="single" w:sz="8" w:space="0" w:color="auto"/>
            </w:tcBorders>
            <w:noWrap/>
            <w:tcMar>
              <w:left w:w="28" w:type="dxa"/>
              <w:right w:w="28" w:type="dxa"/>
            </w:tcMar>
            <w:vAlign w:val="center"/>
            <w:hideMark/>
          </w:tcPr>
          <w:p w14:paraId="1190F9F5"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Populus alba</w:t>
            </w:r>
          </w:p>
        </w:tc>
        <w:tc>
          <w:tcPr>
            <w:tcW w:w="1919" w:type="dxa"/>
            <w:tcBorders>
              <w:top w:val="single" w:sz="8" w:space="0" w:color="auto"/>
              <w:bottom w:val="single" w:sz="8" w:space="0" w:color="auto"/>
            </w:tcBorders>
            <w:tcMar>
              <w:left w:w="28" w:type="dxa"/>
              <w:right w:w="28" w:type="dxa"/>
            </w:tcMar>
          </w:tcPr>
          <w:p w14:paraId="01D1F4EA"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bottom w:val="single" w:sz="8" w:space="0" w:color="auto"/>
            </w:tcBorders>
            <w:tcMar>
              <w:left w:w="28" w:type="dxa"/>
              <w:right w:w="28" w:type="dxa"/>
            </w:tcMar>
          </w:tcPr>
          <w:p w14:paraId="6EAD5E5E"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vAlign w:val="center"/>
          </w:tcPr>
          <w:p w14:paraId="0C0A202F" w14:textId="77777777" w:rsidR="00FD3B24" w:rsidRPr="0068236B" w:rsidRDefault="00FD3B24" w:rsidP="00377B68">
            <w:pPr>
              <w:spacing w:before="0" w:after="0" w:line="240" w:lineRule="auto"/>
              <w:jc w:val="center"/>
              <w:rPr>
                <w:rFonts w:cs="Tahoma"/>
                <w:sz w:val="20"/>
                <w:szCs w:val="20"/>
              </w:rPr>
            </w:pPr>
          </w:p>
        </w:tc>
        <w:tc>
          <w:tcPr>
            <w:tcW w:w="567" w:type="dxa"/>
            <w:tcBorders>
              <w:top w:val="single" w:sz="8" w:space="0" w:color="auto"/>
              <w:bottom w:val="single" w:sz="8" w:space="0" w:color="auto"/>
            </w:tcBorders>
            <w:tcMar>
              <w:left w:w="28" w:type="dxa"/>
              <w:right w:w="28" w:type="dxa"/>
            </w:tcMar>
          </w:tcPr>
          <w:p w14:paraId="7B8161FE"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Borders>
              <w:top w:val="single" w:sz="8" w:space="0" w:color="auto"/>
              <w:bottom w:val="single" w:sz="8" w:space="0" w:color="auto"/>
            </w:tcBorders>
            <w:tcMar>
              <w:left w:w="28" w:type="dxa"/>
              <w:right w:w="28" w:type="dxa"/>
            </w:tcMar>
            <w:vAlign w:val="center"/>
          </w:tcPr>
          <w:p w14:paraId="2D9952F2"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r w:rsidR="00FD3B24" w:rsidRPr="0068236B" w14:paraId="61CCC931" w14:textId="77777777" w:rsidTr="00FD3B24">
        <w:trPr>
          <w:trHeight w:val="227"/>
        </w:trPr>
        <w:tc>
          <w:tcPr>
            <w:tcW w:w="3005" w:type="dxa"/>
            <w:tcBorders>
              <w:top w:val="single" w:sz="8" w:space="0" w:color="auto"/>
              <w:bottom w:val="single" w:sz="8" w:space="0" w:color="auto"/>
            </w:tcBorders>
            <w:noWrap/>
            <w:tcMar>
              <w:left w:w="28" w:type="dxa"/>
              <w:right w:w="28" w:type="dxa"/>
            </w:tcMar>
            <w:vAlign w:val="center"/>
            <w:hideMark/>
          </w:tcPr>
          <w:p w14:paraId="737FA5AE"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Prunus cerasifera</w:t>
            </w:r>
          </w:p>
        </w:tc>
        <w:tc>
          <w:tcPr>
            <w:tcW w:w="1919" w:type="dxa"/>
            <w:tcBorders>
              <w:top w:val="single" w:sz="8" w:space="0" w:color="auto"/>
              <w:bottom w:val="single" w:sz="8" w:space="0" w:color="auto"/>
            </w:tcBorders>
            <w:tcMar>
              <w:left w:w="28" w:type="dxa"/>
              <w:right w:w="28" w:type="dxa"/>
            </w:tcMar>
          </w:tcPr>
          <w:p w14:paraId="0303EDCA"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bottom w:val="single" w:sz="8" w:space="0" w:color="auto"/>
            </w:tcBorders>
            <w:tcMar>
              <w:left w:w="28" w:type="dxa"/>
              <w:right w:w="28" w:type="dxa"/>
            </w:tcMar>
          </w:tcPr>
          <w:p w14:paraId="48C60F50" w14:textId="77777777" w:rsidR="00FD3B24" w:rsidRPr="0068236B" w:rsidRDefault="00FD3B24" w:rsidP="00377B68">
            <w:pPr>
              <w:spacing w:before="0" w:after="0" w:line="240" w:lineRule="auto"/>
              <w:jc w:val="center"/>
              <w:rPr>
                <w:rFonts w:cs="Tahoma"/>
                <w:sz w:val="20"/>
                <w:szCs w:val="20"/>
              </w:rPr>
            </w:pPr>
          </w:p>
        </w:tc>
        <w:tc>
          <w:tcPr>
            <w:tcW w:w="567" w:type="dxa"/>
            <w:tcBorders>
              <w:top w:val="single" w:sz="8" w:space="0" w:color="auto"/>
              <w:bottom w:val="single" w:sz="8" w:space="0" w:color="auto"/>
            </w:tcBorders>
            <w:tcMar>
              <w:left w:w="28" w:type="dxa"/>
              <w:right w:w="28" w:type="dxa"/>
            </w:tcMar>
          </w:tcPr>
          <w:p w14:paraId="71463AFE"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tcPr>
          <w:p w14:paraId="2E520554"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Borders>
              <w:top w:val="single" w:sz="8" w:space="0" w:color="auto"/>
              <w:bottom w:val="single" w:sz="8" w:space="0" w:color="auto"/>
            </w:tcBorders>
            <w:tcMar>
              <w:left w:w="28" w:type="dxa"/>
              <w:right w:w="28" w:type="dxa"/>
            </w:tcMar>
          </w:tcPr>
          <w:p w14:paraId="1BA3464D"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r w:rsidR="00FD3B24" w:rsidRPr="0068236B" w14:paraId="1471E550" w14:textId="77777777" w:rsidTr="00FD3B24">
        <w:trPr>
          <w:trHeight w:val="227"/>
        </w:trPr>
        <w:tc>
          <w:tcPr>
            <w:tcW w:w="3005" w:type="dxa"/>
            <w:tcBorders>
              <w:top w:val="single" w:sz="8" w:space="0" w:color="auto"/>
              <w:bottom w:val="single" w:sz="8" w:space="0" w:color="auto"/>
            </w:tcBorders>
            <w:noWrap/>
            <w:tcMar>
              <w:left w:w="28" w:type="dxa"/>
              <w:right w:w="28" w:type="dxa"/>
            </w:tcMar>
            <w:vAlign w:val="center"/>
            <w:hideMark/>
          </w:tcPr>
          <w:p w14:paraId="084F591C"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Quercus pubescens</w:t>
            </w:r>
          </w:p>
        </w:tc>
        <w:tc>
          <w:tcPr>
            <w:tcW w:w="1919" w:type="dxa"/>
            <w:tcBorders>
              <w:top w:val="single" w:sz="8" w:space="0" w:color="auto"/>
              <w:bottom w:val="single" w:sz="8" w:space="0" w:color="auto"/>
            </w:tcBorders>
            <w:tcMar>
              <w:left w:w="28" w:type="dxa"/>
              <w:right w:w="28" w:type="dxa"/>
            </w:tcMar>
          </w:tcPr>
          <w:p w14:paraId="671A47C2"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bottom w:val="single" w:sz="8" w:space="0" w:color="auto"/>
            </w:tcBorders>
            <w:tcMar>
              <w:left w:w="28" w:type="dxa"/>
              <w:right w:w="28" w:type="dxa"/>
            </w:tcMar>
          </w:tcPr>
          <w:p w14:paraId="763FCD57"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tcPr>
          <w:p w14:paraId="08B58A14"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tcPr>
          <w:p w14:paraId="377EE454"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Borders>
              <w:top w:val="single" w:sz="8" w:space="0" w:color="auto"/>
              <w:bottom w:val="single" w:sz="8" w:space="0" w:color="auto"/>
            </w:tcBorders>
            <w:tcMar>
              <w:left w:w="28" w:type="dxa"/>
              <w:right w:w="28" w:type="dxa"/>
            </w:tcMar>
          </w:tcPr>
          <w:p w14:paraId="1A0A33CC"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r w:rsidR="00FD3B24" w:rsidRPr="0068236B" w14:paraId="3F3DFFB4" w14:textId="77777777" w:rsidTr="00FD3B24">
        <w:trPr>
          <w:trHeight w:val="227"/>
        </w:trPr>
        <w:tc>
          <w:tcPr>
            <w:tcW w:w="3005" w:type="dxa"/>
            <w:noWrap/>
            <w:tcMar>
              <w:left w:w="28" w:type="dxa"/>
              <w:right w:w="28" w:type="dxa"/>
            </w:tcMar>
            <w:vAlign w:val="center"/>
            <w:hideMark/>
          </w:tcPr>
          <w:p w14:paraId="7076FD7C" w14:textId="77777777" w:rsidR="00FD3B24" w:rsidRPr="0068236B" w:rsidRDefault="00FD3B24" w:rsidP="00377B68">
            <w:pPr>
              <w:spacing w:before="0" w:after="0" w:line="240" w:lineRule="auto"/>
              <w:jc w:val="left"/>
              <w:rPr>
                <w:rFonts w:cs="Tahoma"/>
                <w:sz w:val="20"/>
                <w:szCs w:val="20"/>
              </w:rPr>
            </w:pPr>
            <w:r w:rsidRPr="0068236B">
              <w:rPr>
                <w:rFonts w:cs="Tahoma"/>
                <w:i/>
                <w:sz w:val="20"/>
                <w:szCs w:val="20"/>
              </w:rPr>
              <w:t>Quercus coccifera</w:t>
            </w:r>
          </w:p>
        </w:tc>
        <w:tc>
          <w:tcPr>
            <w:tcW w:w="1919" w:type="dxa"/>
            <w:tcMar>
              <w:left w:w="28" w:type="dxa"/>
              <w:right w:w="28" w:type="dxa"/>
            </w:tcMar>
          </w:tcPr>
          <w:p w14:paraId="1FE76C92"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Mar>
              <w:left w:w="28" w:type="dxa"/>
              <w:right w:w="28" w:type="dxa"/>
            </w:tcMar>
          </w:tcPr>
          <w:p w14:paraId="0C3CCD85"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Mar>
              <w:left w:w="28" w:type="dxa"/>
              <w:right w:w="28" w:type="dxa"/>
            </w:tcMar>
            <w:vAlign w:val="center"/>
          </w:tcPr>
          <w:p w14:paraId="13A52ECD"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Mar>
              <w:left w:w="28" w:type="dxa"/>
              <w:right w:w="28" w:type="dxa"/>
            </w:tcMar>
            <w:vAlign w:val="center"/>
          </w:tcPr>
          <w:p w14:paraId="43012CE3"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Mar>
              <w:left w:w="28" w:type="dxa"/>
              <w:right w:w="28" w:type="dxa"/>
            </w:tcMar>
            <w:vAlign w:val="center"/>
          </w:tcPr>
          <w:p w14:paraId="1F23E612"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r w:rsidR="00FD3B24" w:rsidRPr="0068236B" w14:paraId="0BDFCDBE" w14:textId="77777777" w:rsidTr="00FD3B24">
        <w:trPr>
          <w:trHeight w:val="227"/>
        </w:trPr>
        <w:tc>
          <w:tcPr>
            <w:tcW w:w="3005" w:type="dxa"/>
            <w:tcBorders>
              <w:top w:val="single" w:sz="8" w:space="0" w:color="auto"/>
              <w:bottom w:val="single" w:sz="8" w:space="0" w:color="auto"/>
            </w:tcBorders>
            <w:noWrap/>
            <w:tcMar>
              <w:left w:w="28" w:type="dxa"/>
              <w:right w:w="28" w:type="dxa"/>
            </w:tcMar>
            <w:vAlign w:val="center"/>
            <w:hideMark/>
          </w:tcPr>
          <w:p w14:paraId="48877AF3"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Rubus discolor</w:t>
            </w:r>
          </w:p>
        </w:tc>
        <w:tc>
          <w:tcPr>
            <w:tcW w:w="1919" w:type="dxa"/>
            <w:tcBorders>
              <w:top w:val="single" w:sz="8" w:space="0" w:color="auto"/>
              <w:bottom w:val="single" w:sz="8" w:space="0" w:color="auto"/>
            </w:tcBorders>
            <w:tcMar>
              <w:left w:w="28" w:type="dxa"/>
              <w:right w:w="28" w:type="dxa"/>
            </w:tcMar>
          </w:tcPr>
          <w:p w14:paraId="10849EF6"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bottom w:val="single" w:sz="8" w:space="0" w:color="auto"/>
            </w:tcBorders>
            <w:tcMar>
              <w:left w:w="28" w:type="dxa"/>
              <w:right w:w="28" w:type="dxa"/>
            </w:tcMar>
          </w:tcPr>
          <w:p w14:paraId="4AD2FF4F"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vAlign w:val="center"/>
          </w:tcPr>
          <w:p w14:paraId="1B995F88" w14:textId="77777777" w:rsidR="00FD3B24" w:rsidRPr="0068236B" w:rsidRDefault="00FD3B24" w:rsidP="00377B68">
            <w:pPr>
              <w:spacing w:before="0" w:after="0" w:line="240" w:lineRule="auto"/>
              <w:jc w:val="center"/>
              <w:rPr>
                <w:rFonts w:cs="Tahoma"/>
                <w:sz w:val="20"/>
                <w:szCs w:val="20"/>
              </w:rPr>
            </w:pPr>
          </w:p>
        </w:tc>
        <w:tc>
          <w:tcPr>
            <w:tcW w:w="567" w:type="dxa"/>
            <w:tcBorders>
              <w:top w:val="single" w:sz="8" w:space="0" w:color="auto"/>
              <w:bottom w:val="single" w:sz="8" w:space="0" w:color="auto"/>
            </w:tcBorders>
            <w:tcMar>
              <w:left w:w="28" w:type="dxa"/>
              <w:right w:w="28" w:type="dxa"/>
            </w:tcMar>
            <w:vAlign w:val="center"/>
          </w:tcPr>
          <w:p w14:paraId="65F2921C"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Borders>
              <w:top w:val="single" w:sz="8" w:space="0" w:color="auto"/>
              <w:bottom w:val="single" w:sz="8" w:space="0" w:color="auto"/>
            </w:tcBorders>
            <w:tcMar>
              <w:left w:w="28" w:type="dxa"/>
              <w:right w:w="28" w:type="dxa"/>
            </w:tcMar>
            <w:vAlign w:val="center"/>
          </w:tcPr>
          <w:p w14:paraId="25DC34BC"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r w:rsidR="00FD3B24" w:rsidRPr="0068236B" w14:paraId="78DA2D6B" w14:textId="77777777" w:rsidTr="00FD3B24">
        <w:trPr>
          <w:trHeight w:val="227"/>
        </w:trPr>
        <w:tc>
          <w:tcPr>
            <w:tcW w:w="3005" w:type="dxa"/>
            <w:tcBorders>
              <w:top w:val="single" w:sz="8" w:space="0" w:color="auto"/>
              <w:bottom w:val="single" w:sz="8" w:space="0" w:color="auto"/>
            </w:tcBorders>
            <w:noWrap/>
            <w:tcMar>
              <w:left w:w="28" w:type="dxa"/>
              <w:right w:w="28" w:type="dxa"/>
            </w:tcMar>
            <w:vAlign w:val="center"/>
            <w:hideMark/>
          </w:tcPr>
          <w:p w14:paraId="23E4A367" w14:textId="77777777" w:rsidR="00FD3B24" w:rsidRPr="0068236B" w:rsidRDefault="00FD3B24" w:rsidP="00377B68">
            <w:pPr>
              <w:spacing w:before="0" w:after="0" w:line="240" w:lineRule="auto"/>
              <w:jc w:val="left"/>
              <w:rPr>
                <w:rFonts w:cs="Tahoma"/>
                <w:sz w:val="20"/>
                <w:szCs w:val="20"/>
                <w:lang w:eastAsia="mk-MK"/>
              </w:rPr>
            </w:pPr>
            <w:r w:rsidRPr="0068236B">
              <w:rPr>
                <w:rFonts w:cs="Tahoma"/>
                <w:i/>
                <w:sz w:val="20"/>
                <w:szCs w:val="20"/>
              </w:rPr>
              <w:lastRenderedPageBreak/>
              <w:t>Rubus sanguineus</w:t>
            </w:r>
          </w:p>
        </w:tc>
        <w:tc>
          <w:tcPr>
            <w:tcW w:w="1919" w:type="dxa"/>
            <w:tcBorders>
              <w:top w:val="single" w:sz="8" w:space="0" w:color="auto"/>
              <w:bottom w:val="single" w:sz="8" w:space="0" w:color="auto"/>
            </w:tcBorders>
            <w:tcMar>
              <w:left w:w="28" w:type="dxa"/>
              <w:right w:w="28" w:type="dxa"/>
            </w:tcMar>
          </w:tcPr>
          <w:p w14:paraId="155D74CC"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bottom w:val="single" w:sz="8" w:space="0" w:color="auto"/>
            </w:tcBorders>
            <w:tcMar>
              <w:left w:w="28" w:type="dxa"/>
              <w:right w:w="28" w:type="dxa"/>
            </w:tcMar>
          </w:tcPr>
          <w:p w14:paraId="3D566970"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tcPr>
          <w:p w14:paraId="3717B16C"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tcPr>
          <w:p w14:paraId="22FE5DDE"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Borders>
              <w:top w:val="single" w:sz="8" w:space="0" w:color="auto"/>
              <w:bottom w:val="single" w:sz="8" w:space="0" w:color="auto"/>
            </w:tcBorders>
            <w:tcMar>
              <w:left w:w="28" w:type="dxa"/>
              <w:right w:w="28" w:type="dxa"/>
            </w:tcMar>
          </w:tcPr>
          <w:p w14:paraId="1363DB21"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r w:rsidR="00FD3B24" w:rsidRPr="0068236B" w14:paraId="54C5B565" w14:textId="77777777" w:rsidTr="00FD3B24">
        <w:trPr>
          <w:trHeight w:val="227"/>
        </w:trPr>
        <w:tc>
          <w:tcPr>
            <w:tcW w:w="3005" w:type="dxa"/>
            <w:noWrap/>
            <w:tcMar>
              <w:left w:w="28" w:type="dxa"/>
              <w:right w:w="28" w:type="dxa"/>
            </w:tcMar>
            <w:vAlign w:val="center"/>
            <w:hideMark/>
          </w:tcPr>
          <w:p w14:paraId="650D570F" w14:textId="77777777" w:rsidR="00FD3B24" w:rsidRPr="0068236B" w:rsidRDefault="00FD3B24" w:rsidP="00377B68">
            <w:pPr>
              <w:spacing w:before="0" w:after="0" w:line="240" w:lineRule="auto"/>
              <w:jc w:val="left"/>
              <w:rPr>
                <w:rFonts w:cs="Tahoma"/>
                <w:sz w:val="20"/>
                <w:szCs w:val="20"/>
                <w:lang w:eastAsia="mk-MK"/>
              </w:rPr>
            </w:pPr>
            <w:r w:rsidRPr="0068236B">
              <w:rPr>
                <w:rFonts w:cs="Tahoma"/>
                <w:i/>
                <w:sz w:val="20"/>
                <w:szCs w:val="20"/>
              </w:rPr>
              <w:t>Salix alba</w:t>
            </w:r>
          </w:p>
        </w:tc>
        <w:tc>
          <w:tcPr>
            <w:tcW w:w="1919" w:type="dxa"/>
            <w:tcMar>
              <w:left w:w="28" w:type="dxa"/>
              <w:right w:w="28" w:type="dxa"/>
            </w:tcMar>
          </w:tcPr>
          <w:p w14:paraId="4BD1B796"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Mar>
              <w:left w:w="28" w:type="dxa"/>
              <w:right w:w="28" w:type="dxa"/>
            </w:tcMar>
          </w:tcPr>
          <w:p w14:paraId="477CC6DD"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Mar>
              <w:left w:w="28" w:type="dxa"/>
              <w:right w:w="28" w:type="dxa"/>
            </w:tcMar>
          </w:tcPr>
          <w:p w14:paraId="18E5F02B"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Mar>
              <w:left w:w="28" w:type="dxa"/>
              <w:right w:w="28" w:type="dxa"/>
            </w:tcMar>
          </w:tcPr>
          <w:p w14:paraId="483B59F8"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Mar>
              <w:left w:w="28" w:type="dxa"/>
              <w:right w:w="28" w:type="dxa"/>
            </w:tcMar>
          </w:tcPr>
          <w:p w14:paraId="27F74959"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r w:rsidR="00FD3B24" w:rsidRPr="0068236B" w14:paraId="543FA4C9" w14:textId="77777777" w:rsidTr="00FD3B24">
        <w:trPr>
          <w:trHeight w:val="227"/>
        </w:trPr>
        <w:tc>
          <w:tcPr>
            <w:tcW w:w="3005" w:type="dxa"/>
            <w:noWrap/>
            <w:tcMar>
              <w:left w:w="28" w:type="dxa"/>
              <w:right w:w="28" w:type="dxa"/>
            </w:tcMar>
            <w:vAlign w:val="center"/>
            <w:hideMark/>
          </w:tcPr>
          <w:p w14:paraId="3FCCCA45"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Salix elaeagnos</w:t>
            </w:r>
          </w:p>
        </w:tc>
        <w:tc>
          <w:tcPr>
            <w:tcW w:w="1919" w:type="dxa"/>
            <w:tcMar>
              <w:left w:w="28" w:type="dxa"/>
              <w:right w:w="28" w:type="dxa"/>
            </w:tcMar>
          </w:tcPr>
          <w:p w14:paraId="2E788618"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Mar>
              <w:left w:w="28" w:type="dxa"/>
              <w:right w:w="28" w:type="dxa"/>
            </w:tcMar>
          </w:tcPr>
          <w:p w14:paraId="60BD1611"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Mar>
              <w:left w:w="28" w:type="dxa"/>
              <w:right w:w="28" w:type="dxa"/>
            </w:tcMar>
          </w:tcPr>
          <w:p w14:paraId="510471BA" w14:textId="77777777" w:rsidR="00FD3B24" w:rsidRPr="0068236B" w:rsidRDefault="00FD3B24" w:rsidP="00377B68">
            <w:pPr>
              <w:spacing w:before="0" w:after="0" w:line="240" w:lineRule="auto"/>
              <w:jc w:val="center"/>
              <w:rPr>
                <w:rFonts w:cs="Tahoma"/>
                <w:sz w:val="20"/>
                <w:szCs w:val="20"/>
              </w:rPr>
            </w:pPr>
          </w:p>
        </w:tc>
        <w:tc>
          <w:tcPr>
            <w:tcW w:w="567" w:type="dxa"/>
            <w:tcMar>
              <w:left w:w="28" w:type="dxa"/>
              <w:right w:w="28" w:type="dxa"/>
            </w:tcMar>
          </w:tcPr>
          <w:p w14:paraId="328BC776"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Mar>
              <w:left w:w="28" w:type="dxa"/>
              <w:right w:w="28" w:type="dxa"/>
            </w:tcMar>
          </w:tcPr>
          <w:p w14:paraId="376FBA02" w14:textId="77777777" w:rsidR="00FD3B24" w:rsidRPr="0068236B" w:rsidRDefault="00FD3B24" w:rsidP="00377B68">
            <w:pPr>
              <w:spacing w:before="0" w:after="0" w:line="240" w:lineRule="auto"/>
              <w:jc w:val="center"/>
              <w:rPr>
                <w:rFonts w:cs="Tahoma"/>
                <w:sz w:val="20"/>
                <w:szCs w:val="20"/>
              </w:rPr>
            </w:pPr>
          </w:p>
        </w:tc>
      </w:tr>
      <w:tr w:rsidR="00FD3B24" w:rsidRPr="0068236B" w14:paraId="0674BC9B" w14:textId="77777777" w:rsidTr="00FD3B24">
        <w:trPr>
          <w:trHeight w:val="227"/>
        </w:trPr>
        <w:tc>
          <w:tcPr>
            <w:tcW w:w="3005" w:type="dxa"/>
            <w:noWrap/>
            <w:tcMar>
              <w:left w:w="28" w:type="dxa"/>
              <w:right w:w="28" w:type="dxa"/>
            </w:tcMar>
            <w:vAlign w:val="center"/>
            <w:hideMark/>
          </w:tcPr>
          <w:p w14:paraId="28A1867E"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Salix fragilis</w:t>
            </w:r>
          </w:p>
        </w:tc>
        <w:tc>
          <w:tcPr>
            <w:tcW w:w="1919" w:type="dxa"/>
            <w:tcMar>
              <w:left w:w="28" w:type="dxa"/>
              <w:right w:w="28" w:type="dxa"/>
            </w:tcMar>
          </w:tcPr>
          <w:p w14:paraId="57B15096"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Mar>
              <w:left w:w="28" w:type="dxa"/>
              <w:right w:w="28" w:type="dxa"/>
            </w:tcMar>
          </w:tcPr>
          <w:p w14:paraId="486D68E7"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Mar>
              <w:left w:w="28" w:type="dxa"/>
              <w:right w:w="28" w:type="dxa"/>
            </w:tcMar>
          </w:tcPr>
          <w:p w14:paraId="285E3AAA" w14:textId="77777777" w:rsidR="00FD3B24" w:rsidRPr="0068236B" w:rsidRDefault="00FD3B24" w:rsidP="00377B68">
            <w:pPr>
              <w:spacing w:before="0" w:after="0" w:line="240" w:lineRule="auto"/>
              <w:jc w:val="center"/>
              <w:rPr>
                <w:rFonts w:cs="Tahoma"/>
                <w:sz w:val="20"/>
                <w:szCs w:val="20"/>
              </w:rPr>
            </w:pPr>
          </w:p>
        </w:tc>
        <w:tc>
          <w:tcPr>
            <w:tcW w:w="567" w:type="dxa"/>
            <w:tcMar>
              <w:left w:w="28" w:type="dxa"/>
              <w:right w:w="28" w:type="dxa"/>
            </w:tcMar>
          </w:tcPr>
          <w:p w14:paraId="41FD4FF1"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Mar>
              <w:left w:w="28" w:type="dxa"/>
              <w:right w:w="28" w:type="dxa"/>
            </w:tcMar>
          </w:tcPr>
          <w:p w14:paraId="2DF0B5A1" w14:textId="77777777" w:rsidR="00FD3B24" w:rsidRPr="0068236B" w:rsidRDefault="00FD3B24" w:rsidP="00377B68">
            <w:pPr>
              <w:spacing w:before="0" w:after="0" w:line="240" w:lineRule="auto"/>
              <w:jc w:val="center"/>
              <w:rPr>
                <w:rFonts w:cs="Tahoma"/>
                <w:sz w:val="20"/>
                <w:szCs w:val="20"/>
              </w:rPr>
            </w:pPr>
          </w:p>
        </w:tc>
      </w:tr>
      <w:tr w:rsidR="00FD3B24" w:rsidRPr="0068236B" w14:paraId="015CF2FE" w14:textId="77777777" w:rsidTr="00FD3B24">
        <w:trPr>
          <w:trHeight w:val="227"/>
        </w:trPr>
        <w:tc>
          <w:tcPr>
            <w:tcW w:w="3005" w:type="dxa"/>
            <w:tcBorders>
              <w:top w:val="single" w:sz="8" w:space="0" w:color="auto"/>
              <w:bottom w:val="single" w:sz="8" w:space="0" w:color="auto"/>
            </w:tcBorders>
            <w:noWrap/>
            <w:tcMar>
              <w:left w:w="28" w:type="dxa"/>
              <w:right w:w="28" w:type="dxa"/>
            </w:tcMar>
            <w:vAlign w:val="center"/>
            <w:hideMark/>
          </w:tcPr>
          <w:p w14:paraId="477434FD"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Sambucus ebulus</w:t>
            </w:r>
          </w:p>
        </w:tc>
        <w:tc>
          <w:tcPr>
            <w:tcW w:w="1919" w:type="dxa"/>
            <w:tcBorders>
              <w:top w:val="single" w:sz="8" w:space="0" w:color="auto"/>
              <w:bottom w:val="single" w:sz="8" w:space="0" w:color="auto"/>
            </w:tcBorders>
            <w:tcMar>
              <w:left w:w="28" w:type="dxa"/>
              <w:right w:w="28" w:type="dxa"/>
            </w:tcMar>
          </w:tcPr>
          <w:p w14:paraId="5021ADF8"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bottom w:val="single" w:sz="8" w:space="0" w:color="auto"/>
            </w:tcBorders>
            <w:tcMar>
              <w:left w:w="28" w:type="dxa"/>
              <w:right w:w="28" w:type="dxa"/>
            </w:tcMar>
          </w:tcPr>
          <w:p w14:paraId="371BD7B0"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vAlign w:val="center"/>
          </w:tcPr>
          <w:p w14:paraId="422E578D" w14:textId="77777777" w:rsidR="00FD3B24" w:rsidRPr="0068236B" w:rsidRDefault="00FD3B24" w:rsidP="00377B68">
            <w:pPr>
              <w:spacing w:before="0" w:after="0" w:line="240" w:lineRule="auto"/>
              <w:jc w:val="center"/>
              <w:rPr>
                <w:rFonts w:cs="Tahoma"/>
                <w:sz w:val="20"/>
                <w:szCs w:val="20"/>
              </w:rPr>
            </w:pPr>
          </w:p>
        </w:tc>
        <w:tc>
          <w:tcPr>
            <w:tcW w:w="567" w:type="dxa"/>
            <w:tcBorders>
              <w:top w:val="single" w:sz="8" w:space="0" w:color="auto"/>
              <w:bottom w:val="single" w:sz="8" w:space="0" w:color="auto"/>
            </w:tcBorders>
            <w:tcMar>
              <w:left w:w="28" w:type="dxa"/>
              <w:right w:w="28" w:type="dxa"/>
            </w:tcMar>
          </w:tcPr>
          <w:p w14:paraId="06E1832F"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Borders>
              <w:top w:val="single" w:sz="8" w:space="0" w:color="auto"/>
              <w:bottom w:val="single" w:sz="8" w:space="0" w:color="auto"/>
            </w:tcBorders>
            <w:tcMar>
              <w:left w:w="28" w:type="dxa"/>
              <w:right w:w="28" w:type="dxa"/>
            </w:tcMar>
            <w:vAlign w:val="center"/>
          </w:tcPr>
          <w:p w14:paraId="14725614" w14:textId="77777777" w:rsidR="00FD3B24" w:rsidRPr="0068236B" w:rsidRDefault="00FD3B24" w:rsidP="00377B68">
            <w:pPr>
              <w:spacing w:before="0" w:after="0" w:line="240" w:lineRule="auto"/>
              <w:jc w:val="center"/>
              <w:rPr>
                <w:rFonts w:cs="Tahoma"/>
                <w:sz w:val="20"/>
                <w:szCs w:val="20"/>
              </w:rPr>
            </w:pPr>
          </w:p>
        </w:tc>
      </w:tr>
      <w:tr w:rsidR="00FD3B24" w:rsidRPr="0068236B" w14:paraId="33D18A24" w14:textId="77777777" w:rsidTr="00FD3B24">
        <w:trPr>
          <w:trHeight w:val="227"/>
        </w:trPr>
        <w:tc>
          <w:tcPr>
            <w:tcW w:w="3005" w:type="dxa"/>
            <w:tcBorders>
              <w:top w:val="single" w:sz="8" w:space="0" w:color="auto"/>
              <w:bottom w:val="single" w:sz="8" w:space="0" w:color="auto"/>
            </w:tcBorders>
            <w:noWrap/>
            <w:tcMar>
              <w:left w:w="28" w:type="dxa"/>
              <w:right w:w="28" w:type="dxa"/>
            </w:tcMar>
            <w:vAlign w:val="center"/>
            <w:hideMark/>
          </w:tcPr>
          <w:p w14:paraId="65E2B6D0"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Tamarix parviflora</w:t>
            </w:r>
          </w:p>
        </w:tc>
        <w:tc>
          <w:tcPr>
            <w:tcW w:w="1919" w:type="dxa"/>
            <w:tcBorders>
              <w:top w:val="single" w:sz="8" w:space="0" w:color="auto"/>
              <w:bottom w:val="single" w:sz="8" w:space="0" w:color="auto"/>
            </w:tcBorders>
            <w:tcMar>
              <w:left w:w="28" w:type="dxa"/>
              <w:right w:w="28" w:type="dxa"/>
            </w:tcMar>
          </w:tcPr>
          <w:p w14:paraId="458C40C6"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bottom w:val="single" w:sz="8" w:space="0" w:color="auto"/>
            </w:tcBorders>
            <w:tcMar>
              <w:left w:w="28" w:type="dxa"/>
              <w:right w:w="28" w:type="dxa"/>
            </w:tcMar>
          </w:tcPr>
          <w:p w14:paraId="309DD0DC"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vAlign w:val="center"/>
          </w:tcPr>
          <w:p w14:paraId="31625519" w14:textId="77777777" w:rsidR="00FD3B24" w:rsidRPr="0068236B" w:rsidRDefault="00FD3B24" w:rsidP="00377B68">
            <w:pPr>
              <w:spacing w:before="0" w:after="0" w:line="240" w:lineRule="auto"/>
              <w:jc w:val="center"/>
              <w:rPr>
                <w:rFonts w:cs="Tahoma"/>
                <w:sz w:val="20"/>
                <w:szCs w:val="20"/>
              </w:rPr>
            </w:pPr>
          </w:p>
        </w:tc>
        <w:tc>
          <w:tcPr>
            <w:tcW w:w="567" w:type="dxa"/>
            <w:tcBorders>
              <w:top w:val="single" w:sz="8" w:space="0" w:color="auto"/>
              <w:bottom w:val="single" w:sz="8" w:space="0" w:color="auto"/>
            </w:tcBorders>
            <w:tcMar>
              <w:left w:w="28" w:type="dxa"/>
              <w:right w:w="28" w:type="dxa"/>
            </w:tcMar>
            <w:vAlign w:val="center"/>
          </w:tcPr>
          <w:p w14:paraId="24677D5F"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Borders>
              <w:top w:val="single" w:sz="8" w:space="0" w:color="auto"/>
              <w:bottom w:val="single" w:sz="8" w:space="0" w:color="auto"/>
            </w:tcBorders>
            <w:tcMar>
              <w:left w:w="28" w:type="dxa"/>
              <w:right w:w="28" w:type="dxa"/>
            </w:tcMar>
            <w:vAlign w:val="center"/>
          </w:tcPr>
          <w:p w14:paraId="31415E75" w14:textId="77777777" w:rsidR="00FD3B24" w:rsidRPr="0068236B" w:rsidRDefault="00FD3B24" w:rsidP="00377B68">
            <w:pPr>
              <w:spacing w:before="0" w:after="0" w:line="240" w:lineRule="auto"/>
              <w:jc w:val="center"/>
              <w:rPr>
                <w:rFonts w:cs="Tahoma"/>
                <w:sz w:val="20"/>
                <w:szCs w:val="20"/>
              </w:rPr>
            </w:pPr>
          </w:p>
        </w:tc>
      </w:tr>
      <w:tr w:rsidR="00FD3B24" w:rsidRPr="0068236B" w14:paraId="10ABBAC8" w14:textId="77777777" w:rsidTr="00FD3B24">
        <w:trPr>
          <w:trHeight w:val="227"/>
        </w:trPr>
        <w:tc>
          <w:tcPr>
            <w:tcW w:w="3005" w:type="dxa"/>
            <w:tcBorders>
              <w:top w:val="single" w:sz="8" w:space="0" w:color="auto"/>
              <w:bottom w:val="single" w:sz="8" w:space="0" w:color="auto"/>
            </w:tcBorders>
            <w:noWrap/>
            <w:tcMar>
              <w:left w:w="28" w:type="dxa"/>
              <w:right w:w="28" w:type="dxa"/>
            </w:tcMar>
            <w:vAlign w:val="center"/>
            <w:hideMark/>
          </w:tcPr>
          <w:p w14:paraId="08AD668A"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Tamarix tetrandra</w:t>
            </w:r>
          </w:p>
        </w:tc>
        <w:tc>
          <w:tcPr>
            <w:tcW w:w="1919" w:type="dxa"/>
            <w:tcBorders>
              <w:top w:val="single" w:sz="8" w:space="0" w:color="auto"/>
              <w:bottom w:val="single" w:sz="8" w:space="0" w:color="auto"/>
            </w:tcBorders>
            <w:tcMar>
              <w:left w:w="28" w:type="dxa"/>
              <w:right w:w="28" w:type="dxa"/>
            </w:tcMar>
          </w:tcPr>
          <w:p w14:paraId="7F437F57"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bottom w:val="single" w:sz="8" w:space="0" w:color="auto"/>
            </w:tcBorders>
            <w:tcMar>
              <w:left w:w="28" w:type="dxa"/>
              <w:right w:w="28" w:type="dxa"/>
            </w:tcMar>
          </w:tcPr>
          <w:p w14:paraId="5B792A2F"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vAlign w:val="center"/>
          </w:tcPr>
          <w:p w14:paraId="52543766" w14:textId="77777777" w:rsidR="00FD3B24" w:rsidRPr="0068236B" w:rsidRDefault="00FD3B24" w:rsidP="00377B68">
            <w:pPr>
              <w:spacing w:before="0" w:after="0" w:line="240" w:lineRule="auto"/>
              <w:jc w:val="center"/>
              <w:rPr>
                <w:rFonts w:cs="Tahoma"/>
                <w:sz w:val="20"/>
                <w:szCs w:val="20"/>
              </w:rPr>
            </w:pPr>
          </w:p>
        </w:tc>
        <w:tc>
          <w:tcPr>
            <w:tcW w:w="567" w:type="dxa"/>
            <w:tcBorders>
              <w:top w:val="single" w:sz="8" w:space="0" w:color="auto"/>
              <w:bottom w:val="single" w:sz="8" w:space="0" w:color="auto"/>
            </w:tcBorders>
            <w:tcMar>
              <w:left w:w="28" w:type="dxa"/>
              <w:right w:w="28" w:type="dxa"/>
            </w:tcMar>
            <w:vAlign w:val="center"/>
          </w:tcPr>
          <w:p w14:paraId="03DE143B"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Borders>
              <w:top w:val="single" w:sz="8" w:space="0" w:color="auto"/>
              <w:bottom w:val="single" w:sz="8" w:space="0" w:color="auto"/>
            </w:tcBorders>
            <w:tcMar>
              <w:left w:w="28" w:type="dxa"/>
              <w:right w:w="28" w:type="dxa"/>
            </w:tcMar>
            <w:vAlign w:val="center"/>
          </w:tcPr>
          <w:p w14:paraId="79BADC8B" w14:textId="77777777" w:rsidR="00FD3B24" w:rsidRPr="0068236B" w:rsidRDefault="00FD3B24" w:rsidP="00377B68">
            <w:pPr>
              <w:spacing w:before="0" w:after="0" w:line="240" w:lineRule="auto"/>
              <w:jc w:val="center"/>
              <w:rPr>
                <w:rFonts w:cs="Tahoma"/>
                <w:sz w:val="20"/>
                <w:szCs w:val="20"/>
              </w:rPr>
            </w:pPr>
          </w:p>
        </w:tc>
      </w:tr>
      <w:tr w:rsidR="00FD3B24" w:rsidRPr="0068236B" w14:paraId="1674435E" w14:textId="77777777" w:rsidTr="00FD3B24">
        <w:trPr>
          <w:trHeight w:val="227"/>
        </w:trPr>
        <w:tc>
          <w:tcPr>
            <w:tcW w:w="3005" w:type="dxa"/>
            <w:tcBorders>
              <w:top w:val="single" w:sz="8" w:space="0" w:color="auto"/>
              <w:bottom w:val="single" w:sz="8" w:space="0" w:color="auto"/>
            </w:tcBorders>
            <w:noWrap/>
            <w:tcMar>
              <w:left w:w="28" w:type="dxa"/>
              <w:right w:w="28" w:type="dxa"/>
            </w:tcMar>
            <w:vAlign w:val="center"/>
            <w:hideMark/>
          </w:tcPr>
          <w:p w14:paraId="27294EEB"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Typha latifolia,</w:t>
            </w:r>
          </w:p>
        </w:tc>
        <w:tc>
          <w:tcPr>
            <w:tcW w:w="1919" w:type="dxa"/>
            <w:tcBorders>
              <w:top w:val="single" w:sz="8" w:space="0" w:color="auto"/>
              <w:bottom w:val="single" w:sz="8" w:space="0" w:color="auto"/>
            </w:tcBorders>
            <w:tcMar>
              <w:left w:w="28" w:type="dxa"/>
              <w:right w:w="28" w:type="dxa"/>
            </w:tcMar>
          </w:tcPr>
          <w:p w14:paraId="76C5530D"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bottom w:val="single" w:sz="8" w:space="0" w:color="auto"/>
            </w:tcBorders>
            <w:tcMar>
              <w:left w:w="28" w:type="dxa"/>
              <w:right w:w="28" w:type="dxa"/>
            </w:tcMar>
          </w:tcPr>
          <w:p w14:paraId="0B101715"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vAlign w:val="center"/>
          </w:tcPr>
          <w:p w14:paraId="03522FC3" w14:textId="77777777" w:rsidR="00FD3B24" w:rsidRPr="0068236B" w:rsidRDefault="00FD3B24" w:rsidP="00377B68">
            <w:pPr>
              <w:spacing w:before="0" w:after="0" w:line="240" w:lineRule="auto"/>
              <w:jc w:val="center"/>
              <w:rPr>
                <w:rFonts w:cs="Tahoma"/>
                <w:sz w:val="20"/>
                <w:szCs w:val="20"/>
              </w:rPr>
            </w:pPr>
          </w:p>
        </w:tc>
        <w:tc>
          <w:tcPr>
            <w:tcW w:w="567" w:type="dxa"/>
            <w:tcBorders>
              <w:top w:val="single" w:sz="8" w:space="0" w:color="auto"/>
              <w:bottom w:val="single" w:sz="8" w:space="0" w:color="auto"/>
            </w:tcBorders>
            <w:tcMar>
              <w:left w:w="28" w:type="dxa"/>
              <w:right w:w="28" w:type="dxa"/>
            </w:tcMar>
          </w:tcPr>
          <w:p w14:paraId="02FF08FC"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Borders>
              <w:top w:val="single" w:sz="8" w:space="0" w:color="auto"/>
              <w:bottom w:val="single" w:sz="8" w:space="0" w:color="auto"/>
            </w:tcBorders>
            <w:tcMar>
              <w:left w:w="28" w:type="dxa"/>
              <w:right w:w="28" w:type="dxa"/>
            </w:tcMar>
            <w:vAlign w:val="center"/>
          </w:tcPr>
          <w:p w14:paraId="0D08676C"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r w:rsidR="00FD3B24" w:rsidRPr="0068236B" w14:paraId="6A2FBD19" w14:textId="77777777" w:rsidTr="00FD3B24">
        <w:trPr>
          <w:trHeight w:val="227"/>
        </w:trPr>
        <w:tc>
          <w:tcPr>
            <w:tcW w:w="3005" w:type="dxa"/>
            <w:tcBorders>
              <w:top w:val="single" w:sz="8" w:space="0" w:color="auto"/>
              <w:bottom w:val="single" w:sz="8" w:space="0" w:color="auto"/>
            </w:tcBorders>
            <w:noWrap/>
            <w:tcMar>
              <w:left w:w="28" w:type="dxa"/>
              <w:right w:w="28" w:type="dxa"/>
            </w:tcMar>
            <w:vAlign w:val="center"/>
            <w:hideMark/>
          </w:tcPr>
          <w:p w14:paraId="054934A7"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Urtica dioica</w:t>
            </w:r>
          </w:p>
        </w:tc>
        <w:tc>
          <w:tcPr>
            <w:tcW w:w="1919" w:type="dxa"/>
            <w:tcBorders>
              <w:top w:val="single" w:sz="8" w:space="0" w:color="auto"/>
              <w:bottom w:val="single" w:sz="8" w:space="0" w:color="auto"/>
            </w:tcBorders>
            <w:tcMar>
              <w:left w:w="28" w:type="dxa"/>
              <w:right w:w="28" w:type="dxa"/>
            </w:tcMar>
          </w:tcPr>
          <w:p w14:paraId="6475A13C"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bottom w:val="single" w:sz="8" w:space="0" w:color="auto"/>
            </w:tcBorders>
            <w:tcMar>
              <w:left w:w="28" w:type="dxa"/>
              <w:right w:w="28" w:type="dxa"/>
            </w:tcMar>
          </w:tcPr>
          <w:p w14:paraId="0FB755C8"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tcPr>
          <w:p w14:paraId="076298E6"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tcPr>
          <w:p w14:paraId="6C906EB8"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Borders>
              <w:top w:val="single" w:sz="8" w:space="0" w:color="auto"/>
              <w:bottom w:val="single" w:sz="8" w:space="0" w:color="auto"/>
            </w:tcBorders>
            <w:tcMar>
              <w:left w:w="28" w:type="dxa"/>
              <w:right w:w="28" w:type="dxa"/>
            </w:tcMar>
          </w:tcPr>
          <w:p w14:paraId="7BF46766"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r w:rsidR="00FD3B24" w:rsidRPr="0068236B" w14:paraId="0FCBA9C6" w14:textId="77777777" w:rsidTr="00FD3B24">
        <w:trPr>
          <w:trHeight w:val="227"/>
        </w:trPr>
        <w:tc>
          <w:tcPr>
            <w:tcW w:w="3005" w:type="dxa"/>
            <w:tcBorders>
              <w:top w:val="single" w:sz="8" w:space="0" w:color="auto"/>
              <w:bottom w:val="single" w:sz="8" w:space="0" w:color="auto"/>
            </w:tcBorders>
            <w:noWrap/>
            <w:tcMar>
              <w:left w:w="28" w:type="dxa"/>
              <w:right w:w="28" w:type="dxa"/>
            </w:tcMar>
            <w:vAlign w:val="center"/>
            <w:hideMark/>
          </w:tcPr>
          <w:p w14:paraId="44764A77"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Lemna minor</w:t>
            </w:r>
          </w:p>
        </w:tc>
        <w:tc>
          <w:tcPr>
            <w:tcW w:w="1919" w:type="dxa"/>
            <w:tcBorders>
              <w:top w:val="single" w:sz="8" w:space="0" w:color="auto"/>
              <w:bottom w:val="single" w:sz="8" w:space="0" w:color="auto"/>
            </w:tcBorders>
            <w:tcMar>
              <w:left w:w="28" w:type="dxa"/>
              <w:right w:w="28" w:type="dxa"/>
            </w:tcMar>
          </w:tcPr>
          <w:p w14:paraId="09137DAB"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bottom w:val="single" w:sz="8" w:space="0" w:color="auto"/>
            </w:tcBorders>
            <w:tcMar>
              <w:left w:w="28" w:type="dxa"/>
              <w:right w:w="28" w:type="dxa"/>
            </w:tcMar>
          </w:tcPr>
          <w:p w14:paraId="4BC8B2B5"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single" w:sz="8" w:space="0" w:color="auto"/>
            </w:tcBorders>
            <w:tcMar>
              <w:left w:w="28" w:type="dxa"/>
              <w:right w:w="28" w:type="dxa"/>
            </w:tcMar>
          </w:tcPr>
          <w:p w14:paraId="6D7C9C53" w14:textId="77777777" w:rsidR="00FD3B24" w:rsidRPr="0068236B" w:rsidRDefault="00FD3B24" w:rsidP="00377B68">
            <w:pPr>
              <w:spacing w:before="0" w:after="0" w:line="240" w:lineRule="auto"/>
              <w:jc w:val="center"/>
              <w:rPr>
                <w:rFonts w:cs="Tahoma"/>
                <w:sz w:val="20"/>
                <w:szCs w:val="20"/>
              </w:rPr>
            </w:pPr>
          </w:p>
        </w:tc>
        <w:tc>
          <w:tcPr>
            <w:tcW w:w="567" w:type="dxa"/>
            <w:tcBorders>
              <w:top w:val="single" w:sz="8" w:space="0" w:color="auto"/>
              <w:bottom w:val="single" w:sz="8" w:space="0" w:color="auto"/>
            </w:tcBorders>
            <w:tcMar>
              <w:left w:w="28" w:type="dxa"/>
              <w:right w:w="28" w:type="dxa"/>
            </w:tcMar>
          </w:tcPr>
          <w:p w14:paraId="6085FC6F"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Borders>
              <w:top w:val="single" w:sz="8" w:space="0" w:color="auto"/>
              <w:bottom w:val="single" w:sz="8" w:space="0" w:color="auto"/>
            </w:tcBorders>
            <w:tcMar>
              <w:left w:w="28" w:type="dxa"/>
              <w:right w:w="28" w:type="dxa"/>
            </w:tcMar>
          </w:tcPr>
          <w:p w14:paraId="0F3217E7" w14:textId="77777777" w:rsidR="00FD3B24" w:rsidRPr="0068236B" w:rsidRDefault="00FD3B24" w:rsidP="00377B68">
            <w:pPr>
              <w:spacing w:before="0" w:after="0" w:line="240" w:lineRule="auto"/>
              <w:jc w:val="center"/>
              <w:rPr>
                <w:rFonts w:cs="Tahoma"/>
                <w:sz w:val="20"/>
                <w:szCs w:val="20"/>
              </w:rPr>
            </w:pPr>
          </w:p>
        </w:tc>
      </w:tr>
      <w:tr w:rsidR="00FD3B24" w:rsidRPr="0068236B" w14:paraId="12197353" w14:textId="77777777" w:rsidTr="00FD3B24">
        <w:trPr>
          <w:trHeight w:val="227"/>
        </w:trPr>
        <w:tc>
          <w:tcPr>
            <w:tcW w:w="3005" w:type="dxa"/>
            <w:tcBorders>
              <w:top w:val="single" w:sz="8" w:space="0" w:color="auto"/>
              <w:bottom w:val="double" w:sz="4" w:space="0" w:color="auto"/>
            </w:tcBorders>
            <w:noWrap/>
            <w:tcMar>
              <w:left w:w="28" w:type="dxa"/>
              <w:right w:w="28" w:type="dxa"/>
            </w:tcMar>
            <w:vAlign w:val="center"/>
            <w:hideMark/>
          </w:tcPr>
          <w:p w14:paraId="0C00FD19" w14:textId="77777777" w:rsidR="00FD3B24" w:rsidRPr="0068236B" w:rsidRDefault="00FD3B24" w:rsidP="00377B68">
            <w:pPr>
              <w:spacing w:before="0" w:after="0" w:line="240" w:lineRule="auto"/>
              <w:jc w:val="left"/>
              <w:rPr>
                <w:rFonts w:cs="Tahoma"/>
                <w:i/>
                <w:sz w:val="20"/>
                <w:szCs w:val="20"/>
              </w:rPr>
            </w:pPr>
            <w:r w:rsidRPr="0068236B">
              <w:rPr>
                <w:rFonts w:cs="Tahoma"/>
                <w:i/>
                <w:sz w:val="20"/>
                <w:szCs w:val="20"/>
              </w:rPr>
              <w:t>Ficus carica</w:t>
            </w:r>
          </w:p>
        </w:tc>
        <w:tc>
          <w:tcPr>
            <w:tcW w:w="1919" w:type="dxa"/>
            <w:tcBorders>
              <w:top w:val="single" w:sz="8" w:space="0" w:color="auto"/>
              <w:bottom w:val="double" w:sz="4" w:space="0" w:color="auto"/>
            </w:tcBorders>
            <w:tcMar>
              <w:left w:w="28" w:type="dxa"/>
              <w:right w:w="28" w:type="dxa"/>
            </w:tcMar>
          </w:tcPr>
          <w:p w14:paraId="1CFA653A"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1418" w:type="dxa"/>
            <w:tcBorders>
              <w:top w:val="single" w:sz="8" w:space="0" w:color="auto"/>
              <w:bottom w:val="double" w:sz="4" w:space="0" w:color="auto"/>
            </w:tcBorders>
            <w:tcMar>
              <w:left w:w="28" w:type="dxa"/>
              <w:right w:w="28" w:type="dxa"/>
            </w:tcMar>
          </w:tcPr>
          <w:p w14:paraId="4D0A1DF0"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double" w:sz="4" w:space="0" w:color="auto"/>
            </w:tcBorders>
            <w:tcMar>
              <w:left w:w="28" w:type="dxa"/>
              <w:right w:w="28" w:type="dxa"/>
            </w:tcMar>
          </w:tcPr>
          <w:p w14:paraId="182B5F0D"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tcBorders>
              <w:top w:val="single" w:sz="8" w:space="0" w:color="auto"/>
              <w:bottom w:val="double" w:sz="4" w:space="0" w:color="auto"/>
            </w:tcBorders>
            <w:tcMar>
              <w:left w:w="28" w:type="dxa"/>
              <w:right w:w="28" w:type="dxa"/>
            </w:tcMar>
          </w:tcPr>
          <w:p w14:paraId="52EA278D"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c>
          <w:tcPr>
            <w:tcW w:w="567" w:type="dxa"/>
            <w:gridSpan w:val="2"/>
            <w:tcBorders>
              <w:top w:val="single" w:sz="8" w:space="0" w:color="auto"/>
              <w:bottom w:val="double" w:sz="4" w:space="0" w:color="auto"/>
            </w:tcBorders>
            <w:tcMar>
              <w:left w:w="28" w:type="dxa"/>
              <w:right w:w="28" w:type="dxa"/>
            </w:tcMar>
          </w:tcPr>
          <w:p w14:paraId="7BFC1E0B" w14:textId="77777777" w:rsidR="00FD3B24" w:rsidRPr="0068236B" w:rsidRDefault="00FD3B24" w:rsidP="00377B68">
            <w:pPr>
              <w:spacing w:before="0" w:after="0" w:line="240" w:lineRule="auto"/>
              <w:jc w:val="center"/>
              <w:rPr>
                <w:rFonts w:cs="Tahoma"/>
                <w:sz w:val="20"/>
                <w:szCs w:val="20"/>
              </w:rPr>
            </w:pPr>
            <w:r w:rsidRPr="0068236B">
              <w:rPr>
                <w:rFonts w:cs="Tahoma"/>
                <w:sz w:val="20"/>
                <w:szCs w:val="20"/>
              </w:rPr>
              <w:t>√</w:t>
            </w:r>
          </w:p>
        </w:tc>
      </w:tr>
    </w:tbl>
    <w:p w14:paraId="6077EDDD" w14:textId="4523C2D1" w:rsidR="00D24FBA" w:rsidRPr="0068236B" w:rsidRDefault="00172852" w:rsidP="00D24FBA">
      <w:pPr>
        <w:pStyle w:val="ListBullet"/>
        <w:numPr>
          <w:ilvl w:val="0"/>
          <w:numId w:val="0"/>
        </w:numPr>
        <w:spacing w:before="60" w:after="0"/>
        <w:ind w:left="142"/>
        <w:jc w:val="left"/>
        <w:rPr>
          <w:sz w:val="18"/>
          <w:szCs w:val="20"/>
        </w:rPr>
      </w:pPr>
      <w:bookmarkStart w:id="265" w:name="_Toc113018180"/>
      <w:r w:rsidRPr="0068236B">
        <w:rPr>
          <w:sz w:val="18"/>
          <w:szCs w:val="20"/>
        </w:rPr>
        <w:t xml:space="preserve">Table </w:t>
      </w:r>
      <w:r w:rsidRPr="0068236B">
        <w:rPr>
          <w:sz w:val="18"/>
          <w:szCs w:val="20"/>
        </w:rPr>
        <w:fldChar w:fldCharType="begin"/>
      </w:r>
      <w:r w:rsidRPr="0068236B">
        <w:rPr>
          <w:sz w:val="18"/>
          <w:szCs w:val="20"/>
        </w:rPr>
        <w:instrText xml:space="preserve"> STYLEREF 1 \s </w:instrText>
      </w:r>
      <w:r w:rsidRPr="0068236B">
        <w:rPr>
          <w:sz w:val="18"/>
          <w:szCs w:val="20"/>
        </w:rPr>
        <w:fldChar w:fldCharType="separate"/>
      </w:r>
      <w:r w:rsidR="00FD57E6">
        <w:rPr>
          <w:noProof/>
          <w:sz w:val="18"/>
          <w:szCs w:val="20"/>
        </w:rPr>
        <w:t>7</w:t>
      </w:r>
      <w:r w:rsidRPr="0068236B">
        <w:rPr>
          <w:sz w:val="18"/>
          <w:szCs w:val="20"/>
        </w:rPr>
        <w:fldChar w:fldCharType="end"/>
      </w:r>
      <w:r w:rsidRPr="0068236B">
        <w:rPr>
          <w:sz w:val="18"/>
          <w:szCs w:val="20"/>
        </w:rPr>
        <w:t>.</w:t>
      </w:r>
      <w:r w:rsidRPr="0068236B">
        <w:rPr>
          <w:sz w:val="18"/>
          <w:szCs w:val="20"/>
        </w:rPr>
        <w:fldChar w:fldCharType="begin"/>
      </w:r>
      <w:r w:rsidRPr="0068236B">
        <w:rPr>
          <w:sz w:val="18"/>
          <w:szCs w:val="20"/>
        </w:rPr>
        <w:instrText xml:space="preserve"> SEQ Table \* ARABIC \s 1 </w:instrText>
      </w:r>
      <w:r w:rsidRPr="0068236B">
        <w:rPr>
          <w:sz w:val="18"/>
          <w:szCs w:val="20"/>
        </w:rPr>
        <w:fldChar w:fldCharType="separate"/>
      </w:r>
      <w:r w:rsidR="00FD57E6">
        <w:rPr>
          <w:noProof/>
          <w:sz w:val="18"/>
          <w:szCs w:val="20"/>
        </w:rPr>
        <w:t>9</w:t>
      </w:r>
      <w:r w:rsidRPr="0068236B">
        <w:rPr>
          <w:sz w:val="18"/>
          <w:szCs w:val="20"/>
        </w:rPr>
        <w:fldChar w:fldCharType="end"/>
      </w:r>
      <w:r w:rsidRPr="0068236B">
        <w:rPr>
          <w:sz w:val="18"/>
          <w:szCs w:val="20"/>
        </w:rPr>
        <w:t>:</w:t>
      </w:r>
      <w:r w:rsidRPr="0068236B">
        <w:rPr>
          <w:b/>
          <w:sz w:val="18"/>
          <w:szCs w:val="20"/>
        </w:rPr>
        <w:t xml:space="preserve"> </w:t>
      </w:r>
      <w:r w:rsidRPr="0068236B">
        <w:rPr>
          <w:sz w:val="18"/>
          <w:szCs w:val="20"/>
        </w:rPr>
        <w:t>Flora within study area, valorization and distribution per Project element</w:t>
      </w:r>
      <w:bookmarkEnd w:id="265"/>
    </w:p>
    <w:p w14:paraId="75FA302F" w14:textId="77777777" w:rsidR="00FD3B24" w:rsidRPr="0068236B" w:rsidRDefault="00FD3B24" w:rsidP="00FD3B24">
      <w:pPr>
        <w:pStyle w:val="ListBullet"/>
        <w:numPr>
          <w:ilvl w:val="0"/>
          <w:numId w:val="0"/>
        </w:numPr>
        <w:spacing w:before="60" w:after="240"/>
        <w:ind w:left="142"/>
        <w:jc w:val="left"/>
        <w:rPr>
          <w:rFonts w:cs="Tahoma"/>
          <w:sz w:val="16"/>
          <w:szCs w:val="16"/>
        </w:rPr>
      </w:pPr>
      <w:r w:rsidRPr="0068236B">
        <w:rPr>
          <w:sz w:val="16"/>
          <w:szCs w:val="16"/>
        </w:rPr>
        <w:t xml:space="preserve">Note: </w:t>
      </w:r>
      <w:r w:rsidRPr="0068236B">
        <w:rPr>
          <w:rFonts w:cs="Tahoma"/>
          <w:sz w:val="16"/>
          <w:szCs w:val="16"/>
        </w:rPr>
        <w:t>1a - new 400/110 kV SS and 400 kV in-out connector; 1b - new 110 kV connectors to SS ‘EVP’ Miletkovo; 1c - reconstruction of 110 kV OHL from Valandovo to Miletkovo.</w:t>
      </w:r>
    </w:p>
    <w:p w14:paraId="4ECB8DA2" w14:textId="5F71B3B8" w:rsidR="00FD3B24" w:rsidRPr="0068236B" w:rsidRDefault="00FD3B24" w:rsidP="00FD3B24">
      <w:pPr>
        <w:pStyle w:val="ListBullet"/>
        <w:numPr>
          <w:ilvl w:val="0"/>
          <w:numId w:val="0"/>
        </w:numPr>
        <w:spacing w:before="60" w:after="240"/>
        <w:ind w:left="142"/>
        <w:rPr>
          <w:rFonts w:cs="Tahoma"/>
          <w:sz w:val="20"/>
        </w:rPr>
      </w:pPr>
      <w:r w:rsidRPr="0068236B">
        <w:rPr>
          <w:rFonts w:cs="Tahoma"/>
          <w:sz w:val="20"/>
        </w:rPr>
        <w:t xml:space="preserve">The following Table presents the distribution of bird species in the study area, </w:t>
      </w:r>
      <w:r w:rsidR="0050424A" w:rsidRPr="0068236B">
        <w:rPr>
          <w:rFonts w:cs="Tahoma"/>
          <w:sz w:val="20"/>
        </w:rPr>
        <w:t>recorded</w:t>
      </w:r>
      <w:r w:rsidRPr="0068236B">
        <w:rPr>
          <w:rFonts w:cs="Tahoma"/>
          <w:sz w:val="20"/>
        </w:rPr>
        <w:t xml:space="preserve"> during the field r</w:t>
      </w:r>
      <w:r w:rsidRPr="0068236B">
        <w:rPr>
          <w:rFonts w:cs="Tahoma"/>
          <w:sz w:val="20"/>
        </w:rPr>
        <w:t>e</w:t>
      </w:r>
      <w:r w:rsidRPr="0068236B">
        <w:rPr>
          <w:rFonts w:cs="Tahoma"/>
          <w:sz w:val="20"/>
        </w:rPr>
        <w:t xml:space="preserve">search conducted in 2021. There are 14 species which are considered as strictly protected according to the Law on Nature: </w:t>
      </w:r>
      <w:r w:rsidRPr="0068236B">
        <w:rPr>
          <w:rFonts w:cs="Tahoma"/>
          <w:i/>
          <w:sz w:val="20"/>
        </w:rPr>
        <w:t>Ardea alba, Buteo Buteo, Chroicocephalus ridibundus, Ciconia nigra, Circaetus gallicus, Corvus corax, Egretta garzetta, Falco subbuteo, Falco tinnunculus, Gallinula chloropus, Garrulus glandarius, Oriolus oriolus, Otus scops</w:t>
      </w:r>
      <w:r w:rsidRPr="0068236B">
        <w:rPr>
          <w:rFonts w:cs="Tahoma"/>
          <w:sz w:val="20"/>
        </w:rPr>
        <w:t xml:space="preserve"> and </w:t>
      </w:r>
      <w:r w:rsidRPr="0068236B">
        <w:rPr>
          <w:rFonts w:cs="Tahoma"/>
          <w:i/>
          <w:sz w:val="20"/>
        </w:rPr>
        <w:t>Pernis apivorus</w:t>
      </w:r>
      <w:r w:rsidRPr="0068236B">
        <w:rPr>
          <w:rFonts w:cs="Tahoma"/>
          <w:sz w:val="20"/>
        </w:rPr>
        <w:t xml:space="preserve">. Ten species are listed in Annex I of the EU Birds Direcive: </w:t>
      </w:r>
      <w:r w:rsidRPr="0068236B">
        <w:rPr>
          <w:rFonts w:cs="Tahoma"/>
          <w:i/>
          <w:sz w:val="20"/>
        </w:rPr>
        <w:t xml:space="preserve">Alcedo atthis, Ardea alba, Egretta garzetta, Lanius collurio, Lanius minor, Lullula arborea </w:t>
      </w:r>
      <w:r w:rsidRPr="0068236B">
        <w:rPr>
          <w:rFonts w:cs="Tahoma"/>
          <w:sz w:val="20"/>
        </w:rPr>
        <w:t xml:space="preserve">and </w:t>
      </w:r>
      <w:r w:rsidRPr="0068236B">
        <w:rPr>
          <w:rFonts w:cs="Tahoma"/>
          <w:i/>
          <w:sz w:val="20"/>
        </w:rPr>
        <w:t>Pernis api</w:t>
      </w:r>
      <w:r w:rsidRPr="0068236B">
        <w:rPr>
          <w:rFonts w:cs="Tahoma"/>
          <w:i/>
          <w:sz w:val="20"/>
        </w:rPr>
        <w:t>v</w:t>
      </w:r>
      <w:r w:rsidRPr="0068236B">
        <w:rPr>
          <w:rFonts w:cs="Tahoma"/>
          <w:i/>
          <w:sz w:val="20"/>
        </w:rPr>
        <w:t>orus</w:t>
      </w:r>
      <w:r w:rsidRPr="0068236B">
        <w:rPr>
          <w:rFonts w:cs="Tahoma"/>
          <w:sz w:val="20"/>
        </w:rPr>
        <w:t xml:space="preserve">. </w:t>
      </w:r>
      <w:r w:rsidRPr="0068236B">
        <w:rPr>
          <w:rFonts w:cs="Tahoma"/>
          <w:i/>
          <w:sz w:val="20"/>
        </w:rPr>
        <w:t xml:space="preserve">Streptopelia turtur </w:t>
      </w:r>
      <w:r w:rsidRPr="0068236B">
        <w:rPr>
          <w:rFonts w:cs="Tahoma"/>
          <w:sz w:val="20"/>
        </w:rPr>
        <w:t>is considered as Vulnerable (VU) according to the IUCN globar red list of threa</w:t>
      </w:r>
      <w:r w:rsidRPr="0068236B">
        <w:rPr>
          <w:rFonts w:cs="Tahoma"/>
          <w:sz w:val="20"/>
        </w:rPr>
        <w:t>t</w:t>
      </w:r>
      <w:r w:rsidRPr="0068236B">
        <w:rPr>
          <w:rFonts w:cs="Tahoma"/>
          <w:sz w:val="20"/>
        </w:rPr>
        <w:t xml:space="preserve">ened species. There are three species with threat status on the European red list of species: </w:t>
      </w:r>
      <w:r w:rsidRPr="0068236B">
        <w:rPr>
          <w:rFonts w:cs="Tahoma"/>
          <w:i/>
          <w:sz w:val="20"/>
        </w:rPr>
        <w:t xml:space="preserve">Streptopelia turtur and Alcedo atthis </w:t>
      </w:r>
      <w:r w:rsidRPr="0068236B">
        <w:rPr>
          <w:rFonts w:cs="Tahoma"/>
          <w:sz w:val="20"/>
        </w:rPr>
        <w:t xml:space="preserve">as Vulnerable (VU) and </w:t>
      </w:r>
      <w:r w:rsidRPr="0068236B">
        <w:rPr>
          <w:rFonts w:cs="Tahoma"/>
          <w:i/>
          <w:sz w:val="20"/>
        </w:rPr>
        <w:t xml:space="preserve">Fulica atra </w:t>
      </w:r>
      <w:r w:rsidRPr="0068236B">
        <w:rPr>
          <w:rFonts w:cs="Tahoma"/>
          <w:sz w:val="20"/>
        </w:rPr>
        <w:t>as Near Threatened (NT). All of the other sp</w:t>
      </w:r>
      <w:r w:rsidRPr="0068236B">
        <w:rPr>
          <w:rFonts w:cs="Tahoma"/>
          <w:sz w:val="20"/>
        </w:rPr>
        <w:t>e</w:t>
      </w:r>
      <w:r w:rsidRPr="0068236B">
        <w:rPr>
          <w:rFonts w:cs="Tahoma"/>
          <w:sz w:val="20"/>
        </w:rPr>
        <w:t xml:space="preserve">cies </w:t>
      </w:r>
      <w:r w:rsidR="009F23AF" w:rsidRPr="0068236B">
        <w:rPr>
          <w:rFonts w:cs="Tahoma"/>
          <w:sz w:val="20"/>
          <w:lang w:val="mk-MK"/>
        </w:rPr>
        <w:t>33</w:t>
      </w:r>
      <w:r w:rsidRPr="0068236B">
        <w:rPr>
          <w:rFonts w:cs="Tahoma"/>
          <w:sz w:val="20"/>
        </w:rPr>
        <w:t>are of Least Concern (LC). Demir Kapija gorge (at least 15 km away in north direction) is home to some important birds species and among them some larg birds of prey (Griffon vulture –</w:t>
      </w:r>
      <w:r w:rsidRPr="0068236B">
        <w:rPr>
          <w:rFonts w:cs="Tahoma"/>
          <w:i/>
          <w:sz w:val="20"/>
        </w:rPr>
        <w:t xml:space="preserve"> Gyps fulvus</w:t>
      </w:r>
      <w:r w:rsidRPr="0068236B">
        <w:rPr>
          <w:rFonts w:cs="Tahoma"/>
          <w:sz w:val="20"/>
        </w:rPr>
        <w:t xml:space="preserve">, Golden eagle – </w:t>
      </w:r>
      <w:r w:rsidRPr="0068236B">
        <w:rPr>
          <w:rFonts w:cs="Tahoma"/>
          <w:i/>
          <w:sz w:val="20"/>
        </w:rPr>
        <w:t>Aquila chrysaetos</w:t>
      </w:r>
      <w:r w:rsidRPr="0068236B">
        <w:rPr>
          <w:rFonts w:cs="Tahoma"/>
          <w:sz w:val="20"/>
        </w:rPr>
        <w:t>) but they were not rcorded in the project area during the field surveys.</w:t>
      </w:r>
    </w:p>
    <w:tbl>
      <w:tblPr>
        <w:tblStyle w:val="Kokan"/>
        <w:tblW w:w="9735" w:type="dxa"/>
        <w:tblCellMar>
          <w:left w:w="57" w:type="dxa"/>
          <w:right w:w="57" w:type="dxa"/>
        </w:tblCellMar>
        <w:tblLook w:val="04A0" w:firstRow="1" w:lastRow="0" w:firstColumn="1" w:lastColumn="0" w:noHBand="0" w:noVBand="1"/>
      </w:tblPr>
      <w:tblGrid>
        <w:gridCol w:w="3196"/>
        <w:gridCol w:w="660"/>
        <w:gridCol w:w="567"/>
        <w:gridCol w:w="1160"/>
        <w:gridCol w:w="682"/>
        <w:gridCol w:w="519"/>
        <w:gridCol w:w="474"/>
        <w:gridCol w:w="641"/>
        <w:gridCol w:w="536"/>
        <w:gridCol w:w="432"/>
        <w:gridCol w:w="433"/>
        <w:gridCol w:w="429"/>
        <w:gridCol w:w="6"/>
      </w:tblGrid>
      <w:tr w:rsidR="00A32FBA" w:rsidRPr="00744C45" w14:paraId="4DF1DCE7" w14:textId="77777777" w:rsidTr="001650F6">
        <w:trPr>
          <w:cnfStyle w:val="100000000000" w:firstRow="1" w:lastRow="0" w:firstColumn="0" w:lastColumn="0" w:oddVBand="0" w:evenVBand="0" w:oddHBand="0" w:evenHBand="0" w:firstRowFirstColumn="0" w:firstRowLastColumn="0" w:lastRowFirstColumn="0" w:lastRowLastColumn="0"/>
          <w:trHeight w:val="677"/>
          <w:tblHeader/>
        </w:trPr>
        <w:tc>
          <w:tcPr>
            <w:tcW w:w="3196" w:type="dxa"/>
            <w:vMerge w:val="restart"/>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0B9AD6C5" w14:textId="77777777" w:rsidR="001650F6" w:rsidRPr="00744C45" w:rsidRDefault="001650F6" w:rsidP="00377B68">
            <w:pPr>
              <w:spacing w:before="0" w:after="0" w:line="240" w:lineRule="auto"/>
              <w:jc w:val="center"/>
              <w:rPr>
                <w:rFonts w:cs="Tahoma"/>
                <w:bCs/>
                <w:color w:val="auto"/>
                <w:sz w:val="20"/>
                <w:szCs w:val="20"/>
                <w:lang w:eastAsia="mk-MK"/>
              </w:rPr>
            </w:pPr>
            <w:r w:rsidRPr="00744C45">
              <w:rPr>
                <w:rFonts w:cs="Tahoma"/>
                <w:bCs/>
                <w:color w:val="auto"/>
                <w:sz w:val="20"/>
                <w:szCs w:val="20"/>
                <w:lang w:eastAsia="mk-MK"/>
              </w:rPr>
              <w:t>Species</w:t>
            </w:r>
          </w:p>
        </w:tc>
        <w:tc>
          <w:tcPr>
            <w:tcW w:w="660" w:type="dxa"/>
            <w:vMerge w:val="restart"/>
            <w:tcBorders>
              <w:top w:val="double" w:sz="4" w:space="0" w:color="auto"/>
              <w:right w:val="double" w:sz="4" w:space="0" w:color="auto"/>
            </w:tcBorders>
            <w:shd w:val="clear" w:color="auto" w:fill="B4C6E7" w:themeFill="accent1" w:themeFillTint="66"/>
            <w:textDirection w:val="btLr"/>
          </w:tcPr>
          <w:p w14:paraId="4E2E0787" w14:textId="77777777" w:rsidR="001650F6" w:rsidRPr="00744C45" w:rsidRDefault="001650F6" w:rsidP="00377B68">
            <w:pPr>
              <w:spacing w:before="0" w:after="0" w:line="240" w:lineRule="auto"/>
              <w:jc w:val="center"/>
              <w:rPr>
                <w:rFonts w:cs="Tahoma"/>
                <w:noProof/>
                <w:color w:val="auto"/>
                <w:sz w:val="20"/>
                <w:szCs w:val="20"/>
              </w:rPr>
            </w:pPr>
            <w:r w:rsidRPr="00744C45">
              <w:rPr>
                <w:rFonts w:cs="Tahoma"/>
                <w:noProof/>
                <w:color w:val="auto"/>
                <w:sz w:val="20"/>
                <w:szCs w:val="20"/>
              </w:rPr>
              <w:t>IUCN GLR</w:t>
            </w:r>
          </w:p>
        </w:tc>
        <w:tc>
          <w:tcPr>
            <w:tcW w:w="567" w:type="dxa"/>
            <w:vMerge w:val="restart"/>
            <w:tcBorders>
              <w:top w:val="double" w:sz="4" w:space="0" w:color="auto"/>
              <w:right w:val="double" w:sz="4" w:space="0" w:color="auto"/>
            </w:tcBorders>
            <w:shd w:val="clear" w:color="auto" w:fill="B4C6E7" w:themeFill="accent1" w:themeFillTint="66"/>
            <w:textDirection w:val="btLr"/>
          </w:tcPr>
          <w:p w14:paraId="56E39637" w14:textId="77777777" w:rsidR="001650F6" w:rsidRPr="00744C45" w:rsidRDefault="001650F6" w:rsidP="00377B68">
            <w:pPr>
              <w:spacing w:before="0" w:after="0" w:line="240" w:lineRule="auto"/>
              <w:jc w:val="center"/>
              <w:rPr>
                <w:rFonts w:cs="Tahoma"/>
                <w:noProof/>
                <w:color w:val="auto"/>
                <w:sz w:val="20"/>
                <w:szCs w:val="20"/>
              </w:rPr>
            </w:pPr>
            <w:r w:rsidRPr="00744C45">
              <w:rPr>
                <w:rFonts w:cs="Tahoma"/>
                <w:noProof/>
                <w:color w:val="auto"/>
                <w:sz w:val="20"/>
                <w:szCs w:val="20"/>
              </w:rPr>
              <w:t>IUCN ERL</w:t>
            </w:r>
          </w:p>
        </w:tc>
        <w:tc>
          <w:tcPr>
            <w:tcW w:w="1160" w:type="dxa"/>
            <w:vMerge w:val="restart"/>
            <w:tcBorders>
              <w:top w:val="double" w:sz="4" w:space="0" w:color="auto"/>
              <w:right w:val="double" w:sz="4" w:space="0" w:color="auto"/>
            </w:tcBorders>
            <w:shd w:val="clear" w:color="auto" w:fill="B4C6E7" w:themeFill="accent1" w:themeFillTint="66"/>
            <w:textDirection w:val="btLr"/>
          </w:tcPr>
          <w:p w14:paraId="7406A374" w14:textId="77777777" w:rsidR="001650F6" w:rsidRPr="00744C45" w:rsidRDefault="001650F6" w:rsidP="00377B68">
            <w:pPr>
              <w:spacing w:before="0" w:after="0" w:line="240" w:lineRule="auto"/>
              <w:jc w:val="center"/>
              <w:rPr>
                <w:rFonts w:cs="Tahoma"/>
                <w:noProof/>
                <w:color w:val="auto"/>
                <w:sz w:val="20"/>
                <w:szCs w:val="20"/>
              </w:rPr>
            </w:pPr>
            <w:r w:rsidRPr="00744C45">
              <w:rPr>
                <w:rFonts w:cs="Tahoma"/>
                <w:noProof/>
                <w:color w:val="auto"/>
                <w:sz w:val="20"/>
                <w:szCs w:val="20"/>
              </w:rPr>
              <w:t>Bird Directive</w:t>
            </w:r>
          </w:p>
        </w:tc>
        <w:tc>
          <w:tcPr>
            <w:tcW w:w="682" w:type="dxa"/>
            <w:vMerge w:val="restart"/>
            <w:tcBorders>
              <w:top w:val="double" w:sz="4" w:space="0" w:color="auto"/>
              <w:right w:val="double" w:sz="4" w:space="0" w:color="auto"/>
            </w:tcBorders>
            <w:shd w:val="clear" w:color="auto" w:fill="B4C6E7" w:themeFill="accent1" w:themeFillTint="66"/>
            <w:textDirection w:val="btLr"/>
          </w:tcPr>
          <w:p w14:paraId="135980DC" w14:textId="77777777" w:rsidR="001650F6" w:rsidRPr="00744C45" w:rsidRDefault="001650F6" w:rsidP="00377B68">
            <w:pPr>
              <w:spacing w:before="0" w:after="0" w:line="240" w:lineRule="auto"/>
              <w:jc w:val="center"/>
              <w:rPr>
                <w:rFonts w:cs="Tahoma"/>
                <w:noProof/>
                <w:color w:val="auto"/>
                <w:sz w:val="20"/>
                <w:szCs w:val="20"/>
              </w:rPr>
            </w:pPr>
            <w:r w:rsidRPr="00744C45">
              <w:rPr>
                <w:rFonts w:cs="Tahoma"/>
                <w:noProof/>
                <w:color w:val="auto"/>
                <w:sz w:val="20"/>
                <w:szCs w:val="20"/>
              </w:rPr>
              <w:t>Bern Convetion</w:t>
            </w:r>
          </w:p>
        </w:tc>
        <w:tc>
          <w:tcPr>
            <w:tcW w:w="519" w:type="dxa"/>
            <w:vMerge w:val="restart"/>
            <w:tcBorders>
              <w:top w:val="double" w:sz="4" w:space="0" w:color="auto"/>
              <w:right w:val="double" w:sz="4" w:space="0" w:color="auto"/>
            </w:tcBorders>
            <w:shd w:val="clear" w:color="auto" w:fill="B4C6E7" w:themeFill="accent1" w:themeFillTint="66"/>
            <w:textDirection w:val="btLr"/>
          </w:tcPr>
          <w:p w14:paraId="6BB13D9A" w14:textId="77777777" w:rsidR="001650F6" w:rsidRPr="00744C45" w:rsidRDefault="001650F6" w:rsidP="00377B68">
            <w:pPr>
              <w:spacing w:before="0" w:after="0" w:line="240" w:lineRule="auto"/>
              <w:jc w:val="center"/>
              <w:rPr>
                <w:rFonts w:cs="Tahoma"/>
                <w:noProof/>
                <w:color w:val="auto"/>
                <w:sz w:val="20"/>
                <w:szCs w:val="20"/>
              </w:rPr>
            </w:pPr>
            <w:r w:rsidRPr="00744C45">
              <w:rPr>
                <w:rFonts w:cs="Tahoma"/>
                <w:noProof/>
                <w:color w:val="auto"/>
                <w:sz w:val="20"/>
                <w:szCs w:val="20"/>
              </w:rPr>
              <w:t>Bonn Convention</w:t>
            </w:r>
          </w:p>
        </w:tc>
        <w:tc>
          <w:tcPr>
            <w:tcW w:w="474" w:type="dxa"/>
            <w:vMerge w:val="restart"/>
            <w:tcBorders>
              <w:top w:val="double" w:sz="4" w:space="0" w:color="auto"/>
              <w:right w:val="double" w:sz="4" w:space="0" w:color="auto"/>
            </w:tcBorders>
            <w:shd w:val="clear" w:color="auto" w:fill="B4C6E7" w:themeFill="accent1" w:themeFillTint="66"/>
            <w:textDirection w:val="btLr"/>
          </w:tcPr>
          <w:p w14:paraId="09953A4E" w14:textId="77777777" w:rsidR="001650F6" w:rsidRPr="00744C45" w:rsidRDefault="001650F6" w:rsidP="00377B68">
            <w:pPr>
              <w:spacing w:before="0" w:after="0" w:line="240" w:lineRule="auto"/>
              <w:jc w:val="center"/>
              <w:rPr>
                <w:rFonts w:cs="Tahoma"/>
                <w:noProof/>
                <w:color w:val="auto"/>
                <w:sz w:val="20"/>
                <w:szCs w:val="20"/>
              </w:rPr>
            </w:pPr>
            <w:r w:rsidRPr="00744C45">
              <w:rPr>
                <w:rFonts w:cs="Tahoma"/>
                <w:noProof/>
                <w:color w:val="auto"/>
                <w:sz w:val="20"/>
                <w:szCs w:val="20"/>
              </w:rPr>
              <w:t>CITES</w:t>
            </w:r>
          </w:p>
        </w:tc>
        <w:tc>
          <w:tcPr>
            <w:tcW w:w="641" w:type="dxa"/>
            <w:vMerge w:val="restart"/>
            <w:tcBorders>
              <w:top w:val="double" w:sz="4" w:space="0" w:color="auto"/>
              <w:right w:val="double" w:sz="4" w:space="0" w:color="auto"/>
            </w:tcBorders>
            <w:shd w:val="clear" w:color="auto" w:fill="B4C6E7" w:themeFill="accent1" w:themeFillTint="66"/>
            <w:textDirection w:val="btLr"/>
          </w:tcPr>
          <w:p w14:paraId="3CEA7177" w14:textId="515E1F2C" w:rsidR="001650F6" w:rsidRPr="00744C45" w:rsidRDefault="001650F6" w:rsidP="00377B68">
            <w:pPr>
              <w:spacing w:before="0" w:after="0" w:line="240" w:lineRule="auto"/>
              <w:jc w:val="center"/>
              <w:rPr>
                <w:rFonts w:cs="Tahoma"/>
                <w:noProof/>
                <w:color w:val="auto"/>
                <w:sz w:val="20"/>
                <w:szCs w:val="20"/>
              </w:rPr>
            </w:pPr>
            <w:r w:rsidRPr="00744C45">
              <w:rPr>
                <w:rFonts w:cs="Tahoma"/>
                <w:noProof/>
                <w:color w:val="auto"/>
                <w:sz w:val="20"/>
                <w:szCs w:val="20"/>
              </w:rPr>
              <w:t>Law on Nature Protection</w:t>
            </w:r>
          </w:p>
        </w:tc>
        <w:tc>
          <w:tcPr>
            <w:tcW w:w="536" w:type="dxa"/>
            <w:vMerge w:val="restart"/>
            <w:tcBorders>
              <w:top w:val="double" w:sz="4" w:space="0" w:color="auto"/>
              <w:right w:val="double" w:sz="4" w:space="0" w:color="auto"/>
            </w:tcBorders>
            <w:shd w:val="clear" w:color="auto" w:fill="B4C6E7" w:themeFill="accent1" w:themeFillTint="66"/>
            <w:textDirection w:val="btLr"/>
          </w:tcPr>
          <w:p w14:paraId="090FC5BD" w14:textId="7C1E40C4" w:rsidR="001650F6" w:rsidRPr="00744C45" w:rsidRDefault="001650F6" w:rsidP="0050424A">
            <w:pPr>
              <w:spacing w:before="0" w:after="0" w:line="240" w:lineRule="auto"/>
              <w:rPr>
                <w:rFonts w:cs="Tahoma"/>
                <w:noProof/>
                <w:color w:val="auto"/>
                <w:sz w:val="20"/>
                <w:szCs w:val="20"/>
              </w:rPr>
            </w:pPr>
            <w:r w:rsidRPr="00744C45">
              <w:rPr>
                <w:rFonts w:cs="Tahoma"/>
                <w:noProof/>
                <w:color w:val="auto"/>
                <w:sz w:val="20"/>
                <w:szCs w:val="20"/>
              </w:rPr>
              <w:t xml:space="preserve"> Law on Hunting</w:t>
            </w:r>
          </w:p>
        </w:tc>
        <w:tc>
          <w:tcPr>
            <w:tcW w:w="1300" w:type="dxa"/>
            <w:gridSpan w:val="4"/>
            <w:tcBorders>
              <w:top w:val="double" w:sz="4" w:space="0" w:color="auto"/>
              <w:bottom w:val="double" w:sz="4" w:space="0" w:color="auto"/>
            </w:tcBorders>
            <w:shd w:val="clear" w:color="auto" w:fill="B4C6E7" w:themeFill="accent1" w:themeFillTint="66"/>
          </w:tcPr>
          <w:p w14:paraId="45C9D207" w14:textId="77777777" w:rsidR="001650F6" w:rsidRPr="00744C45" w:rsidRDefault="001650F6" w:rsidP="00FD3B24">
            <w:pPr>
              <w:spacing w:before="0" w:after="0" w:line="240" w:lineRule="auto"/>
              <w:jc w:val="center"/>
              <w:rPr>
                <w:rFonts w:cs="Tahoma"/>
                <w:color w:val="auto"/>
                <w:sz w:val="20"/>
                <w:szCs w:val="20"/>
              </w:rPr>
            </w:pPr>
            <w:r w:rsidRPr="00744C45">
              <w:rPr>
                <w:rFonts w:cs="Tahoma"/>
                <w:color w:val="auto"/>
                <w:sz w:val="20"/>
                <w:szCs w:val="20"/>
              </w:rPr>
              <w:t>Project</w:t>
            </w:r>
          </w:p>
          <w:p w14:paraId="3D219F87" w14:textId="6A8B2DC2" w:rsidR="001650F6" w:rsidRPr="00744C45" w:rsidRDefault="001650F6" w:rsidP="00FD3B24">
            <w:pPr>
              <w:spacing w:before="0" w:after="0" w:line="240" w:lineRule="auto"/>
              <w:jc w:val="center"/>
              <w:rPr>
                <w:rFonts w:cs="Tahoma"/>
                <w:color w:val="auto"/>
                <w:sz w:val="20"/>
                <w:szCs w:val="20"/>
              </w:rPr>
            </w:pPr>
            <w:r w:rsidRPr="00744C45">
              <w:rPr>
                <w:rFonts w:cs="Tahoma"/>
                <w:color w:val="auto"/>
                <w:sz w:val="20"/>
                <w:szCs w:val="20"/>
              </w:rPr>
              <w:t>element</w:t>
            </w:r>
          </w:p>
        </w:tc>
      </w:tr>
      <w:tr w:rsidR="00A32FBA" w:rsidRPr="00744C45" w14:paraId="40B0D017" w14:textId="77777777" w:rsidTr="001650F6">
        <w:trPr>
          <w:gridAfter w:val="1"/>
          <w:cnfStyle w:val="100000000000" w:firstRow="1" w:lastRow="0" w:firstColumn="0" w:lastColumn="0" w:oddVBand="0" w:evenVBand="0" w:oddHBand="0" w:evenHBand="0" w:firstRowFirstColumn="0" w:firstRowLastColumn="0" w:lastRowFirstColumn="0" w:lastRowLastColumn="0"/>
          <w:wAfter w:w="6" w:type="dxa"/>
          <w:trHeight w:val="895"/>
          <w:tblHeader/>
        </w:trPr>
        <w:tc>
          <w:tcPr>
            <w:tcW w:w="3196" w:type="dxa"/>
            <w:vMerge/>
            <w:tcBorders>
              <w:top w:val="double" w:sz="4" w:space="0" w:color="auto"/>
              <w:bottom w:val="double" w:sz="4" w:space="0" w:color="auto"/>
              <w:right w:val="double" w:sz="4" w:space="0" w:color="auto"/>
            </w:tcBorders>
            <w:shd w:val="clear" w:color="auto" w:fill="D5DCE4" w:themeFill="text2" w:themeFillTint="33"/>
            <w:noWrap/>
            <w:tcMar>
              <w:left w:w="28" w:type="dxa"/>
              <w:right w:w="28" w:type="dxa"/>
            </w:tcMar>
            <w:hideMark/>
          </w:tcPr>
          <w:p w14:paraId="52B4621C" w14:textId="77777777" w:rsidR="001650F6" w:rsidRPr="00744C45" w:rsidRDefault="001650F6" w:rsidP="00377B68">
            <w:pPr>
              <w:spacing w:before="0" w:after="0" w:line="240" w:lineRule="auto"/>
              <w:jc w:val="center"/>
              <w:rPr>
                <w:rFonts w:cs="Tahoma"/>
                <w:bCs/>
                <w:color w:val="auto"/>
                <w:sz w:val="20"/>
                <w:szCs w:val="20"/>
                <w:lang w:eastAsia="mk-MK"/>
              </w:rPr>
            </w:pPr>
          </w:p>
        </w:tc>
        <w:tc>
          <w:tcPr>
            <w:tcW w:w="660" w:type="dxa"/>
            <w:vMerge/>
            <w:tcBorders>
              <w:bottom w:val="double" w:sz="4" w:space="0" w:color="auto"/>
              <w:right w:val="double" w:sz="4" w:space="0" w:color="auto"/>
            </w:tcBorders>
            <w:shd w:val="clear" w:color="auto" w:fill="D5DCE4" w:themeFill="text2" w:themeFillTint="33"/>
          </w:tcPr>
          <w:p w14:paraId="6D249DFE" w14:textId="77777777" w:rsidR="001650F6" w:rsidRPr="00744C45" w:rsidRDefault="001650F6" w:rsidP="00377B68">
            <w:pPr>
              <w:keepLines/>
              <w:spacing w:before="0" w:after="0" w:line="240" w:lineRule="auto"/>
              <w:jc w:val="center"/>
              <w:rPr>
                <w:rFonts w:cs="Tahoma"/>
                <w:color w:val="auto"/>
                <w:sz w:val="20"/>
                <w:szCs w:val="20"/>
              </w:rPr>
            </w:pPr>
          </w:p>
        </w:tc>
        <w:tc>
          <w:tcPr>
            <w:tcW w:w="567" w:type="dxa"/>
            <w:vMerge/>
            <w:tcBorders>
              <w:bottom w:val="double" w:sz="4" w:space="0" w:color="auto"/>
              <w:right w:val="double" w:sz="4" w:space="0" w:color="auto"/>
            </w:tcBorders>
            <w:shd w:val="clear" w:color="auto" w:fill="D5DCE4" w:themeFill="text2" w:themeFillTint="33"/>
          </w:tcPr>
          <w:p w14:paraId="30CE009A" w14:textId="77777777" w:rsidR="001650F6" w:rsidRPr="00744C45" w:rsidRDefault="001650F6" w:rsidP="00377B68">
            <w:pPr>
              <w:keepLines/>
              <w:spacing w:before="0" w:after="0" w:line="240" w:lineRule="auto"/>
              <w:jc w:val="center"/>
              <w:rPr>
                <w:rFonts w:cs="Tahoma"/>
                <w:color w:val="auto"/>
                <w:sz w:val="20"/>
                <w:szCs w:val="20"/>
              </w:rPr>
            </w:pPr>
          </w:p>
        </w:tc>
        <w:tc>
          <w:tcPr>
            <w:tcW w:w="1160" w:type="dxa"/>
            <w:vMerge/>
            <w:tcBorders>
              <w:bottom w:val="double" w:sz="4" w:space="0" w:color="auto"/>
              <w:right w:val="double" w:sz="4" w:space="0" w:color="auto"/>
            </w:tcBorders>
            <w:shd w:val="clear" w:color="auto" w:fill="D5DCE4" w:themeFill="text2" w:themeFillTint="33"/>
          </w:tcPr>
          <w:p w14:paraId="69F9DA00" w14:textId="77777777" w:rsidR="001650F6" w:rsidRPr="00744C45" w:rsidRDefault="001650F6" w:rsidP="00377B68">
            <w:pPr>
              <w:keepLines/>
              <w:spacing w:before="0" w:after="0" w:line="240" w:lineRule="auto"/>
              <w:jc w:val="center"/>
              <w:rPr>
                <w:rFonts w:cs="Tahoma"/>
                <w:color w:val="auto"/>
                <w:sz w:val="20"/>
                <w:szCs w:val="20"/>
              </w:rPr>
            </w:pPr>
          </w:p>
        </w:tc>
        <w:tc>
          <w:tcPr>
            <w:tcW w:w="682" w:type="dxa"/>
            <w:vMerge/>
            <w:tcBorders>
              <w:bottom w:val="double" w:sz="4" w:space="0" w:color="auto"/>
              <w:right w:val="double" w:sz="4" w:space="0" w:color="auto"/>
            </w:tcBorders>
            <w:shd w:val="clear" w:color="auto" w:fill="D5DCE4" w:themeFill="text2" w:themeFillTint="33"/>
          </w:tcPr>
          <w:p w14:paraId="2CF7718F" w14:textId="77777777" w:rsidR="001650F6" w:rsidRPr="00744C45" w:rsidRDefault="001650F6" w:rsidP="00377B68">
            <w:pPr>
              <w:keepLines/>
              <w:spacing w:before="0" w:after="0" w:line="240" w:lineRule="auto"/>
              <w:jc w:val="center"/>
              <w:rPr>
                <w:rFonts w:cs="Tahoma"/>
                <w:color w:val="auto"/>
                <w:sz w:val="20"/>
                <w:szCs w:val="20"/>
              </w:rPr>
            </w:pPr>
          </w:p>
        </w:tc>
        <w:tc>
          <w:tcPr>
            <w:tcW w:w="519" w:type="dxa"/>
            <w:vMerge/>
            <w:tcBorders>
              <w:bottom w:val="double" w:sz="4" w:space="0" w:color="auto"/>
              <w:right w:val="double" w:sz="4" w:space="0" w:color="auto"/>
            </w:tcBorders>
            <w:shd w:val="clear" w:color="auto" w:fill="D5DCE4" w:themeFill="text2" w:themeFillTint="33"/>
          </w:tcPr>
          <w:p w14:paraId="2BCC32FF" w14:textId="77777777" w:rsidR="001650F6" w:rsidRPr="00744C45" w:rsidRDefault="001650F6" w:rsidP="00377B68">
            <w:pPr>
              <w:keepLines/>
              <w:spacing w:before="0" w:after="0" w:line="240" w:lineRule="auto"/>
              <w:jc w:val="center"/>
              <w:rPr>
                <w:rFonts w:cs="Tahoma"/>
                <w:color w:val="auto"/>
                <w:sz w:val="20"/>
                <w:szCs w:val="20"/>
              </w:rPr>
            </w:pPr>
          </w:p>
        </w:tc>
        <w:tc>
          <w:tcPr>
            <w:tcW w:w="474" w:type="dxa"/>
            <w:vMerge/>
            <w:tcBorders>
              <w:bottom w:val="double" w:sz="4" w:space="0" w:color="auto"/>
              <w:right w:val="double" w:sz="4" w:space="0" w:color="auto"/>
            </w:tcBorders>
            <w:shd w:val="clear" w:color="auto" w:fill="D5DCE4" w:themeFill="text2" w:themeFillTint="33"/>
          </w:tcPr>
          <w:p w14:paraId="53CD3561" w14:textId="77777777" w:rsidR="001650F6" w:rsidRPr="00744C45" w:rsidRDefault="001650F6" w:rsidP="00377B68">
            <w:pPr>
              <w:keepLines/>
              <w:spacing w:before="0" w:after="0" w:line="240" w:lineRule="auto"/>
              <w:jc w:val="center"/>
              <w:rPr>
                <w:rFonts w:cs="Tahoma"/>
                <w:color w:val="auto"/>
                <w:sz w:val="20"/>
                <w:szCs w:val="20"/>
              </w:rPr>
            </w:pPr>
          </w:p>
        </w:tc>
        <w:tc>
          <w:tcPr>
            <w:tcW w:w="641" w:type="dxa"/>
            <w:vMerge/>
            <w:tcBorders>
              <w:bottom w:val="double" w:sz="4" w:space="0" w:color="auto"/>
              <w:right w:val="double" w:sz="4" w:space="0" w:color="auto"/>
            </w:tcBorders>
            <w:shd w:val="clear" w:color="auto" w:fill="D5DCE4" w:themeFill="text2" w:themeFillTint="33"/>
          </w:tcPr>
          <w:p w14:paraId="0285B4CA" w14:textId="77777777" w:rsidR="001650F6" w:rsidRPr="00744C45" w:rsidRDefault="001650F6" w:rsidP="00377B68">
            <w:pPr>
              <w:keepLines/>
              <w:spacing w:before="0" w:after="0" w:line="240" w:lineRule="auto"/>
              <w:jc w:val="center"/>
              <w:rPr>
                <w:rFonts w:cs="Tahoma"/>
                <w:color w:val="auto"/>
                <w:sz w:val="20"/>
                <w:szCs w:val="20"/>
              </w:rPr>
            </w:pPr>
          </w:p>
        </w:tc>
        <w:tc>
          <w:tcPr>
            <w:tcW w:w="536" w:type="dxa"/>
            <w:vMerge/>
            <w:tcBorders>
              <w:bottom w:val="double" w:sz="4" w:space="0" w:color="auto"/>
              <w:right w:val="double" w:sz="4" w:space="0" w:color="auto"/>
            </w:tcBorders>
            <w:shd w:val="clear" w:color="auto" w:fill="D5DCE4" w:themeFill="text2" w:themeFillTint="33"/>
          </w:tcPr>
          <w:p w14:paraId="5E756819" w14:textId="77777777" w:rsidR="001650F6" w:rsidRPr="00744C45" w:rsidRDefault="001650F6" w:rsidP="00377B68">
            <w:pPr>
              <w:keepLines/>
              <w:spacing w:before="0" w:after="0" w:line="240" w:lineRule="auto"/>
              <w:jc w:val="center"/>
              <w:rPr>
                <w:rFonts w:cs="Tahoma"/>
                <w:color w:val="auto"/>
                <w:sz w:val="20"/>
                <w:szCs w:val="20"/>
              </w:rPr>
            </w:pPr>
          </w:p>
        </w:tc>
        <w:tc>
          <w:tcPr>
            <w:tcW w:w="432" w:type="dxa"/>
            <w:tcBorders>
              <w:top w:val="double" w:sz="4" w:space="0" w:color="auto"/>
              <w:left w:val="double" w:sz="4" w:space="0" w:color="auto"/>
              <w:bottom w:val="double" w:sz="4" w:space="0" w:color="auto"/>
              <w:right w:val="double" w:sz="4" w:space="0" w:color="auto"/>
            </w:tcBorders>
            <w:shd w:val="clear" w:color="auto" w:fill="B4C6E7" w:themeFill="accent1" w:themeFillTint="66"/>
            <w:tcMar>
              <w:left w:w="28" w:type="dxa"/>
              <w:right w:w="28" w:type="dxa"/>
            </w:tcMar>
          </w:tcPr>
          <w:p w14:paraId="59276232" w14:textId="77777777" w:rsidR="001650F6" w:rsidRPr="00744C45" w:rsidRDefault="001650F6" w:rsidP="00377B68">
            <w:pPr>
              <w:keepLines/>
              <w:spacing w:before="0" w:after="0" w:line="240" w:lineRule="auto"/>
              <w:jc w:val="center"/>
              <w:rPr>
                <w:rFonts w:cs="Tahoma"/>
                <w:color w:val="auto"/>
                <w:sz w:val="20"/>
                <w:szCs w:val="20"/>
              </w:rPr>
            </w:pPr>
            <w:r w:rsidRPr="00744C45">
              <w:rPr>
                <w:rFonts w:cs="Tahoma"/>
                <w:color w:val="auto"/>
                <w:sz w:val="20"/>
                <w:szCs w:val="20"/>
              </w:rPr>
              <w:t>1a</w:t>
            </w:r>
          </w:p>
        </w:tc>
        <w:tc>
          <w:tcPr>
            <w:tcW w:w="433" w:type="dxa"/>
            <w:tcBorders>
              <w:top w:val="double" w:sz="4" w:space="0" w:color="auto"/>
              <w:left w:val="double" w:sz="4" w:space="0" w:color="auto"/>
              <w:bottom w:val="double" w:sz="4" w:space="0" w:color="auto"/>
              <w:right w:val="double" w:sz="4" w:space="0" w:color="auto"/>
            </w:tcBorders>
            <w:shd w:val="clear" w:color="auto" w:fill="B4C6E7" w:themeFill="accent1" w:themeFillTint="66"/>
            <w:tcMar>
              <w:left w:w="28" w:type="dxa"/>
              <w:right w:w="28" w:type="dxa"/>
            </w:tcMar>
          </w:tcPr>
          <w:p w14:paraId="56EF0436" w14:textId="77777777" w:rsidR="001650F6" w:rsidRPr="00744C45" w:rsidRDefault="001650F6" w:rsidP="00377B68">
            <w:pPr>
              <w:keepLines/>
              <w:spacing w:before="0" w:after="0" w:line="240" w:lineRule="auto"/>
              <w:jc w:val="center"/>
              <w:rPr>
                <w:rFonts w:cs="Tahoma"/>
                <w:color w:val="auto"/>
                <w:sz w:val="20"/>
                <w:szCs w:val="20"/>
              </w:rPr>
            </w:pPr>
            <w:r w:rsidRPr="00744C45">
              <w:rPr>
                <w:rFonts w:cs="Tahoma"/>
                <w:color w:val="auto"/>
                <w:sz w:val="20"/>
                <w:szCs w:val="20"/>
              </w:rPr>
              <w:t>1b</w:t>
            </w:r>
          </w:p>
        </w:tc>
        <w:tc>
          <w:tcPr>
            <w:tcW w:w="429" w:type="dxa"/>
            <w:tcBorders>
              <w:top w:val="double" w:sz="4" w:space="0" w:color="auto"/>
              <w:left w:val="double" w:sz="4" w:space="0" w:color="auto"/>
              <w:bottom w:val="double" w:sz="4" w:space="0" w:color="auto"/>
              <w:right w:val="double" w:sz="4" w:space="0" w:color="auto"/>
            </w:tcBorders>
            <w:shd w:val="clear" w:color="auto" w:fill="B4C6E7" w:themeFill="accent1" w:themeFillTint="66"/>
            <w:tcMar>
              <w:left w:w="28" w:type="dxa"/>
              <w:right w:w="28" w:type="dxa"/>
            </w:tcMar>
          </w:tcPr>
          <w:p w14:paraId="2A81629C" w14:textId="77777777" w:rsidR="001650F6" w:rsidRPr="00744C45" w:rsidRDefault="001650F6" w:rsidP="00377B68">
            <w:pPr>
              <w:keepLines/>
              <w:spacing w:before="0" w:after="0" w:line="240" w:lineRule="auto"/>
              <w:jc w:val="center"/>
              <w:rPr>
                <w:rFonts w:cs="Tahoma"/>
                <w:color w:val="auto"/>
                <w:sz w:val="20"/>
                <w:szCs w:val="20"/>
              </w:rPr>
            </w:pPr>
            <w:r w:rsidRPr="00744C45">
              <w:rPr>
                <w:rFonts w:cs="Tahoma"/>
                <w:color w:val="auto"/>
                <w:sz w:val="20"/>
                <w:szCs w:val="20"/>
              </w:rPr>
              <w:t>1c</w:t>
            </w:r>
          </w:p>
        </w:tc>
      </w:tr>
      <w:tr w:rsidR="001650F6" w:rsidRPr="0068236B" w14:paraId="62F8B4A3"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5A2BDEE4"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Aegithalos caudatus</w:t>
            </w:r>
          </w:p>
        </w:tc>
        <w:tc>
          <w:tcPr>
            <w:tcW w:w="660" w:type="dxa"/>
            <w:tcBorders>
              <w:top w:val="single" w:sz="8" w:space="0" w:color="auto"/>
              <w:bottom w:val="single" w:sz="8" w:space="0" w:color="auto"/>
            </w:tcBorders>
          </w:tcPr>
          <w:p w14:paraId="6012B72E"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490A3E3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2900DFE1"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1808EFEE"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III</w:t>
            </w:r>
          </w:p>
        </w:tc>
        <w:tc>
          <w:tcPr>
            <w:tcW w:w="519" w:type="dxa"/>
            <w:tcBorders>
              <w:top w:val="single" w:sz="8" w:space="0" w:color="auto"/>
              <w:bottom w:val="single" w:sz="8" w:space="0" w:color="auto"/>
            </w:tcBorders>
          </w:tcPr>
          <w:p w14:paraId="29E92EB1"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71B0FCBD"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2DDCC098"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08D54A49"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798F756F"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0F9915E5"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7EE99B53"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298B9E19"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7A36CA39"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Alcedo atthis</w:t>
            </w:r>
          </w:p>
        </w:tc>
        <w:tc>
          <w:tcPr>
            <w:tcW w:w="660" w:type="dxa"/>
            <w:tcBorders>
              <w:top w:val="single" w:sz="8" w:space="0" w:color="auto"/>
              <w:bottom w:val="single" w:sz="8" w:space="0" w:color="auto"/>
            </w:tcBorders>
          </w:tcPr>
          <w:p w14:paraId="22F8D3F6"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3EE8436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VU</w:t>
            </w:r>
          </w:p>
        </w:tc>
        <w:tc>
          <w:tcPr>
            <w:tcW w:w="1160" w:type="dxa"/>
            <w:tcBorders>
              <w:top w:val="single" w:sz="8" w:space="0" w:color="auto"/>
              <w:bottom w:val="single" w:sz="8" w:space="0" w:color="auto"/>
            </w:tcBorders>
          </w:tcPr>
          <w:p w14:paraId="6F6DD739" w14:textId="77777777" w:rsidR="001650F6" w:rsidRPr="0068236B" w:rsidRDefault="001650F6" w:rsidP="00377B68">
            <w:pPr>
              <w:spacing w:before="0" w:after="0" w:line="240" w:lineRule="auto"/>
              <w:jc w:val="center"/>
              <w:rPr>
                <w:rFonts w:cs="Tahoma"/>
                <w:bCs/>
                <w:noProof/>
                <w:sz w:val="20"/>
                <w:szCs w:val="20"/>
              </w:rPr>
            </w:pPr>
            <w:r w:rsidRPr="0068236B">
              <w:rPr>
                <w:rFonts w:cs="Tahoma"/>
                <w:bCs/>
                <w:noProof/>
                <w:sz w:val="20"/>
                <w:szCs w:val="20"/>
              </w:rPr>
              <w:t>I</w:t>
            </w:r>
          </w:p>
        </w:tc>
        <w:tc>
          <w:tcPr>
            <w:tcW w:w="682" w:type="dxa"/>
            <w:tcBorders>
              <w:top w:val="single" w:sz="8" w:space="0" w:color="auto"/>
              <w:bottom w:val="single" w:sz="8" w:space="0" w:color="auto"/>
            </w:tcBorders>
          </w:tcPr>
          <w:p w14:paraId="1F47521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0E263CBE"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6BF4F174"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2EDFE454"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5E4747A6"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6F94A30A"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343F9A83"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07177261"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0EB6BB88"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6C3CFB06"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Anas platyrhynchos</w:t>
            </w:r>
          </w:p>
        </w:tc>
        <w:tc>
          <w:tcPr>
            <w:tcW w:w="660" w:type="dxa"/>
            <w:tcBorders>
              <w:top w:val="single" w:sz="8" w:space="0" w:color="auto"/>
              <w:bottom w:val="single" w:sz="8" w:space="0" w:color="auto"/>
            </w:tcBorders>
          </w:tcPr>
          <w:p w14:paraId="7A76FC21"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41B36DDB"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1B8A4BBE" w14:textId="77777777" w:rsidR="001650F6" w:rsidRPr="0068236B" w:rsidRDefault="001650F6" w:rsidP="00377B68">
            <w:pPr>
              <w:spacing w:before="0" w:after="0" w:line="240" w:lineRule="auto"/>
              <w:jc w:val="center"/>
              <w:rPr>
                <w:rFonts w:cs="Tahoma"/>
                <w:bCs/>
                <w:noProof/>
                <w:sz w:val="20"/>
                <w:szCs w:val="20"/>
              </w:rPr>
            </w:pPr>
            <w:r w:rsidRPr="0068236B">
              <w:rPr>
                <w:rFonts w:cs="Tahoma"/>
                <w:bCs/>
                <w:noProof/>
                <w:sz w:val="20"/>
                <w:szCs w:val="20"/>
              </w:rPr>
              <w:t>IIA &amp; IIIA</w:t>
            </w:r>
          </w:p>
        </w:tc>
        <w:tc>
          <w:tcPr>
            <w:tcW w:w="682" w:type="dxa"/>
            <w:tcBorders>
              <w:top w:val="single" w:sz="8" w:space="0" w:color="auto"/>
              <w:bottom w:val="single" w:sz="8" w:space="0" w:color="auto"/>
            </w:tcBorders>
          </w:tcPr>
          <w:p w14:paraId="46F2183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III</w:t>
            </w:r>
          </w:p>
        </w:tc>
        <w:tc>
          <w:tcPr>
            <w:tcW w:w="519" w:type="dxa"/>
            <w:tcBorders>
              <w:top w:val="single" w:sz="8" w:space="0" w:color="auto"/>
              <w:bottom w:val="single" w:sz="8" w:space="0" w:color="auto"/>
            </w:tcBorders>
          </w:tcPr>
          <w:p w14:paraId="5098F576"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474" w:type="dxa"/>
            <w:tcBorders>
              <w:top w:val="single" w:sz="8" w:space="0" w:color="auto"/>
              <w:bottom w:val="single" w:sz="8" w:space="0" w:color="auto"/>
            </w:tcBorders>
          </w:tcPr>
          <w:p w14:paraId="170DA223"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0111CC45"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ps</w:t>
            </w:r>
          </w:p>
        </w:tc>
        <w:tc>
          <w:tcPr>
            <w:tcW w:w="536" w:type="dxa"/>
            <w:tcBorders>
              <w:top w:val="single" w:sz="8" w:space="0" w:color="auto"/>
              <w:bottom w:val="single" w:sz="8" w:space="0" w:color="auto"/>
            </w:tcBorders>
          </w:tcPr>
          <w:p w14:paraId="22D62558"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hg</w:t>
            </w:r>
          </w:p>
        </w:tc>
        <w:tc>
          <w:tcPr>
            <w:tcW w:w="432" w:type="dxa"/>
            <w:tcBorders>
              <w:top w:val="single" w:sz="8" w:space="0" w:color="auto"/>
              <w:bottom w:val="single" w:sz="8" w:space="0" w:color="auto"/>
            </w:tcBorders>
            <w:tcMar>
              <w:left w:w="28" w:type="dxa"/>
              <w:right w:w="28" w:type="dxa"/>
            </w:tcMar>
          </w:tcPr>
          <w:p w14:paraId="0C63763E"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5EBBDC43"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67FDCD38"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5726D5AB"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13451040"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Ardea alba</w:t>
            </w:r>
          </w:p>
        </w:tc>
        <w:tc>
          <w:tcPr>
            <w:tcW w:w="660" w:type="dxa"/>
            <w:tcBorders>
              <w:top w:val="single" w:sz="8" w:space="0" w:color="auto"/>
              <w:bottom w:val="single" w:sz="8" w:space="0" w:color="auto"/>
            </w:tcBorders>
          </w:tcPr>
          <w:p w14:paraId="5B8D116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4DE2B34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0D049079" w14:textId="77777777" w:rsidR="001650F6" w:rsidRPr="0068236B" w:rsidRDefault="001650F6" w:rsidP="00377B68">
            <w:pPr>
              <w:spacing w:before="0" w:after="0" w:line="240" w:lineRule="auto"/>
              <w:jc w:val="center"/>
              <w:rPr>
                <w:rFonts w:cs="Tahoma"/>
                <w:bCs/>
                <w:noProof/>
                <w:sz w:val="20"/>
                <w:szCs w:val="20"/>
              </w:rPr>
            </w:pPr>
            <w:r w:rsidRPr="0068236B">
              <w:rPr>
                <w:rFonts w:cs="Tahoma"/>
                <w:bCs/>
                <w:noProof/>
                <w:sz w:val="20"/>
                <w:szCs w:val="20"/>
              </w:rPr>
              <w:t>I</w:t>
            </w:r>
          </w:p>
        </w:tc>
        <w:tc>
          <w:tcPr>
            <w:tcW w:w="682" w:type="dxa"/>
            <w:tcBorders>
              <w:top w:val="single" w:sz="8" w:space="0" w:color="auto"/>
              <w:bottom w:val="single" w:sz="8" w:space="0" w:color="auto"/>
            </w:tcBorders>
          </w:tcPr>
          <w:p w14:paraId="129FA4CC"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1181E2C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474" w:type="dxa"/>
            <w:tcBorders>
              <w:top w:val="single" w:sz="8" w:space="0" w:color="auto"/>
              <w:bottom w:val="single" w:sz="8" w:space="0" w:color="auto"/>
            </w:tcBorders>
          </w:tcPr>
          <w:p w14:paraId="3EE6C843"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369D7A7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sps</w:t>
            </w:r>
          </w:p>
        </w:tc>
        <w:tc>
          <w:tcPr>
            <w:tcW w:w="536" w:type="dxa"/>
            <w:tcBorders>
              <w:top w:val="single" w:sz="8" w:space="0" w:color="auto"/>
              <w:bottom w:val="single" w:sz="8" w:space="0" w:color="auto"/>
            </w:tcBorders>
          </w:tcPr>
          <w:p w14:paraId="527130E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pp</w:t>
            </w:r>
          </w:p>
        </w:tc>
        <w:tc>
          <w:tcPr>
            <w:tcW w:w="432" w:type="dxa"/>
            <w:tcBorders>
              <w:top w:val="single" w:sz="8" w:space="0" w:color="auto"/>
              <w:bottom w:val="single" w:sz="8" w:space="0" w:color="auto"/>
            </w:tcBorders>
            <w:tcMar>
              <w:left w:w="28" w:type="dxa"/>
              <w:right w:w="28" w:type="dxa"/>
            </w:tcMar>
          </w:tcPr>
          <w:p w14:paraId="5B6DF4CB" w14:textId="77777777" w:rsidR="001650F6" w:rsidRPr="0068236B" w:rsidRDefault="001650F6" w:rsidP="00377B68">
            <w:pPr>
              <w:spacing w:before="0" w:after="0" w:line="240" w:lineRule="auto"/>
              <w:jc w:val="center"/>
              <w:rPr>
                <w:rFonts w:cs="Tahoma"/>
                <w:sz w:val="20"/>
                <w:szCs w:val="20"/>
              </w:rPr>
            </w:pPr>
          </w:p>
        </w:tc>
        <w:tc>
          <w:tcPr>
            <w:tcW w:w="433" w:type="dxa"/>
            <w:tcBorders>
              <w:top w:val="single" w:sz="8" w:space="0" w:color="auto"/>
              <w:bottom w:val="single" w:sz="8" w:space="0" w:color="auto"/>
            </w:tcBorders>
            <w:tcMar>
              <w:left w:w="28" w:type="dxa"/>
              <w:right w:w="28" w:type="dxa"/>
            </w:tcMar>
          </w:tcPr>
          <w:p w14:paraId="2454F8A6"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6AD3B72B" w14:textId="77777777" w:rsidR="001650F6" w:rsidRPr="0068236B" w:rsidRDefault="001650F6" w:rsidP="00377B68">
            <w:pPr>
              <w:spacing w:before="0" w:after="0" w:line="240" w:lineRule="auto"/>
              <w:jc w:val="center"/>
              <w:rPr>
                <w:rFonts w:cs="Tahoma"/>
                <w:sz w:val="20"/>
                <w:szCs w:val="20"/>
              </w:rPr>
            </w:pPr>
          </w:p>
        </w:tc>
      </w:tr>
      <w:tr w:rsidR="001650F6" w:rsidRPr="0068236B" w14:paraId="4F9B6EA0"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07DFF44A"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Buteo buteo</w:t>
            </w:r>
          </w:p>
        </w:tc>
        <w:tc>
          <w:tcPr>
            <w:tcW w:w="660" w:type="dxa"/>
            <w:tcBorders>
              <w:top w:val="single" w:sz="8" w:space="0" w:color="auto"/>
              <w:bottom w:val="single" w:sz="8" w:space="0" w:color="auto"/>
            </w:tcBorders>
          </w:tcPr>
          <w:p w14:paraId="35AB7554"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0DC0E51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3C2096F1"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6C9EA91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1DCAFE7A"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474" w:type="dxa"/>
            <w:tcBorders>
              <w:top w:val="single" w:sz="8" w:space="0" w:color="auto"/>
              <w:bottom w:val="single" w:sz="8" w:space="0" w:color="auto"/>
            </w:tcBorders>
          </w:tcPr>
          <w:p w14:paraId="0F915DAC"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641" w:type="dxa"/>
            <w:tcBorders>
              <w:top w:val="single" w:sz="8" w:space="0" w:color="auto"/>
              <w:bottom w:val="single" w:sz="8" w:space="0" w:color="auto"/>
            </w:tcBorders>
          </w:tcPr>
          <w:p w14:paraId="56C350AC"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sps</w:t>
            </w:r>
          </w:p>
        </w:tc>
        <w:tc>
          <w:tcPr>
            <w:tcW w:w="536" w:type="dxa"/>
            <w:tcBorders>
              <w:top w:val="single" w:sz="8" w:space="0" w:color="auto"/>
              <w:bottom w:val="single" w:sz="8" w:space="0" w:color="auto"/>
            </w:tcBorders>
          </w:tcPr>
          <w:p w14:paraId="1DFAB160"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pp</w:t>
            </w:r>
          </w:p>
        </w:tc>
        <w:tc>
          <w:tcPr>
            <w:tcW w:w="432" w:type="dxa"/>
            <w:tcBorders>
              <w:top w:val="single" w:sz="8" w:space="0" w:color="auto"/>
              <w:bottom w:val="single" w:sz="8" w:space="0" w:color="auto"/>
            </w:tcBorders>
            <w:tcMar>
              <w:left w:w="28" w:type="dxa"/>
              <w:right w:w="28" w:type="dxa"/>
            </w:tcMar>
          </w:tcPr>
          <w:p w14:paraId="35737004"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289D0F83"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2C68E810"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5A4FB2D0"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18EFCE8A"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Carduelis carduelis</w:t>
            </w:r>
          </w:p>
        </w:tc>
        <w:tc>
          <w:tcPr>
            <w:tcW w:w="660" w:type="dxa"/>
            <w:tcBorders>
              <w:top w:val="single" w:sz="8" w:space="0" w:color="auto"/>
              <w:bottom w:val="single" w:sz="8" w:space="0" w:color="auto"/>
            </w:tcBorders>
          </w:tcPr>
          <w:p w14:paraId="42D33283"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3B45B623"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7C6941CA"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48EB43F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049B3ADE"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522E0BD9"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4B895C52"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6FA7A37B"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0D37A2E4"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2A70CC63"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445DB759"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1EACAD13"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3E8BBB77"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Cettia cetti</w:t>
            </w:r>
          </w:p>
        </w:tc>
        <w:tc>
          <w:tcPr>
            <w:tcW w:w="660" w:type="dxa"/>
            <w:tcBorders>
              <w:top w:val="single" w:sz="8" w:space="0" w:color="auto"/>
              <w:bottom w:val="single" w:sz="8" w:space="0" w:color="auto"/>
            </w:tcBorders>
          </w:tcPr>
          <w:p w14:paraId="11A39F46"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4D21E824"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28D39142"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40CF0F4C"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628AB22C"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474" w:type="dxa"/>
            <w:tcBorders>
              <w:top w:val="single" w:sz="8" w:space="0" w:color="auto"/>
              <w:bottom w:val="single" w:sz="8" w:space="0" w:color="auto"/>
            </w:tcBorders>
          </w:tcPr>
          <w:p w14:paraId="7DE21A79"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661E81A6"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3B60BA83"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08DFFB13" w14:textId="77777777" w:rsidR="001650F6" w:rsidRPr="0068236B" w:rsidRDefault="001650F6" w:rsidP="00377B68">
            <w:pPr>
              <w:spacing w:before="0" w:after="0" w:line="240" w:lineRule="auto"/>
              <w:jc w:val="center"/>
              <w:rPr>
                <w:rFonts w:cs="Tahoma"/>
                <w:sz w:val="20"/>
                <w:szCs w:val="20"/>
              </w:rPr>
            </w:pPr>
          </w:p>
        </w:tc>
        <w:tc>
          <w:tcPr>
            <w:tcW w:w="433" w:type="dxa"/>
            <w:tcBorders>
              <w:top w:val="single" w:sz="8" w:space="0" w:color="auto"/>
              <w:bottom w:val="single" w:sz="8" w:space="0" w:color="auto"/>
            </w:tcBorders>
            <w:tcMar>
              <w:left w:w="28" w:type="dxa"/>
              <w:right w:w="28" w:type="dxa"/>
            </w:tcMar>
          </w:tcPr>
          <w:p w14:paraId="13AFC652"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5957F707" w14:textId="77777777" w:rsidR="001650F6" w:rsidRPr="0068236B" w:rsidRDefault="001650F6" w:rsidP="00377B68">
            <w:pPr>
              <w:spacing w:before="0" w:after="0" w:line="240" w:lineRule="auto"/>
              <w:jc w:val="center"/>
              <w:rPr>
                <w:rFonts w:cs="Tahoma"/>
                <w:sz w:val="20"/>
                <w:szCs w:val="20"/>
              </w:rPr>
            </w:pPr>
          </w:p>
        </w:tc>
      </w:tr>
      <w:tr w:rsidR="001650F6" w:rsidRPr="0068236B" w14:paraId="7FFCF4D3"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61786A19"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Charadrius dubius</w:t>
            </w:r>
          </w:p>
        </w:tc>
        <w:tc>
          <w:tcPr>
            <w:tcW w:w="660" w:type="dxa"/>
            <w:tcBorders>
              <w:top w:val="single" w:sz="8" w:space="0" w:color="auto"/>
              <w:bottom w:val="single" w:sz="8" w:space="0" w:color="auto"/>
            </w:tcBorders>
          </w:tcPr>
          <w:p w14:paraId="638B23C3"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6BE7D225"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3775BB45"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5E6062C8"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32BA725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474" w:type="dxa"/>
            <w:tcBorders>
              <w:top w:val="single" w:sz="8" w:space="0" w:color="auto"/>
              <w:bottom w:val="single" w:sz="8" w:space="0" w:color="auto"/>
            </w:tcBorders>
          </w:tcPr>
          <w:p w14:paraId="35C14BB9"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5382C30F"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5A8201E5"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488F9A2A" w14:textId="77777777" w:rsidR="001650F6" w:rsidRPr="0068236B" w:rsidRDefault="001650F6" w:rsidP="00377B68">
            <w:pPr>
              <w:spacing w:before="0" w:after="0" w:line="240" w:lineRule="auto"/>
              <w:jc w:val="center"/>
              <w:rPr>
                <w:rFonts w:cs="Tahoma"/>
                <w:sz w:val="20"/>
                <w:szCs w:val="20"/>
              </w:rPr>
            </w:pPr>
          </w:p>
        </w:tc>
        <w:tc>
          <w:tcPr>
            <w:tcW w:w="433" w:type="dxa"/>
            <w:tcBorders>
              <w:top w:val="single" w:sz="8" w:space="0" w:color="auto"/>
              <w:bottom w:val="single" w:sz="8" w:space="0" w:color="auto"/>
            </w:tcBorders>
            <w:tcMar>
              <w:left w:w="28" w:type="dxa"/>
              <w:right w:w="28" w:type="dxa"/>
            </w:tcMar>
          </w:tcPr>
          <w:p w14:paraId="481A0D48"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2A7C5CB2" w14:textId="77777777" w:rsidR="001650F6" w:rsidRPr="0068236B" w:rsidRDefault="001650F6" w:rsidP="00377B68">
            <w:pPr>
              <w:spacing w:before="0" w:after="0" w:line="240" w:lineRule="auto"/>
              <w:jc w:val="center"/>
              <w:rPr>
                <w:rFonts w:cs="Tahoma"/>
                <w:sz w:val="20"/>
                <w:szCs w:val="20"/>
              </w:rPr>
            </w:pPr>
          </w:p>
        </w:tc>
      </w:tr>
      <w:tr w:rsidR="001650F6" w:rsidRPr="0068236B" w14:paraId="3C6DAE46"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26492C87"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Chloris chloris</w:t>
            </w:r>
          </w:p>
        </w:tc>
        <w:tc>
          <w:tcPr>
            <w:tcW w:w="660" w:type="dxa"/>
            <w:tcBorders>
              <w:top w:val="single" w:sz="8" w:space="0" w:color="auto"/>
              <w:bottom w:val="single" w:sz="8" w:space="0" w:color="auto"/>
            </w:tcBorders>
          </w:tcPr>
          <w:p w14:paraId="603E03D8"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4626564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47C8AF58"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67B8A300"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31521496"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34EC9350"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72DC2F36"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040C31F1"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62E49FAC"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77CE815E"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4845E4F7"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545E60A0"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56C38566"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Chroicocephalus ridibundus</w:t>
            </w:r>
          </w:p>
        </w:tc>
        <w:tc>
          <w:tcPr>
            <w:tcW w:w="660" w:type="dxa"/>
            <w:tcBorders>
              <w:top w:val="single" w:sz="8" w:space="0" w:color="auto"/>
              <w:bottom w:val="single" w:sz="8" w:space="0" w:color="auto"/>
            </w:tcBorders>
          </w:tcPr>
          <w:p w14:paraId="25E18F5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5943FA8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1FEF00A9" w14:textId="77777777" w:rsidR="001650F6" w:rsidRPr="0068236B" w:rsidRDefault="001650F6" w:rsidP="00377B68">
            <w:pPr>
              <w:spacing w:before="0" w:after="0" w:line="240" w:lineRule="auto"/>
              <w:jc w:val="center"/>
              <w:rPr>
                <w:rFonts w:cs="Tahoma"/>
                <w:bCs/>
                <w:noProof/>
                <w:sz w:val="20"/>
                <w:szCs w:val="20"/>
              </w:rPr>
            </w:pPr>
            <w:r w:rsidRPr="0068236B">
              <w:rPr>
                <w:rFonts w:cs="Tahoma"/>
                <w:bCs/>
                <w:noProof/>
                <w:sz w:val="20"/>
                <w:szCs w:val="20"/>
              </w:rPr>
              <w:t>IIB</w:t>
            </w:r>
          </w:p>
        </w:tc>
        <w:tc>
          <w:tcPr>
            <w:tcW w:w="682" w:type="dxa"/>
            <w:tcBorders>
              <w:top w:val="single" w:sz="8" w:space="0" w:color="auto"/>
              <w:bottom w:val="single" w:sz="8" w:space="0" w:color="auto"/>
            </w:tcBorders>
          </w:tcPr>
          <w:p w14:paraId="2418F8B6"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III</w:t>
            </w:r>
          </w:p>
        </w:tc>
        <w:tc>
          <w:tcPr>
            <w:tcW w:w="519" w:type="dxa"/>
            <w:tcBorders>
              <w:top w:val="single" w:sz="8" w:space="0" w:color="auto"/>
              <w:bottom w:val="single" w:sz="8" w:space="0" w:color="auto"/>
            </w:tcBorders>
          </w:tcPr>
          <w:p w14:paraId="6D0A13C3"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36A52224"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781B941E"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sps</w:t>
            </w:r>
          </w:p>
        </w:tc>
        <w:tc>
          <w:tcPr>
            <w:tcW w:w="536" w:type="dxa"/>
            <w:tcBorders>
              <w:top w:val="single" w:sz="8" w:space="0" w:color="auto"/>
              <w:bottom w:val="single" w:sz="8" w:space="0" w:color="auto"/>
            </w:tcBorders>
          </w:tcPr>
          <w:p w14:paraId="550E495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pp</w:t>
            </w:r>
          </w:p>
        </w:tc>
        <w:tc>
          <w:tcPr>
            <w:tcW w:w="432" w:type="dxa"/>
            <w:tcBorders>
              <w:top w:val="single" w:sz="8" w:space="0" w:color="auto"/>
              <w:bottom w:val="single" w:sz="8" w:space="0" w:color="auto"/>
            </w:tcBorders>
            <w:tcMar>
              <w:left w:w="28" w:type="dxa"/>
              <w:right w:w="28" w:type="dxa"/>
            </w:tcMar>
          </w:tcPr>
          <w:p w14:paraId="201FA363" w14:textId="77777777" w:rsidR="001650F6" w:rsidRPr="0068236B" w:rsidRDefault="001650F6" w:rsidP="00377B68">
            <w:pPr>
              <w:spacing w:before="0" w:after="0" w:line="240" w:lineRule="auto"/>
              <w:jc w:val="center"/>
              <w:rPr>
                <w:rFonts w:cs="Tahoma"/>
                <w:sz w:val="20"/>
                <w:szCs w:val="20"/>
              </w:rPr>
            </w:pPr>
          </w:p>
        </w:tc>
        <w:tc>
          <w:tcPr>
            <w:tcW w:w="433" w:type="dxa"/>
            <w:tcBorders>
              <w:top w:val="single" w:sz="8" w:space="0" w:color="auto"/>
              <w:bottom w:val="single" w:sz="8" w:space="0" w:color="auto"/>
            </w:tcBorders>
            <w:tcMar>
              <w:left w:w="28" w:type="dxa"/>
              <w:right w:w="28" w:type="dxa"/>
            </w:tcMar>
          </w:tcPr>
          <w:p w14:paraId="78CBC336"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3C0CDBF0" w14:textId="77777777" w:rsidR="001650F6" w:rsidRPr="0068236B" w:rsidRDefault="001650F6" w:rsidP="00377B68">
            <w:pPr>
              <w:spacing w:before="0" w:after="0" w:line="240" w:lineRule="auto"/>
              <w:jc w:val="center"/>
              <w:rPr>
                <w:rFonts w:cs="Tahoma"/>
                <w:sz w:val="20"/>
                <w:szCs w:val="20"/>
              </w:rPr>
            </w:pPr>
          </w:p>
        </w:tc>
      </w:tr>
      <w:tr w:rsidR="001650F6" w:rsidRPr="0068236B" w14:paraId="305ECF00"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43ADBD2E"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Coccothraustes coccothraustes</w:t>
            </w:r>
          </w:p>
        </w:tc>
        <w:tc>
          <w:tcPr>
            <w:tcW w:w="660" w:type="dxa"/>
            <w:tcBorders>
              <w:top w:val="single" w:sz="8" w:space="0" w:color="auto"/>
              <w:bottom w:val="single" w:sz="8" w:space="0" w:color="auto"/>
            </w:tcBorders>
          </w:tcPr>
          <w:p w14:paraId="7B3F6C7E"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4B32155C"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5B6A405D"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67591A2A"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604D9E5D"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1CC13F36"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3CA2C3E6"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4B421AC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420953E7" w14:textId="77777777" w:rsidR="001650F6" w:rsidRPr="0068236B" w:rsidRDefault="001650F6" w:rsidP="00377B68">
            <w:pPr>
              <w:spacing w:before="0" w:after="0" w:line="240" w:lineRule="auto"/>
              <w:jc w:val="center"/>
              <w:rPr>
                <w:rFonts w:cs="Tahoma"/>
                <w:sz w:val="20"/>
                <w:szCs w:val="20"/>
              </w:rPr>
            </w:pPr>
          </w:p>
        </w:tc>
        <w:tc>
          <w:tcPr>
            <w:tcW w:w="433" w:type="dxa"/>
            <w:tcBorders>
              <w:top w:val="single" w:sz="8" w:space="0" w:color="auto"/>
              <w:bottom w:val="single" w:sz="8" w:space="0" w:color="auto"/>
            </w:tcBorders>
            <w:tcMar>
              <w:left w:w="28" w:type="dxa"/>
              <w:right w:w="28" w:type="dxa"/>
            </w:tcMar>
          </w:tcPr>
          <w:p w14:paraId="7AE48D12"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2D04E8AC" w14:textId="77777777" w:rsidR="001650F6" w:rsidRPr="0068236B" w:rsidRDefault="001650F6" w:rsidP="00377B68">
            <w:pPr>
              <w:spacing w:before="0" w:after="0" w:line="240" w:lineRule="auto"/>
              <w:jc w:val="center"/>
              <w:rPr>
                <w:rFonts w:cs="Tahoma"/>
                <w:sz w:val="20"/>
                <w:szCs w:val="20"/>
              </w:rPr>
            </w:pPr>
          </w:p>
        </w:tc>
      </w:tr>
      <w:tr w:rsidR="001650F6" w:rsidRPr="0068236B" w14:paraId="6EBCC7DD"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4037F589"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Columba livia</w:t>
            </w:r>
          </w:p>
        </w:tc>
        <w:tc>
          <w:tcPr>
            <w:tcW w:w="660" w:type="dxa"/>
            <w:tcBorders>
              <w:top w:val="single" w:sz="8" w:space="0" w:color="auto"/>
              <w:bottom w:val="single" w:sz="8" w:space="0" w:color="auto"/>
            </w:tcBorders>
          </w:tcPr>
          <w:p w14:paraId="3DD36E00"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732FB8A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08CD04BE" w14:textId="77777777" w:rsidR="001650F6" w:rsidRPr="0068236B" w:rsidRDefault="001650F6" w:rsidP="00377B68">
            <w:pPr>
              <w:spacing w:before="0" w:after="0" w:line="240" w:lineRule="auto"/>
              <w:jc w:val="center"/>
              <w:rPr>
                <w:rFonts w:cs="Tahoma"/>
                <w:bCs/>
                <w:noProof/>
                <w:sz w:val="20"/>
                <w:szCs w:val="20"/>
              </w:rPr>
            </w:pPr>
            <w:r w:rsidRPr="0068236B">
              <w:rPr>
                <w:rFonts w:cs="Tahoma"/>
                <w:bCs/>
                <w:noProof/>
                <w:sz w:val="20"/>
                <w:szCs w:val="20"/>
              </w:rPr>
              <w:t>IIA</w:t>
            </w:r>
          </w:p>
        </w:tc>
        <w:tc>
          <w:tcPr>
            <w:tcW w:w="682" w:type="dxa"/>
            <w:tcBorders>
              <w:top w:val="single" w:sz="8" w:space="0" w:color="auto"/>
              <w:bottom w:val="single" w:sz="8" w:space="0" w:color="auto"/>
            </w:tcBorders>
          </w:tcPr>
          <w:p w14:paraId="57975404"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III</w:t>
            </w:r>
          </w:p>
        </w:tc>
        <w:tc>
          <w:tcPr>
            <w:tcW w:w="519" w:type="dxa"/>
            <w:tcBorders>
              <w:top w:val="single" w:sz="8" w:space="0" w:color="auto"/>
              <w:bottom w:val="single" w:sz="8" w:space="0" w:color="auto"/>
            </w:tcBorders>
          </w:tcPr>
          <w:p w14:paraId="637EF318"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1840D12A"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09A4EBE3"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ps</w:t>
            </w:r>
          </w:p>
        </w:tc>
        <w:tc>
          <w:tcPr>
            <w:tcW w:w="536" w:type="dxa"/>
            <w:tcBorders>
              <w:top w:val="single" w:sz="8" w:space="0" w:color="auto"/>
              <w:bottom w:val="single" w:sz="8" w:space="0" w:color="auto"/>
            </w:tcBorders>
          </w:tcPr>
          <w:p w14:paraId="16FA1CB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hg</w:t>
            </w:r>
          </w:p>
        </w:tc>
        <w:tc>
          <w:tcPr>
            <w:tcW w:w="432" w:type="dxa"/>
            <w:tcBorders>
              <w:top w:val="single" w:sz="8" w:space="0" w:color="auto"/>
              <w:bottom w:val="single" w:sz="8" w:space="0" w:color="auto"/>
            </w:tcBorders>
            <w:tcMar>
              <w:left w:w="28" w:type="dxa"/>
              <w:right w:w="28" w:type="dxa"/>
            </w:tcMar>
          </w:tcPr>
          <w:p w14:paraId="142C4344"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011D56AF"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5D9315EB"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6FAE70BD"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5B4C5960"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Columba palumbus</w:t>
            </w:r>
          </w:p>
        </w:tc>
        <w:tc>
          <w:tcPr>
            <w:tcW w:w="660" w:type="dxa"/>
            <w:tcBorders>
              <w:top w:val="single" w:sz="8" w:space="0" w:color="auto"/>
              <w:bottom w:val="single" w:sz="8" w:space="0" w:color="auto"/>
            </w:tcBorders>
          </w:tcPr>
          <w:p w14:paraId="1B0DADE4"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76D4BA86"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5A049772" w14:textId="77777777" w:rsidR="001650F6" w:rsidRPr="0068236B" w:rsidRDefault="001650F6" w:rsidP="00377B68">
            <w:pPr>
              <w:spacing w:before="0" w:after="0" w:line="240" w:lineRule="auto"/>
              <w:jc w:val="center"/>
              <w:rPr>
                <w:rFonts w:cs="Tahoma"/>
                <w:bCs/>
                <w:noProof/>
                <w:sz w:val="20"/>
                <w:szCs w:val="20"/>
              </w:rPr>
            </w:pPr>
            <w:r w:rsidRPr="0068236B">
              <w:rPr>
                <w:rFonts w:cs="Tahoma"/>
                <w:bCs/>
                <w:noProof/>
                <w:sz w:val="20"/>
                <w:szCs w:val="20"/>
              </w:rPr>
              <w:t>IIA &amp; IIIA</w:t>
            </w:r>
          </w:p>
        </w:tc>
        <w:tc>
          <w:tcPr>
            <w:tcW w:w="682" w:type="dxa"/>
            <w:tcBorders>
              <w:top w:val="single" w:sz="8" w:space="0" w:color="auto"/>
              <w:bottom w:val="single" w:sz="8" w:space="0" w:color="auto"/>
            </w:tcBorders>
          </w:tcPr>
          <w:p w14:paraId="22A818B7" w14:textId="77777777" w:rsidR="001650F6" w:rsidRPr="0068236B" w:rsidRDefault="001650F6" w:rsidP="00377B68">
            <w:pPr>
              <w:spacing w:before="0" w:after="0" w:line="240" w:lineRule="auto"/>
              <w:rPr>
                <w:rFonts w:cs="Tahoma"/>
                <w:bCs/>
                <w:noProof/>
                <w:sz w:val="20"/>
                <w:szCs w:val="20"/>
              </w:rPr>
            </w:pPr>
          </w:p>
        </w:tc>
        <w:tc>
          <w:tcPr>
            <w:tcW w:w="519" w:type="dxa"/>
            <w:tcBorders>
              <w:top w:val="single" w:sz="8" w:space="0" w:color="auto"/>
              <w:bottom w:val="single" w:sz="8" w:space="0" w:color="auto"/>
            </w:tcBorders>
          </w:tcPr>
          <w:p w14:paraId="25C8EE23"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28647D66"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322B6CE0"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ps</w:t>
            </w:r>
          </w:p>
        </w:tc>
        <w:tc>
          <w:tcPr>
            <w:tcW w:w="536" w:type="dxa"/>
            <w:tcBorders>
              <w:top w:val="single" w:sz="8" w:space="0" w:color="auto"/>
              <w:bottom w:val="single" w:sz="8" w:space="0" w:color="auto"/>
            </w:tcBorders>
          </w:tcPr>
          <w:p w14:paraId="46FC976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hg</w:t>
            </w:r>
          </w:p>
        </w:tc>
        <w:tc>
          <w:tcPr>
            <w:tcW w:w="432" w:type="dxa"/>
            <w:tcBorders>
              <w:top w:val="single" w:sz="8" w:space="0" w:color="auto"/>
              <w:bottom w:val="single" w:sz="8" w:space="0" w:color="auto"/>
            </w:tcBorders>
            <w:tcMar>
              <w:left w:w="28" w:type="dxa"/>
              <w:right w:w="28" w:type="dxa"/>
            </w:tcMar>
          </w:tcPr>
          <w:p w14:paraId="634935F0"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0AA72B22"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4A2E5CE4"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4248E4D1"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122801AB"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Corvus corax</w:t>
            </w:r>
          </w:p>
        </w:tc>
        <w:tc>
          <w:tcPr>
            <w:tcW w:w="660" w:type="dxa"/>
            <w:tcBorders>
              <w:top w:val="single" w:sz="8" w:space="0" w:color="auto"/>
              <w:bottom w:val="single" w:sz="8" w:space="0" w:color="auto"/>
            </w:tcBorders>
          </w:tcPr>
          <w:p w14:paraId="23D4AC1A"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30DB3704"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64DA5890"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1DF39078"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III</w:t>
            </w:r>
          </w:p>
        </w:tc>
        <w:tc>
          <w:tcPr>
            <w:tcW w:w="519" w:type="dxa"/>
            <w:tcBorders>
              <w:top w:val="single" w:sz="8" w:space="0" w:color="auto"/>
              <w:bottom w:val="single" w:sz="8" w:space="0" w:color="auto"/>
            </w:tcBorders>
          </w:tcPr>
          <w:p w14:paraId="23FA2044"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4DB48DEB"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22B55993"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sps</w:t>
            </w:r>
          </w:p>
        </w:tc>
        <w:tc>
          <w:tcPr>
            <w:tcW w:w="536" w:type="dxa"/>
            <w:tcBorders>
              <w:top w:val="single" w:sz="8" w:space="0" w:color="auto"/>
              <w:bottom w:val="single" w:sz="8" w:space="0" w:color="auto"/>
            </w:tcBorders>
          </w:tcPr>
          <w:p w14:paraId="223A10C8"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pp</w:t>
            </w:r>
          </w:p>
        </w:tc>
        <w:tc>
          <w:tcPr>
            <w:tcW w:w="432" w:type="dxa"/>
            <w:tcBorders>
              <w:top w:val="single" w:sz="8" w:space="0" w:color="auto"/>
              <w:bottom w:val="single" w:sz="8" w:space="0" w:color="auto"/>
            </w:tcBorders>
            <w:tcMar>
              <w:left w:w="28" w:type="dxa"/>
              <w:right w:w="28" w:type="dxa"/>
            </w:tcMar>
          </w:tcPr>
          <w:p w14:paraId="28A27ADC"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7C501838"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27BE156E"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7249912F"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017F0730"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Corvus corone</w:t>
            </w:r>
          </w:p>
        </w:tc>
        <w:tc>
          <w:tcPr>
            <w:tcW w:w="660" w:type="dxa"/>
            <w:tcBorders>
              <w:top w:val="single" w:sz="8" w:space="0" w:color="auto"/>
              <w:bottom w:val="single" w:sz="8" w:space="0" w:color="auto"/>
            </w:tcBorders>
          </w:tcPr>
          <w:p w14:paraId="01436713"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11D604F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5A886A00" w14:textId="77777777" w:rsidR="001650F6" w:rsidRPr="0068236B" w:rsidRDefault="001650F6" w:rsidP="00377B68">
            <w:pPr>
              <w:spacing w:before="0" w:after="0" w:line="240" w:lineRule="auto"/>
              <w:jc w:val="center"/>
              <w:rPr>
                <w:rFonts w:cs="Tahoma"/>
                <w:bCs/>
                <w:noProof/>
                <w:sz w:val="20"/>
                <w:szCs w:val="20"/>
              </w:rPr>
            </w:pPr>
            <w:r w:rsidRPr="0068236B">
              <w:rPr>
                <w:rFonts w:cs="Tahoma"/>
                <w:bCs/>
                <w:noProof/>
                <w:sz w:val="20"/>
                <w:szCs w:val="20"/>
              </w:rPr>
              <w:t>IIB</w:t>
            </w:r>
          </w:p>
        </w:tc>
        <w:tc>
          <w:tcPr>
            <w:tcW w:w="682" w:type="dxa"/>
            <w:tcBorders>
              <w:top w:val="single" w:sz="8" w:space="0" w:color="auto"/>
              <w:bottom w:val="single" w:sz="8" w:space="0" w:color="auto"/>
            </w:tcBorders>
          </w:tcPr>
          <w:p w14:paraId="3A4C9327" w14:textId="77777777" w:rsidR="001650F6" w:rsidRPr="0068236B" w:rsidRDefault="001650F6" w:rsidP="00377B68">
            <w:pPr>
              <w:spacing w:before="0" w:after="0" w:line="240" w:lineRule="auto"/>
              <w:rPr>
                <w:rFonts w:cs="Tahoma"/>
                <w:bCs/>
                <w:noProof/>
                <w:sz w:val="20"/>
                <w:szCs w:val="20"/>
              </w:rPr>
            </w:pPr>
          </w:p>
        </w:tc>
        <w:tc>
          <w:tcPr>
            <w:tcW w:w="519" w:type="dxa"/>
            <w:tcBorders>
              <w:top w:val="single" w:sz="8" w:space="0" w:color="auto"/>
              <w:bottom w:val="single" w:sz="8" w:space="0" w:color="auto"/>
            </w:tcBorders>
          </w:tcPr>
          <w:p w14:paraId="26B61C4E"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3368ADB6"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51DCDCA2"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21091190"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ntp</w:t>
            </w:r>
          </w:p>
        </w:tc>
        <w:tc>
          <w:tcPr>
            <w:tcW w:w="432" w:type="dxa"/>
            <w:tcBorders>
              <w:top w:val="single" w:sz="8" w:space="0" w:color="auto"/>
              <w:bottom w:val="single" w:sz="8" w:space="0" w:color="auto"/>
            </w:tcBorders>
            <w:tcMar>
              <w:left w:w="28" w:type="dxa"/>
              <w:right w:w="28" w:type="dxa"/>
            </w:tcMar>
          </w:tcPr>
          <w:p w14:paraId="73F38B90"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613E13BD"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2588203D"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052EB335"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0B53ADCA"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Cuculus canorus</w:t>
            </w:r>
          </w:p>
        </w:tc>
        <w:tc>
          <w:tcPr>
            <w:tcW w:w="660" w:type="dxa"/>
            <w:tcBorders>
              <w:top w:val="single" w:sz="8" w:space="0" w:color="auto"/>
              <w:bottom w:val="single" w:sz="8" w:space="0" w:color="auto"/>
            </w:tcBorders>
          </w:tcPr>
          <w:p w14:paraId="243EDFA6"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1B169ECD"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4DD6DA7D"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0B27F335"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III</w:t>
            </w:r>
          </w:p>
        </w:tc>
        <w:tc>
          <w:tcPr>
            <w:tcW w:w="519" w:type="dxa"/>
            <w:tcBorders>
              <w:top w:val="single" w:sz="8" w:space="0" w:color="auto"/>
              <w:bottom w:val="single" w:sz="8" w:space="0" w:color="auto"/>
            </w:tcBorders>
          </w:tcPr>
          <w:p w14:paraId="16A9E477"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0EAE6327"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531E924E"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56DF8A95"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58D46492"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67232B33"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4B3D2E86"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207C620B"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6B9DBAA3"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Curruca communis</w:t>
            </w:r>
          </w:p>
        </w:tc>
        <w:tc>
          <w:tcPr>
            <w:tcW w:w="660" w:type="dxa"/>
            <w:tcBorders>
              <w:top w:val="single" w:sz="8" w:space="0" w:color="auto"/>
              <w:bottom w:val="single" w:sz="8" w:space="0" w:color="auto"/>
            </w:tcBorders>
          </w:tcPr>
          <w:p w14:paraId="1D0DFCD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3CAAC204"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7DE1E678"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475597C9"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39ACD37C"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474" w:type="dxa"/>
            <w:tcBorders>
              <w:top w:val="single" w:sz="8" w:space="0" w:color="auto"/>
              <w:bottom w:val="single" w:sz="8" w:space="0" w:color="auto"/>
            </w:tcBorders>
          </w:tcPr>
          <w:p w14:paraId="363A113E"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6CB43F27"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59E7ADE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2806948A" w14:textId="77777777" w:rsidR="001650F6" w:rsidRPr="0068236B" w:rsidRDefault="001650F6" w:rsidP="00377B68">
            <w:pPr>
              <w:spacing w:before="0" w:after="0" w:line="240" w:lineRule="auto"/>
              <w:jc w:val="center"/>
              <w:rPr>
                <w:rFonts w:cs="Tahoma"/>
                <w:sz w:val="20"/>
                <w:szCs w:val="20"/>
              </w:rPr>
            </w:pPr>
          </w:p>
        </w:tc>
        <w:tc>
          <w:tcPr>
            <w:tcW w:w="433" w:type="dxa"/>
            <w:tcBorders>
              <w:top w:val="single" w:sz="8" w:space="0" w:color="auto"/>
              <w:bottom w:val="single" w:sz="8" w:space="0" w:color="auto"/>
            </w:tcBorders>
            <w:tcMar>
              <w:left w:w="28" w:type="dxa"/>
              <w:right w:w="28" w:type="dxa"/>
            </w:tcMar>
          </w:tcPr>
          <w:p w14:paraId="1F7D3904" w14:textId="77777777" w:rsidR="001650F6" w:rsidRPr="0068236B" w:rsidRDefault="001650F6" w:rsidP="00377B68">
            <w:pPr>
              <w:spacing w:before="0" w:after="0" w:line="240" w:lineRule="auto"/>
              <w:jc w:val="center"/>
              <w:rPr>
                <w:rFonts w:cs="Tahoma"/>
                <w:sz w:val="20"/>
                <w:szCs w:val="20"/>
              </w:rPr>
            </w:pPr>
          </w:p>
        </w:tc>
        <w:tc>
          <w:tcPr>
            <w:tcW w:w="429" w:type="dxa"/>
            <w:tcBorders>
              <w:top w:val="single" w:sz="8" w:space="0" w:color="auto"/>
              <w:bottom w:val="single" w:sz="8" w:space="0" w:color="auto"/>
            </w:tcBorders>
            <w:tcMar>
              <w:left w:w="28" w:type="dxa"/>
              <w:right w:w="28" w:type="dxa"/>
            </w:tcMar>
          </w:tcPr>
          <w:p w14:paraId="220121DA" w14:textId="77777777" w:rsidR="001650F6" w:rsidRPr="0068236B" w:rsidRDefault="001650F6" w:rsidP="00377B68">
            <w:pPr>
              <w:spacing w:before="0" w:after="0" w:line="240" w:lineRule="auto"/>
              <w:jc w:val="center"/>
              <w:rPr>
                <w:rFonts w:cs="Tahoma"/>
                <w:sz w:val="20"/>
                <w:szCs w:val="20"/>
              </w:rPr>
            </w:pPr>
          </w:p>
        </w:tc>
      </w:tr>
      <w:tr w:rsidR="001650F6" w:rsidRPr="0068236B" w14:paraId="60F7D9DD"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5EC9FC29"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Cyanistes caeruleus</w:t>
            </w:r>
          </w:p>
        </w:tc>
        <w:tc>
          <w:tcPr>
            <w:tcW w:w="660" w:type="dxa"/>
            <w:tcBorders>
              <w:top w:val="single" w:sz="8" w:space="0" w:color="auto"/>
              <w:bottom w:val="single" w:sz="8" w:space="0" w:color="auto"/>
            </w:tcBorders>
          </w:tcPr>
          <w:p w14:paraId="05DBABA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5754073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4DA4DC7C"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70B3892B"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32A230FB"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133DD87D"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46A6FBF1"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0F1C1FCD"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44FCA761"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2BAE1F03"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51E889B6"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78E94D94"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1F6DEFD1"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lastRenderedPageBreak/>
              <w:t>Delichon urbicum</w:t>
            </w:r>
          </w:p>
        </w:tc>
        <w:tc>
          <w:tcPr>
            <w:tcW w:w="660" w:type="dxa"/>
            <w:tcBorders>
              <w:top w:val="single" w:sz="8" w:space="0" w:color="auto"/>
              <w:bottom w:val="single" w:sz="8" w:space="0" w:color="auto"/>
            </w:tcBorders>
          </w:tcPr>
          <w:p w14:paraId="5795FA6B"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2FB4BE61"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43F84B1B"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15595D51"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205D97E3"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4198A06E"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174F61F2"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5B6D4D6A"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0B3FC6CF"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28BAAADF"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1C3A0548"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69A3F74A"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29523056"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Dendrocopos major</w:t>
            </w:r>
          </w:p>
        </w:tc>
        <w:tc>
          <w:tcPr>
            <w:tcW w:w="660" w:type="dxa"/>
            <w:tcBorders>
              <w:top w:val="single" w:sz="8" w:space="0" w:color="auto"/>
              <w:bottom w:val="single" w:sz="8" w:space="0" w:color="auto"/>
            </w:tcBorders>
          </w:tcPr>
          <w:p w14:paraId="51151999"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3183F1ED"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2DE4E7CB"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4186D3E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6C7C29C5"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725B5722"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352ABB33"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435C5324"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47EE6E16"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21020BF3"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66912777"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36EB1C98"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5252C3C6"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Egretta garzetta</w:t>
            </w:r>
          </w:p>
        </w:tc>
        <w:tc>
          <w:tcPr>
            <w:tcW w:w="660" w:type="dxa"/>
            <w:tcBorders>
              <w:top w:val="single" w:sz="8" w:space="0" w:color="auto"/>
              <w:bottom w:val="single" w:sz="8" w:space="0" w:color="auto"/>
            </w:tcBorders>
          </w:tcPr>
          <w:p w14:paraId="4C2D605D"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03D6BD09"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601EAF4D" w14:textId="77777777" w:rsidR="001650F6" w:rsidRPr="0068236B" w:rsidRDefault="001650F6" w:rsidP="00377B68">
            <w:pPr>
              <w:spacing w:before="0" w:after="0" w:line="240" w:lineRule="auto"/>
              <w:jc w:val="center"/>
              <w:rPr>
                <w:rFonts w:cs="Tahoma"/>
                <w:bCs/>
                <w:noProof/>
                <w:sz w:val="20"/>
                <w:szCs w:val="20"/>
              </w:rPr>
            </w:pPr>
            <w:r w:rsidRPr="0068236B">
              <w:rPr>
                <w:rFonts w:cs="Tahoma"/>
                <w:bCs/>
                <w:noProof/>
                <w:sz w:val="20"/>
                <w:szCs w:val="20"/>
              </w:rPr>
              <w:t>I</w:t>
            </w:r>
          </w:p>
        </w:tc>
        <w:tc>
          <w:tcPr>
            <w:tcW w:w="682" w:type="dxa"/>
            <w:tcBorders>
              <w:top w:val="single" w:sz="8" w:space="0" w:color="auto"/>
              <w:bottom w:val="single" w:sz="8" w:space="0" w:color="auto"/>
            </w:tcBorders>
          </w:tcPr>
          <w:p w14:paraId="42F8B03E"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598E0EE4"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39DE2EE6"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1BBA00E1"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sps</w:t>
            </w:r>
          </w:p>
        </w:tc>
        <w:tc>
          <w:tcPr>
            <w:tcW w:w="536" w:type="dxa"/>
            <w:tcBorders>
              <w:top w:val="single" w:sz="8" w:space="0" w:color="auto"/>
              <w:bottom w:val="single" w:sz="8" w:space="0" w:color="auto"/>
            </w:tcBorders>
          </w:tcPr>
          <w:p w14:paraId="49C06A9D"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pp</w:t>
            </w:r>
          </w:p>
        </w:tc>
        <w:tc>
          <w:tcPr>
            <w:tcW w:w="432" w:type="dxa"/>
            <w:tcBorders>
              <w:top w:val="single" w:sz="8" w:space="0" w:color="auto"/>
              <w:bottom w:val="single" w:sz="8" w:space="0" w:color="auto"/>
            </w:tcBorders>
            <w:tcMar>
              <w:left w:w="28" w:type="dxa"/>
              <w:right w:w="28" w:type="dxa"/>
            </w:tcMar>
          </w:tcPr>
          <w:p w14:paraId="75C6EFAF" w14:textId="77777777" w:rsidR="001650F6" w:rsidRPr="0068236B" w:rsidRDefault="001650F6" w:rsidP="00377B68">
            <w:pPr>
              <w:spacing w:before="0" w:after="0" w:line="240" w:lineRule="auto"/>
              <w:jc w:val="center"/>
              <w:rPr>
                <w:rFonts w:cs="Tahoma"/>
                <w:sz w:val="20"/>
                <w:szCs w:val="20"/>
              </w:rPr>
            </w:pPr>
          </w:p>
        </w:tc>
        <w:tc>
          <w:tcPr>
            <w:tcW w:w="433" w:type="dxa"/>
            <w:tcBorders>
              <w:top w:val="single" w:sz="8" w:space="0" w:color="auto"/>
              <w:bottom w:val="single" w:sz="8" w:space="0" w:color="auto"/>
            </w:tcBorders>
            <w:tcMar>
              <w:left w:w="28" w:type="dxa"/>
              <w:right w:w="28" w:type="dxa"/>
            </w:tcMar>
          </w:tcPr>
          <w:p w14:paraId="6BE606EE"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72A4CA20" w14:textId="77777777" w:rsidR="001650F6" w:rsidRPr="0068236B" w:rsidRDefault="001650F6" w:rsidP="00377B68">
            <w:pPr>
              <w:spacing w:before="0" w:after="0" w:line="240" w:lineRule="auto"/>
              <w:jc w:val="center"/>
              <w:rPr>
                <w:rFonts w:cs="Tahoma"/>
                <w:sz w:val="20"/>
                <w:szCs w:val="20"/>
              </w:rPr>
            </w:pPr>
          </w:p>
        </w:tc>
      </w:tr>
      <w:tr w:rsidR="001650F6" w:rsidRPr="00744C45" w14:paraId="07A44C1D"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74B4CD81" w14:textId="77777777" w:rsidR="001650F6" w:rsidRPr="00744C45" w:rsidRDefault="001650F6" w:rsidP="00377B68">
            <w:pPr>
              <w:spacing w:before="0" w:after="0" w:line="240" w:lineRule="auto"/>
              <w:rPr>
                <w:rFonts w:cs="Tahoma"/>
                <w:i/>
                <w:iCs/>
                <w:noProof/>
                <w:sz w:val="20"/>
                <w:szCs w:val="20"/>
              </w:rPr>
            </w:pPr>
            <w:r w:rsidRPr="00744C45">
              <w:rPr>
                <w:rFonts w:cs="Tahoma"/>
                <w:i/>
                <w:iCs/>
                <w:noProof/>
                <w:sz w:val="20"/>
                <w:szCs w:val="20"/>
              </w:rPr>
              <w:t>Emberiza calandra</w:t>
            </w:r>
          </w:p>
        </w:tc>
        <w:tc>
          <w:tcPr>
            <w:tcW w:w="660" w:type="dxa"/>
            <w:tcBorders>
              <w:top w:val="single" w:sz="8" w:space="0" w:color="auto"/>
              <w:bottom w:val="single" w:sz="8" w:space="0" w:color="auto"/>
            </w:tcBorders>
          </w:tcPr>
          <w:p w14:paraId="573CC958" w14:textId="77777777" w:rsidR="001650F6" w:rsidRPr="00744C45" w:rsidRDefault="001650F6" w:rsidP="00377B68">
            <w:pPr>
              <w:spacing w:before="0" w:after="0" w:line="240" w:lineRule="auto"/>
              <w:rPr>
                <w:rFonts w:cs="Tahoma"/>
                <w:bCs/>
                <w:noProof/>
                <w:sz w:val="20"/>
                <w:szCs w:val="20"/>
              </w:rPr>
            </w:pPr>
            <w:r w:rsidRPr="00744C45">
              <w:rPr>
                <w:rFonts w:cs="Tahoma"/>
                <w:bCs/>
                <w:noProof/>
                <w:sz w:val="20"/>
                <w:szCs w:val="20"/>
              </w:rPr>
              <w:t>LC</w:t>
            </w:r>
          </w:p>
        </w:tc>
        <w:tc>
          <w:tcPr>
            <w:tcW w:w="567" w:type="dxa"/>
            <w:tcBorders>
              <w:top w:val="single" w:sz="8" w:space="0" w:color="auto"/>
              <w:bottom w:val="single" w:sz="8" w:space="0" w:color="auto"/>
            </w:tcBorders>
          </w:tcPr>
          <w:p w14:paraId="52051BFF" w14:textId="77777777" w:rsidR="001650F6" w:rsidRPr="00744C45" w:rsidRDefault="001650F6" w:rsidP="00377B68">
            <w:pPr>
              <w:spacing w:before="0" w:after="0" w:line="240" w:lineRule="auto"/>
              <w:rPr>
                <w:rFonts w:cs="Tahoma"/>
                <w:bCs/>
                <w:noProof/>
                <w:sz w:val="20"/>
                <w:szCs w:val="20"/>
              </w:rPr>
            </w:pPr>
            <w:r w:rsidRPr="00744C45">
              <w:rPr>
                <w:rFonts w:cs="Tahoma"/>
                <w:bCs/>
                <w:noProof/>
                <w:sz w:val="20"/>
                <w:szCs w:val="20"/>
              </w:rPr>
              <w:t>LC</w:t>
            </w:r>
          </w:p>
        </w:tc>
        <w:tc>
          <w:tcPr>
            <w:tcW w:w="1160" w:type="dxa"/>
            <w:tcBorders>
              <w:top w:val="single" w:sz="8" w:space="0" w:color="auto"/>
              <w:bottom w:val="single" w:sz="8" w:space="0" w:color="auto"/>
            </w:tcBorders>
          </w:tcPr>
          <w:p w14:paraId="290FD61D" w14:textId="77777777" w:rsidR="001650F6" w:rsidRPr="00744C45"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10EC6155" w14:textId="77777777" w:rsidR="001650F6" w:rsidRPr="00744C45" w:rsidRDefault="001650F6" w:rsidP="00377B68">
            <w:pPr>
              <w:spacing w:before="0" w:after="0" w:line="240" w:lineRule="auto"/>
              <w:rPr>
                <w:rFonts w:cs="Tahoma"/>
                <w:bCs/>
                <w:noProof/>
                <w:sz w:val="20"/>
                <w:szCs w:val="20"/>
              </w:rPr>
            </w:pPr>
            <w:r w:rsidRPr="00744C45">
              <w:rPr>
                <w:rFonts w:cs="Tahoma"/>
                <w:bCs/>
                <w:noProof/>
                <w:sz w:val="20"/>
                <w:szCs w:val="20"/>
              </w:rPr>
              <w:t>III</w:t>
            </w:r>
          </w:p>
        </w:tc>
        <w:tc>
          <w:tcPr>
            <w:tcW w:w="519" w:type="dxa"/>
            <w:tcBorders>
              <w:top w:val="single" w:sz="8" w:space="0" w:color="auto"/>
              <w:bottom w:val="single" w:sz="8" w:space="0" w:color="auto"/>
            </w:tcBorders>
          </w:tcPr>
          <w:p w14:paraId="575EBFA3" w14:textId="77777777" w:rsidR="001650F6" w:rsidRPr="00744C45"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68EAAE2C" w14:textId="77777777" w:rsidR="001650F6" w:rsidRPr="00744C45"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0E28C5A6" w14:textId="77777777" w:rsidR="001650F6" w:rsidRPr="00744C45"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4D3327DA" w14:textId="77777777" w:rsidR="001650F6" w:rsidRPr="00744C45" w:rsidRDefault="001650F6" w:rsidP="00377B68">
            <w:pPr>
              <w:spacing w:before="0" w:after="0" w:line="240" w:lineRule="auto"/>
              <w:rPr>
                <w:rFonts w:cs="Tahoma"/>
                <w:bCs/>
                <w:noProof/>
                <w:sz w:val="20"/>
                <w:szCs w:val="20"/>
              </w:rPr>
            </w:pPr>
            <w:r w:rsidRPr="00744C45">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3E8CB907" w14:textId="77777777" w:rsidR="001650F6" w:rsidRPr="00744C45" w:rsidRDefault="001650F6" w:rsidP="00377B68">
            <w:pPr>
              <w:spacing w:before="0" w:after="0" w:line="240" w:lineRule="auto"/>
              <w:jc w:val="center"/>
              <w:rPr>
                <w:rFonts w:cs="Tahoma"/>
                <w:sz w:val="20"/>
                <w:szCs w:val="20"/>
              </w:rPr>
            </w:pPr>
            <w:r w:rsidRPr="00744C45">
              <w:rPr>
                <w:rFonts w:cs="Tahoma"/>
                <w:sz w:val="20"/>
                <w:szCs w:val="20"/>
              </w:rPr>
              <w:t>√</w:t>
            </w:r>
          </w:p>
        </w:tc>
        <w:tc>
          <w:tcPr>
            <w:tcW w:w="433" w:type="dxa"/>
            <w:tcBorders>
              <w:top w:val="single" w:sz="8" w:space="0" w:color="auto"/>
              <w:bottom w:val="single" w:sz="8" w:space="0" w:color="auto"/>
            </w:tcBorders>
            <w:tcMar>
              <w:left w:w="28" w:type="dxa"/>
              <w:right w:w="28" w:type="dxa"/>
            </w:tcMar>
          </w:tcPr>
          <w:p w14:paraId="37A30B6C" w14:textId="77777777" w:rsidR="001650F6" w:rsidRPr="00744C45" w:rsidRDefault="001650F6" w:rsidP="00377B68">
            <w:pPr>
              <w:spacing w:before="0" w:after="0" w:line="240" w:lineRule="auto"/>
              <w:jc w:val="center"/>
              <w:rPr>
                <w:rFonts w:cs="Tahoma"/>
                <w:sz w:val="20"/>
                <w:szCs w:val="20"/>
              </w:rPr>
            </w:pPr>
            <w:r w:rsidRPr="00744C45">
              <w:rPr>
                <w:rFonts w:cs="Tahoma"/>
                <w:sz w:val="20"/>
                <w:szCs w:val="20"/>
              </w:rPr>
              <w:t>√</w:t>
            </w:r>
          </w:p>
        </w:tc>
        <w:tc>
          <w:tcPr>
            <w:tcW w:w="429" w:type="dxa"/>
            <w:tcBorders>
              <w:top w:val="single" w:sz="8" w:space="0" w:color="auto"/>
              <w:bottom w:val="single" w:sz="8" w:space="0" w:color="auto"/>
            </w:tcBorders>
            <w:tcMar>
              <w:left w:w="28" w:type="dxa"/>
              <w:right w:w="28" w:type="dxa"/>
            </w:tcMar>
          </w:tcPr>
          <w:p w14:paraId="04FA0BD3" w14:textId="77777777" w:rsidR="001650F6" w:rsidRPr="00744C45" w:rsidRDefault="001650F6" w:rsidP="00377B68">
            <w:pPr>
              <w:spacing w:before="0" w:after="0" w:line="240" w:lineRule="auto"/>
              <w:jc w:val="center"/>
              <w:rPr>
                <w:rFonts w:cs="Tahoma"/>
                <w:sz w:val="20"/>
                <w:szCs w:val="20"/>
              </w:rPr>
            </w:pPr>
            <w:r w:rsidRPr="00744C45">
              <w:rPr>
                <w:rFonts w:cs="Tahoma"/>
                <w:sz w:val="20"/>
                <w:szCs w:val="20"/>
              </w:rPr>
              <w:t>√</w:t>
            </w:r>
          </w:p>
        </w:tc>
      </w:tr>
      <w:tr w:rsidR="001650F6" w:rsidRPr="0068236B" w14:paraId="1268F4C6"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45089953"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Emberiza cirlus</w:t>
            </w:r>
          </w:p>
        </w:tc>
        <w:tc>
          <w:tcPr>
            <w:tcW w:w="660" w:type="dxa"/>
            <w:tcBorders>
              <w:top w:val="single" w:sz="8" w:space="0" w:color="auto"/>
              <w:bottom w:val="single" w:sz="8" w:space="0" w:color="auto"/>
            </w:tcBorders>
          </w:tcPr>
          <w:p w14:paraId="75EEE61B"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68FE9BA8"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0AA673FF"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16C6E403"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67261277"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3A9F5518"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0D9048D9"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7347591D"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133294CA"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1682C866"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324EC1AE"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56861189"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5F830B1F"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Erithacus rubecula</w:t>
            </w:r>
          </w:p>
        </w:tc>
        <w:tc>
          <w:tcPr>
            <w:tcW w:w="660" w:type="dxa"/>
            <w:tcBorders>
              <w:top w:val="single" w:sz="8" w:space="0" w:color="auto"/>
              <w:bottom w:val="single" w:sz="8" w:space="0" w:color="auto"/>
            </w:tcBorders>
          </w:tcPr>
          <w:p w14:paraId="414E912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7E229C44"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10D1D185"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59FE4785"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0B0A9735"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474" w:type="dxa"/>
            <w:tcBorders>
              <w:top w:val="single" w:sz="8" w:space="0" w:color="auto"/>
              <w:bottom w:val="single" w:sz="8" w:space="0" w:color="auto"/>
            </w:tcBorders>
          </w:tcPr>
          <w:p w14:paraId="30577039"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2578F561"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2C6A4655"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0418F849"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4CF9ADFC"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21946F7F"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793DD0A8"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705B89A9"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Falco subbuteo</w:t>
            </w:r>
          </w:p>
        </w:tc>
        <w:tc>
          <w:tcPr>
            <w:tcW w:w="660" w:type="dxa"/>
            <w:tcBorders>
              <w:top w:val="single" w:sz="8" w:space="0" w:color="auto"/>
              <w:bottom w:val="single" w:sz="8" w:space="0" w:color="auto"/>
            </w:tcBorders>
          </w:tcPr>
          <w:p w14:paraId="02BD10E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2A3D6493"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10483745"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01F6C3E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72C627B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474" w:type="dxa"/>
            <w:tcBorders>
              <w:top w:val="single" w:sz="8" w:space="0" w:color="auto"/>
              <w:bottom w:val="single" w:sz="8" w:space="0" w:color="auto"/>
            </w:tcBorders>
          </w:tcPr>
          <w:p w14:paraId="36EE9D88"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641" w:type="dxa"/>
            <w:tcBorders>
              <w:top w:val="single" w:sz="8" w:space="0" w:color="auto"/>
              <w:bottom w:val="single" w:sz="8" w:space="0" w:color="auto"/>
            </w:tcBorders>
          </w:tcPr>
          <w:p w14:paraId="7B1E3329"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sps</w:t>
            </w:r>
          </w:p>
        </w:tc>
        <w:tc>
          <w:tcPr>
            <w:tcW w:w="536" w:type="dxa"/>
            <w:tcBorders>
              <w:top w:val="single" w:sz="8" w:space="0" w:color="auto"/>
              <w:bottom w:val="single" w:sz="8" w:space="0" w:color="auto"/>
            </w:tcBorders>
          </w:tcPr>
          <w:p w14:paraId="509D940B"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pp</w:t>
            </w:r>
          </w:p>
        </w:tc>
        <w:tc>
          <w:tcPr>
            <w:tcW w:w="432" w:type="dxa"/>
            <w:tcBorders>
              <w:top w:val="single" w:sz="8" w:space="0" w:color="auto"/>
              <w:bottom w:val="single" w:sz="8" w:space="0" w:color="auto"/>
            </w:tcBorders>
            <w:tcMar>
              <w:left w:w="28" w:type="dxa"/>
              <w:right w:w="28" w:type="dxa"/>
            </w:tcMar>
          </w:tcPr>
          <w:p w14:paraId="48455644"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270B5A9A"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799F8EFF"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1928A4C3"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537ABF2E"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Falco tinnunculus</w:t>
            </w:r>
          </w:p>
        </w:tc>
        <w:tc>
          <w:tcPr>
            <w:tcW w:w="660" w:type="dxa"/>
            <w:tcBorders>
              <w:top w:val="single" w:sz="8" w:space="0" w:color="auto"/>
              <w:bottom w:val="single" w:sz="8" w:space="0" w:color="auto"/>
            </w:tcBorders>
          </w:tcPr>
          <w:p w14:paraId="2705352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0DD60E04"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67E45CEF"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04C0D87E"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753E0A06"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474" w:type="dxa"/>
            <w:tcBorders>
              <w:top w:val="single" w:sz="8" w:space="0" w:color="auto"/>
              <w:bottom w:val="single" w:sz="8" w:space="0" w:color="auto"/>
            </w:tcBorders>
          </w:tcPr>
          <w:p w14:paraId="6813877B"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641" w:type="dxa"/>
            <w:tcBorders>
              <w:top w:val="single" w:sz="8" w:space="0" w:color="auto"/>
              <w:bottom w:val="single" w:sz="8" w:space="0" w:color="auto"/>
            </w:tcBorders>
          </w:tcPr>
          <w:p w14:paraId="50416AE6"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sps</w:t>
            </w:r>
          </w:p>
        </w:tc>
        <w:tc>
          <w:tcPr>
            <w:tcW w:w="536" w:type="dxa"/>
            <w:tcBorders>
              <w:top w:val="single" w:sz="8" w:space="0" w:color="auto"/>
              <w:bottom w:val="single" w:sz="8" w:space="0" w:color="auto"/>
            </w:tcBorders>
          </w:tcPr>
          <w:p w14:paraId="78AEE500"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pp</w:t>
            </w:r>
          </w:p>
        </w:tc>
        <w:tc>
          <w:tcPr>
            <w:tcW w:w="432" w:type="dxa"/>
            <w:tcBorders>
              <w:top w:val="single" w:sz="8" w:space="0" w:color="auto"/>
              <w:bottom w:val="single" w:sz="8" w:space="0" w:color="auto"/>
            </w:tcBorders>
            <w:tcMar>
              <w:left w:w="28" w:type="dxa"/>
              <w:right w:w="28" w:type="dxa"/>
            </w:tcMar>
          </w:tcPr>
          <w:p w14:paraId="68941CF8"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15284C8F"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460DC418"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3A257804"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474590BA"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Fringilla coelebs</w:t>
            </w:r>
          </w:p>
        </w:tc>
        <w:tc>
          <w:tcPr>
            <w:tcW w:w="660" w:type="dxa"/>
            <w:tcBorders>
              <w:top w:val="single" w:sz="8" w:space="0" w:color="auto"/>
              <w:bottom w:val="single" w:sz="8" w:space="0" w:color="auto"/>
            </w:tcBorders>
          </w:tcPr>
          <w:p w14:paraId="52CDF8C6"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42CDAF8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67D3A196"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1A78788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III</w:t>
            </w:r>
          </w:p>
        </w:tc>
        <w:tc>
          <w:tcPr>
            <w:tcW w:w="519" w:type="dxa"/>
            <w:tcBorders>
              <w:top w:val="single" w:sz="8" w:space="0" w:color="auto"/>
              <w:bottom w:val="single" w:sz="8" w:space="0" w:color="auto"/>
            </w:tcBorders>
          </w:tcPr>
          <w:p w14:paraId="1AB3C1FC"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7D25A135"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27A66518"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35810058"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30F6F368"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0CE4A28B"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3A3C6618"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468C47DD"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4A7A0E5D"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Fulica atra</w:t>
            </w:r>
          </w:p>
        </w:tc>
        <w:tc>
          <w:tcPr>
            <w:tcW w:w="660" w:type="dxa"/>
            <w:tcBorders>
              <w:top w:val="single" w:sz="8" w:space="0" w:color="auto"/>
              <w:bottom w:val="single" w:sz="8" w:space="0" w:color="auto"/>
            </w:tcBorders>
          </w:tcPr>
          <w:p w14:paraId="4785E89E"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7739BF46"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NT</w:t>
            </w:r>
          </w:p>
        </w:tc>
        <w:tc>
          <w:tcPr>
            <w:tcW w:w="1160" w:type="dxa"/>
            <w:tcBorders>
              <w:top w:val="single" w:sz="8" w:space="0" w:color="auto"/>
              <w:bottom w:val="single" w:sz="8" w:space="0" w:color="auto"/>
            </w:tcBorders>
          </w:tcPr>
          <w:p w14:paraId="7D6BE460" w14:textId="77777777" w:rsidR="001650F6" w:rsidRPr="0068236B" w:rsidRDefault="001650F6" w:rsidP="00377B68">
            <w:pPr>
              <w:spacing w:before="0" w:after="0" w:line="240" w:lineRule="auto"/>
              <w:jc w:val="center"/>
              <w:rPr>
                <w:rFonts w:cs="Tahoma"/>
                <w:bCs/>
                <w:noProof/>
                <w:sz w:val="20"/>
                <w:szCs w:val="20"/>
              </w:rPr>
            </w:pPr>
            <w:r w:rsidRPr="0068236B">
              <w:rPr>
                <w:rFonts w:cs="Tahoma"/>
                <w:bCs/>
                <w:noProof/>
                <w:sz w:val="20"/>
                <w:szCs w:val="20"/>
              </w:rPr>
              <w:t>IIA &amp; IIIB</w:t>
            </w:r>
          </w:p>
        </w:tc>
        <w:tc>
          <w:tcPr>
            <w:tcW w:w="682" w:type="dxa"/>
            <w:tcBorders>
              <w:top w:val="single" w:sz="8" w:space="0" w:color="auto"/>
              <w:bottom w:val="single" w:sz="8" w:space="0" w:color="auto"/>
            </w:tcBorders>
          </w:tcPr>
          <w:p w14:paraId="4101148C"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III</w:t>
            </w:r>
          </w:p>
        </w:tc>
        <w:tc>
          <w:tcPr>
            <w:tcW w:w="519" w:type="dxa"/>
            <w:tcBorders>
              <w:top w:val="single" w:sz="8" w:space="0" w:color="auto"/>
              <w:bottom w:val="single" w:sz="8" w:space="0" w:color="auto"/>
            </w:tcBorders>
          </w:tcPr>
          <w:p w14:paraId="617E22AA"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474" w:type="dxa"/>
            <w:tcBorders>
              <w:top w:val="single" w:sz="8" w:space="0" w:color="auto"/>
              <w:bottom w:val="single" w:sz="8" w:space="0" w:color="auto"/>
            </w:tcBorders>
          </w:tcPr>
          <w:p w14:paraId="3F04AB80"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31341BE0"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ps</w:t>
            </w:r>
          </w:p>
        </w:tc>
        <w:tc>
          <w:tcPr>
            <w:tcW w:w="536" w:type="dxa"/>
            <w:tcBorders>
              <w:top w:val="single" w:sz="8" w:space="0" w:color="auto"/>
              <w:bottom w:val="single" w:sz="8" w:space="0" w:color="auto"/>
            </w:tcBorders>
          </w:tcPr>
          <w:p w14:paraId="371E3A11"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hg</w:t>
            </w:r>
          </w:p>
        </w:tc>
        <w:tc>
          <w:tcPr>
            <w:tcW w:w="432" w:type="dxa"/>
            <w:tcBorders>
              <w:top w:val="single" w:sz="8" w:space="0" w:color="auto"/>
              <w:bottom w:val="single" w:sz="8" w:space="0" w:color="auto"/>
            </w:tcBorders>
            <w:tcMar>
              <w:left w:w="28" w:type="dxa"/>
              <w:right w:w="28" w:type="dxa"/>
            </w:tcMar>
          </w:tcPr>
          <w:p w14:paraId="1DA661EA" w14:textId="77777777" w:rsidR="001650F6" w:rsidRPr="0068236B" w:rsidRDefault="001650F6" w:rsidP="00377B68">
            <w:pPr>
              <w:spacing w:before="0" w:after="0" w:line="240" w:lineRule="auto"/>
              <w:jc w:val="center"/>
              <w:rPr>
                <w:rFonts w:cs="Tahoma"/>
                <w:sz w:val="20"/>
                <w:szCs w:val="20"/>
              </w:rPr>
            </w:pPr>
          </w:p>
        </w:tc>
        <w:tc>
          <w:tcPr>
            <w:tcW w:w="433" w:type="dxa"/>
            <w:tcBorders>
              <w:top w:val="single" w:sz="8" w:space="0" w:color="auto"/>
              <w:bottom w:val="single" w:sz="8" w:space="0" w:color="auto"/>
            </w:tcBorders>
            <w:tcMar>
              <w:left w:w="28" w:type="dxa"/>
              <w:right w:w="28" w:type="dxa"/>
            </w:tcMar>
          </w:tcPr>
          <w:p w14:paraId="13070947"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0FFBB646" w14:textId="77777777" w:rsidR="001650F6" w:rsidRPr="0068236B" w:rsidRDefault="001650F6" w:rsidP="00377B68">
            <w:pPr>
              <w:spacing w:before="0" w:after="0" w:line="240" w:lineRule="auto"/>
              <w:jc w:val="center"/>
              <w:rPr>
                <w:rFonts w:cs="Tahoma"/>
                <w:sz w:val="20"/>
                <w:szCs w:val="20"/>
              </w:rPr>
            </w:pPr>
          </w:p>
        </w:tc>
      </w:tr>
      <w:tr w:rsidR="001650F6" w:rsidRPr="0068236B" w14:paraId="52FB0A5A"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0EADB81D"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Galerida cristata</w:t>
            </w:r>
          </w:p>
        </w:tc>
        <w:tc>
          <w:tcPr>
            <w:tcW w:w="660" w:type="dxa"/>
            <w:tcBorders>
              <w:top w:val="single" w:sz="8" w:space="0" w:color="auto"/>
              <w:bottom w:val="single" w:sz="8" w:space="0" w:color="auto"/>
            </w:tcBorders>
          </w:tcPr>
          <w:p w14:paraId="397CE74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07C29313"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4E90FD6B"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3C8CAE6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III</w:t>
            </w:r>
          </w:p>
        </w:tc>
        <w:tc>
          <w:tcPr>
            <w:tcW w:w="519" w:type="dxa"/>
            <w:tcBorders>
              <w:top w:val="single" w:sz="8" w:space="0" w:color="auto"/>
              <w:bottom w:val="single" w:sz="8" w:space="0" w:color="auto"/>
            </w:tcBorders>
          </w:tcPr>
          <w:p w14:paraId="7C0ABFA9"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4367C356"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7EBD8757"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47FE1149"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78EA00F2"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4433458A"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7DFFA21C"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7A521E5E"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03C8F40B"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Gallinula chloropus</w:t>
            </w:r>
          </w:p>
        </w:tc>
        <w:tc>
          <w:tcPr>
            <w:tcW w:w="660" w:type="dxa"/>
            <w:tcBorders>
              <w:top w:val="single" w:sz="8" w:space="0" w:color="auto"/>
              <w:bottom w:val="single" w:sz="8" w:space="0" w:color="auto"/>
            </w:tcBorders>
          </w:tcPr>
          <w:p w14:paraId="4F46F933"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70D303F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6A4D521C" w14:textId="77777777" w:rsidR="001650F6" w:rsidRPr="0068236B" w:rsidRDefault="001650F6" w:rsidP="00377B68">
            <w:pPr>
              <w:spacing w:before="0" w:after="0" w:line="240" w:lineRule="auto"/>
              <w:jc w:val="center"/>
              <w:rPr>
                <w:rFonts w:cs="Tahoma"/>
                <w:bCs/>
                <w:noProof/>
                <w:sz w:val="20"/>
                <w:szCs w:val="20"/>
              </w:rPr>
            </w:pPr>
            <w:r w:rsidRPr="0068236B">
              <w:rPr>
                <w:rFonts w:cs="Tahoma"/>
                <w:bCs/>
                <w:noProof/>
                <w:sz w:val="20"/>
                <w:szCs w:val="20"/>
              </w:rPr>
              <w:t>IIB</w:t>
            </w:r>
          </w:p>
        </w:tc>
        <w:tc>
          <w:tcPr>
            <w:tcW w:w="682" w:type="dxa"/>
            <w:tcBorders>
              <w:top w:val="single" w:sz="8" w:space="0" w:color="auto"/>
              <w:bottom w:val="single" w:sz="8" w:space="0" w:color="auto"/>
            </w:tcBorders>
          </w:tcPr>
          <w:p w14:paraId="3314F974"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III</w:t>
            </w:r>
          </w:p>
        </w:tc>
        <w:tc>
          <w:tcPr>
            <w:tcW w:w="519" w:type="dxa"/>
            <w:tcBorders>
              <w:top w:val="single" w:sz="8" w:space="0" w:color="auto"/>
              <w:bottom w:val="single" w:sz="8" w:space="0" w:color="auto"/>
            </w:tcBorders>
          </w:tcPr>
          <w:p w14:paraId="46B2945B"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4BF25042"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29FDCEB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sps</w:t>
            </w:r>
          </w:p>
        </w:tc>
        <w:tc>
          <w:tcPr>
            <w:tcW w:w="536" w:type="dxa"/>
            <w:tcBorders>
              <w:top w:val="single" w:sz="8" w:space="0" w:color="auto"/>
              <w:bottom w:val="single" w:sz="8" w:space="0" w:color="auto"/>
            </w:tcBorders>
          </w:tcPr>
          <w:p w14:paraId="08F01B0D"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pp</w:t>
            </w:r>
          </w:p>
        </w:tc>
        <w:tc>
          <w:tcPr>
            <w:tcW w:w="432" w:type="dxa"/>
            <w:tcBorders>
              <w:top w:val="single" w:sz="8" w:space="0" w:color="auto"/>
              <w:bottom w:val="single" w:sz="8" w:space="0" w:color="auto"/>
            </w:tcBorders>
            <w:tcMar>
              <w:left w:w="28" w:type="dxa"/>
              <w:right w:w="28" w:type="dxa"/>
            </w:tcMar>
          </w:tcPr>
          <w:p w14:paraId="7E4A69A8" w14:textId="77777777" w:rsidR="001650F6" w:rsidRPr="0068236B" w:rsidRDefault="001650F6" w:rsidP="00377B68">
            <w:pPr>
              <w:spacing w:before="0" w:after="0" w:line="240" w:lineRule="auto"/>
              <w:jc w:val="center"/>
              <w:rPr>
                <w:rFonts w:cs="Tahoma"/>
                <w:sz w:val="20"/>
                <w:szCs w:val="20"/>
              </w:rPr>
            </w:pPr>
          </w:p>
        </w:tc>
        <w:tc>
          <w:tcPr>
            <w:tcW w:w="433" w:type="dxa"/>
            <w:tcBorders>
              <w:top w:val="single" w:sz="8" w:space="0" w:color="auto"/>
              <w:bottom w:val="single" w:sz="8" w:space="0" w:color="auto"/>
            </w:tcBorders>
            <w:tcMar>
              <w:left w:w="28" w:type="dxa"/>
              <w:right w:w="28" w:type="dxa"/>
            </w:tcMar>
          </w:tcPr>
          <w:p w14:paraId="07C44B1E"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108285C2" w14:textId="77777777" w:rsidR="001650F6" w:rsidRPr="0068236B" w:rsidRDefault="001650F6" w:rsidP="00377B68">
            <w:pPr>
              <w:spacing w:before="0" w:after="0" w:line="240" w:lineRule="auto"/>
              <w:jc w:val="center"/>
              <w:rPr>
                <w:rFonts w:cs="Tahoma"/>
                <w:sz w:val="20"/>
                <w:szCs w:val="20"/>
              </w:rPr>
            </w:pPr>
          </w:p>
        </w:tc>
      </w:tr>
      <w:tr w:rsidR="001650F6" w:rsidRPr="0068236B" w14:paraId="3C65994A"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3B63F383"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Granativora melanocephala</w:t>
            </w:r>
          </w:p>
        </w:tc>
        <w:tc>
          <w:tcPr>
            <w:tcW w:w="660" w:type="dxa"/>
            <w:tcBorders>
              <w:top w:val="single" w:sz="8" w:space="0" w:color="auto"/>
              <w:bottom w:val="single" w:sz="8" w:space="0" w:color="auto"/>
            </w:tcBorders>
          </w:tcPr>
          <w:p w14:paraId="0481A9B5"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7D58324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3B8EEB53"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4CEB8C9B"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037DE79C"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102B0239"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5D01012C"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0A96E53B"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59E4BFA8"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379964DA"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12BECA5A"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607D967B"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20B6875F"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Hirundo rustica</w:t>
            </w:r>
          </w:p>
        </w:tc>
        <w:tc>
          <w:tcPr>
            <w:tcW w:w="660" w:type="dxa"/>
            <w:tcBorders>
              <w:top w:val="single" w:sz="8" w:space="0" w:color="auto"/>
              <w:bottom w:val="single" w:sz="8" w:space="0" w:color="auto"/>
            </w:tcBorders>
          </w:tcPr>
          <w:p w14:paraId="15741909"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21F139B9"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3E4044AD"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46115D3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2331EAB6"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4D0618E4"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7DF5B552"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563A0A7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0BB064DB"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0919CF13"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3E29B124"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2977EE2A"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4D02D5CF"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Lanius collurio</w:t>
            </w:r>
          </w:p>
        </w:tc>
        <w:tc>
          <w:tcPr>
            <w:tcW w:w="660" w:type="dxa"/>
            <w:tcBorders>
              <w:top w:val="single" w:sz="8" w:space="0" w:color="auto"/>
              <w:bottom w:val="single" w:sz="8" w:space="0" w:color="auto"/>
            </w:tcBorders>
          </w:tcPr>
          <w:p w14:paraId="00D139F9"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75A9BBC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0B95B596" w14:textId="77777777" w:rsidR="001650F6" w:rsidRPr="0068236B" w:rsidRDefault="001650F6" w:rsidP="00377B68">
            <w:pPr>
              <w:spacing w:before="0" w:after="0" w:line="240" w:lineRule="auto"/>
              <w:jc w:val="center"/>
              <w:rPr>
                <w:rFonts w:cs="Tahoma"/>
                <w:bCs/>
                <w:noProof/>
                <w:sz w:val="20"/>
                <w:szCs w:val="20"/>
              </w:rPr>
            </w:pPr>
            <w:r w:rsidRPr="0068236B">
              <w:rPr>
                <w:rFonts w:cs="Tahoma"/>
                <w:bCs/>
                <w:noProof/>
                <w:sz w:val="20"/>
                <w:szCs w:val="20"/>
              </w:rPr>
              <w:t>I</w:t>
            </w:r>
          </w:p>
        </w:tc>
        <w:tc>
          <w:tcPr>
            <w:tcW w:w="682" w:type="dxa"/>
            <w:tcBorders>
              <w:top w:val="single" w:sz="8" w:space="0" w:color="auto"/>
              <w:bottom w:val="single" w:sz="8" w:space="0" w:color="auto"/>
            </w:tcBorders>
          </w:tcPr>
          <w:p w14:paraId="5B04240E"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48E81E01"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0BD3DBF1"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59A95C47"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514604AE"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062E6ED7"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3E5EE999"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5A3474F6"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57E4B071"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78F89134"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Lanius minor</w:t>
            </w:r>
          </w:p>
        </w:tc>
        <w:tc>
          <w:tcPr>
            <w:tcW w:w="660" w:type="dxa"/>
            <w:tcBorders>
              <w:top w:val="single" w:sz="8" w:space="0" w:color="auto"/>
              <w:bottom w:val="single" w:sz="8" w:space="0" w:color="auto"/>
            </w:tcBorders>
          </w:tcPr>
          <w:p w14:paraId="72E770D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33E02EF0"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3A757066" w14:textId="77777777" w:rsidR="001650F6" w:rsidRPr="0068236B" w:rsidRDefault="001650F6" w:rsidP="00377B68">
            <w:pPr>
              <w:spacing w:before="0" w:after="0" w:line="240" w:lineRule="auto"/>
              <w:jc w:val="center"/>
              <w:rPr>
                <w:rFonts w:cs="Tahoma"/>
                <w:bCs/>
                <w:noProof/>
                <w:sz w:val="20"/>
                <w:szCs w:val="20"/>
              </w:rPr>
            </w:pPr>
            <w:r w:rsidRPr="0068236B">
              <w:rPr>
                <w:rFonts w:cs="Tahoma"/>
                <w:bCs/>
                <w:noProof/>
                <w:sz w:val="20"/>
                <w:szCs w:val="20"/>
              </w:rPr>
              <w:t>I</w:t>
            </w:r>
          </w:p>
        </w:tc>
        <w:tc>
          <w:tcPr>
            <w:tcW w:w="682" w:type="dxa"/>
            <w:tcBorders>
              <w:top w:val="single" w:sz="8" w:space="0" w:color="auto"/>
              <w:bottom w:val="single" w:sz="8" w:space="0" w:color="auto"/>
            </w:tcBorders>
          </w:tcPr>
          <w:p w14:paraId="4AF3D164"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06B4B981"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5E3D4AF9"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70722CBD"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672B3948"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00416B48"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68BD60C0"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44359D69"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64BA0045"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7B51BD15"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Lanius senator</w:t>
            </w:r>
          </w:p>
        </w:tc>
        <w:tc>
          <w:tcPr>
            <w:tcW w:w="660" w:type="dxa"/>
            <w:tcBorders>
              <w:top w:val="single" w:sz="8" w:space="0" w:color="auto"/>
              <w:bottom w:val="single" w:sz="8" w:space="0" w:color="auto"/>
            </w:tcBorders>
          </w:tcPr>
          <w:p w14:paraId="09CFCD43"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040235C5"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63D58368"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712232D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48055F29"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112087E1"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2809905E"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11F42085"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5D9054E6"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0515D972"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32438E61"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4640A85E"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4EA93986"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Luscinia megarhynchos</w:t>
            </w:r>
          </w:p>
        </w:tc>
        <w:tc>
          <w:tcPr>
            <w:tcW w:w="660" w:type="dxa"/>
            <w:tcBorders>
              <w:top w:val="single" w:sz="8" w:space="0" w:color="auto"/>
              <w:bottom w:val="single" w:sz="8" w:space="0" w:color="auto"/>
            </w:tcBorders>
          </w:tcPr>
          <w:p w14:paraId="4D109715"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1080CC76"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38307773"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1B88AA0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64EFA0AA"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474" w:type="dxa"/>
            <w:tcBorders>
              <w:top w:val="single" w:sz="8" w:space="0" w:color="auto"/>
              <w:bottom w:val="single" w:sz="8" w:space="0" w:color="auto"/>
            </w:tcBorders>
          </w:tcPr>
          <w:p w14:paraId="57F37698"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32198115"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1779D0A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37458DB3"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0259E45F"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4D9AC9E8"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4C7FF99B"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3987FBE2"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Merops apiaster</w:t>
            </w:r>
          </w:p>
        </w:tc>
        <w:tc>
          <w:tcPr>
            <w:tcW w:w="660" w:type="dxa"/>
            <w:tcBorders>
              <w:top w:val="single" w:sz="8" w:space="0" w:color="auto"/>
              <w:bottom w:val="single" w:sz="8" w:space="0" w:color="auto"/>
            </w:tcBorders>
          </w:tcPr>
          <w:p w14:paraId="30D6EFDC"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40BC8DD5"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1C9A0616"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7A15ED5C"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363FD7FC"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474" w:type="dxa"/>
            <w:tcBorders>
              <w:top w:val="single" w:sz="8" w:space="0" w:color="auto"/>
              <w:bottom w:val="single" w:sz="8" w:space="0" w:color="auto"/>
            </w:tcBorders>
          </w:tcPr>
          <w:p w14:paraId="4A4DB83C"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22A1BFE6"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324B95D3"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18BF8D22"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0795FDCA"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2035D6D9"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1672D934"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649780AE"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Motacilla alba</w:t>
            </w:r>
          </w:p>
        </w:tc>
        <w:tc>
          <w:tcPr>
            <w:tcW w:w="660" w:type="dxa"/>
            <w:tcBorders>
              <w:top w:val="single" w:sz="8" w:space="0" w:color="auto"/>
              <w:bottom w:val="single" w:sz="8" w:space="0" w:color="auto"/>
            </w:tcBorders>
          </w:tcPr>
          <w:p w14:paraId="23307718"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15558C11"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0DEB326F"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2F0E4CC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52A37B81"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64C5D336"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1444A62C"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28A79A83"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40DF53BB" w14:textId="77777777" w:rsidR="001650F6" w:rsidRPr="0068236B" w:rsidRDefault="001650F6" w:rsidP="00377B68">
            <w:pPr>
              <w:spacing w:before="0" w:after="0" w:line="240" w:lineRule="auto"/>
              <w:jc w:val="center"/>
              <w:rPr>
                <w:rFonts w:cs="Tahoma"/>
                <w:sz w:val="20"/>
                <w:szCs w:val="20"/>
              </w:rPr>
            </w:pPr>
          </w:p>
        </w:tc>
        <w:tc>
          <w:tcPr>
            <w:tcW w:w="433" w:type="dxa"/>
            <w:tcBorders>
              <w:top w:val="single" w:sz="8" w:space="0" w:color="auto"/>
              <w:bottom w:val="single" w:sz="8" w:space="0" w:color="auto"/>
            </w:tcBorders>
            <w:tcMar>
              <w:left w:w="28" w:type="dxa"/>
              <w:right w:w="28" w:type="dxa"/>
            </w:tcMar>
          </w:tcPr>
          <w:p w14:paraId="529BF2FE"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43C5CDBE" w14:textId="77777777" w:rsidR="001650F6" w:rsidRPr="0068236B" w:rsidRDefault="001650F6" w:rsidP="00377B68">
            <w:pPr>
              <w:spacing w:before="0" w:after="0" w:line="240" w:lineRule="auto"/>
              <w:jc w:val="center"/>
              <w:rPr>
                <w:rFonts w:cs="Tahoma"/>
                <w:sz w:val="20"/>
                <w:szCs w:val="20"/>
              </w:rPr>
            </w:pPr>
          </w:p>
        </w:tc>
      </w:tr>
      <w:tr w:rsidR="001650F6" w:rsidRPr="0068236B" w14:paraId="01C3D966"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4F0357F0"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Motacilla flava</w:t>
            </w:r>
          </w:p>
        </w:tc>
        <w:tc>
          <w:tcPr>
            <w:tcW w:w="660" w:type="dxa"/>
            <w:tcBorders>
              <w:top w:val="single" w:sz="8" w:space="0" w:color="auto"/>
              <w:bottom w:val="single" w:sz="8" w:space="0" w:color="auto"/>
            </w:tcBorders>
          </w:tcPr>
          <w:p w14:paraId="4E5166EE"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23E6A303"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620868CE"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3CEB1C5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22AA55ED"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7BAF1A4B"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0790AE1A"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5473E2DA"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7CD2A301" w14:textId="77777777" w:rsidR="001650F6" w:rsidRPr="0068236B" w:rsidRDefault="001650F6" w:rsidP="00377B68">
            <w:pPr>
              <w:spacing w:before="0" w:after="0" w:line="240" w:lineRule="auto"/>
              <w:jc w:val="center"/>
              <w:rPr>
                <w:rFonts w:cs="Tahoma"/>
                <w:sz w:val="20"/>
                <w:szCs w:val="20"/>
              </w:rPr>
            </w:pPr>
          </w:p>
        </w:tc>
        <w:tc>
          <w:tcPr>
            <w:tcW w:w="433" w:type="dxa"/>
            <w:tcBorders>
              <w:top w:val="single" w:sz="8" w:space="0" w:color="auto"/>
              <w:bottom w:val="single" w:sz="8" w:space="0" w:color="auto"/>
            </w:tcBorders>
            <w:tcMar>
              <w:left w:w="28" w:type="dxa"/>
              <w:right w:w="28" w:type="dxa"/>
            </w:tcMar>
          </w:tcPr>
          <w:p w14:paraId="37C44717"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7FE7FC37"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7730DA04"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5177C47E"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Oenanthe hispanica</w:t>
            </w:r>
          </w:p>
        </w:tc>
        <w:tc>
          <w:tcPr>
            <w:tcW w:w="660" w:type="dxa"/>
            <w:tcBorders>
              <w:top w:val="single" w:sz="8" w:space="0" w:color="auto"/>
              <w:bottom w:val="single" w:sz="8" w:space="0" w:color="auto"/>
            </w:tcBorders>
          </w:tcPr>
          <w:p w14:paraId="7AB9F694"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4B3596A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61E28845"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789B8470"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0134A9F0"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474" w:type="dxa"/>
            <w:tcBorders>
              <w:top w:val="single" w:sz="8" w:space="0" w:color="auto"/>
              <w:bottom w:val="single" w:sz="8" w:space="0" w:color="auto"/>
            </w:tcBorders>
          </w:tcPr>
          <w:p w14:paraId="5C680938"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1E36898E"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2D47D438"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37A534B2"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57E36E06"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4B00C275"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2DC9C580"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2828D1A7"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Oenanthe oenanthe</w:t>
            </w:r>
          </w:p>
        </w:tc>
        <w:tc>
          <w:tcPr>
            <w:tcW w:w="660" w:type="dxa"/>
            <w:tcBorders>
              <w:top w:val="single" w:sz="8" w:space="0" w:color="auto"/>
              <w:bottom w:val="single" w:sz="8" w:space="0" w:color="auto"/>
            </w:tcBorders>
          </w:tcPr>
          <w:p w14:paraId="40FFB36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2C9372E8"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2FABEFFF"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3B759F6C"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2A71BAFE"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474" w:type="dxa"/>
            <w:tcBorders>
              <w:top w:val="single" w:sz="8" w:space="0" w:color="auto"/>
              <w:bottom w:val="single" w:sz="8" w:space="0" w:color="auto"/>
            </w:tcBorders>
          </w:tcPr>
          <w:p w14:paraId="681F640F"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174E7FB9"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3986A1BE"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7CF7BF13"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476A3FED"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522342E2" w14:textId="77777777" w:rsidR="001650F6" w:rsidRPr="0068236B" w:rsidRDefault="001650F6" w:rsidP="00377B68">
            <w:pPr>
              <w:spacing w:before="0" w:after="0" w:line="240" w:lineRule="auto"/>
              <w:jc w:val="center"/>
              <w:rPr>
                <w:rFonts w:cs="Tahoma"/>
                <w:sz w:val="20"/>
                <w:szCs w:val="20"/>
              </w:rPr>
            </w:pPr>
          </w:p>
        </w:tc>
      </w:tr>
      <w:tr w:rsidR="001650F6" w:rsidRPr="0068236B" w14:paraId="4C1CD979"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30AA7A78"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Oriolus oriolus</w:t>
            </w:r>
          </w:p>
        </w:tc>
        <w:tc>
          <w:tcPr>
            <w:tcW w:w="660" w:type="dxa"/>
            <w:tcBorders>
              <w:top w:val="single" w:sz="8" w:space="0" w:color="auto"/>
              <w:bottom w:val="single" w:sz="8" w:space="0" w:color="auto"/>
            </w:tcBorders>
          </w:tcPr>
          <w:p w14:paraId="17292590"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2092C23B"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39321EC3"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7F76211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71E0721A"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4A864E4C"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1D76A76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sps</w:t>
            </w:r>
          </w:p>
        </w:tc>
        <w:tc>
          <w:tcPr>
            <w:tcW w:w="536" w:type="dxa"/>
            <w:tcBorders>
              <w:top w:val="single" w:sz="8" w:space="0" w:color="auto"/>
              <w:bottom w:val="single" w:sz="8" w:space="0" w:color="auto"/>
            </w:tcBorders>
          </w:tcPr>
          <w:p w14:paraId="6C00120C"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pp</w:t>
            </w:r>
          </w:p>
        </w:tc>
        <w:tc>
          <w:tcPr>
            <w:tcW w:w="432" w:type="dxa"/>
            <w:tcBorders>
              <w:top w:val="single" w:sz="8" w:space="0" w:color="auto"/>
              <w:bottom w:val="single" w:sz="8" w:space="0" w:color="auto"/>
            </w:tcBorders>
            <w:tcMar>
              <w:left w:w="28" w:type="dxa"/>
              <w:right w:w="28" w:type="dxa"/>
            </w:tcMar>
          </w:tcPr>
          <w:p w14:paraId="59C14015"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65C44ADB"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36789C9C"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4473114D"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09CFD7C5"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Otus scops</w:t>
            </w:r>
          </w:p>
        </w:tc>
        <w:tc>
          <w:tcPr>
            <w:tcW w:w="660" w:type="dxa"/>
            <w:tcBorders>
              <w:top w:val="single" w:sz="8" w:space="0" w:color="auto"/>
              <w:bottom w:val="single" w:sz="8" w:space="0" w:color="auto"/>
            </w:tcBorders>
          </w:tcPr>
          <w:p w14:paraId="059547C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4AEE90E1"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3D38D271"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13E4602A"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3B49FA88"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201D13FE"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641" w:type="dxa"/>
            <w:tcBorders>
              <w:top w:val="single" w:sz="8" w:space="0" w:color="auto"/>
              <w:bottom w:val="single" w:sz="8" w:space="0" w:color="auto"/>
            </w:tcBorders>
          </w:tcPr>
          <w:p w14:paraId="1694AFEC"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sps</w:t>
            </w:r>
          </w:p>
        </w:tc>
        <w:tc>
          <w:tcPr>
            <w:tcW w:w="536" w:type="dxa"/>
            <w:tcBorders>
              <w:top w:val="single" w:sz="8" w:space="0" w:color="auto"/>
              <w:bottom w:val="single" w:sz="8" w:space="0" w:color="auto"/>
            </w:tcBorders>
          </w:tcPr>
          <w:p w14:paraId="612DB07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pp</w:t>
            </w:r>
          </w:p>
        </w:tc>
        <w:tc>
          <w:tcPr>
            <w:tcW w:w="432" w:type="dxa"/>
            <w:tcBorders>
              <w:top w:val="single" w:sz="8" w:space="0" w:color="auto"/>
              <w:bottom w:val="single" w:sz="8" w:space="0" w:color="auto"/>
            </w:tcBorders>
            <w:tcMar>
              <w:left w:w="28" w:type="dxa"/>
              <w:right w:w="28" w:type="dxa"/>
            </w:tcMar>
          </w:tcPr>
          <w:p w14:paraId="30D8E815"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0C4C2F58"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61C101E8"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566679B4"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0D6B7FA8"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Parus major</w:t>
            </w:r>
          </w:p>
        </w:tc>
        <w:tc>
          <w:tcPr>
            <w:tcW w:w="660" w:type="dxa"/>
            <w:tcBorders>
              <w:top w:val="single" w:sz="8" w:space="0" w:color="auto"/>
              <w:bottom w:val="single" w:sz="8" w:space="0" w:color="auto"/>
            </w:tcBorders>
          </w:tcPr>
          <w:p w14:paraId="700D0AD9"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3F66173A"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4A95D13B"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422FEBFE"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437D4943"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38706EF3"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4C5D316D"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2E3DF193"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1969591D"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798C76A9"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1CB13C64"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4A77B71C"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3457E321"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Passer domesticus</w:t>
            </w:r>
          </w:p>
        </w:tc>
        <w:tc>
          <w:tcPr>
            <w:tcW w:w="660" w:type="dxa"/>
            <w:tcBorders>
              <w:top w:val="single" w:sz="8" w:space="0" w:color="auto"/>
              <w:bottom w:val="single" w:sz="8" w:space="0" w:color="auto"/>
            </w:tcBorders>
          </w:tcPr>
          <w:p w14:paraId="2AB142AE"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6D57D0F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5CF7B58B"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64305AE8" w14:textId="77777777" w:rsidR="001650F6" w:rsidRPr="0068236B" w:rsidRDefault="001650F6" w:rsidP="00377B68">
            <w:pPr>
              <w:spacing w:before="0" w:after="0" w:line="240" w:lineRule="auto"/>
              <w:rPr>
                <w:rFonts w:cs="Tahoma"/>
                <w:bCs/>
                <w:noProof/>
                <w:sz w:val="20"/>
                <w:szCs w:val="20"/>
              </w:rPr>
            </w:pPr>
          </w:p>
        </w:tc>
        <w:tc>
          <w:tcPr>
            <w:tcW w:w="519" w:type="dxa"/>
            <w:tcBorders>
              <w:top w:val="single" w:sz="8" w:space="0" w:color="auto"/>
              <w:bottom w:val="single" w:sz="8" w:space="0" w:color="auto"/>
            </w:tcBorders>
          </w:tcPr>
          <w:p w14:paraId="2E1C6759"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12B59ED8"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5C9B9251"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57492310"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2BD2FD66"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584FEAB3"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0CEBBB28"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05398F5F"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6DB8953F"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Passer hispanioliensis</w:t>
            </w:r>
          </w:p>
        </w:tc>
        <w:tc>
          <w:tcPr>
            <w:tcW w:w="660" w:type="dxa"/>
            <w:tcBorders>
              <w:top w:val="single" w:sz="8" w:space="0" w:color="auto"/>
              <w:bottom w:val="single" w:sz="8" w:space="0" w:color="auto"/>
            </w:tcBorders>
          </w:tcPr>
          <w:p w14:paraId="5D427730"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59E35C74"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025EBD30"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3746CF0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III</w:t>
            </w:r>
          </w:p>
        </w:tc>
        <w:tc>
          <w:tcPr>
            <w:tcW w:w="519" w:type="dxa"/>
            <w:tcBorders>
              <w:top w:val="single" w:sz="8" w:space="0" w:color="auto"/>
              <w:bottom w:val="single" w:sz="8" w:space="0" w:color="auto"/>
            </w:tcBorders>
          </w:tcPr>
          <w:p w14:paraId="32805BE1"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0151A155"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33A6DE25"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23A507FD"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0D302C06" w14:textId="77777777" w:rsidR="001650F6" w:rsidRPr="0068236B" w:rsidRDefault="001650F6" w:rsidP="00377B68">
            <w:pPr>
              <w:spacing w:before="0" w:after="0" w:line="240" w:lineRule="auto"/>
              <w:jc w:val="center"/>
              <w:rPr>
                <w:rFonts w:cs="Tahoma"/>
                <w:sz w:val="20"/>
                <w:szCs w:val="20"/>
              </w:rPr>
            </w:pPr>
          </w:p>
        </w:tc>
        <w:tc>
          <w:tcPr>
            <w:tcW w:w="433" w:type="dxa"/>
            <w:tcBorders>
              <w:top w:val="single" w:sz="8" w:space="0" w:color="auto"/>
              <w:bottom w:val="single" w:sz="8" w:space="0" w:color="auto"/>
            </w:tcBorders>
            <w:tcMar>
              <w:left w:w="28" w:type="dxa"/>
              <w:right w:w="28" w:type="dxa"/>
            </w:tcMar>
          </w:tcPr>
          <w:p w14:paraId="0C15995E"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33A9694D" w14:textId="77777777" w:rsidR="001650F6" w:rsidRPr="0068236B" w:rsidRDefault="001650F6" w:rsidP="00377B68">
            <w:pPr>
              <w:spacing w:before="0" w:after="0" w:line="240" w:lineRule="auto"/>
              <w:jc w:val="center"/>
              <w:rPr>
                <w:rFonts w:cs="Tahoma"/>
                <w:sz w:val="20"/>
                <w:szCs w:val="20"/>
              </w:rPr>
            </w:pPr>
          </w:p>
        </w:tc>
      </w:tr>
      <w:tr w:rsidR="001650F6" w:rsidRPr="0068236B" w14:paraId="57F7A0F6"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0C3DE9EC"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Perdix perdix</w:t>
            </w:r>
          </w:p>
        </w:tc>
        <w:tc>
          <w:tcPr>
            <w:tcW w:w="660" w:type="dxa"/>
            <w:tcBorders>
              <w:top w:val="single" w:sz="8" w:space="0" w:color="auto"/>
              <w:bottom w:val="single" w:sz="8" w:space="0" w:color="auto"/>
            </w:tcBorders>
          </w:tcPr>
          <w:p w14:paraId="3E43B99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4734D168"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50524D56" w14:textId="77777777" w:rsidR="001650F6" w:rsidRPr="0068236B" w:rsidRDefault="001650F6" w:rsidP="00377B68">
            <w:pPr>
              <w:spacing w:before="0" w:after="0" w:line="240" w:lineRule="auto"/>
              <w:jc w:val="center"/>
              <w:rPr>
                <w:rFonts w:cs="Tahoma"/>
                <w:bCs/>
                <w:noProof/>
                <w:sz w:val="20"/>
                <w:szCs w:val="20"/>
              </w:rPr>
            </w:pPr>
            <w:r w:rsidRPr="0068236B">
              <w:rPr>
                <w:rFonts w:cs="Tahoma"/>
                <w:bCs/>
                <w:noProof/>
                <w:sz w:val="20"/>
                <w:szCs w:val="20"/>
              </w:rPr>
              <w:t>IIA &amp; IIIA</w:t>
            </w:r>
          </w:p>
        </w:tc>
        <w:tc>
          <w:tcPr>
            <w:tcW w:w="682" w:type="dxa"/>
            <w:tcBorders>
              <w:top w:val="single" w:sz="8" w:space="0" w:color="auto"/>
              <w:bottom w:val="single" w:sz="8" w:space="0" w:color="auto"/>
            </w:tcBorders>
          </w:tcPr>
          <w:p w14:paraId="0A654706"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III</w:t>
            </w:r>
          </w:p>
        </w:tc>
        <w:tc>
          <w:tcPr>
            <w:tcW w:w="519" w:type="dxa"/>
            <w:tcBorders>
              <w:top w:val="single" w:sz="8" w:space="0" w:color="auto"/>
              <w:bottom w:val="single" w:sz="8" w:space="0" w:color="auto"/>
            </w:tcBorders>
          </w:tcPr>
          <w:p w14:paraId="6A625957"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5A0A51BB"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58EE637A"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ps</w:t>
            </w:r>
          </w:p>
        </w:tc>
        <w:tc>
          <w:tcPr>
            <w:tcW w:w="536" w:type="dxa"/>
            <w:tcBorders>
              <w:top w:val="single" w:sz="8" w:space="0" w:color="auto"/>
              <w:bottom w:val="single" w:sz="8" w:space="0" w:color="auto"/>
            </w:tcBorders>
          </w:tcPr>
          <w:p w14:paraId="4C6B126A"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hg</w:t>
            </w:r>
          </w:p>
        </w:tc>
        <w:tc>
          <w:tcPr>
            <w:tcW w:w="432" w:type="dxa"/>
            <w:tcBorders>
              <w:top w:val="single" w:sz="8" w:space="0" w:color="auto"/>
              <w:bottom w:val="single" w:sz="8" w:space="0" w:color="auto"/>
            </w:tcBorders>
            <w:tcMar>
              <w:left w:w="28" w:type="dxa"/>
              <w:right w:w="28" w:type="dxa"/>
            </w:tcMar>
          </w:tcPr>
          <w:p w14:paraId="42AE5735"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355458E8"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7FE38F26"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361E5DDE"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51E6D675"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Pernis apivorus</w:t>
            </w:r>
          </w:p>
        </w:tc>
        <w:tc>
          <w:tcPr>
            <w:tcW w:w="660" w:type="dxa"/>
            <w:tcBorders>
              <w:top w:val="single" w:sz="8" w:space="0" w:color="auto"/>
              <w:bottom w:val="single" w:sz="8" w:space="0" w:color="auto"/>
            </w:tcBorders>
          </w:tcPr>
          <w:p w14:paraId="1FBE1F39"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5BC08394"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0384B59D" w14:textId="77777777" w:rsidR="001650F6" w:rsidRPr="0068236B" w:rsidRDefault="001650F6" w:rsidP="00377B68">
            <w:pPr>
              <w:spacing w:before="0" w:after="0" w:line="240" w:lineRule="auto"/>
              <w:jc w:val="center"/>
              <w:rPr>
                <w:rFonts w:cs="Tahoma"/>
                <w:bCs/>
                <w:noProof/>
                <w:sz w:val="20"/>
                <w:szCs w:val="20"/>
              </w:rPr>
            </w:pPr>
            <w:r w:rsidRPr="0068236B">
              <w:rPr>
                <w:rFonts w:cs="Tahoma"/>
                <w:bCs/>
                <w:noProof/>
                <w:sz w:val="20"/>
                <w:szCs w:val="20"/>
              </w:rPr>
              <w:t>I</w:t>
            </w:r>
          </w:p>
        </w:tc>
        <w:tc>
          <w:tcPr>
            <w:tcW w:w="682" w:type="dxa"/>
            <w:tcBorders>
              <w:top w:val="single" w:sz="8" w:space="0" w:color="auto"/>
              <w:bottom w:val="single" w:sz="8" w:space="0" w:color="auto"/>
            </w:tcBorders>
          </w:tcPr>
          <w:p w14:paraId="1D23800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75F29AE0"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474" w:type="dxa"/>
            <w:tcBorders>
              <w:top w:val="single" w:sz="8" w:space="0" w:color="auto"/>
              <w:bottom w:val="single" w:sz="8" w:space="0" w:color="auto"/>
            </w:tcBorders>
          </w:tcPr>
          <w:p w14:paraId="772C6E85"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641" w:type="dxa"/>
            <w:tcBorders>
              <w:top w:val="single" w:sz="8" w:space="0" w:color="auto"/>
              <w:bottom w:val="single" w:sz="8" w:space="0" w:color="auto"/>
            </w:tcBorders>
          </w:tcPr>
          <w:p w14:paraId="7E98DAC6"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sps</w:t>
            </w:r>
          </w:p>
        </w:tc>
        <w:tc>
          <w:tcPr>
            <w:tcW w:w="536" w:type="dxa"/>
            <w:tcBorders>
              <w:top w:val="single" w:sz="8" w:space="0" w:color="auto"/>
              <w:bottom w:val="single" w:sz="8" w:space="0" w:color="auto"/>
            </w:tcBorders>
          </w:tcPr>
          <w:p w14:paraId="490DE4E0"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pp</w:t>
            </w:r>
          </w:p>
        </w:tc>
        <w:tc>
          <w:tcPr>
            <w:tcW w:w="432" w:type="dxa"/>
            <w:tcBorders>
              <w:top w:val="single" w:sz="8" w:space="0" w:color="auto"/>
              <w:bottom w:val="single" w:sz="8" w:space="0" w:color="auto"/>
            </w:tcBorders>
            <w:tcMar>
              <w:left w:w="28" w:type="dxa"/>
              <w:right w:w="28" w:type="dxa"/>
            </w:tcMar>
          </w:tcPr>
          <w:p w14:paraId="35124476"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18D9299A"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5E1DBE67"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3A0C4101"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4603EF6E"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Phalacrocorax carbo</w:t>
            </w:r>
          </w:p>
        </w:tc>
        <w:tc>
          <w:tcPr>
            <w:tcW w:w="660" w:type="dxa"/>
            <w:tcBorders>
              <w:top w:val="single" w:sz="8" w:space="0" w:color="auto"/>
              <w:bottom w:val="single" w:sz="8" w:space="0" w:color="auto"/>
            </w:tcBorders>
          </w:tcPr>
          <w:p w14:paraId="20052A60"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01376F6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46BA9E89"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1B46CF4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III</w:t>
            </w:r>
          </w:p>
        </w:tc>
        <w:tc>
          <w:tcPr>
            <w:tcW w:w="519" w:type="dxa"/>
            <w:tcBorders>
              <w:top w:val="single" w:sz="8" w:space="0" w:color="auto"/>
              <w:bottom w:val="single" w:sz="8" w:space="0" w:color="auto"/>
            </w:tcBorders>
          </w:tcPr>
          <w:p w14:paraId="068A900B"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0CC4AF2B"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7080CECC"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188A6192"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ntp</w:t>
            </w:r>
          </w:p>
        </w:tc>
        <w:tc>
          <w:tcPr>
            <w:tcW w:w="432" w:type="dxa"/>
            <w:tcBorders>
              <w:top w:val="single" w:sz="8" w:space="0" w:color="auto"/>
              <w:bottom w:val="single" w:sz="8" w:space="0" w:color="auto"/>
            </w:tcBorders>
            <w:tcMar>
              <w:left w:w="28" w:type="dxa"/>
              <w:right w:w="28" w:type="dxa"/>
            </w:tcMar>
          </w:tcPr>
          <w:p w14:paraId="0FCDE274" w14:textId="77777777" w:rsidR="001650F6" w:rsidRPr="0068236B" w:rsidRDefault="001650F6" w:rsidP="00377B68">
            <w:pPr>
              <w:spacing w:before="0" w:after="0" w:line="240" w:lineRule="auto"/>
              <w:jc w:val="center"/>
              <w:rPr>
                <w:rFonts w:cs="Tahoma"/>
                <w:sz w:val="20"/>
                <w:szCs w:val="20"/>
              </w:rPr>
            </w:pPr>
          </w:p>
        </w:tc>
        <w:tc>
          <w:tcPr>
            <w:tcW w:w="433" w:type="dxa"/>
            <w:tcBorders>
              <w:top w:val="single" w:sz="8" w:space="0" w:color="auto"/>
              <w:bottom w:val="single" w:sz="8" w:space="0" w:color="auto"/>
            </w:tcBorders>
            <w:tcMar>
              <w:left w:w="28" w:type="dxa"/>
              <w:right w:w="28" w:type="dxa"/>
            </w:tcMar>
          </w:tcPr>
          <w:p w14:paraId="68752965"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71C1FCCD" w14:textId="77777777" w:rsidR="001650F6" w:rsidRPr="0068236B" w:rsidRDefault="001650F6" w:rsidP="00377B68">
            <w:pPr>
              <w:spacing w:before="0" w:after="0" w:line="240" w:lineRule="auto"/>
              <w:jc w:val="center"/>
              <w:rPr>
                <w:rFonts w:cs="Tahoma"/>
                <w:sz w:val="20"/>
                <w:szCs w:val="20"/>
              </w:rPr>
            </w:pPr>
          </w:p>
        </w:tc>
      </w:tr>
      <w:tr w:rsidR="001650F6" w:rsidRPr="0068236B" w14:paraId="0A16C8C8"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032698DC"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Pica pica</w:t>
            </w:r>
          </w:p>
        </w:tc>
        <w:tc>
          <w:tcPr>
            <w:tcW w:w="660" w:type="dxa"/>
            <w:tcBorders>
              <w:top w:val="single" w:sz="8" w:space="0" w:color="auto"/>
              <w:bottom w:val="single" w:sz="8" w:space="0" w:color="auto"/>
            </w:tcBorders>
          </w:tcPr>
          <w:p w14:paraId="7AC2ED0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230D610C"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5350D8DC" w14:textId="77777777" w:rsidR="001650F6" w:rsidRPr="0068236B" w:rsidRDefault="001650F6" w:rsidP="00377B68">
            <w:pPr>
              <w:spacing w:before="0" w:after="0" w:line="240" w:lineRule="auto"/>
              <w:jc w:val="center"/>
              <w:rPr>
                <w:rFonts w:cs="Tahoma"/>
                <w:bCs/>
                <w:noProof/>
                <w:sz w:val="20"/>
                <w:szCs w:val="20"/>
              </w:rPr>
            </w:pPr>
            <w:r w:rsidRPr="0068236B">
              <w:rPr>
                <w:rFonts w:cs="Tahoma"/>
                <w:bCs/>
                <w:noProof/>
                <w:sz w:val="20"/>
                <w:szCs w:val="20"/>
              </w:rPr>
              <w:t>IIB</w:t>
            </w:r>
          </w:p>
        </w:tc>
        <w:tc>
          <w:tcPr>
            <w:tcW w:w="682" w:type="dxa"/>
            <w:tcBorders>
              <w:top w:val="single" w:sz="8" w:space="0" w:color="auto"/>
              <w:bottom w:val="single" w:sz="8" w:space="0" w:color="auto"/>
            </w:tcBorders>
          </w:tcPr>
          <w:p w14:paraId="082B8202" w14:textId="77777777" w:rsidR="001650F6" w:rsidRPr="0068236B" w:rsidRDefault="001650F6" w:rsidP="00377B68">
            <w:pPr>
              <w:spacing w:before="0" w:after="0" w:line="240" w:lineRule="auto"/>
              <w:rPr>
                <w:rFonts w:cs="Tahoma"/>
                <w:bCs/>
                <w:noProof/>
                <w:sz w:val="20"/>
                <w:szCs w:val="20"/>
              </w:rPr>
            </w:pPr>
          </w:p>
        </w:tc>
        <w:tc>
          <w:tcPr>
            <w:tcW w:w="519" w:type="dxa"/>
            <w:tcBorders>
              <w:top w:val="single" w:sz="8" w:space="0" w:color="auto"/>
              <w:bottom w:val="single" w:sz="8" w:space="0" w:color="auto"/>
            </w:tcBorders>
          </w:tcPr>
          <w:p w14:paraId="0827479E"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65F33769"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3EA1AE22"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5BA212E9"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ntp</w:t>
            </w:r>
          </w:p>
        </w:tc>
        <w:tc>
          <w:tcPr>
            <w:tcW w:w="432" w:type="dxa"/>
            <w:tcBorders>
              <w:top w:val="single" w:sz="8" w:space="0" w:color="auto"/>
              <w:bottom w:val="single" w:sz="8" w:space="0" w:color="auto"/>
            </w:tcBorders>
            <w:tcMar>
              <w:left w:w="28" w:type="dxa"/>
              <w:right w:w="28" w:type="dxa"/>
            </w:tcMar>
          </w:tcPr>
          <w:p w14:paraId="73BC5633"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1B43CF67"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1378530D"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7CE78496"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272156D5"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Picus viridis</w:t>
            </w:r>
          </w:p>
        </w:tc>
        <w:tc>
          <w:tcPr>
            <w:tcW w:w="660" w:type="dxa"/>
            <w:tcBorders>
              <w:top w:val="single" w:sz="8" w:space="0" w:color="auto"/>
              <w:bottom w:val="single" w:sz="8" w:space="0" w:color="auto"/>
            </w:tcBorders>
          </w:tcPr>
          <w:p w14:paraId="450CE95E"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1B6199A3"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0A4FB791"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107D391E"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2F04E521"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69D6E36D"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73DFAE87"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67375A64"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51939701"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2614D1B0"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07BD1BFE"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31A655DF"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58D659DD"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Poecile lugubris</w:t>
            </w:r>
          </w:p>
        </w:tc>
        <w:tc>
          <w:tcPr>
            <w:tcW w:w="660" w:type="dxa"/>
            <w:tcBorders>
              <w:top w:val="single" w:sz="8" w:space="0" w:color="auto"/>
              <w:bottom w:val="single" w:sz="8" w:space="0" w:color="auto"/>
            </w:tcBorders>
          </w:tcPr>
          <w:p w14:paraId="3242585D"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3644C2E6"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06F5C69A"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6BBB572B"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0D0C0F99"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22BF278B"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1A5CB380"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715EEB39"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6172CC9C" w14:textId="77777777" w:rsidR="001650F6" w:rsidRPr="0068236B" w:rsidRDefault="001650F6" w:rsidP="00377B68">
            <w:pPr>
              <w:spacing w:before="0" w:after="0" w:line="240" w:lineRule="auto"/>
              <w:jc w:val="center"/>
              <w:rPr>
                <w:rFonts w:cs="Tahoma"/>
                <w:sz w:val="20"/>
                <w:szCs w:val="20"/>
              </w:rPr>
            </w:pPr>
          </w:p>
        </w:tc>
        <w:tc>
          <w:tcPr>
            <w:tcW w:w="433" w:type="dxa"/>
            <w:tcBorders>
              <w:top w:val="single" w:sz="8" w:space="0" w:color="auto"/>
              <w:bottom w:val="single" w:sz="8" w:space="0" w:color="auto"/>
            </w:tcBorders>
            <w:tcMar>
              <w:left w:w="28" w:type="dxa"/>
              <w:right w:w="28" w:type="dxa"/>
            </w:tcMar>
          </w:tcPr>
          <w:p w14:paraId="0C2073E3"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540A7E91"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2871E35E"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553913A4"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Remiz pendulinus</w:t>
            </w:r>
          </w:p>
        </w:tc>
        <w:tc>
          <w:tcPr>
            <w:tcW w:w="660" w:type="dxa"/>
            <w:tcBorders>
              <w:top w:val="single" w:sz="8" w:space="0" w:color="auto"/>
              <w:bottom w:val="single" w:sz="8" w:space="0" w:color="auto"/>
            </w:tcBorders>
          </w:tcPr>
          <w:p w14:paraId="09B36D4C"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4374B39B"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6F1B2795"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162A9590"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III</w:t>
            </w:r>
          </w:p>
        </w:tc>
        <w:tc>
          <w:tcPr>
            <w:tcW w:w="519" w:type="dxa"/>
            <w:tcBorders>
              <w:top w:val="single" w:sz="8" w:space="0" w:color="auto"/>
              <w:bottom w:val="single" w:sz="8" w:space="0" w:color="auto"/>
            </w:tcBorders>
          </w:tcPr>
          <w:p w14:paraId="7AB87513"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117049D9"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1BCDCB8C"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410678CD"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30551A21"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4BD82CAB"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3F367D4E"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70BE29E8" w14:textId="77777777" w:rsidTr="001650F6">
        <w:trPr>
          <w:gridAfter w:val="1"/>
          <w:wAfter w:w="6" w:type="dxa"/>
          <w:trHeight w:val="50"/>
        </w:trPr>
        <w:tc>
          <w:tcPr>
            <w:tcW w:w="3196" w:type="dxa"/>
            <w:tcBorders>
              <w:top w:val="single" w:sz="8" w:space="0" w:color="auto"/>
              <w:bottom w:val="single" w:sz="8" w:space="0" w:color="auto"/>
            </w:tcBorders>
            <w:noWrap/>
            <w:tcMar>
              <w:left w:w="28" w:type="dxa"/>
              <w:right w:w="28" w:type="dxa"/>
            </w:tcMar>
            <w:hideMark/>
          </w:tcPr>
          <w:p w14:paraId="342C524F"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Streptopelia decaocto</w:t>
            </w:r>
          </w:p>
        </w:tc>
        <w:tc>
          <w:tcPr>
            <w:tcW w:w="660" w:type="dxa"/>
            <w:tcBorders>
              <w:top w:val="single" w:sz="8" w:space="0" w:color="auto"/>
              <w:bottom w:val="single" w:sz="8" w:space="0" w:color="auto"/>
            </w:tcBorders>
          </w:tcPr>
          <w:p w14:paraId="235E6D4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789308B1"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3BC16E94" w14:textId="77777777" w:rsidR="001650F6" w:rsidRPr="0068236B" w:rsidRDefault="001650F6" w:rsidP="00377B68">
            <w:pPr>
              <w:spacing w:before="0" w:after="0" w:line="240" w:lineRule="auto"/>
              <w:jc w:val="center"/>
              <w:rPr>
                <w:rFonts w:cs="Tahoma"/>
                <w:bCs/>
                <w:noProof/>
                <w:sz w:val="20"/>
                <w:szCs w:val="20"/>
              </w:rPr>
            </w:pPr>
            <w:r w:rsidRPr="0068236B">
              <w:rPr>
                <w:rFonts w:cs="Tahoma"/>
                <w:bCs/>
                <w:noProof/>
                <w:sz w:val="20"/>
                <w:szCs w:val="20"/>
              </w:rPr>
              <w:t>IIB</w:t>
            </w:r>
          </w:p>
        </w:tc>
        <w:tc>
          <w:tcPr>
            <w:tcW w:w="682" w:type="dxa"/>
            <w:tcBorders>
              <w:top w:val="single" w:sz="8" w:space="0" w:color="auto"/>
              <w:bottom w:val="single" w:sz="8" w:space="0" w:color="auto"/>
            </w:tcBorders>
          </w:tcPr>
          <w:p w14:paraId="74CEF70C"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III</w:t>
            </w:r>
          </w:p>
        </w:tc>
        <w:tc>
          <w:tcPr>
            <w:tcW w:w="519" w:type="dxa"/>
            <w:tcBorders>
              <w:top w:val="single" w:sz="8" w:space="0" w:color="auto"/>
              <w:bottom w:val="single" w:sz="8" w:space="0" w:color="auto"/>
            </w:tcBorders>
          </w:tcPr>
          <w:p w14:paraId="42E87C53"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6BF64475"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61AD2135"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ps</w:t>
            </w:r>
          </w:p>
        </w:tc>
        <w:tc>
          <w:tcPr>
            <w:tcW w:w="536" w:type="dxa"/>
            <w:tcBorders>
              <w:top w:val="single" w:sz="8" w:space="0" w:color="auto"/>
              <w:bottom w:val="single" w:sz="8" w:space="0" w:color="auto"/>
            </w:tcBorders>
          </w:tcPr>
          <w:p w14:paraId="49DFCCE3"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hg</w:t>
            </w:r>
          </w:p>
        </w:tc>
        <w:tc>
          <w:tcPr>
            <w:tcW w:w="432" w:type="dxa"/>
            <w:tcBorders>
              <w:top w:val="single" w:sz="8" w:space="0" w:color="auto"/>
              <w:bottom w:val="single" w:sz="8" w:space="0" w:color="auto"/>
            </w:tcBorders>
            <w:tcMar>
              <w:left w:w="28" w:type="dxa"/>
              <w:right w:w="28" w:type="dxa"/>
            </w:tcMar>
          </w:tcPr>
          <w:p w14:paraId="29C40A1E"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60C4D8B8"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7ABAF10B"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304A229E"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4A5A8D4F"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Streptopelia turtur</w:t>
            </w:r>
          </w:p>
        </w:tc>
        <w:tc>
          <w:tcPr>
            <w:tcW w:w="660" w:type="dxa"/>
            <w:tcBorders>
              <w:top w:val="single" w:sz="8" w:space="0" w:color="auto"/>
              <w:bottom w:val="single" w:sz="8" w:space="0" w:color="auto"/>
            </w:tcBorders>
          </w:tcPr>
          <w:p w14:paraId="0EEBFC6C"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VU</w:t>
            </w:r>
          </w:p>
        </w:tc>
        <w:tc>
          <w:tcPr>
            <w:tcW w:w="567" w:type="dxa"/>
            <w:tcBorders>
              <w:top w:val="single" w:sz="8" w:space="0" w:color="auto"/>
              <w:bottom w:val="single" w:sz="8" w:space="0" w:color="auto"/>
            </w:tcBorders>
          </w:tcPr>
          <w:p w14:paraId="0E3F8438"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VU</w:t>
            </w:r>
          </w:p>
        </w:tc>
        <w:tc>
          <w:tcPr>
            <w:tcW w:w="1160" w:type="dxa"/>
            <w:tcBorders>
              <w:top w:val="single" w:sz="8" w:space="0" w:color="auto"/>
              <w:bottom w:val="single" w:sz="8" w:space="0" w:color="auto"/>
            </w:tcBorders>
          </w:tcPr>
          <w:p w14:paraId="35C008AC" w14:textId="77777777" w:rsidR="001650F6" w:rsidRPr="0068236B" w:rsidRDefault="001650F6" w:rsidP="00377B68">
            <w:pPr>
              <w:spacing w:before="0" w:after="0" w:line="240" w:lineRule="auto"/>
              <w:jc w:val="center"/>
              <w:rPr>
                <w:rFonts w:cs="Tahoma"/>
                <w:bCs/>
                <w:noProof/>
                <w:sz w:val="20"/>
                <w:szCs w:val="20"/>
              </w:rPr>
            </w:pPr>
            <w:r w:rsidRPr="0068236B">
              <w:rPr>
                <w:rFonts w:cs="Tahoma"/>
                <w:bCs/>
                <w:noProof/>
                <w:sz w:val="20"/>
                <w:szCs w:val="20"/>
              </w:rPr>
              <w:t>IIB</w:t>
            </w:r>
          </w:p>
        </w:tc>
        <w:tc>
          <w:tcPr>
            <w:tcW w:w="682" w:type="dxa"/>
            <w:tcBorders>
              <w:top w:val="single" w:sz="8" w:space="0" w:color="auto"/>
              <w:bottom w:val="single" w:sz="8" w:space="0" w:color="auto"/>
            </w:tcBorders>
          </w:tcPr>
          <w:p w14:paraId="26787F5A"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III</w:t>
            </w:r>
          </w:p>
        </w:tc>
        <w:tc>
          <w:tcPr>
            <w:tcW w:w="519" w:type="dxa"/>
            <w:tcBorders>
              <w:top w:val="single" w:sz="8" w:space="0" w:color="auto"/>
              <w:bottom w:val="single" w:sz="8" w:space="0" w:color="auto"/>
            </w:tcBorders>
          </w:tcPr>
          <w:p w14:paraId="77BA5E2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474" w:type="dxa"/>
            <w:tcBorders>
              <w:top w:val="single" w:sz="8" w:space="0" w:color="auto"/>
              <w:bottom w:val="single" w:sz="8" w:space="0" w:color="auto"/>
            </w:tcBorders>
          </w:tcPr>
          <w:p w14:paraId="43BC1DA5"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22CA246D"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ps</w:t>
            </w:r>
          </w:p>
        </w:tc>
        <w:tc>
          <w:tcPr>
            <w:tcW w:w="536" w:type="dxa"/>
            <w:tcBorders>
              <w:top w:val="single" w:sz="8" w:space="0" w:color="auto"/>
              <w:bottom w:val="single" w:sz="8" w:space="0" w:color="auto"/>
            </w:tcBorders>
          </w:tcPr>
          <w:p w14:paraId="3FE42923"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hg</w:t>
            </w:r>
          </w:p>
        </w:tc>
        <w:tc>
          <w:tcPr>
            <w:tcW w:w="432" w:type="dxa"/>
            <w:tcBorders>
              <w:top w:val="single" w:sz="8" w:space="0" w:color="auto"/>
              <w:bottom w:val="single" w:sz="8" w:space="0" w:color="auto"/>
            </w:tcBorders>
            <w:tcMar>
              <w:left w:w="28" w:type="dxa"/>
              <w:right w:w="28" w:type="dxa"/>
            </w:tcMar>
          </w:tcPr>
          <w:p w14:paraId="2F0AFEC1"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53DC0030"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3A00159E"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62EF312E"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271EE789"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Sturnus vulgaris</w:t>
            </w:r>
          </w:p>
        </w:tc>
        <w:tc>
          <w:tcPr>
            <w:tcW w:w="660" w:type="dxa"/>
            <w:tcBorders>
              <w:top w:val="single" w:sz="8" w:space="0" w:color="auto"/>
              <w:bottom w:val="single" w:sz="8" w:space="0" w:color="auto"/>
            </w:tcBorders>
          </w:tcPr>
          <w:p w14:paraId="67A527F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45FB2D96"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50109AD3" w14:textId="77777777" w:rsidR="001650F6" w:rsidRPr="0068236B" w:rsidRDefault="001650F6" w:rsidP="00377B68">
            <w:pPr>
              <w:spacing w:before="0" w:after="0" w:line="240" w:lineRule="auto"/>
              <w:jc w:val="center"/>
              <w:rPr>
                <w:rFonts w:cs="Tahoma"/>
                <w:bCs/>
                <w:noProof/>
                <w:sz w:val="20"/>
                <w:szCs w:val="20"/>
              </w:rPr>
            </w:pPr>
            <w:r w:rsidRPr="0068236B">
              <w:rPr>
                <w:rFonts w:cs="Tahoma"/>
                <w:bCs/>
                <w:noProof/>
                <w:sz w:val="20"/>
                <w:szCs w:val="20"/>
              </w:rPr>
              <w:t>IIB</w:t>
            </w:r>
          </w:p>
        </w:tc>
        <w:tc>
          <w:tcPr>
            <w:tcW w:w="682" w:type="dxa"/>
            <w:tcBorders>
              <w:top w:val="single" w:sz="8" w:space="0" w:color="auto"/>
              <w:bottom w:val="single" w:sz="8" w:space="0" w:color="auto"/>
            </w:tcBorders>
          </w:tcPr>
          <w:p w14:paraId="185F3A9F" w14:textId="77777777" w:rsidR="001650F6" w:rsidRPr="0068236B" w:rsidRDefault="001650F6" w:rsidP="00377B68">
            <w:pPr>
              <w:spacing w:before="0" w:after="0" w:line="240" w:lineRule="auto"/>
              <w:rPr>
                <w:rFonts w:cs="Tahoma"/>
                <w:bCs/>
                <w:noProof/>
                <w:sz w:val="20"/>
                <w:szCs w:val="20"/>
              </w:rPr>
            </w:pPr>
          </w:p>
        </w:tc>
        <w:tc>
          <w:tcPr>
            <w:tcW w:w="519" w:type="dxa"/>
            <w:tcBorders>
              <w:top w:val="single" w:sz="8" w:space="0" w:color="auto"/>
              <w:bottom w:val="single" w:sz="8" w:space="0" w:color="auto"/>
            </w:tcBorders>
          </w:tcPr>
          <w:p w14:paraId="1858A42E"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single" w:sz="8" w:space="0" w:color="auto"/>
            </w:tcBorders>
          </w:tcPr>
          <w:p w14:paraId="1B9F37F4"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46324ACE"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126C9F66"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ntp</w:t>
            </w:r>
          </w:p>
        </w:tc>
        <w:tc>
          <w:tcPr>
            <w:tcW w:w="432" w:type="dxa"/>
            <w:tcBorders>
              <w:top w:val="single" w:sz="8" w:space="0" w:color="auto"/>
              <w:bottom w:val="single" w:sz="8" w:space="0" w:color="auto"/>
            </w:tcBorders>
            <w:tcMar>
              <w:left w:w="28" w:type="dxa"/>
              <w:right w:w="28" w:type="dxa"/>
            </w:tcMar>
          </w:tcPr>
          <w:p w14:paraId="6C2BC85F"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66B2C6D1"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738225C0"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50EEABF9"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0D3EAA46"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Sylvia atricapilla</w:t>
            </w:r>
          </w:p>
        </w:tc>
        <w:tc>
          <w:tcPr>
            <w:tcW w:w="660" w:type="dxa"/>
            <w:tcBorders>
              <w:top w:val="single" w:sz="8" w:space="0" w:color="auto"/>
              <w:bottom w:val="single" w:sz="8" w:space="0" w:color="auto"/>
            </w:tcBorders>
          </w:tcPr>
          <w:p w14:paraId="3816FCD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64EFCEC0"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5EDB907D"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single" w:sz="8" w:space="0" w:color="auto"/>
            </w:tcBorders>
          </w:tcPr>
          <w:p w14:paraId="295BDA2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single" w:sz="8" w:space="0" w:color="auto"/>
            </w:tcBorders>
          </w:tcPr>
          <w:p w14:paraId="43CDF858"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474" w:type="dxa"/>
            <w:tcBorders>
              <w:top w:val="single" w:sz="8" w:space="0" w:color="auto"/>
              <w:bottom w:val="single" w:sz="8" w:space="0" w:color="auto"/>
            </w:tcBorders>
          </w:tcPr>
          <w:p w14:paraId="4FBD1572"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23EC8936"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4458AB71"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18B5EB30" w14:textId="77777777" w:rsidR="001650F6" w:rsidRPr="0068236B" w:rsidRDefault="001650F6" w:rsidP="00377B68">
            <w:pPr>
              <w:spacing w:before="0" w:after="0" w:line="240" w:lineRule="auto"/>
              <w:jc w:val="center"/>
              <w:rPr>
                <w:rFonts w:cs="Tahoma"/>
                <w:sz w:val="20"/>
                <w:szCs w:val="20"/>
              </w:rPr>
            </w:pPr>
          </w:p>
        </w:tc>
        <w:tc>
          <w:tcPr>
            <w:tcW w:w="433" w:type="dxa"/>
            <w:tcBorders>
              <w:top w:val="single" w:sz="8" w:space="0" w:color="auto"/>
              <w:bottom w:val="single" w:sz="8" w:space="0" w:color="auto"/>
            </w:tcBorders>
            <w:tcMar>
              <w:left w:w="28" w:type="dxa"/>
              <w:right w:w="28" w:type="dxa"/>
            </w:tcMar>
          </w:tcPr>
          <w:p w14:paraId="160C61D0"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74112613"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488D8176" w14:textId="77777777" w:rsidTr="001650F6">
        <w:trPr>
          <w:gridAfter w:val="1"/>
          <w:wAfter w:w="6" w:type="dxa"/>
          <w:trHeight w:val="227"/>
        </w:trPr>
        <w:tc>
          <w:tcPr>
            <w:tcW w:w="3196" w:type="dxa"/>
            <w:tcBorders>
              <w:top w:val="single" w:sz="8" w:space="0" w:color="auto"/>
              <w:bottom w:val="single" w:sz="8" w:space="0" w:color="auto"/>
            </w:tcBorders>
            <w:noWrap/>
            <w:tcMar>
              <w:left w:w="28" w:type="dxa"/>
              <w:right w:w="28" w:type="dxa"/>
            </w:tcMar>
            <w:hideMark/>
          </w:tcPr>
          <w:p w14:paraId="6F486012"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Turdus merula</w:t>
            </w:r>
          </w:p>
        </w:tc>
        <w:tc>
          <w:tcPr>
            <w:tcW w:w="660" w:type="dxa"/>
            <w:tcBorders>
              <w:top w:val="single" w:sz="8" w:space="0" w:color="auto"/>
              <w:bottom w:val="single" w:sz="8" w:space="0" w:color="auto"/>
            </w:tcBorders>
          </w:tcPr>
          <w:p w14:paraId="469A92F7"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single" w:sz="8" w:space="0" w:color="auto"/>
            </w:tcBorders>
          </w:tcPr>
          <w:p w14:paraId="3304F44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single" w:sz="8" w:space="0" w:color="auto"/>
            </w:tcBorders>
          </w:tcPr>
          <w:p w14:paraId="601D47B9" w14:textId="77777777" w:rsidR="001650F6" w:rsidRPr="0068236B" w:rsidRDefault="001650F6" w:rsidP="00377B68">
            <w:pPr>
              <w:spacing w:before="0" w:after="0" w:line="240" w:lineRule="auto"/>
              <w:jc w:val="center"/>
              <w:rPr>
                <w:rFonts w:cs="Tahoma"/>
                <w:bCs/>
                <w:noProof/>
                <w:sz w:val="20"/>
                <w:szCs w:val="20"/>
              </w:rPr>
            </w:pPr>
            <w:r w:rsidRPr="0068236B">
              <w:rPr>
                <w:rFonts w:cs="Tahoma"/>
                <w:bCs/>
                <w:noProof/>
                <w:sz w:val="20"/>
                <w:szCs w:val="20"/>
              </w:rPr>
              <w:t>IIB</w:t>
            </w:r>
          </w:p>
        </w:tc>
        <w:tc>
          <w:tcPr>
            <w:tcW w:w="682" w:type="dxa"/>
            <w:tcBorders>
              <w:top w:val="single" w:sz="8" w:space="0" w:color="auto"/>
              <w:bottom w:val="single" w:sz="8" w:space="0" w:color="auto"/>
            </w:tcBorders>
          </w:tcPr>
          <w:p w14:paraId="103313ED"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III</w:t>
            </w:r>
          </w:p>
        </w:tc>
        <w:tc>
          <w:tcPr>
            <w:tcW w:w="519" w:type="dxa"/>
            <w:tcBorders>
              <w:top w:val="single" w:sz="8" w:space="0" w:color="auto"/>
              <w:bottom w:val="single" w:sz="8" w:space="0" w:color="auto"/>
            </w:tcBorders>
          </w:tcPr>
          <w:p w14:paraId="12901FA0"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474" w:type="dxa"/>
            <w:tcBorders>
              <w:top w:val="single" w:sz="8" w:space="0" w:color="auto"/>
              <w:bottom w:val="single" w:sz="8" w:space="0" w:color="auto"/>
            </w:tcBorders>
          </w:tcPr>
          <w:p w14:paraId="3E19FD44"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single" w:sz="8" w:space="0" w:color="auto"/>
            </w:tcBorders>
          </w:tcPr>
          <w:p w14:paraId="0615DFC4"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single" w:sz="8" w:space="0" w:color="auto"/>
            </w:tcBorders>
          </w:tcPr>
          <w:p w14:paraId="10360F50"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single" w:sz="8" w:space="0" w:color="auto"/>
            </w:tcBorders>
            <w:tcMar>
              <w:left w:w="28" w:type="dxa"/>
              <w:right w:w="28" w:type="dxa"/>
            </w:tcMar>
          </w:tcPr>
          <w:p w14:paraId="04F630E1"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single" w:sz="8" w:space="0" w:color="auto"/>
            </w:tcBorders>
            <w:tcMar>
              <w:left w:w="28" w:type="dxa"/>
              <w:right w:w="28" w:type="dxa"/>
            </w:tcMar>
          </w:tcPr>
          <w:p w14:paraId="73BDDFC8"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single" w:sz="8" w:space="0" w:color="auto"/>
            </w:tcBorders>
            <w:tcMar>
              <w:left w:w="28" w:type="dxa"/>
              <w:right w:w="28" w:type="dxa"/>
            </w:tcMar>
          </w:tcPr>
          <w:p w14:paraId="563EF6C3"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r w:rsidR="001650F6" w:rsidRPr="0068236B" w14:paraId="0B555B1A" w14:textId="77777777" w:rsidTr="001650F6">
        <w:trPr>
          <w:gridAfter w:val="1"/>
          <w:wAfter w:w="6" w:type="dxa"/>
          <w:trHeight w:val="227"/>
        </w:trPr>
        <w:tc>
          <w:tcPr>
            <w:tcW w:w="3196" w:type="dxa"/>
            <w:tcBorders>
              <w:top w:val="single" w:sz="8" w:space="0" w:color="auto"/>
              <w:bottom w:val="double" w:sz="4" w:space="0" w:color="auto"/>
            </w:tcBorders>
            <w:noWrap/>
            <w:tcMar>
              <w:left w:w="28" w:type="dxa"/>
              <w:right w:w="28" w:type="dxa"/>
            </w:tcMar>
            <w:hideMark/>
          </w:tcPr>
          <w:p w14:paraId="77AC77E9" w14:textId="77777777" w:rsidR="001650F6" w:rsidRPr="0068236B" w:rsidRDefault="001650F6" w:rsidP="00377B68">
            <w:pPr>
              <w:spacing w:before="0" w:after="0" w:line="240" w:lineRule="auto"/>
              <w:rPr>
                <w:rFonts w:cs="Tahoma"/>
                <w:i/>
                <w:iCs/>
                <w:noProof/>
                <w:sz w:val="20"/>
                <w:szCs w:val="20"/>
              </w:rPr>
            </w:pPr>
            <w:r w:rsidRPr="0068236B">
              <w:rPr>
                <w:rFonts w:cs="Tahoma"/>
                <w:i/>
                <w:iCs/>
                <w:noProof/>
                <w:sz w:val="20"/>
                <w:szCs w:val="20"/>
              </w:rPr>
              <w:t>Upupa epops</w:t>
            </w:r>
          </w:p>
        </w:tc>
        <w:tc>
          <w:tcPr>
            <w:tcW w:w="660" w:type="dxa"/>
            <w:tcBorders>
              <w:top w:val="single" w:sz="8" w:space="0" w:color="auto"/>
              <w:bottom w:val="double" w:sz="4" w:space="0" w:color="auto"/>
            </w:tcBorders>
          </w:tcPr>
          <w:p w14:paraId="2E812300"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567" w:type="dxa"/>
            <w:tcBorders>
              <w:top w:val="single" w:sz="8" w:space="0" w:color="auto"/>
              <w:bottom w:val="double" w:sz="4" w:space="0" w:color="auto"/>
            </w:tcBorders>
          </w:tcPr>
          <w:p w14:paraId="2B288C7F"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LC</w:t>
            </w:r>
          </w:p>
        </w:tc>
        <w:tc>
          <w:tcPr>
            <w:tcW w:w="1160" w:type="dxa"/>
            <w:tcBorders>
              <w:top w:val="single" w:sz="8" w:space="0" w:color="auto"/>
              <w:bottom w:val="double" w:sz="4" w:space="0" w:color="auto"/>
            </w:tcBorders>
          </w:tcPr>
          <w:p w14:paraId="4DA2A147" w14:textId="77777777" w:rsidR="001650F6" w:rsidRPr="0068236B" w:rsidRDefault="001650F6" w:rsidP="00377B68">
            <w:pPr>
              <w:spacing w:before="0" w:after="0" w:line="240" w:lineRule="auto"/>
              <w:jc w:val="center"/>
              <w:rPr>
                <w:rFonts w:cs="Tahoma"/>
                <w:bCs/>
                <w:noProof/>
                <w:sz w:val="20"/>
                <w:szCs w:val="20"/>
              </w:rPr>
            </w:pPr>
          </w:p>
        </w:tc>
        <w:tc>
          <w:tcPr>
            <w:tcW w:w="682" w:type="dxa"/>
            <w:tcBorders>
              <w:top w:val="single" w:sz="8" w:space="0" w:color="auto"/>
              <w:bottom w:val="double" w:sz="4" w:space="0" w:color="auto"/>
            </w:tcBorders>
          </w:tcPr>
          <w:p w14:paraId="150ADC0B"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II</w:t>
            </w:r>
          </w:p>
        </w:tc>
        <w:tc>
          <w:tcPr>
            <w:tcW w:w="519" w:type="dxa"/>
            <w:tcBorders>
              <w:top w:val="single" w:sz="8" w:space="0" w:color="auto"/>
              <w:bottom w:val="double" w:sz="4" w:space="0" w:color="auto"/>
            </w:tcBorders>
          </w:tcPr>
          <w:p w14:paraId="5CA843D2" w14:textId="77777777" w:rsidR="001650F6" w:rsidRPr="0068236B" w:rsidRDefault="001650F6" w:rsidP="00377B68">
            <w:pPr>
              <w:spacing w:before="0" w:after="0" w:line="240" w:lineRule="auto"/>
              <w:rPr>
                <w:rFonts w:cs="Tahoma"/>
                <w:bCs/>
                <w:noProof/>
                <w:sz w:val="20"/>
                <w:szCs w:val="20"/>
              </w:rPr>
            </w:pPr>
          </w:p>
        </w:tc>
        <w:tc>
          <w:tcPr>
            <w:tcW w:w="474" w:type="dxa"/>
            <w:tcBorders>
              <w:top w:val="single" w:sz="8" w:space="0" w:color="auto"/>
              <w:bottom w:val="double" w:sz="4" w:space="0" w:color="auto"/>
            </w:tcBorders>
          </w:tcPr>
          <w:p w14:paraId="3E3EC779" w14:textId="77777777" w:rsidR="001650F6" w:rsidRPr="0068236B" w:rsidRDefault="001650F6" w:rsidP="00377B68">
            <w:pPr>
              <w:spacing w:before="0" w:after="0" w:line="240" w:lineRule="auto"/>
              <w:rPr>
                <w:rFonts w:cs="Tahoma"/>
                <w:bCs/>
                <w:noProof/>
                <w:sz w:val="20"/>
                <w:szCs w:val="20"/>
              </w:rPr>
            </w:pPr>
          </w:p>
        </w:tc>
        <w:tc>
          <w:tcPr>
            <w:tcW w:w="641" w:type="dxa"/>
            <w:tcBorders>
              <w:top w:val="single" w:sz="8" w:space="0" w:color="auto"/>
              <w:bottom w:val="double" w:sz="4" w:space="0" w:color="auto"/>
            </w:tcBorders>
          </w:tcPr>
          <w:p w14:paraId="09775449" w14:textId="77777777" w:rsidR="001650F6" w:rsidRPr="0068236B" w:rsidRDefault="001650F6" w:rsidP="00377B68">
            <w:pPr>
              <w:spacing w:before="0" w:after="0" w:line="240" w:lineRule="auto"/>
              <w:rPr>
                <w:rFonts w:cs="Tahoma"/>
                <w:bCs/>
                <w:noProof/>
                <w:sz w:val="20"/>
                <w:szCs w:val="20"/>
              </w:rPr>
            </w:pPr>
          </w:p>
        </w:tc>
        <w:tc>
          <w:tcPr>
            <w:tcW w:w="536" w:type="dxa"/>
            <w:tcBorders>
              <w:top w:val="single" w:sz="8" w:space="0" w:color="auto"/>
              <w:bottom w:val="double" w:sz="4" w:space="0" w:color="auto"/>
            </w:tcBorders>
          </w:tcPr>
          <w:p w14:paraId="41E93A81" w14:textId="77777777" w:rsidR="001650F6" w:rsidRPr="0068236B" w:rsidRDefault="001650F6" w:rsidP="00377B68">
            <w:pPr>
              <w:spacing w:before="0" w:after="0" w:line="240" w:lineRule="auto"/>
              <w:rPr>
                <w:rFonts w:cs="Tahoma"/>
                <w:bCs/>
                <w:noProof/>
                <w:sz w:val="20"/>
                <w:szCs w:val="20"/>
              </w:rPr>
            </w:pPr>
            <w:r w:rsidRPr="0068236B">
              <w:rPr>
                <w:rFonts w:cs="Tahoma"/>
                <w:bCs/>
                <w:noProof/>
                <w:sz w:val="20"/>
                <w:szCs w:val="20"/>
              </w:rPr>
              <w:t>tp</w:t>
            </w:r>
          </w:p>
        </w:tc>
        <w:tc>
          <w:tcPr>
            <w:tcW w:w="432" w:type="dxa"/>
            <w:tcBorders>
              <w:top w:val="single" w:sz="8" w:space="0" w:color="auto"/>
              <w:bottom w:val="double" w:sz="4" w:space="0" w:color="auto"/>
            </w:tcBorders>
            <w:tcMar>
              <w:left w:w="28" w:type="dxa"/>
              <w:right w:w="28" w:type="dxa"/>
            </w:tcMar>
          </w:tcPr>
          <w:p w14:paraId="2B76335E"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33" w:type="dxa"/>
            <w:tcBorders>
              <w:top w:val="single" w:sz="8" w:space="0" w:color="auto"/>
              <w:bottom w:val="double" w:sz="4" w:space="0" w:color="auto"/>
            </w:tcBorders>
            <w:tcMar>
              <w:left w:w="28" w:type="dxa"/>
              <w:right w:w="28" w:type="dxa"/>
            </w:tcMar>
          </w:tcPr>
          <w:p w14:paraId="709D6214"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c>
          <w:tcPr>
            <w:tcW w:w="429" w:type="dxa"/>
            <w:tcBorders>
              <w:top w:val="single" w:sz="8" w:space="0" w:color="auto"/>
              <w:bottom w:val="double" w:sz="4" w:space="0" w:color="auto"/>
            </w:tcBorders>
            <w:tcMar>
              <w:left w:w="28" w:type="dxa"/>
              <w:right w:w="28" w:type="dxa"/>
            </w:tcMar>
          </w:tcPr>
          <w:p w14:paraId="60C89DAA" w14:textId="77777777" w:rsidR="001650F6" w:rsidRPr="0068236B" w:rsidRDefault="001650F6" w:rsidP="00377B68">
            <w:pPr>
              <w:spacing w:before="0" w:after="0" w:line="240" w:lineRule="auto"/>
              <w:jc w:val="center"/>
              <w:rPr>
                <w:rFonts w:cs="Tahoma"/>
                <w:sz w:val="20"/>
                <w:szCs w:val="20"/>
              </w:rPr>
            </w:pPr>
            <w:r w:rsidRPr="0068236B">
              <w:rPr>
                <w:rFonts w:cs="Tahoma"/>
                <w:sz w:val="20"/>
                <w:szCs w:val="20"/>
              </w:rPr>
              <w:t>√</w:t>
            </w:r>
          </w:p>
        </w:tc>
      </w:tr>
    </w:tbl>
    <w:p w14:paraId="49EA9BAD" w14:textId="695CD737" w:rsidR="00D24FBA" w:rsidRPr="0068236B" w:rsidRDefault="00172852" w:rsidP="00D24FBA">
      <w:pPr>
        <w:pStyle w:val="ListBullet"/>
        <w:numPr>
          <w:ilvl w:val="0"/>
          <w:numId w:val="0"/>
        </w:numPr>
        <w:spacing w:before="60" w:after="0"/>
        <w:ind w:left="142"/>
        <w:rPr>
          <w:sz w:val="18"/>
          <w:szCs w:val="20"/>
        </w:rPr>
      </w:pPr>
      <w:bookmarkStart w:id="266" w:name="_Toc113018181"/>
      <w:r w:rsidRPr="0068236B">
        <w:rPr>
          <w:sz w:val="18"/>
          <w:szCs w:val="20"/>
        </w:rPr>
        <w:t xml:space="preserve">Table </w:t>
      </w:r>
      <w:r w:rsidRPr="0068236B">
        <w:rPr>
          <w:sz w:val="18"/>
          <w:szCs w:val="20"/>
        </w:rPr>
        <w:fldChar w:fldCharType="begin"/>
      </w:r>
      <w:r w:rsidRPr="0068236B">
        <w:rPr>
          <w:sz w:val="18"/>
          <w:szCs w:val="20"/>
        </w:rPr>
        <w:instrText xml:space="preserve"> STYLEREF 1 \s </w:instrText>
      </w:r>
      <w:r w:rsidRPr="0068236B">
        <w:rPr>
          <w:sz w:val="18"/>
          <w:szCs w:val="20"/>
        </w:rPr>
        <w:fldChar w:fldCharType="separate"/>
      </w:r>
      <w:r w:rsidR="00FD57E6">
        <w:rPr>
          <w:noProof/>
          <w:sz w:val="18"/>
          <w:szCs w:val="20"/>
        </w:rPr>
        <w:t>7</w:t>
      </w:r>
      <w:r w:rsidRPr="0068236B">
        <w:rPr>
          <w:sz w:val="18"/>
          <w:szCs w:val="20"/>
        </w:rPr>
        <w:fldChar w:fldCharType="end"/>
      </w:r>
      <w:r w:rsidRPr="0068236B">
        <w:rPr>
          <w:sz w:val="18"/>
          <w:szCs w:val="20"/>
        </w:rPr>
        <w:t>.</w:t>
      </w:r>
      <w:r w:rsidRPr="0068236B">
        <w:rPr>
          <w:sz w:val="18"/>
          <w:szCs w:val="20"/>
        </w:rPr>
        <w:fldChar w:fldCharType="begin"/>
      </w:r>
      <w:r w:rsidRPr="0068236B">
        <w:rPr>
          <w:sz w:val="18"/>
          <w:szCs w:val="20"/>
        </w:rPr>
        <w:instrText xml:space="preserve"> SEQ Table \* ARABIC \s 1 </w:instrText>
      </w:r>
      <w:r w:rsidRPr="0068236B">
        <w:rPr>
          <w:sz w:val="18"/>
          <w:szCs w:val="20"/>
        </w:rPr>
        <w:fldChar w:fldCharType="separate"/>
      </w:r>
      <w:r w:rsidR="00FD57E6">
        <w:rPr>
          <w:noProof/>
          <w:sz w:val="18"/>
          <w:szCs w:val="20"/>
        </w:rPr>
        <w:t>10</w:t>
      </w:r>
      <w:r w:rsidRPr="0068236B">
        <w:rPr>
          <w:sz w:val="18"/>
          <w:szCs w:val="20"/>
        </w:rPr>
        <w:fldChar w:fldCharType="end"/>
      </w:r>
      <w:r w:rsidRPr="0068236B">
        <w:rPr>
          <w:sz w:val="18"/>
          <w:szCs w:val="20"/>
        </w:rPr>
        <w:t>:</w:t>
      </w:r>
      <w:r w:rsidRPr="0068236B">
        <w:rPr>
          <w:b/>
          <w:sz w:val="18"/>
          <w:szCs w:val="20"/>
        </w:rPr>
        <w:t xml:space="preserve"> </w:t>
      </w:r>
      <w:r w:rsidRPr="0068236B">
        <w:rPr>
          <w:sz w:val="18"/>
          <w:szCs w:val="20"/>
        </w:rPr>
        <w:t>Bird fauna within study area, valorization and di</w:t>
      </w:r>
      <w:r w:rsidR="00D24FBA" w:rsidRPr="0068236B">
        <w:rPr>
          <w:sz w:val="18"/>
          <w:szCs w:val="20"/>
        </w:rPr>
        <w:t>stribution per project element</w:t>
      </w:r>
      <w:bookmarkEnd w:id="266"/>
    </w:p>
    <w:p w14:paraId="48E9A74A" w14:textId="2F3C4138" w:rsidR="0050424A" w:rsidRPr="0068236B" w:rsidRDefault="0050424A" w:rsidP="0050424A">
      <w:pPr>
        <w:pStyle w:val="ListBullet"/>
        <w:numPr>
          <w:ilvl w:val="0"/>
          <w:numId w:val="0"/>
        </w:numPr>
        <w:spacing w:before="60"/>
        <w:ind w:left="142"/>
        <w:jc w:val="left"/>
        <w:rPr>
          <w:sz w:val="16"/>
          <w:szCs w:val="16"/>
        </w:rPr>
      </w:pPr>
      <w:r w:rsidRPr="0068236B">
        <w:rPr>
          <w:sz w:val="16"/>
          <w:szCs w:val="16"/>
        </w:rPr>
        <w:t xml:space="preserve">Notes: </w:t>
      </w:r>
    </w:p>
    <w:p w14:paraId="4E05074E" w14:textId="2EC3FE2D" w:rsidR="0050424A" w:rsidRPr="0068236B" w:rsidRDefault="0050424A" w:rsidP="00D24CEF">
      <w:pPr>
        <w:pStyle w:val="ListBullet"/>
        <w:numPr>
          <w:ilvl w:val="0"/>
          <w:numId w:val="110"/>
        </w:numPr>
        <w:spacing w:after="0"/>
        <w:ind w:left="499" w:hanging="357"/>
        <w:jc w:val="left"/>
        <w:rPr>
          <w:rFonts w:cs="Tahoma"/>
          <w:sz w:val="16"/>
          <w:szCs w:val="16"/>
        </w:rPr>
      </w:pPr>
      <w:r w:rsidRPr="0068236B">
        <w:rPr>
          <w:rFonts w:cs="Tahoma"/>
          <w:sz w:val="16"/>
          <w:szCs w:val="16"/>
        </w:rPr>
        <w:t>1a - new 400/110 kV SS and 400 kV in-out connector; 1b - new 110 kV connectors to SS ‘EVP’ Miletkovo; 1c - reconstruction of 110 kV OHL from Valandovo to Miletkovo.</w:t>
      </w:r>
    </w:p>
    <w:p w14:paraId="1C4A2B47" w14:textId="01F14896" w:rsidR="0050424A" w:rsidRPr="0068236B" w:rsidRDefault="0050424A" w:rsidP="00D24CEF">
      <w:pPr>
        <w:pStyle w:val="ListBullet"/>
        <w:numPr>
          <w:ilvl w:val="0"/>
          <w:numId w:val="110"/>
        </w:numPr>
        <w:spacing w:after="0"/>
        <w:ind w:left="499" w:hanging="357"/>
        <w:jc w:val="left"/>
        <w:rPr>
          <w:rFonts w:cs="Tahoma"/>
          <w:sz w:val="16"/>
          <w:szCs w:val="16"/>
        </w:rPr>
      </w:pPr>
      <w:r w:rsidRPr="0068236B">
        <w:rPr>
          <w:rFonts w:cs="Tahoma"/>
          <w:sz w:val="16"/>
          <w:szCs w:val="16"/>
        </w:rPr>
        <w:t xml:space="preserve">Law on </w:t>
      </w:r>
      <w:r w:rsidR="005E6643" w:rsidRPr="0068236B">
        <w:rPr>
          <w:rFonts w:cs="Tahoma"/>
          <w:sz w:val="16"/>
          <w:szCs w:val="16"/>
        </w:rPr>
        <w:t>Hunting</w:t>
      </w:r>
      <w:r w:rsidRPr="0068236B">
        <w:rPr>
          <w:rFonts w:cs="Tahoma"/>
          <w:sz w:val="16"/>
          <w:szCs w:val="16"/>
        </w:rPr>
        <w:t>: permanent protection (pp); temporary protection (tp); no protection (np), hunting game (h)</w:t>
      </w:r>
    </w:p>
    <w:p w14:paraId="48A2B081" w14:textId="4D275D83" w:rsidR="0050424A" w:rsidRPr="0068236B" w:rsidRDefault="0050424A" w:rsidP="00D24CEF">
      <w:pPr>
        <w:pStyle w:val="ListBullet"/>
        <w:numPr>
          <w:ilvl w:val="0"/>
          <w:numId w:val="110"/>
        </w:numPr>
        <w:spacing w:after="240"/>
        <w:ind w:left="499" w:hanging="357"/>
        <w:jc w:val="left"/>
        <w:rPr>
          <w:rFonts w:cs="Tahoma"/>
          <w:sz w:val="16"/>
          <w:szCs w:val="16"/>
        </w:rPr>
      </w:pPr>
      <w:r w:rsidRPr="0068236B">
        <w:rPr>
          <w:rFonts w:cs="Tahoma"/>
          <w:sz w:val="16"/>
          <w:szCs w:val="16"/>
        </w:rPr>
        <w:t>Law on Nature Protection: protected species (ps); strictly protected species (sps)</w:t>
      </w:r>
    </w:p>
    <w:p w14:paraId="5F1AC453" w14:textId="327980F2" w:rsidR="0050424A" w:rsidRPr="0068236B" w:rsidRDefault="0050424A" w:rsidP="0050424A">
      <w:pPr>
        <w:pStyle w:val="ListBullet"/>
        <w:numPr>
          <w:ilvl w:val="0"/>
          <w:numId w:val="0"/>
        </w:numPr>
        <w:spacing w:before="120" w:after="120"/>
        <w:ind w:left="142"/>
        <w:rPr>
          <w:rFonts w:cs="Tahoma"/>
          <w:sz w:val="20"/>
          <w:szCs w:val="18"/>
        </w:rPr>
      </w:pPr>
    </w:p>
    <w:p w14:paraId="1C0AA038" w14:textId="134EE7AD" w:rsidR="001A65EF" w:rsidRPr="0068236B" w:rsidRDefault="001A65EF" w:rsidP="0050424A">
      <w:pPr>
        <w:pStyle w:val="ListBullet"/>
        <w:numPr>
          <w:ilvl w:val="0"/>
          <w:numId w:val="0"/>
        </w:numPr>
        <w:spacing w:before="120" w:after="120"/>
        <w:ind w:left="142"/>
        <w:rPr>
          <w:rFonts w:cs="Tahoma"/>
          <w:sz w:val="20"/>
          <w:szCs w:val="18"/>
        </w:rPr>
      </w:pPr>
      <w:r w:rsidRPr="0068236B">
        <w:rPr>
          <w:rFonts w:cs="Tahoma"/>
          <w:sz w:val="20"/>
          <w:szCs w:val="18"/>
        </w:rPr>
        <w:t>In the past, the valley of the Vardar River was considered as potential migratory route for birds. However, the monitoring conducted by Macedonian Ecological Society</w:t>
      </w:r>
      <w:r w:rsidRPr="0068236B">
        <w:rPr>
          <w:rStyle w:val="FootnoteReference"/>
          <w:rFonts w:cs="Tahoma"/>
          <w:sz w:val="20"/>
          <w:szCs w:val="18"/>
        </w:rPr>
        <w:footnoteReference w:id="90"/>
      </w:r>
      <w:r w:rsidRPr="0068236B">
        <w:rPr>
          <w:rFonts w:cs="Tahoma"/>
          <w:sz w:val="20"/>
          <w:szCs w:val="18"/>
        </w:rPr>
        <w:t xml:space="preserve"> (Velevski, personal communication) in the last 10 years did not prove the importance of this area as a migratory route for birds, including the birds of prey. This is also reflected in the recent maps of bird migratory routes in Europe</w:t>
      </w:r>
      <w:r w:rsidR="000B7002" w:rsidRPr="0068236B">
        <w:rPr>
          <w:rFonts w:cs="Tahoma"/>
          <w:sz w:val="20"/>
          <w:szCs w:val="18"/>
        </w:rPr>
        <w:t xml:space="preserve"> (Figure below)</w:t>
      </w:r>
      <w:r w:rsidRPr="0068236B">
        <w:rPr>
          <w:rFonts w:cs="Tahoma"/>
          <w:sz w:val="20"/>
          <w:szCs w:val="18"/>
        </w:rPr>
        <w:t>.</w:t>
      </w:r>
    </w:p>
    <w:p w14:paraId="3AA66593" w14:textId="1C938355" w:rsidR="000B7002" w:rsidRPr="0068236B" w:rsidRDefault="000B7002" w:rsidP="0050424A">
      <w:pPr>
        <w:pStyle w:val="ListBullet"/>
        <w:numPr>
          <w:ilvl w:val="0"/>
          <w:numId w:val="0"/>
        </w:numPr>
        <w:spacing w:before="120" w:after="120"/>
        <w:ind w:left="142"/>
        <w:rPr>
          <w:rFonts w:cs="Tahoma"/>
          <w:sz w:val="20"/>
          <w:szCs w:val="18"/>
        </w:rPr>
      </w:pPr>
      <w:r w:rsidRPr="0068236B">
        <w:rPr>
          <w:rFonts w:cs="Tahoma"/>
          <w:noProof/>
          <w:sz w:val="20"/>
          <w:szCs w:val="18"/>
          <w:lang w:val="mk-MK" w:eastAsia="mk-MK"/>
        </w:rPr>
        <w:drawing>
          <wp:inline distT="0" distB="0" distL="0" distR="0" wp14:anchorId="62221FEE" wp14:editId="522FD550">
            <wp:extent cx="6115050" cy="5514975"/>
            <wp:effectExtent l="19050" t="0" r="0" b="0"/>
            <wp:docPr id="2054" name="Picture 11" descr="D:\EIA\STANDARDS\Birds\int9_migration.pdf.400d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IA\STANDARDS\Birds\int9_migration.pdf.400dpi.png"/>
                    <pic:cNvPicPr>
                      <a:picLocks noChangeAspect="1" noChangeArrowheads="1"/>
                    </pic:cNvPicPr>
                  </pic:nvPicPr>
                  <pic:blipFill>
                    <a:blip r:embed="rId112" cstate="print"/>
                    <a:srcRect/>
                    <a:stretch>
                      <a:fillRect/>
                    </a:stretch>
                  </pic:blipFill>
                  <pic:spPr bwMode="auto">
                    <a:xfrm>
                      <a:off x="0" y="0"/>
                      <a:ext cx="6115050" cy="5514975"/>
                    </a:xfrm>
                    <a:prstGeom prst="rect">
                      <a:avLst/>
                    </a:prstGeom>
                    <a:noFill/>
                    <a:ln w="9525">
                      <a:noFill/>
                      <a:miter lim="800000"/>
                      <a:headEnd/>
                      <a:tailEnd/>
                    </a:ln>
                  </pic:spPr>
                </pic:pic>
              </a:graphicData>
            </a:graphic>
          </wp:inline>
        </w:drawing>
      </w:r>
    </w:p>
    <w:p w14:paraId="73CF6EE1" w14:textId="00CD45F7" w:rsidR="000B7002" w:rsidRPr="0068236B" w:rsidRDefault="000B7002" w:rsidP="0050424A">
      <w:pPr>
        <w:pStyle w:val="ListBullet"/>
        <w:numPr>
          <w:ilvl w:val="0"/>
          <w:numId w:val="0"/>
        </w:numPr>
        <w:spacing w:before="120" w:after="120"/>
        <w:ind w:left="142"/>
        <w:rPr>
          <w:rFonts w:cs="Tahoma"/>
          <w:sz w:val="18"/>
          <w:szCs w:val="18"/>
        </w:rPr>
      </w:pPr>
      <w:bookmarkStart w:id="267" w:name="_Toc112928886"/>
      <w:r w:rsidRPr="0068236B">
        <w:rPr>
          <w:rFonts w:cs="Tahoma"/>
          <w:sz w:val="18"/>
          <w:szCs w:val="18"/>
        </w:rPr>
        <w:t xml:space="preserve">Figure </w:t>
      </w:r>
      <w:r w:rsidRPr="0068236B">
        <w:rPr>
          <w:rFonts w:cs="Tahoma"/>
          <w:sz w:val="18"/>
          <w:szCs w:val="18"/>
        </w:rPr>
        <w:fldChar w:fldCharType="begin"/>
      </w:r>
      <w:r w:rsidRPr="0068236B">
        <w:rPr>
          <w:rFonts w:cs="Tahoma"/>
          <w:sz w:val="18"/>
          <w:szCs w:val="18"/>
        </w:rPr>
        <w:instrText xml:space="preserve"> STYLEREF 1 \s </w:instrText>
      </w:r>
      <w:r w:rsidRPr="0068236B">
        <w:rPr>
          <w:rFonts w:cs="Tahoma"/>
          <w:sz w:val="18"/>
          <w:szCs w:val="18"/>
        </w:rPr>
        <w:fldChar w:fldCharType="separate"/>
      </w:r>
      <w:r w:rsidR="00FD57E6">
        <w:rPr>
          <w:rFonts w:cs="Tahoma"/>
          <w:noProof/>
          <w:sz w:val="18"/>
          <w:szCs w:val="18"/>
        </w:rPr>
        <w:t>7</w:t>
      </w:r>
      <w:r w:rsidRPr="0068236B">
        <w:rPr>
          <w:rFonts w:cs="Tahoma"/>
          <w:sz w:val="18"/>
          <w:szCs w:val="18"/>
        </w:rPr>
        <w:fldChar w:fldCharType="end"/>
      </w:r>
      <w:r w:rsidRPr="0068236B">
        <w:rPr>
          <w:rFonts w:cs="Tahoma"/>
          <w:sz w:val="18"/>
          <w:szCs w:val="18"/>
        </w:rPr>
        <w:t>.</w:t>
      </w:r>
      <w:r w:rsidRPr="0068236B">
        <w:rPr>
          <w:rFonts w:cs="Tahoma"/>
          <w:sz w:val="18"/>
          <w:szCs w:val="18"/>
        </w:rPr>
        <w:fldChar w:fldCharType="begin"/>
      </w:r>
      <w:r w:rsidRPr="0068236B">
        <w:rPr>
          <w:rFonts w:cs="Tahoma"/>
          <w:sz w:val="18"/>
          <w:szCs w:val="18"/>
        </w:rPr>
        <w:instrText xml:space="preserve"> SEQ Figure \* ARABIC \s 1 </w:instrText>
      </w:r>
      <w:r w:rsidRPr="0068236B">
        <w:rPr>
          <w:rFonts w:cs="Tahoma"/>
          <w:sz w:val="18"/>
          <w:szCs w:val="18"/>
        </w:rPr>
        <w:fldChar w:fldCharType="separate"/>
      </w:r>
      <w:r w:rsidR="00FD57E6">
        <w:rPr>
          <w:rFonts w:cs="Tahoma"/>
          <w:noProof/>
          <w:sz w:val="18"/>
          <w:szCs w:val="18"/>
        </w:rPr>
        <w:t>15</w:t>
      </w:r>
      <w:r w:rsidRPr="0068236B">
        <w:rPr>
          <w:rFonts w:cs="Tahoma"/>
          <w:sz w:val="18"/>
          <w:szCs w:val="18"/>
        </w:rPr>
        <w:fldChar w:fldCharType="end"/>
      </w:r>
      <w:r w:rsidRPr="0068236B">
        <w:rPr>
          <w:rFonts w:cs="Tahoma"/>
          <w:sz w:val="18"/>
          <w:szCs w:val="18"/>
        </w:rPr>
        <w:t>: Bird miigratory routes in Europe (European Environment Agency - European Union</w:t>
      </w:r>
      <w:r w:rsidRPr="0068236B">
        <w:rPr>
          <w:rStyle w:val="FootnoteReference"/>
          <w:rFonts w:cs="Tahoma"/>
          <w:sz w:val="18"/>
          <w:szCs w:val="18"/>
        </w:rPr>
        <w:footnoteReference w:id="91"/>
      </w:r>
      <w:bookmarkEnd w:id="267"/>
    </w:p>
    <w:p w14:paraId="36BFC68E" w14:textId="5703449B" w:rsidR="00172852" w:rsidRPr="0068236B" w:rsidRDefault="0050424A" w:rsidP="0050424A">
      <w:pPr>
        <w:pStyle w:val="ListBullet"/>
        <w:numPr>
          <w:ilvl w:val="0"/>
          <w:numId w:val="0"/>
        </w:numPr>
        <w:spacing w:before="120" w:after="120"/>
        <w:ind w:left="142"/>
        <w:rPr>
          <w:rFonts w:cs="Tahoma"/>
          <w:sz w:val="20"/>
          <w:szCs w:val="18"/>
        </w:rPr>
      </w:pPr>
      <w:r w:rsidRPr="0068236B">
        <w:rPr>
          <w:rFonts w:cs="Tahoma"/>
          <w:sz w:val="20"/>
          <w:szCs w:val="18"/>
        </w:rPr>
        <w:t xml:space="preserve">The following Table presents the species of mammals, reptiles, amphibians and invertebrates, </w:t>
      </w:r>
      <w:r w:rsidRPr="0068236B">
        <w:rPr>
          <w:rFonts w:cs="Tahoma"/>
          <w:sz w:val="20"/>
        </w:rPr>
        <w:t>recorded during the field research conducted in 2021. T</w:t>
      </w:r>
      <w:r w:rsidRPr="0068236B">
        <w:rPr>
          <w:rFonts w:cs="Tahoma"/>
          <w:sz w:val="20"/>
          <w:szCs w:val="18"/>
        </w:rPr>
        <w:t xml:space="preserve">here are three species (two mammals and one reptile) on the Annex II of the EU Habitats Directive: </w:t>
      </w:r>
      <w:r w:rsidRPr="0068236B">
        <w:rPr>
          <w:rFonts w:cs="Tahoma"/>
          <w:i/>
          <w:sz w:val="20"/>
          <w:szCs w:val="18"/>
        </w:rPr>
        <w:t xml:space="preserve">Canis lupus, Lutra lutra </w:t>
      </w:r>
      <w:r w:rsidRPr="0068236B">
        <w:rPr>
          <w:rFonts w:cs="Tahoma"/>
          <w:sz w:val="20"/>
          <w:szCs w:val="18"/>
        </w:rPr>
        <w:t xml:space="preserve">(the presence of Otter is probable but not confirmed) and </w:t>
      </w:r>
      <w:r w:rsidRPr="0068236B">
        <w:rPr>
          <w:rFonts w:cs="Tahoma"/>
          <w:i/>
          <w:sz w:val="20"/>
          <w:szCs w:val="18"/>
        </w:rPr>
        <w:t>Testudo graeca</w:t>
      </w:r>
      <w:r w:rsidRPr="0068236B">
        <w:rPr>
          <w:rFonts w:cs="Tahoma"/>
          <w:sz w:val="20"/>
          <w:szCs w:val="18"/>
        </w:rPr>
        <w:t>. Eight species have received certain threat status according to the n</w:t>
      </w:r>
      <w:r w:rsidRPr="0068236B">
        <w:rPr>
          <w:rFonts w:cs="Tahoma"/>
          <w:sz w:val="20"/>
          <w:szCs w:val="18"/>
        </w:rPr>
        <w:t>a</w:t>
      </w:r>
      <w:r w:rsidRPr="0068236B">
        <w:rPr>
          <w:rFonts w:cs="Tahoma"/>
          <w:sz w:val="20"/>
          <w:szCs w:val="18"/>
        </w:rPr>
        <w:t xml:space="preserve">tional red list of species: </w:t>
      </w:r>
      <w:r w:rsidRPr="0068236B">
        <w:rPr>
          <w:rFonts w:cs="Tahoma"/>
          <w:i/>
          <w:sz w:val="20"/>
          <w:szCs w:val="18"/>
        </w:rPr>
        <w:t xml:space="preserve">Canis lupus </w:t>
      </w:r>
      <w:r w:rsidRPr="0068236B">
        <w:rPr>
          <w:rFonts w:cs="Tahoma"/>
          <w:sz w:val="20"/>
          <w:szCs w:val="18"/>
        </w:rPr>
        <w:t>(NT)</w:t>
      </w:r>
      <w:r w:rsidRPr="0068236B">
        <w:rPr>
          <w:rFonts w:cs="Tahoma"/>
          <w:i/>
          <w:sz w:val="20"/>
          <w:szCs w:val="18"/>
        </w:rPr>
        <w:t xml:space="preserve">, Lutra lutra </w:t>
      </w:r>
      <w:r w:rsidRPr="0068236B">
        <w:rPr>
          <w:rFonts w:cs="Tahoma"/>
          <w:sz w:val="20"/>
          <w:szCs w:val="18"/>
        </w:rPr>
        <w:t>(VU)</w:t>
      </w:r>
      <w:r w:rsidRPr="0068236B">
        <w:rPr>
          <w:rFonts w:cs="Tahoma"/>
          <w:i/>
          <w:sz w:val="20"/>
          <w:szCs w:val="18"/>
        </w:rPr>
        <w:t xml:space="preserve">, Testudo graeca </w:t>
      </w:r>
      <w:r w:rsidRPr="0068236B">
        <w:rPr>
          <w:rFonts w:cs="Tahoma"/>
          <w:sz w:val="20"/>
          <w:szCs w:val="18"/>
        </w:rPr>
        <w:t>(VU)</w:t>
      </w:r>
      <w:r w:rsidRPr="0068236B">
        <w:rPr>
          <w:rFonts w:cs="Tahoma"/>
          <w:i/>
          <w:sz w:val="20"/>
          <w:szCs w:val="18"/>
        </w:rPr>
        <w:t xml:space="preserve">, and Rana graeca </w:t>
      </w:r>
      <w:r w:rsidRPr="0068236B">
        <w:rPr>
          <w:rFonts w:cs="Tahoma"/>
          <w:sz w:val="20"/>
          <w:szCs w:val="18"/>
        </w:rPr>
        <w:t xml:space="preserve">(NT). </w:t>
      </w:r>
      <w:r w:rsidRPr="0068236B">
        <w:rPr>
          <w:rFonts w:cs="Tahoma"/>
          <w:i/>
          <w:sz w:val="20"/>
          <w:szCs w:val="18"/>
        </w:rPr>
        <w:t>Testudo graeca</w:t>
      </w:r>
      <w:r w:rsidRPr="0068236B">
        <w:rPr>
          <w:rFonts w:cs="Tahoma"/>
          <w:sz w:val="20"/>
          <w:szCs w:val="18"/>
        </w:rPr>
        <w:t xml:space="preserve"> is also Vulnerable according to the IUCN global list of threatened species.</w:t>
      </w:r>
    </w:p>
    <w:tbl>
      <w:tblPr>
        <w:tblStyle w:val="Kokan"/>
        <w:tblW w:w="9796" w:type="dxa"/>
        <w:jc w:val="center"/>
        <w:tblCellMar>
          <w:left w:w="57" w:type="dxa"/>
          <w:right w:w="57" w:type="dxa"/>
        </w:tblCellMar>
        <w:tblLook w:val="04A0" w:firstRow="1" w:lastRow="0" w:firstColumn="1" w:lastColumn="0" w:noHBand="0" w:noVBand="1"/>
      </w:tblPr>
      <w:tblGrid>
        <w:gridCol w:w="2791"/>
        <w:gridCol w:w="783"/>
        <w:gridCol w:w="813"/>
        <w:gridCol w:w="576"/>
        <w:gridCol w:w="687"/>
        <w:gridCol w:w="717"/>
        <w:gridCol w:w="926"/>
        <w:gridCol w:w="582"/>
        <w:gridCol w:w="860"/>
        <w:gridCol w:w="361"/>
        <w:gridCol w:w="362"/>
        <w:gridCol w:w="338"/>
      </w:tblGrid>
      <w:tr w:rsidR="00744C45" w:rsidRPr="00744C45" w14:paraId="52A079AD" w14:textId="77777777" w:rsidTr="00E44ED8">
        <w:trPr>
          <w:cnfStyle w:val="100000000000" w:firstRow="1" w:lastRow="0" w:firstColumn="0" w:lastColumn="0" w:oddVBand="0" w:evenVBand="0" w:oddHBand="0" w:evenHBand="0" w:firstRowFirstColumn="0" w:firstRowLastColumn="0" w:lastRowFirstColumn="0" w:lastRowLastColumn="0"/>
          <w:trHeight w:val="1388"/>
          <w:tblHeader/>
          <w:jc w:val="center"/>
        </w:trPr>
        <w:tc>
          <w:tcPr>
            <w:tcW w:w="2791" w:type="dxa"/>
            <w:vMerge w:val="restart"/>
            <w:tcBorders>
              <w:top w:val="double" w:sz="4" w:space="0" w:color="auto"/>
              <w:right w:val="double" w:sz="4" w:space="0" w:color="auto"/>
            </w:tcBorders>
            <w:shd w:val="clear" w:color="auto" w:fill="B4C6E7" w:themeFill="accent1" w:themeFillTint="66"/>
            <w:noWrap/>
            <w:tcMar>
              <w:left w:w="28" w:type="dxa"/>
              <w:right w:w="28" w:type="dxa"/>
            </w:tcMar>
            <w:hideMark/>
          </w:tcPr>
          <w:p w14:paraId="417A512A" w14:textId="77777777" w:rsidR="00744C45" w:rsidRPr="00744C45" w:rsidRDefault="00744C45" w:rsidP="0050424A">
            <w:pPr>
              <w:spacing w:before="0" w:after="0" w:line="240" w:lineRule="auto"/>
              <w:jc w:val="center"/>
              <w:rPr>
                <w:rFonts w:cs="Tahoma"/>
                <w:bCs/>
                <w:color w:val="auto"/>
                <w:sz w:val="20"/>
                <w:szCs w:val="20"/>
                <w:lang w:eastAsia="mk-MK"/>
              </w:rPr>
            </w:pPr>
            <w:r w:rsidRPr="00744C45">
              <w:rPr>
                <w:rFonts w:cs="Tahoma"/>
                <w:bCs/>
                <w:color w:val="auto"/>
                <w:sz w:val="20"/>
                <w:szCs w:val="20"/>
                <w:lang w:eastAsia="mk-MK"/>
              </w:rPr>
              <w:lastRenderedPageBreak/>
              <w:t>Species</w:t>
            </w:r>
          </w:p>
        </w:tc>
        <w:tc>
          <w:tcPr>
            <w:tcW w:w="783" w:type="dxa"/>
            <w:vMerge w:val="restart"/>
            <w:tcBorders>
              <w:top w:val="double" w:sz="4" w:space="0" w:color="auto"/>
              <w:right w:val="double" w:sz="4" w:space="0" w:color="auto"/>
            </w:tcBorders>
            <w:shd w:val="clear" w:color="auto" w:fill="B4C6E7" w:themeFill="accent1" w:themeFillTint="66"/>
            <w:textDirection w:val="btLr"/>
          </w:tcPr>
          <w:p w14:paraId="0C88A26F" w14:textId="77777777" w:rsidR="00744C45" w:rsidRPr="00744C45" w:rsidRDefault="00744C45" w:rsidP="0050424A">
            <w:pPr>
              <w:spacing w:before="0" w:after="0" w:line="240" w:lineRule="auto"/>
              <w:ind w:left="113" w:right="113"/>
              <w:jc w:val="center"/>
              <w:rPr>
                <w:rFonts w:cs="Tahoma"/>
                <w:color w:val="auto"/>
                <w:sz w:val="20"/>
                <w:szCs w:val="20"/>
              </w:rPr>
            </w:pPr>
            <w:r w:rsidRPr="00744C45">
              <w:rPr>
                <w:rFonts w:cs="Tahoma"/>
                <w:color w:val="auto"/>
                <w:sz w:val="20"/>
                <w:szCs w:val="20"/>
              </w:rPr>
              <w:t>Law on Nature Pr</w:t>
            </w:r>
            <w:r w:rsidRPr="00744C45">
              <w:rPr>
                <w:rFonts w:cs="Tahoma"/>
                <w:color w:val="auto"/>
                <w:sz w:val="20"/>
                <w:szCs w:val="20"/>
              </w:rPr>
              <w:t>o</w:t>
            </w:r>
            <w:r w:rsidRPr="00744C45">
              <w:rPr>
                <w:rFonts w:cs="Tahoma"/>
                <w:color w:val="auto"/>
                <w:sz w:val="20"/>
                <w:szCs w:val="20"/>
              </w:rPr>
              <w:t>te</w:t>
            </w:r>
            <w:r w:rsidRPr="00744C45">
              <w:rPr>
                <w:rFonts w:cs="Tahoma"/>
                <w:color w:val="auto"/>
                <w:sz w:val="20"/>
                <w:szCs w:val="20"/>
              </w:rPr>
              <w:t>c</w:t>
            </w:r>
            <w:r w:rsidRPr="00744C45">
              <w:rPr>
                <w:rFonts w:cs="Tahoma"/>
                <w:color w:val="auto"/>
                <w:sz w:val="20"/>
                <w:szCs w:val="20"/>
              </w:rPr>
              <w:t>tion</w:t>
            </w:r>
          </w:p>
        </w:tc>
        <w:tc>
          <w:tcPr>
            <w:tcW w:w="813" w:type="dxa"/>
            <w:vMerge w:val="restart"/>
            <w:tcBorders>
              <w:top w:val="double" w:sz="4" w:space="0" w:color="auto"/>
              <w:right w:val="double" w:sz="4" w:space="0" w:color="auto"/>
            </w:tcBorders>
            <w:shd w:val="clear" w:color="auto" w:fill="B4C6E7" w:themeFill="accent1" w:themeFillTint="66"/>
            <w:textDirection w:val="btLr"/>
          </w:tcPr>
          <w:p w14:paraId="70CC3E8F" w14:textId="77777777" w:rsidR="00744C45" w:rsidRPr="00744C45" w:rsidRDefault="00744C45" w:rsidP="0050424A">
            <w:pPr>
              <w:spacing w:before="0" w:after="0" w:line="240" w:lineRule="auto"/>
              <w:ind w:left="113" w:right="113"/>
              <w:jc w:val="center"/>
              <w:rPr>
                <w:rFonts w:cs="Tahoma"/>
                <w:color w:val="auto"/>
                <w:sz w:val="20"/>
                <w:szCs w:val="20"/>
              </w:rPr>
            </w:pPr>
            <w:r w:rsidRPr="00744C45">
              <w:rPr>
                <w:rFonts w:cs="Tahoma"/>
                <w:color w:val="auto"/>
                <w:sz w:val="20"/>
                <w:szCs w:val="20"/>
              </w:rPr>
              <w:t>Law on Hunting</w:t>
            </w:r>
          </w:p>
        </w:tc>
        <w:tc>
          <w:tcPr>
            <w:tcW w:w="576" w:type="dxa"/>
            <w:vMerge w:val="restart"/>
            <w:tcBorders>
              <w:top w:val="double" w:sz="4" w:space="0" w:color="auto"/>
              <w:right w:val="double" w:sz="4" w:space="0" w:color="auto"/>
            </w:tcBorders>
            <w:shd w:val="clear" w:color="auto" w:fill="B4C6E7" w:themeFill="accent1" w:themeFillTint="66"/>
            <w:textDirection w:val="btLr"/>
          </w:tcPr>
          <w:p w14:paraId="6688E3AA" w14:textId="77777777" w:rsidR="00744C45" w:rsidRPr="00744C45" w:rsidRDefault="00744C45" w:rsidP="0050424A">
            <w:pPr>
              <w:spacing w:before="0" w:after="0" w:line="240" w:lineRule="auto"/>
              <w:ind w:left="113" w:right="113"/>
              <w:jc w:val="center"/>
              <w:rPr>
                <w:rFonts w:cs="Tahoma"/>
                <w:color w:val="auto"/>
                <w:sz w:val="20"/>
                <w:szCs w:val="20"/>
              </w:rPr>
            </w:pPr>
            <w:r w:rsidRPr="00744C45">
              <w:rPr>
                <w:rFonts w:cs="Tahoma"/>
                <w:color w:val="auto"/>
                <w:sz w:val="20"/>
                <w:szCs w:val="20"/>
              </w:rPr>
              <w:t xml:space="preserve">National Red List </w:t>
            </w:r>
          </w:p>
        </w:tc>
        <w:tc>
          <w:tcPr>
            <w:tcW w:w="687" w:type="dxa"/>
            <w:vMerge w:val="restart"/>
            <w:tcBorders>
              <w:top w:val="double" w:sz="4" w:space="0" w:color="auto"/>
              <w:right w:val="double" w:sz="4" w:space="0" w:color="auto"/>
            </w:tcBorders>
            <w:shd w:val="clear" w:color="auto" w:fill="B4C6E7" w:themeFill="accent1" w:themeFillTint="66"/>
            <w:textDirection w:val="btLr"/>
          </w:tcPr>
          <w:p w14:paraId="2C92EA5E" w14:textId="77777777" w:rsidR="00744C45" w:rsidRPr="00744C45" w:rsidRDefault="00744C45" w:rsidP="0050424A">
            <w:pPr>
              <w:spacing w:before="0" w:after="0" w:line="240" w:lineRule="auto"/>
              <w:ind w:left="113" w:right="113"/>
              <w:jc w:val="center"/>
              <w:rPr>
                <w:rFonts w:cs="Tahoma"/>
                <w:color w:val="auto"/>
                <w:sz w:val="20"/>
                <w:szCs w:val="20"/>
              </w:rPr>
            </w:pPr>
            <w:r w:rsidRPr="00744C45">
              <w:rPr>
                <w:rFonts w:cs="Tahoma"/>
                <w:color w:val="auto"/>
                <w:sz w:val="20"/>
                <w:szCs w:val="20"/>
              </w:rPr>
              <w:t>IUCN Eur</w:t>
            </w:r>
            <w:r w:rsidRPr="00744C45">
              <w:rPr>
                <w:rFonts w:cs="Tahoma"/>
                <w:color w:val="auto"/>
                <w:sz w:val="20"/>
                <w:szCs w:val="20"/>
              </w:rPr>
              <w:t>o</w:t>
            </w:r>
            <w:r w:rsidRPr="00744C45">
              <w:rPr>
                <w:rFonts w:cs="Tahoma"/>
                <w:color w:val="auto"/>
                <w:sz w:val="20"/>
                <w:szCs w:val="20"/>
              </w:rPr>
              <w:t>pean Red List</w:t>
            </w:r>
          </w:p>
        </w:tc>
        <w:tc>
          <w:tcPr>
            <w:tcW w:w="717" w:type="dxa"/>
            <w:vMerge w:val="restart"/>
            <w:tcBorders>
              <w:top w:val="double" w:sz="4" w:space="0" w:color="auto"/>
              <w:right w:val="double" w:sz="4" w:space="0" w:color="auto"/>
            </w:tcBorders>
            <w:shd w:val="clear" w:color="auto" w:fill="B4C6E7" w:themeFill="accent1" w:themeFillTint="66"/>
            <w:textDirection w:val="btLr"/>
          </w:tcPr>
          <w:p w14:paraId="1B35EA6C" w14:textId="77777777" w:rsidR="00744C45" w:rsidRPr="00744C45" w:rsidRDefault="00744C45" w:rsidP="0050424A">
            <w:pPr>
              <w:spacing w:before="0" w:after="0" w:line="240" w:lineRule="auto"/>
              <w:ind w:left="113" w:right="113"/>
              <w:jc w:val="center"/>
              <w:rPr>
                <w:rFonts w:cs="Tahoma"/>
                <w:color w:val="auto"/>
                <w:sz w:val="20"/>
                <w:szCs w:val="20"/>
              </w:rPr>
            </w:pPr>
            <w:r w:rsidRPr="00744C45">
              <w:rPr>
                <w:rFonts w:cs="Tahoma"/>
                <w:color w:val="auto"/>
                <w:sz w:val="20"/>
                <w:szCs w:val="20"/>
              </w:rPr>
              <w:t>IUCN Global Red List</w:t>
            </w:r>
          </w:p>
        </w:tc>
        <w:tc>
          <w:tcPr>
            <w:tcW w:w="926" w:type="dxa"/>
            <w:vMerge w:val="restart"/>
            <w:tcBorders>
              <w:top w:val="double" w:sz="4" w:space="0" w:color="auto"/>
              <w:right w:val="double" w:sz="4" w:space="0" w:color="auto"/>
            </w:tcBorders>
            <w:shd w:val="clear" w:color="auto" w:fill="B4C6E7" w:themeFill="accent1" w:themeFillTint="66"/>
            <w:textDirection w:val="btLr"/>
          </w:tcPr>
          <w:p w14:paraId="7E6EF5A4" w14:textId="77777777" w:rsidR="00744C45" w:rsidRPr="00744C45" w:rsidRDefault="00744C45" w:rsidP="0050424A">
            <w:pPr>
              <w:spacing w:before="0" w:after="0" w:line="240" w:lineRule="auto"/>
              <w:ind w:left="113" w:right="113"/>
              <w:jc w:val="center"/>
              <w:rPr>
                <w:rFonts w:cs="Tahoma"/>
                <w:color w:val="auto"/>
                <w:sz w:val="20"/>
                <w:szCs w:val="20"/>
              </w:rPr>
            </w:pPr>
            <w:r w:rsidRPr="00744C45">
              <w:rPr>
                <w:rFonts w:cs="Tahoma"/>
                <w:color w:val="auto"/>
                <w:sz w:val="20"/>
                <w:szCs w:val="20"/>
              </w:rPr>
              <w:t>EU Habitats D</w:t>
            </w:r>
            <w:r w:rsidRPr="00744C45">
              <w:rPr>
                <w:rFonts w:cs="Tahoma"/>
                <w:color w:val="auto"/>
                <w:sz w:val="20"/>
                <w:szCs w:val="20"/>
              </w:rPr>
              <w:t>i</w:t>
            </w:r>
            <w:r w:rsidRPr="00744C45">
              <w:rPr>
                <w:rFonts w:cs="Tahoma"/>
                <w:color w:val="auto"/>
                <w:sz w:val="20"/>
                <w:szCs w:val="20"/>
              </w:rPr>
              <w:t xml:space="preserve">rective </w:t>
            </w:r>
          </w:p>
        </w:tc>
        <w:tc>
          <w:tcPr>
            <w:tcW w:w="582" w:type="dxa"/>
            <w:vMerge w:val="restart"/>
            <w:tcBorders>
              <w:top w:val="double" w:sz="4" w:space="0" w:color="auto"/>
              <w:right w:val="double" w:sz="4" w:space="0" w:color="auto"/>
            </w:tcBorders>
            <w:shd w:val="clear" w:color="auto" w:fill="B4C6E7" w:themeFill="accent1" w:themeFillTint="66"/>
            <w:textDirection w:val="btLr"/>
          </w:tcPr>
          <w:p w14:paraId="01D28E91" w14:textId="77777777" w:rsidR="00744C45" w:rsidRPr="00744C45" w:rsidRDefault="00744C45" w:rsidP="0050424A">
            <w:pPr>
              <w:spacing w:before="0" w:after="0" w:line="240" w:lineRule="auto"/>
              <w:ind w:left="113" w:right="113"/>
              <w:jc w:val="center"/>
              <w:rPr>
                <w:rFonts w:cs="Tahoma"/>
                <w:color w:val="auto"/>
                <w:sz w:val="20"/>
                <w:szCs w:val="20"/>
              </w:rPr>
            </w:pPr>
            <w:r w:rsidRPr="00744C45">
              <w:rPr>
                <w:rFonts w:cs="Tahoma"/>
                <w:color w:val="auto"/>
                <w:sz w:val="20"/>
                <w:szCs w:val="20"/>
              </w:rPr>
              <w:t>Bern Bonvention</w:t>
            </w:r>
          </w:p>
        </w:tc>
        <w:tc>
          <w:tcPr>
            <w:tcW w:w="860" w:type="dxa"/>
            <w:vMerge w:val="restart"/>
            <w:tcBorders>
              <w:top w:val="double" w:sz="4" w:space="0" w:color="auto"/>
              <w:right w:val="double" w:sz="4" w:space="0" w:color="auto"/>
            </w:tcBorders>
            <w:shd w:val="clear" w:color="auto" w:fill="B4C6E7" w:themeFill="accent1" w:themeFillTint="66"/>
            <w:textDirection w:val="btLr"/>
          </w:tcPr>
          <w:p w14:paraId="05B3F911" w14:textId="77777777" w:rsidR="00744C45" w:rsidRPr="00744C45" w:rsidRDefault="00744C45" w:rsidP="0050424A">
            <w:pPr>
              <w:spacing w:before="0" w:after="0" w:line="240" w:lineRule="auto"/>
              <w:ind w:left="113" w:right="113"/>
              <w:jc w:val="center"/>
              <w:rPr>
                <w:rFonts w:cs="Tahoma"/>
                <w:color w:val="auto"/>
                <w:sz w:val="20"/>
                <w:szCs w:val="20"/>
              </w:rPr>
            </w:pPr>
            <w:r w:rsidRPr="00744C45">
              <w:rPr>
                <w:rFonts w:cs="Tahoma"/>
                <w:color w:val="auto"/>
                <w:sz w:val="20"/>
                <w:szCs w:val="20"/>
              </w:rPr>
              <w:t>Other i</w:t>
            </w:r>
            <w:r w:rsidRPr="00744C45">
              <w:rPr>
                <w:rFonts w:cs="Tahoma"/>
                <w:color w:val="auto"/>
                <w:sz w:val="20"/>
                <w:szCs w:val="20"/>
              </w:rPr>
              <w:t>m</w:t>
            </w:r>
            <w:r w:rsidRPr="00744C45">
              <w:rPr>
                <w:rFonts w:cs="Tahoma"/>
                <w:color w:val="auto"/>
                <w:sz w:val="20"/>
                <w:szCs w:val="20"/>
              </w:rPr>
              <w:t>portance</w:t>
            </w:r>
          </w:p>
        </w:tc>
        <w:tc>
          <w:tcPr>
            <w:tcW w:w="1061" w:type="dxa"/>
            <w:gridSpan w:val="3"/>
            <w:tcBorders>
              <w:top w:val="double" w:sz="4" w:space="0" w:color="auto"/>
              <w:bottom w:val="single" w:sz="4" w:space="0" w:color="auto"/>
              <w:right w:val="double" w:sz="4" w:space="0" w:color="auto"/>
            </w:tcBorders>
            <w:shd w:val="clear" w:color="auto" w:fill="B4C6E7" w:themeFill="accent1" w:themeFillTint="66"/>
          </w:tcPr>
          <w:p w14:paraId="6466B0FB" w14:textId="5E416BBB" w:rsidR="00744C45" w:rsidRPr="00744C45" w:rsidRDefault="00744C45" w:rsidP="0050424A">
            <w:pPr>
              <w:spacing w:before="0" w:after="0" w:line="240" w:lineRule="auto"/>
              <w:jc w:val="center"/>
              <w:rPr>
                <w:rFonts w:cs="Tahoma"/>
                <w:color w:val="auto"/>
                <w:sz w:val="20"/>
                <w:szCs w:val="20"/>
              </w:rPr>
            </w:pPr>
            <w:r w:rsidRPr="00744C45">
              <w:rPr>
                <w:rFonts w:cs="Tahoma"/>
                <w:color w:val="auto"/>
                <w:sz w:val="20"/>
                <w:szCs w:val="20"/>
              </w:rPr>
              <w:t>Project element</w:t>
            </w:r>
          </w:p>
        </w:tc>
      </w:tr>
      <w:tr w:rsidR="00744C45" w:rsidRPr="00744C45" w14:paraId="7BFFCC86" w14:textId="77777777" w:rsidTr="00E44ED8">
        <w:trPr>
          <w:cnfStyle w:val="100000000000" w:firstRow="1" w:lastRow="0" w:firstColumn="0" w:lastColumn="0" w:oddVBand="0" w:evenVBand="0" w:oddHBand="0" w:evenHBand="0" w:firstRowFirstColumn="0" w:firstRowLastColumn="0" w:lastRowFirstColumn="0" w:lastRowLastColumn="0"/>
          <w:trHeight w:val="529"/>
          <w:tblHeader/>
          <w:jc w:val="center"/>
        </w:trPr>
        <w:tc>
          <w:tcPr>
            <w:tcW w:w="2791" w:type="dxa"/>
            <w:vMerge/>
            <w:tcBorders>
              <w:bottom w:val="double" w:sz="4" w:space="0" w:color="auto"/>
              <w:right w:val="double" w:sz="4" w:space="0" w:color="auto"/>
            </w:tcBorders>
            <w:shd w:val="clear" w:color="auto" w:fill="D5DCE4" w:themeFill="text2" w:themeFillTint="33"/>
            <w:noWrap/>
            <w:tcMar>
              <w:left w:w="28" w:type="dxa"/>
              <w:right w:w="28" w:type="dxa"/>
            </w:tcMar>
            <w:hideMark/>
          </w:tcPr>
          <w:p w14:paraId="7168B4A4" w14:textId="77777777" w:rsidR="00744C45" w:rsidRPr="00744C45" w:rsidRDefault="00744C45" w:rsidP="0050424A">
            <w:pPr>
              <w:spacing w:before="0" w:after="0" w:line="240" w:lineRule="auto"/>
              <w:jc w:val="center"/>
              <w:rPr>
                <w:rFonts w:cs="Tahoma"/>
                <w:bCs/>
                <w:color w:val="auto"/>
                <w:sz w:val="20"/>
                <w:szCs w:val="20"/>
                <w:lang w:eastAsia="mk-MK"/>
              </w:rPr>
            </w:pPr>
          </w:p>
        </w:tc>
        <w:tc>
          <w:tcPr>
            <w:tcW w:w="783" w:type="dxa"/>
            <w:vMerge/>
            <w:tcBorders>
              <w:bottom w:val="double" w:sz="4" w:space="0" w:color="auto"/>
              <w:right w:val="double" w:sz="4" w:space="0" w:color="auto"/>
            </w:tcBorders>
            <w:shd w:val="clear" w:color="auto" w:fill="D5DCE4" w:themeFill="text2" w:themeFillTint="33"/>
          </w:tcPr>
          <w:p w14:paraId="58E6ECC4" w14:textId="77777777" w:rsidR="00744C45" w:rsidRPr="00744C45" w:rsidRDefault="00744C45" w:rsidP="0050424A">
            <w:pPr>
              <w:keepLines/>
              <w:spacing w:before="0" w:after="0" w:line="240" w:lineRule="auto"/>
              <w:jc w:val="center"/>
              <w:rPr>
                <w:rFonts w:cs="Tahoma"/>
                <w:color w:val="auto"/>
                <w:sz w:val="20"/>
                <w:szCs w:val="20"/>
              </w:rPr>
            </w:pPr>
          </w:p>
        </w:tc>
        <w:tc>
          <w:tcPr>
            <w:tcW w:w="813" w:type="dxa"/>
            <w:vMerge/>
            <w:tcBorders>
              <w:bottom w:val="double" w:sz="4" w:space="0" w:color="auto"/>
              <w:right w:val="double" w:sz="4" w:space="0" w:color="auto"/>
            </w:tcBorders>
            <w:shd w:val="clear" w:color="auto" w:fill="D5DCE4" w:themeFill="text2" w:themeFillTint="33"/>
          </w:tcPr>
          <w:p w14:paraId="2E15F857" w14:textId="77777777" w:rsidR="00744C45" w:rsidRPr="00744C45" w:rsidRDefault="00744C45" w:rsidP="0050424A">
            <w:pPr>
              <w:keepLines/>
              <w:spacing w:before="0" w:after="0" w:line="240" w:lineRule="auto"/>
              <w:jc w:val="center"/>
              <w:rPr>
                <w:rFonts w:cs="Tahoma"/>
                <w:color w:val="auto"/>
                <w:sz w:val="20"/>
                <w:szCs w:val="20"/>
              </w:rPr>
            </w:pPr>
          </w:p>
        </w:tc>
        <w:tc>
          <w:tcPr>
            <w:tcW w:w="576" w:type="dxa"/>
            <w:vMerge/>
            <w:tcBorders>
              <w:bottom w:val="double" w:sz="4" w:space="0" w:color="auto"/>
              <w:right w:val="double" w:sz="4" w:space="0" w:color="auto"/>
            </w:tcBorders>
            <w:shd w:val="clear" w:color="auto" w:fill="D5DCE4" w:themeFill="text2" w:themeFillTint="33"/>
          </w:tcPr>
          <w:p w14:paraId="1BE4F2FB" w14:textId="77777777" w:rsidR="00744C45" w:rsidRPr="00744C45" w:rsidRDefault="00744C45" w:rsidP="0050424A">
            <w:pPr>
              <w:keepLines/>
              <w:spacing w:before="0" w:after="0" w:line="240" w:lineRule="auto"/>
              <w:jc w:val="center"/>
              <w:rPr>
                <w:rFonts w:cs="Tahoma"/>
                <w:color w:val="auto"/>
                <w:sz w:val="20"/>
                <w:szCs w:val="20"/>
              </w:rPr>
            </w:pPr>
          </w:p>
        </w:tc>
        <w:tc>
          <w:tcPr>
            <w:tcW w:w="687" w:type="dxa"/>
            <w:vMerge/>
            <w:tcBorders>
              <w:bottom w:val="double" w:sz="4" w:space="0" w:color="auto"/>
              <w:right w:val="double" w:sz="4" w:space="0" w:color="auto"/>
            </w:tcBorders>
            <w:shd w:val="clear" w:color="auto" w:fill="D5DCE4" w:themeFill="text2" w:themeFillTint="33"/>
          </w:tcPr>
          <w:p w14:paraId="394A44B3" w14:textId="77777777" w:rsidR="00744C45" w:rsidRPr="00744C45" w:rsidRDefault="00744C45" w:rsidP="0050424A">
            <w:pPr>
              <w:keepLines/>
              <w:spacing w:before="0" w:after="0" w:line="240" w:lineRule="auto"/>
              <w:jc w:val="center"/>
              <w:rPr>
                <w:rFonts w:cs="Tahoma"/>
                <w:color w:val="auto"/>
                <w:sz w:val="20"/>
                <w:szCs w:val="20"/>
              </w:rPr>
            </w:pPr>
          </w:p>
        </w:tc>
        <w:tc>
          <w:tcPr>
            <w:tcW w:w="717" w:type="dxa"/>
            <w:vMerge/>
            <w:tcBorders>
              <w:bottom w:val="double" w:sz="4" w:space="0" w:color="auto"/>
              <w:right w:val="double" w:sz="4" w:space="0" w:color="auto"/>
            </w:tcBorders>
            <w:shd w:val="clear" w:color="auto" w:fill="D5DCE4" w:themeFill="text2" w:themeFillTint="33"/>
          </w:tcPr>
          <w:p w14:paraId="713A65BC" w14:textId="77777777" w:rsidR="00744C45" w:rsidRPr="00744C45" w:rsidRDefault="00744C45" w:rsidP="0050424A">
            <w:pPr>
              <w:keepLines/>
              <w:spacing w:before="0" w:after="0" w:line="240" w:lineRule="auto"/>
              <w:jc w:val="center"/>
              <w:rPr>
                <w:rFonts w:cs="Tahoma"/>
                <w:color w:val="auto"/>
                <w:sz w:val="20"/>
                <w:szCs w:val="20"/>
              </w:rPr>
            </w:pPr>
          </w:p>
        </w:tc>
        <w:tc>
          <w:tcPr>
            <w:tcW w:w="926" w:type="dxa"/>
            <w:vMerge/>
            <w:tcBorders>
              <w:bottom w:val="double" w:sz="4" w:space="0" w:color="auto"/>
              <w:right w:val="double" w:sz="4" w:space="0" w:color="auto"/>
            </w:tcBorders>
            <w:shd w:val="clear" w:color="auto" w:fill="D5DCE4" w:themeFill="text2" w:themeFillTint="33"/>
          </w:tcPr>
          <w:p w14:paraId="685DCDE9" w14:textId="77777777" w:rsidR="00744C45" w:rsidRPr="00744C45" w:rsidRDefault="00744C45" w:rsidP="0050424A">
            <w:pPr>
              <w:keepLines/>
              <w:spacing w:before="0" w:after="0" w:line="240" w:lineRule="auto"/>
              <w:jc w:val="center"/>
              <w:rPr>
                <w:rFonts w:cs="Tahoma"/>
                <w:color w:val="auto"/>
                <w:sz w:val="20"/>
                <w:szCs w:val="20"/>
              </w:rPr>
            </w:pPr>
          </w:p>
        </w:tc>
        <w:tc>
          <w:tcPr>
            <w:tcW w:w="582" w:type="dxa"/>
            <w:vMerge/>
            <w:tcBorders>
              <w:bottom w:val="double" w:sz="4" w:space="0" w:color="auto"/>
              <w:right w:val="double" w:sz="4" w:space="0" w:color="auto"/>
            </w:tcBorders>
            <w:shd w:val="clear" w:color="auto" w:fill="D5DCE4" w:themeFill="text2" w:themeFillTint="33"/>
          </w:tcPr>
          <w:p w14:paraId="71B16425" w14:textId="77777777" w:rsidR="00744C45" w:rsidRPr="00744C45" w:rsidRDefault="00744C45" w:rsidP="0050424A">
            <w:pPr>
              <w:keepLines/>
              <w:spacing w:before="0" w:after="0" w:line="240" w:lineRule="auto"/>
              <w:jc w:val="center"/>
              <w:rPr>
                <w:rFonts w:cs="Tahoma"/>
                <w:color w:val="auto"/>
                <w:sz w:val="20"/>
                <w:szCs w:val="20"/>
              </w:rPr>
            </w:pPr>
          </w:p>
        </w:tc>
        <w:tc>
          <w:tcPr>
            <w:tcW w:w="860" w:type="dxa"/>
            <w:vMerge/>
            <w:tcBorders>
              <w:bottom w:val="double" w:sz="4" w:space="0" w:color="auto"/>
              <w:right w:val="double" w:sz="4" w:space="0" w:color="auto"/>
            </w:tcBorders>
            <w:shd w:val="clear" w:color="auto" w:fill="D5DCE4" w:themeFill="text2" w:themeFillTint="33"/>
          </w:tcPr>
          <w:p w14:paraId="3D5BCCFD" w14:textId="77777777" w:rsidR="00744C45" w:rsidRPr="00744C45" w:rsidRDefault="00744C45" w:rsidP="0050424A">
            <w:pPr>
              <w:keepLines/>
              <w:spacing w:before="0" w:after="0" w:line="240" w:lineRule="auto"/>
              <w:jc w:val="center"/>
              <w:rPr>
                <w:rFonts w:cs="Tahoma"/>
                <w:color w:val="auto"/>
                <w:sz w:val="20"/>
                <w:szCs w:val="20"/>
              </w:rPr>
            </w:pPr>
          </w:p>
        </w:tc>
        <w:tc>
          <w:tcPr>
            <w:tcW w:w="361" w:type="dxa"/>
            <w:tcBorders>
              <w:top w:val="double" w:sz="4" w:space="0" w:color="auto"/>
              <w:left w:val="double" w:sz="4" w:space="0" w:color="auto"/>
              <w:bottom w:val="double" w:sz="4" w:space="0" w:color="auto"/>
              <w:right w:val="double" w:sz="4" w:space="0" w:color="auto"/>
            </w:tcBorders>
            <w:shd w:val="clear" w:color="auto" w:fill="B4C6E7" w:themeFill="accent1" w:themeFillTint="66"/>
            <w:tcMar>
              <w:left w:w="28" w:type="dxa"/>
              <w:right w:w="28" w:type="dxa"/>
            </w:tcMar>
          </w:tcPr>
          <w:p w14:paraId="05D3CED2" w14:textId="77777777" w:rsidR="00744C45" w:rsidRPr="00744C45" w:rsidRDefault="00744C45" w:rsidP="0050424A">
            <w:pPr>
              <w:keepLines/>
              <w:spacing w:before="0" w:after="0" w:line="240" w:lineRule="auto"/>
              <w:jc w:val="center"/>
              <w:rPr>
                <w:rFonts w:cs="Tahoma"/>
                <w:color w:val="auto"/>
                <w:sz w:val="20"/>
                <w:szCs w:val="20"/>
              </w:rPr>
            </w:pPr>
            <w:r w:rsidRPr="00744C45">
              <w:rPr>
                <w:rFonts w:cs="Tahoma"/>
                <w:color w:val="auto"/>
                <w:sz w:val="20"/>
                <w:szCs w:val="20"/>
              </w:rPr>
              <w:t>1a</w:t>
            </w:r>
          </w:p>
        </w:tc>
        <w:tc>
          <w:tcPr>
            <w:tcW w:w="362" w:type="dxa"/>
            <w:tcBorders>
              <w:top w:val="double" w:sz="4" w:space="0" w:color="auto"/>
              <w:left w:val="double" w:sz="4" w:space="0" w:color="auto"/>
              <w:bottom w:val="double" w:sz="4" w:space="0" w:color="auto"/>
              <w:right w:val="double" w:sz="4" w:space="0" w:color="auto"/>
            </w:tcBorders>
            <w:shd w:val="clear" w:color="auto" w:fill="B4C6E7" w:themeFill="accent1" w:themeFillTint="66"/>
            <w:tcMar>
              <w:left w:w="28" w:type="dxa"/>
              <w:right w:w="28" w:type="dxa"/>
            </w:tcMar>
          </w:tcPr>
          <w:p w14:paraId="29B1F7A7" w14:textId="77777777" w:rsidR="00744C45" w:rsidRPr="00744C45" w:rsidRDefault="00744C45" w:rsidP="0050424A">
            <w:pPr>
              <w:keepLines/>
              <w:spacing w:before="0" w:after="0" w:line="240" w:lineRule="auto"/>
              <w:jc w:val="center"/>
              <w:rPr>
                <w:rFonts w:cs="Tahoma"/>
                <w:color w:val="auto"/>
                <w:sz w:val="20"/>
                <w:szCs w:val="20"/>
              </w:rPr>
            </w:pPr>
            <w:r w:rsidRPr="00744C45">
              <w:rPr>
                <w:rFonts w:cs="Tahoma"/>
                <w:color w:val="auto"/>
                <w:sz w:val="20"/>
                <w:szCs w:val="20"/>
              </w:rPr>
              <w:t>1b</w:t>
            </w:r>
          </w:p>
        </w:tc>
        <w:tc>
          <w:tcPr>
            <w:tcW w:w="338" w:type="dxa"/>
            <w:tcBorders>
              <w:top w:val="double" w:sz="4" w:space="0" w:color="auto"/>
              <w:left w:val="double" w:sz="4" w:space="0" w:color="auto"/>
              <w:bottom w:val="double" w:sz="4" w:space="0" w:color="auto"/>
              <w:right w:val="double" w:sz="4" w:space="0" w:color="auto"/>
            </w:tcBorders>
            <w:shd w:val="clear" w:color="auto" w:fill="B4C6E7" w:themeFill="accent1" w:themeFillTint="66"/>
            <w:tcMar>
              <w:left w:w="28" w:type="dxa"/>
              <w:right w:w="28" w:type="dxa"/>
            </w:tcMar>
          </w:tcPr>
          <w:p w14:paraId="2B767F56" w14:textId="77777777" w:rsidR="00744C45" w:rsidRPr="00744C45" w:rsidRDefault="00744C45" w:rsidP="0050424A">
            <w:pPr>
              <w:keepLines/>
              <w:spacing w:before="0" w:after="0" w:line="240" w:lineRule="auto"/>
              <w:jc w:val="center"/>
              <w:rPr>
                <w:rFonts w:cs="Tahoma"/>
                <w:color w:val="auto"/>
                <w:sz w:val="20"/>
                <w:szCs w:val="20"/>
              </w:rPr>
            </w:pPr>
            <w:r w:rsidRPr="00744C45">
              <w:rPr>
                <w:rFonts w:cs="Tahoma"/>
                <w:color w:val="auto"/>
                <w:sz w:val="20"/>
                <w:szCs w:val="20"/>
              </w:rPr>
              <w:t>1c</w:t>
            </w:r>
          </w:p>
        </w:tc>
      </w:tr>
      <w:tr w:rsidR="00A32FBA" w:rsidRPr="0068236B" w14:paraId="4AFB6F8D" w14:textId="77777777" w:rsidTr="00377B68">
        <w:trPr>
          <w:trHeight w:val="227"/>
          <w:jc w:val="center"/>
        </w:trPr>
        <w:tc>
          <w:tcPr>
            <w:tcW w:w="2791" w:type="dxa"/>
            <w:tcBorders>
              <w:top w:val="double" w:sz="4" w:space="0" w:color="auto"/>
              <w:bottom w:val="single" w:sz="8" w:space="0" w:color="auto"/>
              <w:right w:val="nil"/>
            </w:tcBorders>
            <w:shd w:val="clear" w:color="auto" w:fill="BDD6EE" w:themeFill="accent5" w:themeFillTint="66"/>
            <w:noWrap/>
            <w:tcMar>
              <w:left w:w="28" w:type="dxa"/>
              <w:right w:w="28" w:type="dxa"/>
            </w:tcMar>
            <w:vAlign w:val="center"/>
            <w:hideMark/>
          </w:tcPr>
          <w:p w14:paraId="1F56190F"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Mammals</w:t>
            </w:r>
          </w:p>
        </w:tc>
        <w:tc>
          <w:tcPr>
            <w:tcW w:w="783" w:type="dxa"/>
            <w:tcBorders>
              <w:top w:val="double" w:sz="4" w:space="0" w:color="auto"/>
              <w:left w:val="nil"/>
              <w:bottom w:val="single" w:sz="8" w:space="0" w:color="auto"/>
              <w:right w:val="nil"/>
            </w:tcBorders>
            <w:shd w:val="clear" w:color="auto" w:fill="BDD6EE" w:themeFill="accent5" w:themeFillTint="66"/>
          </w:tcPr>
          <w:p w14:paraId="450C08F9"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double" w:sz="4" w:space="0" w:color="auto"/>
              <w:left w:val="nil"/>
              <w:bottom w:val="single" w:sz="8" w:space="0" w:color="auto"/>
              <w:right w:val="nil"/>
            </w:tcBorders>
            <w:shd w:val="clear" w:color="auto" w:fill="BDD6EE" w:themeFill="accent5" w:themeFillTint="66"/>
          </w:tcPr>
          <w:p w14:paraId="79C11EF5"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double" w:sz="4" w:space="0" w:color="auto"/>
              <w:left w:val="nil"/>
              <w:bottom w:val="single" w:sz="8" w:space="0" w:color="auto"/>
              <w:right w:val="nil"/>
            </w:tcBorders>
            <w:shd w:val="clear" w:color="auto" w:fill="BDD6EE" w:themeFill="accent5" w:themeFillTint="66"/>
          </w:tcPr>
          <w:p w14:paraId="00CD896E"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double" w:sz="4" w:space="0" w:color="auto"/>
              <w:left w:val="nil"/>
              <w:bottom w:val="single" w:sz="8" w:space="0" w:color="auto"/>
              <w:right w:val="nil"/>
            </w:tcBorders>
            <w:shd w:val="clear" w:color="auto" w:fill="BDD6EE" w:themeFill="accent5" w:themeFillTint="66"/>
          </w:tcPr>
          <w:p w14:paraId="681DEE24" w14:textId="77777777" w:rsidR="0050424A" w:rsidRPr="0068236B" w:rsidRDefault="0050424A" w:rsidP="0050424A">
            <w:pPr>
              <w:spacing w:before="0" w:after="0" w:line="240" w:lineRule="auto"/>
              <w:jc w:val="center"/>
              <w:rPr>
                <w:rFonts w:cs="Tahoma"/>
                <w:color w:val="000000"/>
                <w:sz w:val="20"/>
                <w:szCs w:val="20"/>
              </w:rPr>
            </w:pPr>
          </w:p>
        </w:tc>
        <w:tc>
          <w:tcPr>
            <w:tcW w:w="717" w:type="dxa"/>
            <w:tcBorders>
              <w:top w:val="double" w:sz="4" w:space="0" w:color="auto"/>
              <w:left w:val="nil"/>
              <w:bottom w:val="single" w:sz="8" w:space="0" w:color="auto"/>
              <w:right w:val="nil"/>
            </w:tcBorders>
            <w:shd w:val="clear" w:color="auto" w:fill="BDD6EE" w:themeFill="accent5" w:themeFillTint="66"/>
          </w:tcPr>
          <w:p w14:paraId="5F45C939" w14:textId="77777777" w:rsidR="0050424A" w:rsidRPr="0068236B" w:rsidRDefault="0050424A" w:rsidP="0050424A">
            <w:pPr>
              <w:spacing w:before="0" w:after="0" w:line="240" w:lineRule="auto"/>
              <w:jc w:val="center"/>
              <w:rPr>
                <w:rFonts w:cs="Tahoma"/>
                <w:color w:val="000000"/>
                <w:sz w:val="20"/>
                <w:szCs w:val="20"/>
              </w:rPr>
            </w:pPr>
          </w:p>
        </w:tc>
        <w:tc>
          <w:tcPr>
            <w:tcW w:w="926" w:type="dxa"/>
            <w:tcBorders>
              <w:top w:val="double" w:sz="4" w:space="0" w:color="auto"/>
              <w:left w:val="nil"/>
              <w:bottom w:val="single" w:sz="8" w:space="0" w:color="auto"/>
              <w:right w:val="nil"/>
            </w:tcBorders>
            <w:shd w:val="clear" w:color="auto" w:fill="BDD6EE" w:themeFill="accent5" w:themeFillTint="66"/>
          </w:tcPr>
          <w:p w14:paraId="13457576"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double" w:sz="4" w:space="0" w:color="auto"/>
              <w:left w:val="nil"/>
              <w:bottom w:val="single" w:sz="8" w:space="0" w:color="auto"/>
              <w:right w:val="nil"/>
            </w:tcBorders>
            <w:shd w:val="clear" w:color="auto" w:fill="BDD6EE" w:themeFill="accent5" w:themeFillTint="66"/>
          </w:tcPr>
          <w:p w14:paraId="6AB7FCF7"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double" w:sz="4" w:space="0" w:color="auto"/>
              <w:left w:val="nil"/>
              <w:bottom w:val="single" w:sz="8" w:space="0" w:color="auto"/>
              <w:right w:val="nil"/>
            </w:tcBorders>
            <w:shd w:val="clear" w:color="auto" w:fill="BDD6EE" w:themeFill="accent5" w:themeFillTint="66"/>
          </w:tcPr>
          <w:p w14:paraId="2F708C6A"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double" w:sz="4" w:space="0" w:color="auto"/>
              <w:left w:val="nil"/>
              <w:bottom w:val="single" w:sz="8" w:space="0" w:color="auto"/>
              <w:right w:val="nil"/>
            </w:tcBorders>
            <w:shd w:val="clear" w:color="auto" w:fill="BDD6EE" w:themeFill="accent5" w:themeFillTint="66"/>
            <w:tcMar>
              <w:left w:w="28" w:type="dxa"/>
              <w:right w:w="28" w:type="dxa"/>
            </w:tcMar>
            <w:vAlign w:val="center"/>
          </w:tcPr>
          <w:p w14:paraId="0BC77B94" w14:textId="77777777" w:rsidR="0050424A" w:rsidRPr="0068236B" w:rsidRDefault="0050424A" w:rsidP="0050424A">
            <w:pPr>
              <w:spacing w:before="0" w:after="0" w:line="240" w:lineRule="auto"/>
              <w:jc w:val="center"/>
              <w:rPr>
                <w:rFonts w:cs="Tahoma"/>
                <w:color w:val="000000"/>
                <w:sz w:val="20"/>
                <w:szCs w:val="20"/>
              </w:rPr>
            </w:pPr>
          </w:p>
        </w:tc>
        <w:tc>
          <w:tcPr>
            <w:tcW w:w="362" w:type="dxa"/>
            <w:tcBorders>
              <w:top w:val="double" w:sz="4" w:space="0" w:color="auto"/>
              <w:left w:val="nil"/>
              <w:bottom w:val="single" w:sz="8" w:space="0" w:color="auto"/>
              <w:right w:val="nil"/>
            </w:tcBorders>
            <w:shd w:val="clear" w:color="auto" w:fill="BDD6EE" w:themeFill="accent5" w:themeFillTint="66"/>
            <w:tcMar>
              <w:left w:w="28" w:type="dxa"/>
              <w:right w:w="28" w:type="dxa"/>
            </w:tcMar>
            <w:vAlign w:val="center"/>
          </w:tcPr>
          <w:p w14:paraId="7EDC91A9" w14:textId="77777777" w:rsidR="0050424A" w:rsidRPr="0068236B" w:rsidRDefault="0050424A" w:rsidP="0050424A">
            <w:pPr>
              <w:spacing w:before="0" w:after="0" w:line="240" w:lineRule="auto"/>
              <w:jc w:val="center"/>
              <w:rPr>
                <w:rFonts w:cs="Tahoma"/>
                <w:color w:val="000000"/>
                <w:sz w:val="20"/>
                <w:szCs w:val="20"/>
              </w:rPr>
            </w:pPr>
          </w:p>
        </w:tc>
        <w:tc>
          <w:tcPr>
            <w:tcW w:w="338" w:type="dxa"/>
            <w:tcBorders>
              <w:top w:val="double" w:sz="4" w:space="0" w:color="auto"/>
              <w:left w:val="nil"/>
              <w:bottom w:val="single" w:sz="8" w:space="0" w:color="auto"/>
              <w:right w:val="double" w:sz="4" w:space="0" w:color="auto"/>
            </w:tcBorders>
            <w:shd w:val="clear" w:color="auto" w:fill="BDD6EE" w:themeFill="accent5" w:themeFillTint="66"/>
            <w:tcMar>
              <w:left w:w="28" w:type="dxa"/>
              <w:right w:w="28" w:type="dxa"/>
            </w:tcMar>
            <w:vAlign w:val="center"/>
          </w:tcPr>
          <w:p w14:paraId="6ECD09BC" w14:textId="77777777" w:rsidR="0050424A" w:rsidRPr="0068236B" w:rsidRDefault="0050424A" w:rsidP="0050424A">
            <w:pPr>
              <w:spacing w:before="0" w:after="0" w:line="240" w:lineRule="auto"/>
              <w:jc w:val="center"/>
              <w:rPr>
                <w:rFonts w:cs="Tahoma"/>
                <w:color w:val="000000"/>
                <w:sz w:val="20"/>
                <w:szCs w:val="20"/>
              </w:rPr>
            </w:pPr>
          </w:p>
        </w:tc>
      </w:tr>
      <w:tr w:rsidR="0050424A" w:rsidRPr="0068236B" w14:paraId="63115841"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hideMark/>
          </w:tcPr>
          <w:p w14:paraId="2AF3509C" w14:textId="77777777" w:rsidR="0050424A" w:rsidRPr="0068236B" w:rsidRDefault="0050424A" w:rsidP="0050424A">
            <w:pPr>
              <w:spacing w:before="0" w:after="0" w:line="240" w:lineRule="auto"/>
              <w:rPr>
                <w:rFonts w:cs="Tahoma"/>
                <w:i/>
                <w:iCs/>
                <w:color w:val="000000"/>
                <w:sz w:val="20"/>
                <w:szCs w:val="20"/>
              </w:rPr>
            </w:pPr>
            <w:r w:rsidRPr="0068236B">
              <w:rPr>
                <w:rFonts w:cs="Tahoma"/>
                <w:i/>
                <w:iCs/>
                <w:color w:val="000000"/>
                <w:sz w:val="20"/>
                <w:szCs w:val="20"/>
              </w:rPr>
              <w:t>Erinaceus roumanicus</w:t>
            </w:r>
          </w:p>
        </w:tc>
        <w:tc>
          <w:tcPr>
            <w:tcW w:w="783" w:type="dxa"/>
            <w:tcBorders>
              <w:top w:val="single" w:sz="8" w:space="0" w:color="auto"/>
              <w:bottom w:val="single" w:sz="8" w:space="0" w:color="auto"/>
            </w:tcBorders>
          </w:tcPr>
          <w:p w14:paraId="53684916"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single" w:sz="8" w:space="0" w:color="auto"/>
            </w:tcBorders>
          </w:tcPr>
          <w:p w14:paraId="62C8B7B8"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single" w:sz="8" w:space="0" w:color="auto"/>
              <w:bottom w:val="single" w:sz="8" w:space="0" w:color="auto"/>
            </w:tcBorders>
          </w:tcPr>
          <w:p w14:paraId="493CE8CE"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single" w:sz="8" w:space="0" w:color="auto"/>
              <w:bottom w:val="single" w:sz="8" w:space="0" w:color="auto"/>
            </w:tcBorders>
          </w:tcPr>
          <w:p w14:paraId="40BC144E"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LC</w:t>
            </w:r>
          </w:p>
        </w:tc>
        <w:tc>
          <w:tcPr>
            <w:tcW w:w="717" w:type="dxa"/>
            <w:tcBorders>
              <w:top w:val="single" w:sz="8" w:space="0" w:color="auto"/>
              <w:bottom w:val="single" w:sz="8" w:space="0" w:color="auto"/>
            </w:tcBorders>
          </w:tcPr>
          <w:p w14:paraId="0A63DCA4"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LC</w:t>
            </w:r>
          </w:p>
        </w:tc>
        <w:tc>
          <w:tcPr>
            <w:tcW w:w="926" w:type="dxa"/>
            <w:tcBorders>
              <w:top w:val="single" w:sz="8" w:space="0" w:color="auto"/>
              <w:bottom w:val="single" w:sz="8" w:space="0" w:color="auto"/>
            </w:tcBorders>
          </w:tcPr>
          <w:p w14:paraId="34142D10"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single" w:sz="8" w:space="0" w:color="auto"/>
            </w:tcBorders>
          </w:tcPr>
          <w:p w14:paraId="05117C1C"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single" w:sz="8" w:space="0" w:color="auto"/>
              <w:bottom w:val="single" w:sz="8" w:space="0" w:color="auto"/>
            </w:tcBorders>
          </w:tcPr>
          <w:p w14:paraId="0AD2E19E" w14:textId="77777777" w:rsidR="0050424A" w:rsidRPr="0068236B" w:rsidRDefault="0050424A" w:rsidP="0050424A">
            <w:pPr>
              <w:spacing w:before="0" w:after="0" w:line="240" w:lineRule="auto"/>
              <w:rPr>
                <w:rFonts w:cs="Tahoma"/>
                <w:i/>
                <w:iCs/>
                <w:color w:val="000000"/>
                <w:sz w:val="20"/>
                <w:szCs w:val="20"/>
              </w:rPr>
            </w:pPr>
          </w:p>
        </w:tc>
        <w:tc>
          <w:tcPr>
            <w:tcW w:w="361" w:type="dxa"/>
            <w:tcBorders>
              <w:top w:val="single" w:sz="8" w:space="0" w:color="auto"/>
              <w:bottom w:val="single" w:sz="8" w:space="0" w:color="auto"/>
            </w:tcBorders>
            <w:tcMar>
              <w:left w:w="28" w:type="dxa"/>
              <w:right w:w="28" w:type="dxa"/>
            </w:tcMar>
          </w:tcPr>
          <w:p w14:paraId="57261AA7"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6BD9519B"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0B1C9874"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r>
      <w:tr w:rsidR="0050424A" w:rsidRPr="0068236B" w14:paraId="5AACC5C3"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hideMark/>
          </w:tcPr>
          <w:p w14:paraId="2B73A5B5" w14:textId="77777777" w:rsidR="0050424A" w:rsidRPr="0068236B" w:rsidRDefault="0050424A" w:rsidP="0050424A">
            <w:pPr>
              <w:spacing w:before="0" w:after="0" w:line="240" w:lineRule="auto"/>
              <w:rPr>
                <w:rFonts w:cs="Tahoma"/>
                <w:i/>
                <w:iCs/>
                <w:color w:val="000000"/>
                <w:sz w:val="20"/>
                <w:szCs w:val="20"/>
              </w:rPr>
            </w:pPr>
            <w:r w:rsidRPr="0068236B">
              <w:rPr>
                <w:rFonts w:cs="Tahoma"/>
                <w:i/>
                <w:iCs/>
                <w:color w:val="000000"/>
                <w:sz w:val="20"/>
                <w:szCs w:val="20"/>
              </w:rPr>
              <w:t>Talpa europaea</w:t>
            </w:r>
            <w:r w:rsidRPr="0068236B">
              <w:rPr>
                <w:rFonts w:cs="Tahoma"/>
                <w:color w:val="000000"/>
                <w:sz w:val="20"/>
                <w:szCs w:val="20"/>
              </w:rPr>
              <w:t>*</w:t>
            </w:r>
          </w:p>
        </w:tc>
        <w:tc>
          <w:tcPr>
            <w:tcW w:w="783" w:type="dxa"/>
            <w:tcBorders>
              <w:top w:val="single" w:sz="8" w:space="0" w:color="auto"/>
              <w:bottom w:val="single" w:sz="8" w:space="0" w:color="auto"/>
            </w:tcBorders>
          </w:tcPr>
          <w:p w14:paraId="0EA8E068"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single" w:sz="8" w:space="0" w:color="auto"/>
            </w:tcBorders>
          </w:tcPr>
          <w:p w14:paraId="7FB5AC7A"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single" w:sz="8" w:space="0" w:color="auto"/>
              <w:bottom w:val="single" w:sz="8" w:space="0" w:color="auto"/>
            </w:tcBorders>
          </w:tcPr>
          <w:p w14:paraId="77A6B516"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single" w:sz="8" w:space="0" w:color="auto"/>
              <w:bottom w:val="single" w:sz="8" w:space="0" w:color="auto"/>
            </w:tcBorders>
          </w:tcPr>
          <w:p w14:paraId="517DF511"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LC</w:t>
            </w:r>
          </w:p>
        </w:tc>
        <w:tc>
          <w:tcPr>
            <w:tcW w:w="717" w:type="dxa"/>
            <w:tcBorders>
              <w:top w:val="single" w:sz="8" w:space="0" w:color="auto"/>
              <w:bottom w:val="single" w:sz="8" w:space="0" w:color="auto"/>
            </w:tcBorders>
          </w:tcPr>
          <w:p w14:paraId="682F728D"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LC</w:t>
            </w:r>
          </w:p>
        </w:tc>
        <w:tc>
          <w:tcPr>
            <w:tcW w:w="926" w:type="dxa"/>
            <w:tcBorders>
              <w:top w:val="single" w:sz="8" w:space="0" w:color="auto"/>
              <w:bottom w:val="single" w:sz="8" w:space="0" w:color="auto"/>
            </w:tcBorders>
          </w:tcPr>
          <w:p w14:paraId="7F4A8235"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single" w:sz="8" w:space="0" w:color="auto"/>
            </w:tcBorders>
          </w:tcPr>
          <w:p w14:paraId="6872162D"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single" w:sz="8" w:space="0" w:color="auto"/>
              <w:bottom w:val="single" w:sz="8" w:space="0" w:color="auto"/>
            </w:tcBorders>
          </w:tcPr>
          <w:p w14:paraId="7BC99DFA" w14:textId="77777777" w:rsidR="0050424A" w:rsidRPr="0068236B" w:rsidRDefault="0050424A" w:rsidP="0050424A">
            <w:pPr>
              <w:spacing w:before="0" w:after="0" w:line="240" w:lineRule="auto"/>
              <w:rPr>
                <w:rFonts w:cs="Tahoma"/>
                <w:i/>
                <w:iCs/>
                <w:color w:val="000000"/>
                <w:sz w:val="20"/>
                <w:szCs w:val="20"/>
              </w:rPr>
            </w:pPr>
          </w:p>
        </w:tc>
        <w:tc>
          <w:tcPr>
            <w:tcW w:w="361" w:type="dxa"/>
            <w:tcBorders>
              <w:top w:val="single" w:sz="8" w:space="0" w:color="auto"/>
              <w:bottom w:val="single" w:sz="8" w:space="0" w:color="auto"/>
            </w:tcBorders>
            <w:tcMar>
              <w:left w:w="28" w:type="dxa"/>
              <w:right w:w="28" w:type="dxa"/>
            </w:tcMar>
          </w:tcPr>
          <w:p w14:paraId="00BE73AA"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2567ED31"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1F033FA1" w14:textId="77777777" w:rsidR="0050424A" w:rsidRPr="0068236B" w:rsidRDefault="0050424A" w:rsidP="0050424A">
            <w:pPr>
              <w:spacing w:before="0" w:after="0" w:line="240" w:lineRule="auto"/>
              <w:jc w:val="center"/>
              <w:rPr>
                <w:rFonts w:cs="Tahoma"/>
                <w:sz w:val="20"/>
                <w:szCs w:val="20"/>
              </w:rPr>
            </w:pPr>
          </w:p>
        </w:tc>
      </w:tr>
      <w:tr w:rsidR="0050424A" w:rsidRPr="0068236B" w14:paraId="192C3632"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hideMark/>
          </w:tcPr>
          <w:p w14:paraId="312BA9DD" w14:textId="77777777" w:rsidR="0050424A" w:rsidRPr="0068236B" w:rsidRDefault="0050424A" w:rsidP="0050424A">
            <w:pPr>
              <w:spacing w:before="0" w:after="0" w:line="240" w:lineRule="auto"/>
              <w:rPr>
                <w:rFonts w:cs="Tahoma"/>
                <w:i/>
                <w:iCs/>
                <w:color w:val="000000"/>
                <w:sz w:val="20"/>
                <w:szCs w:val="20"/>
              </w:rPr>
            </w:pPr>
            <w:r w:rsidRPr="0068236B">
              <w:rPr>
                <w:rFonts w:cs="Tahoma"/>
                <w:i/>
                <w:iCs/>
                <w:color w:val="000000"/>
                <w:sz w:val="20"/>
                <w:szCs w:val="20"/>
              </w:rPr>
              <w:t>Lepus europaeus</w:t>
            </w:r>
          </w:p>
        </w:tc>
        <w:tc>
          <w:tcPr>
            <w:tcW w:w="783" w:type="dxa"/>
            <w:tcBorders>
              <w:top w:val="single" w:sz="8" w:space="0" w:color="auto"/>
              <w:bottom w:val="single" w:sz="8" w:space="0" w:color="auto"/>
            </w:tcBorders>
          </w:tcPr>
          <w:p w14:paraId="73204140"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single" w:sz="8" w:space="0" w:color="auto"/>
            </w:tcBorders>
          </w:tcPr>
          <w:p w14:paraId="37741668" w14:textId="77777777" w:rsidR="0050424A" w:rsidRPr="0068236B" w:rsidRDefault="0050424A" w:rsidP="0050424A">
            <w:pPr>
              <w:spacing w:before="0" w:after="0" w:line="240" w:lineRule="auto"/>
              <w:jc w:val="center"/>
              <w:rPr>
                <w:rFonts w:cs="Tahoma"/>
                <w:color w:val="000000"/>
                <w:sz w:val="20"/>
                <w:szCs w:val="20"/>
              </w:rPr>
            </w:pPr>
            <w:r w:rsidRPr="0068236B">
              <w:rPr>
                <w:rFonts w:cs="Tahoma"/>
                <w:sz w:val="20"/>
                <w:szCs w:val="20"/>
              </w:rPr>
              <w:t>tp</w:t>
            </w:r>
          </w:p>
        </w:tc>
        <w:tc>
          <w:tcPr>
            <w:tcW w:w="576" w:type="dxa"/>
            <w:tcBorders>
              <w:top w:val="single" w:sz="8" w:space="0" w:color="auto"/>
              <w:bottom w:val="single" w:sz="8" w:space="0" w:color="auto"/>
            </w:tcBorders>
          </w:tcPr>
          <w:p w14:paraId="7B8C6BAB" w14:textId="77777777" w:rsidR="0050424A" w:rsidRPr="0068236B" w:rsidRDefault="0050424A" w:rsidP="0050424A">
            <w:pPr>
              <w:spacing w:before="0" w:after="0" w:line="240" w:lineRule="auto"/>
              <w:jc w:val="center"/>
              <w:rPr>
                <w:rFonts w:cs="Tahoma"/>
                <w:sz w:val="20"/>
                <w:szCs w:val="20"/>
              </w:rPr>
            </w:pPr>
          </w:p>
        </w:tc>
        <w:tc>
          <w:tcPr>
            <w:tcW w:w="687" w:type="dxa"/>
            <w:tcBorders>
              <w:top w:val="single" w:sz="8" w:space="0" w:color="auto"/>
              <w:bottom w:val="single" w:sz="8" w:space="0" w:color="auto"/>
            </w:tcBorders>
          </w:tcPr>
          <w:p w14:paraId="550B81CC"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LC</w:t>
            </w:r>
          </w:p>
        </w:tc>
        <w:tc>
          <w:tcPr>
            <w:tcW w:w="717" w:type="dxa"/>
            <w:tcBorders>
              <w:top w:val="single" w:sz="8" w:space="0" w:color="auto"/>
              <w:bottom w:val="single" w:sz="8" w:space="0" w:color="auto"/>
            </w:tcBorders>
          </w:tcPr>
          <w:p w14:paraId="357F408F"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LC</w:t>
            </w:r>
          </w:p>
        </w:tc>
        <w:tc>
          <w:tcPr>
            <w:tcW w:w="926" w:type="dxa"/>
            <w:tcBorders>
              <w:top w:val="single" w:sz="8" w:space="0" w:color="auto"/>
              <w:bottom w:val="single" w:sz="8" w:space="0" w:color="auto"/>
            </w:tcBorders>
          </w:tcPr>
          <w:p w14:paraId="6DDC726E"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single" w:sz="8" w:space="0" w:color="auto"/>
            </w:tcBorders>
          </w:tcPr>
          <w:p w14:paraId="3D1EE6EA"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III</w:t>
            </w:r>
          </w:p>
        </w:tc>
        <w:tc>
          <w:tcPr>
            <w:tcW w:w="860" w:type="dxa"/>
            <w:tcBorders>
              <w:top w:val="single" w:sz="8" w:space="0" w:color="auto"/>
              <w:bottom w:val="single" w:sz="8" w:space="0" w:color="auto"/>
            </w:tcBorders>
          </w:tcPr>
          <w:p w14:paraId="658D69B6" w14:textId="77777777" w:rsidR="0050424A" w:rsidRPr="0068236B" w:rsidRDefault="0050424A" w:rsidP="0050424A">
            <w:pPr>
              <w:spacing w:before="0" w:after="0" w:line="240" w:lineRule="auto"/>
              <w:rPr>
                <w:rFonts w:cs="Tahoma"/>
                <w:i/>
                <w:iCs/>
                <w:color w:val="000000"/>
                <w:sz w:val="20"/>
                <w:szCs w:val="20"/>
              </w:rPr>
            </w:pPr>
          </w:p>
        </w:tc>
        <w:tc>
          <w:tcPr>
            <w:tcW w:w="361" w:type="dxa"/>
            <w:tcBorders>
              <w:top w:val="single" w:sz="8" w:space="0" w:color="auto"/>
              <w:bottom w:val="single" w:sz="8" w:space="0" w:color="auto"/>
            </w:tcBorders>
            <w:tcMar>
              <w:left w:w="28" w:type="dxa"/>
              <w:right w:w="28" w:type="dxa"/>
            </w:tcMar>
          </w:tcPr>
          <w:p w14:paraId="7D1D48A0"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67781656"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04FDD6F5" w14:textId="77777777" w:rsidR="0050424A" w:rsidRPr="0068236B" w:rsidRDefault="0050424A" w:rsidP="0050424A">
            <w:pPr>
              <w:spacing w:before="0" w:after="0" w:line="240" w:lineRule="auto"/>
              <w:jc w:val="center"/>
              <w:rPr>
                <w:rFonts w:cs="Tahoma"/>
                <w:color w:val="000000"/>
                <w:sz w:val="20"/>
                <w:szCs w:val="20"/>
              </w:rPr>
            </w:pPr>
          </w:p>
        </w:tc>
      </w:tr>
      <w:tr w:rsidR="0050424A" w:rsidRPr="0068236B" w14:paraId="59A940BB"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hideMark/>
          </w:tcPr>
          <w:p w14:paraId="5027D0B0" w14:textId="77777777" w:rsidR="0050424A" w:rsidRPr="0068236B" w:rsidRDefault="0050424A" w:rsidP="0050424A">
            <w:pPr>
              <w:spacing w:before="0" w:after="0" w:line="240" w:lineRule="auto"/>
              <w:rPr>
                <w:rFonts w:cs="Tahoma"/>
                <w:i/>
                <w:iCs/>
                <w:color w:val="000000"/>
                <w:sz w:val="20"/>
                <w:szCs w:val="20"/>
              </w:rPr>
            </w:pPr>
            <w:r w:rsidRPr="0068236B">
              <w:rPr>
                <w:rFonts w:cs="Tahoma"/>
                <w:i/>
                <w:iCs/>
                <w:color w:val="000000"/>
                <w:sz w:val="20"/>
                <w:szCs w:val="20"/>
              </w:rPr>
              <w:t>Apodemus sylvaticus</w:t>
            </w:r>
          </w:p>
        </w:tc>
        <w:tc>
          <w:tcPr>
            <w:tcW w:w="783" w:type="dxa"/>
            <w:tcBorders>
              <w:top w:val="single" w:sz="8" w:space="0" w:color="auto"/>
              <w:bottom w:val="single" w:sz="8" w:space="0" w:color="auto"/>
            </w:tcBorders>
          </w:tcPr>
          <w:p w14:paraId="227DD671"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single" w:sz="8" w:space="0" w:color="auto"/>
            </w:tcBorders>
          </w:tcPr>
          <w:p w14:paraId="5098731C"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single" w:sz="8" w:space="0" w:color="auto"/>
              <w:bottom w:val="single" w:sz="8" w:space="0" w:color="auto"/>
            </w:tcBorders>
          </w:tcPr>
          <w:p w14:paraId="0384CCA5"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single" w:sz="8" w:space="0" w:color="auto"/>
              <w:bottom w:val="single" w:sz="8" w:space="0" w:color="auto"/>
            </w:tcBorders>
          </w:tcPr>
          <w:p w14:paraId="18AB96C2"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LC</w:t>
            </w:r>
          </w:p>
        </w:tc>
        <w:tc>
          <w:tcPr>
            <w:tcW w:w="717" w:type="dxa"/>
            <w:tcBorders>
              <w:top w:val="single" w:sz="8" w:space="0" w:color="auto"/>
              <w:bottom w:val="single" w:sz="8" w:space="0" w:color="auto"/>
            </w:tcBorders>
          </w:tcPr>
          <w:p w14:paraId="09C34887"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LC</w:t>
            </w:r>
          </w:p>
        </w:tc>
        <w:tc>
          <w:tcPr>
            <w:tcW w:w="926" w:type="dxa"/>
            <w:tcBorders>
              <w:top w:val="single" w:sz="8" w:space="0" w:color="auto"/>
              <w:bottom w:val="single" w:sz="8" w:space="0" w:color="auto"/>
            </w:tcBorders>
          </w:tcPr>
          <w:p w14:paraId="23C2116D"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single" w:sz="8" w:space="0" w:color="auto"/>
            </w:tcBorders>
          </w:tcPr>
          <w:p w14:paraId="672346C8"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single" w:sz="8" w:space="0" w:color="auto"/>
              <w:bottom w:val="single" w:sz="8" w:space="0" w:color="auto"/>
            </w:tcBorders>
          </w:tcPr>
          <w:p w14:paraId="4F5F4BBC" w14:textId="77777777" w:rsidR="0050424A" w:rsidRPr="0068236B" w:rsidRDefault="0050424A" w:rsidP="0050424A">
            <w:pPr>
              <w:spacing w:before="0" w:after="0" w:line="240" w:lineRule="auto"/>
              <w:rPr>
                <w:rFonts w:cs="Tahoma"/>
                <w:i/>
                <w:iCs/>
                <w:color w:val="000000"/>
                <w:sz w:val="20"/>
                <w:szCs w:val="20"/>
              </w:rPr>
            </w:pPr>
          </w:p>
        </w:tc>
        <w:tc>
          <w:tcPr>
            <w:tcW w:w="361" w:type="dxa"/>
            <w:tcBorders>
              <w:top w:val="single" w:sz="8" w:space="0" w:color="auto"/>
              <w:bottom w:val="single" w:sz="8" w:space="0" w:color="auto"/>
            </w:tcBorders>
            <w:tcMar>
              <w:left w:w="28" w:type="dxa"/>
              <w:right w:w="28" w:type="dxa"/>
            </w:tcMar>
          </w:tcPr>
          <w:p w14:paraId="15E9466A"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313EFF30"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58D0B47F"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r>
      <w:tr w:rsidR="0050424A" w:rsidRPr="0068236B" w14:paraId="2934606D"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hideMark/>
          </w:tcPr>
          <w:p w14:paraId="4D25228B" w14:textId="77777777" w:rsidR="0050424A" w:rsidRPr="0068236B" w:rsidRDefault="0050424A" w:rsidP="0050424A">
            <w:pPr>
              <w:spacing w:before="0" w:after="0" w:line="240" w:lineRule="auto"/>
              <w:rPr>
                <w:rFonts w:cs="Tahoma"/>
                <w:i/>
                <w:iCs/>
                <w:color w:val="000000"/>
                <w:sz w:val="20"/>
                <w:szCs w:val="20"/>
              </w:rPr>
            </w:pPr>
            <w:r w:rsidRPr="0068236B">
              <w:rPr>
                <w:rFonts w:cs="Tahoma"/>
                <w:i/>
                <w:iCs/>
                <w:color w:val="000000"/>
                <w:sz w:val="20"/>
                <w:szCs w:val="20"/>
              </w:rPr>
              <w:t>Rattus rattus</w:t>
            </w:r>
          </w:p>
        </w:tc>
        <w:tc>
          <w:tcPr>
            <w:tcW w:w="783" w:type="dxa"/>
            <w:tcBorders>
              <w:top w:val="single" w:sz="8" w:space="0" w:color="auto"/>
              <w:bottom w:val="single" w:sz="8" w:space="0" w:color="auto"/>
            </w:tcBorders>
          </w:tcPr>
          <w:p w14:paraId="24AB1BD2"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single" w:sz="8" w:space="0" w:color="auto"/>
            </w:tcBorders>
          </w:tcPr>
          <w:p w14:paraId="5356FB4A"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single" w:sz="8" w:space="0" w:color="auto"/>
              <w:bottom w:val="single" w:sz="8" w:space="0" w:color="auto"/>
            </w:tcBorders>
          </w:tcPr>
          <w:p w14:paraId="4AF321F8"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single" w:sz="8" w:space="0" w:color="auto"/>
              <w:bottom w:val="single" w:sz="8" w:space="0" w:color="auto"/>
            </w:tcBorders>
          </w:tcPr>
          <w:p w14:paraId="6C6B09FF"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LC</w:t>
            </w:r>
          </w:p>
        </w:tc>
        <w:tc>
          <w:tcPr>
            <w:tcW w:w="717" w:type="dxa"/>
            <w:tcBorders>
              <w:top w:val="single" w:sz="8" w:space="0" w:color="auto"/>
              <w:bottom w:val="single" w:sz="8" w:space="0" w:color="auto"/>
            </w:tcBorders>
          </w:tcPr>
          <w:p w14:paraId="616B72D9"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LC</w:t>
            </w:r>
          </w:p>
        </w:tc>
        <w:tc>
          <w:tcPr>
            <w:tcW w:w="926" w:type="dxa"/>
            <w:tcBorders>
              <w:top w:val="single" w:sz="8" w:space="0" w:color="auto"/>
              <w:bottom w:val="single" w:sz="8" w:space="0" w:color="auto"/>
            </w:tcBorders>
          </w:tcPr>
          <w:p w14:paraId="7221C85E"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single" w:sz="8" w:space="0" w:color="auto"/>
            </w:tcBorders>
          </w:tcPr>
          <w:p w14:paraId="1510C0AD"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single" w:sz="8" w:space="0" w:color="auto"/>
              <w:bottom w:val="single" w:sz="8" w:space="0" w:color="auto"/>
            </w:tcBorders>
          </w:tcPr>
          <w:p w14:paraId="3EBC705C" w14:textId="77777777" w:rsidR="0050424A" w:rsidRPr="0068236B" w:rsidRDefault="0050424A" w:rsidP="0050424A">
            <w:pPr>
              <w:spacing w:before="0" w:after="0" w:line="240" w:lineRule="auto"/>
              <w:rPr>
                <w:rFonts w:cs="Tahoma"/>
                <w:i/>
                <w:iCs/>
                <w:color w:val="000000"/>
                <w:sz w:val="20"/>
                <w:szCs w:val="20"/>
              </w:rPr>
            </w:pPr>
          </w:p>
        </w:tc>
        <w:tc>
          <w:tcPr>
            <w:tcW w:w="361" w:type="dxa"/>
            <w:tcBorders>
              <w:top w:val="single" w:sz="8" w:space="0" w:color="auto"/>
              <w:bottom w:val="single" w:sz="8" w:space="0" w:color="auto"/>
            </w:tcBorders>
            <w:tcMar>
              <w:left w:w="28" w:type="dxa"/>
              <w:right w:w="28" w:type="dxa"/>
            </w:tcMar>
          </w:tcPr>
          <w:p w14:paraId="5E2F4626"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56A2F9A5"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4550009D"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r>
      <w:tr w:rsidR="0050424A" w:rsidRPr="0068236B" w14:paraId="5B571311"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hideMark/>
          </w:tcPr>
          <w:p w14:paraId="596403D2" w14:textId="77777777" w:rsidR="0050424A" w:rsidRPr="0068236B" w:rsidRDefault="0050424A" w:rsidP="0050424A">
            <w:pPr>
              <w:spacing w:before="0" w:after="0" w:line="240" w:lineRule="auto"/>
              <w:rPr>
                <w:rFonts w:cs="Tahoma"/>
                <w:i/>
                <w:iCs/>
                <w:color w:val="000000"/>
                <w:sz w:val="20"/>
                <w:szCs w:val="20"/>
              </w:rPr>
            </w:pPr>
            <w:r w:rsidRPr="0068236B">
              <w:rPr>
                <w:rFonts w:cs="Tahoma"/>
                <w:i/>
                <w:iCs/>
                <w:color w:val="000000"/>
                <w:sz w:val="20"/>
                <w:szCs w:val="20"/>
              </w:rPr>
              <w:t>Mus musculus</w:t>
            </w:r>
          </w:p>
        </w:tc>
        <w:tc>
          <w:tcPr>
            <w:tcW w:w="783" w:type="dxa"/>
            <w:tcBorders>
              <w:top w:val="single" w:sz="8" w:space="0" w:color="auto"/>
              <w:bottom w:val="single" w:sz="8" w:space="0" w:color="auto"/>
            </w:tcBorders>
          </w:tcPr>
          <w:p w14:paraId="6CF38167"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single" w:sz="8" w:space="0" w:color="auto"/>
            </w:tcBorders>
          </w:tcPr>
          <w:p w14:paraId="54B83EC2"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single" w:sz="8" w:space="0" w:color="auto"/>
              <w:bottom w:val="single" w:sz="8" w:space="0" w:color="auto"/>
            </w:tcBorders>
          </w:tcPr>
          <w:p w14:paraId="3B4C795C"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single" w:sz="8" w:space="0" w:color="auto"/>
              <w:bottom w:val="single" w:sz="8" w:space="0" w:color="auto"/>
            </w:tcBorders>
          </w:tcPr>
          <w:p w14:paraId="7FD892F0"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LC</w:t>
            </w:r>
          </w:p>
        </w:tc>
        <w:tc>
          <w:tcPr>
            <w:tcW w:w="717" w:type="dxa"/>
            <w:tcBorders>
              <w:top w:val="single" w:sz="8" w:space="0" w:color="auto"/>
              <w:bottom w:val="single" w:sz="8" w:space="0" w:color="auto"/>
            </w:tcBorders>
          </w:tcPr>
          <w:p w14:paraId="3289FD32"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LC</w:t>
            </w:r>
          </w:p>
        </w:tc>
        <w:tc>
          <w:tcPr>
            <w:tcW w:w="926" w:type="dxa"/>
            <w:tcBorders>
              <w:top w:val="single" w:sz="8" w:space="0" w:color="auto"/>
              <w:bottom w:val="single" w:sz="8" w:space="0" w:color="auto"/>
            </w:tcBorders>
          </w:tcPr>
          <w:p w14:paraId="72C33250"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single" w:sz="8" w:space="0" w:color="auto"/>
            </w:tcBorders>
          </w:tcPr>
          <w:p w14:paraId="456E2E62"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single" w:sz="8" w:space="0" w:color="auto"/>
              <w:bottom w:val="single" w:sz="8" w:space="0" w:color="auto"/>
            </w:tcBorders>
          </w:tcPr>
          <w:p w14:paraId="2EF64117" w14:textId="77777777" w:rsidR="0050424A" w:rsidRPr="0068236B" w:rsidRDefault="0050424A" w:rsidP="0050424A">
            <w:pPr>
              <w:spacing w:before="0" w:after="0" w:line="240" w:lineRule="auto"/>
              <w:rPr>
                <w:rFonts w:cs="Tahoma"/>
                <w:i/>
                <w:iCs/>
                <w:color w:val="000000"/>
                <w:sz w:val="20"/>
                <w:szCs w:val="20"/>
              </w:rPr>
            </w:pPr>
          </w:p>
        </w:tc>
        <w:tc>
          <w:tcPr>
            <w:tcW w:w="361" w:type="dxa"/>
            <w:tcBorders>
              <w:top w:val="single" w:sz="8" w:space="0" w:color="auto"/>
              <w:bottom w:val="single" w:sz="8" w:space="0" w:color="auto"/>
            </w:tcBorders>
            <w:tcMar>
              <w:left w:w="28" w:type="dxa"/>
              <w:right w:w="28" w:type="dxa"/>
            </w:tcMar>
          </w:tcPr>
          <w:p w14:paraId="382BE0E1"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065EE332"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013EA546"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r>
      <w:tr w:rsidR="0050424A" w:rsidRPr="0068236B" w14:paraId="2FFDC748"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hideMark/>
          </w:tcPr>
          <w:p w14:paraId="36836C90" w14:textId="77777777" w:rsidR="0050424A" w:rsidRPr="0068236B" w:rsidRDefault="0050424A" w:rsidP="0050424A">
            <w:pPr>
              <w:spacing w:before="0" w:after="0" w:line="240" w:lineRule="auto"/>
              <w:rPr>
                <w:rFonts w:cs="Tahoma"/>
                <w:i/>
                <w:iCs/>
                <w:color w:val="000000"/>
                <w:sz w:val="20"/>
                <w:szCs w:val="20"/>
              </w:rPr>
            </w:pPr>
            <w:r w:rsidRPr="0068236B">
              <w:rPr>
                <w:rFonts w:cs="Tahoma"/>
                <w:i/>
                <w:iCs/>
                <w:color w:val="000000"/>
                <w:sz w:val="20"/>
                <w:szCs w:val="20"/>
              </w:rPr>
              <w:t>Vulpes vulpes</w:t>
            </w:r>
          </w:p>
        </w:tc>
        <w:tc>
          <w:tcPr>
            <w:tcW w:w="783" w:type="dxa"/>
            <w:tcBorders>
              <w:top w:val="single" w:sz="8" w:space="0" w:color="auto"/>
              <w:bottom w:val="single" w:sz="8" w:space="0" w:color="auto"/>
            </w:tcBorders>
          </w:tcPr>
          <w:p w14:paraId="6AE89924"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single" w:sz="8" w:space="0" w:color="auto"/>
            </w:tcBorders>
          </w:tcPr>
          <w:p w14:paraId="7847E932" w14:textId="77777777" w:rsidR="0050424A" w:rsidRPr="0068236B" w:rsidRDefault="0050424A" w:rsidP="0050424A">
            <w:pPr>
              <w:spacing w:before="0" w:after="0" w:line="240" w:lineRule="auto"/>
              <w:jc w:val="center"/>
              <w:rPr>
                <w:rFonts w:cs="Tahoma"/>
                <w:color w:val="000000"/>
                <w:sz w:val="20"/>
                <w:szCs w:val="20"/>
              </w:rPr>
            </w:pPr>
            <w:r w:rsidRPr="0068236B">
              <w:rPr>
                <w:rFonts w:cs="Tahoma"/>
                <w:sz w:val="20"/>
                <w:szCs w:val="20"/>
              </w:rPr>
              <w:t>np</w:t>
            </w:r>
          </w:p>
        </w:tc>
        <w:tc>
          <w:tcPr>
            <w:tcW w:w="576" w:type="dxa"/>
            <w:tcBorders>
              <w:top w:val="single" w:sz="8" w:space="0" w:color="auto"/>
              <w:bottom w:val="single" w:sz="8" w:space="0" w:color="auto"/>
            </w:tcBorders>
          </w:tcPr>
          <w:p w14:paraId="79CA0B63" w14:textId="77777777" w:rsidR="0050424A" w:rsidRPr="0068236B" w:rsidRDefault="0050424A" w:rsidP="0050424A">
            <w:pPr>
              <w:spacing w:before="0" w:after="0" w:line="240" w:lineRule="auto"/>
              <w:jc w:val="center"/>
              <w:rPr>
                <w:rFonts w:cs="Tahoma"/>
                <w:sz w:val="20"/>
                <w:szCs w:val="20"/>
              </w:rPr>
            </w:pPr>
          </w:p>
        </w:tc>
        <w:tc>
          <w:tcPr>
            <w:tcW w:w="687" w:type="dxa"/>
            <w:tcBorders>
              <w:top w:val="single" w:sz="8" w:space="0" w:color="auto"/>
              <w:bottom w:val="single" w:sz="8" w:space="0" w:color="auto"/>
            </w:tcBorders>
          </w:tcPr>
          <w:p w14:paraId="5723C847"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LC</w:t>
            </w:r>
          </w:p>
        </w:tc>
        <w:tc>
          <w:tcPr>
            <w:tcW w:w="717" w:type="dxa"/>
            <w:tcBorders>
              <w:top w:val="single" w:sz="8" w:space="0" w:color="auto"/>
              <w:bottom w:val="single" w:sz="8" w:space="0" w:color="auto"/>
            </w:tcBorders>
          </w:tcPr>
          <w:p w14:paraId="12C73A9D"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LC</w:t>
            </w:r>
          </w:p>
        </w:tc>
        <w:tc>
          <w:tcPr>
            <w:tcW w:w="926" w:type="dxa"/>
            <w:tcBorders>
              <w:top w:val="single" w:sz="8" w:space="0" w:color="auto"/>
              <w:bottom w:val="single" w:sz="8" w:space="0" w:color="auto"/>
            </w:tcBorders>
          </w:tcPr>
          <w:p w14:paraId="00206551"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single" w:sz="8" w:space="0" w:color="auto"/>
            </w:tcBorders>
          </w:tcPr>
          <w:p w14:paraId="75DB8474"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single" w:sz="8" w:space="0" w:color="auto"/>
              <w:bottom w:val="single" w:sz="8" w:space="0" w:color="auto"/>
            </w:tcBorders>
          </w:tcPr>
          <w:p w14:paraId="0175408B" w14:textId="77777777" w:rsidR="0050424A" w:rsidRPr="0068236B" w:rsidRDefault="0050424A" w:rsidP="0050424A">
            <w:pPr>
              <w:spacing w:before="0" w:after="0" w:line="240" w:lineRule="auto"/>
              <w:rPr>
                <w:rFonts w:cs="Tahoma"/>
                <w:i/>
                <w:iCs/>
                <w:color w:val="000000"/>
                <w:sz w:val="20"/>
                <w:szCs w:val="20"/>
              </w:rPr>
            </w:pPr>
          </w:p>
        </w:tc>
        <w:tc>
          <w:tcPr>
            <w:tcW w:w="361" w:type="dxa"/>
            <w:tcBorders>
              <w:top w:val="single" w:sz="8" w:space="0" w:color="auto"/>
              <w:bottom w:val="single" w:sz="8" w:space="0" w:color="auto"/>
            </w:tcBorders>
            <w:tcMar>
              <w:left w:w="28" w:type="dxa"/>
              <w:right w:w="28" w:type="dxa"/>
            </w:tcMar>
          </w:tcPr>
          <w:p w14:paraId="0A39D3AA"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6779D8F4"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4884F6D3"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r>
      <w:tr w:rsidR="0050424A" w:rsidRPr="0068236B" w14:paraId="0764569A"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hideMark/>
          </w:tcPr>
          <w:p w14:paraId="35D2EBB3" w14:textId="77777777" w:rsidR="0050424A" w:rsidRPr="0068236B" w:rsidRDefault="0050424A" w:rsidP="0050424A">
            <w:pPr>
              <w:spacing w:before="0" w:after="0" w:line="240" w:lineRule="auto"/>
              <w:rPr>
                <w:rFonts w:cs="Tahoma"/>
                <w:i/>
                <w:iCs/>
                <w:color w:val="000000"/>
                <w:sz w:val="20"/>
                <w:szCs w:val="20"/>
              </w:rPr>
            </w:pPr>
            <w:r w:rsidRPr="0068236B">
              <w:rPr>
                <w:rFonts w:cs="Tahoma"/>
                <w:i/>
                <w:iCs/>
                <w:color w:val="000000"/>
                <w:sz w:val="20"/>
                <w:szCs w:val="20"/>
              </w:rPr>
              <w:t>Mustela nivalis</w:t>
            </w:r>
          </w:p>
        </w:tc>
        <w:tc>
          <w:tcPr>
            <w:tcW w:w="783" w:type="dxa"/>
            <w:tcBorders>
              <w:top w:val="single" w:sz="8" w:space="0" w:color="auto"/>
              <w:bottom w:val="single" w:sz="8" w:space="0" w:color="auto"/>
            </w:tcBorders>
          </w:tcPr>
          <w:p w14:paraId="77A903FF"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single" w:sz="8" w:space="0" w:color="auto"/>
            </w:tcBorders>
          </w:tcPr>
          <w:p w14:paraId="2A0B42E7"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np</w:t>
            </w:r>
          </w:p>
        </w:tc>
        <w:tc>
          <w:tcPr>
            <w:tcW w:w="576" w:type="dxa"/>
            <w:tcBorders>
              <w:top w:val="single" w:sz="8" w:space="0" w:color="auto"/>
              <w:bottom w:val="single" w:sz="8" w:space="0" w:color="auto"/>
            </w:tcBorders>
          </w:tcPr>
          <w:p w14:paraId="0D1255BD" w14:textId="77777777" w:rsidR="0050424A" w:rsidRPr="0068236B" w:rsidRDefault="0050424A" w:rsidP="0050424A">
            <w:pPr>
              <w:spacing w:before="0" w:after="0" w:line="240" w:lineRule="auto"/>
              <w:jc w:val="center"/>
              <w:rPr>
                <w:rFonts w:cs="Tahoma"/>
                <w:sz w:val="20"/>
                <w:szCs w:val="20"/>
              </w:rPr>
            </w:pPr>
          </w:p>
        </w:tc>
        <w:tc>
          <w:tcPr>
            <w:tcW w:w="687" w:type="dxa"/>
            <w:tcBorders>
              <w:top w:val="single" w:sz="8" w:space="0" w:color="auto"/>
              <w:bottom w:val="single" w:sz="8" w:space="0" w:color="auto"/>
            </w:tcBorders>
          </w:tcPr>
          <w:p w14:paraId="136FE185"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LC</w:t>
            </w:r>
          </w:p>
        </w:tc>
        <w:tc>
          <w:tcPr>
            <w:tcW w:w="717" w:type="dxa"/>
            <w:tcBorders>
              <w:top w:val="single" w:sz="8" w:space="0" w:color="auto"/>
              <w:bottom w:val="single" w:sz="8" w:space="0" w:color="auto"/>
            </w:tcBorders>
          </w:tcPr>
          <w:p w14:paraId="462B6516"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LC</w:t>
            </w:r>
          </w:p>
        </w:tc>
        <w:tc>
          <w:tcPr>
            <w:tcW w:w="926" w:type="dxa"/>
            <w:tcBorders>
              <w:top w:val="single" w:sz="8" w:space="0" w:color="auto"/>
              <w:bottom w:val="single" w:sz="8" w:space="0" w:color="auto"/>
            </w:tcBorders>
          </w:tcPr>
          <w:p w14:paraId="09D1D88F"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single" w:sz="8" w:space="0" w:color="auto"/>
            </w:tcBorders>
          </w:tcPr>
          <w:p w14:paraId="526D9813"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III</w:t>
            </w:r>
          </w:p>
        </w:tc>
        <w:tc>
          <w:tcPr>
            <w:tcW w:w="860" w:type="dxa"/>
            <w:tcBorders>
              <w:top w:val="single" w:sz="8" w:space="0" w:color="auto"/>
              <w:bottom w:val="single" w:sz="8" w:space="0" w:color="auto"/>
            </w:tcBorders>
          </w:tcPr>
          <w:p w14:paraId="516FFE99" w14:textId="77777777" w:rsidR="0050424A" w:rsidRPr="0068236B" w:rsidRDefault="0050424A" w:rsidP="0050424A">
            <w:pPr>
              <w:spacing w:before="0" w:after="0" w:line="240" w:lineRule="auto"/>
              <w:rPr>
                <w:rFonts w:cs="Tahoma"/>
                <w:i/>
                <w:iCs/>
                <w:color w:val="000000"/>
                <w:sz w:val="20"/>
                <w:szCs w:val="20"/>
              </w:rPr>
            </w:pPr>
          </w:p>
        </w:tc>
        <w:tc>
          <w:tcPr>
            <w:tcW w:w="361" w:type="dxa"/>
            <w:tcBorders>
              <w:top w:val="single" w:sz="8" w:space="0" w:color="auto"/>
              <w:bottom w:val="single" w:sz="8" w:space="0" w:color="auto"/>
            </w:tcBorders>
            <w:tcMar>
              <w:left w:w="28" w:type="dxa"/>
              <w:right w:w="28" w:type="dxa"/>
            </w:tcMar>
          </w:tcPr>
          <w:p w14:paraId="50870A6C"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67A7BF14"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295A470C"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r>
      <w:tr w:rsidR="0050424A" w:rsidRPr="0068236B" w14:paraId="4CA6DCC6"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hideMark/>
          </w:tcPr>
          <w:p w14:paraId="2F5B111C" w14:textId="77777777" w:rsidR="0050424A" w:rsidRPr="0068236B" w:rsidRDefault="0050424A" w:rsidP="0050424A">
            <w:pPr>
              <w:spacing w:before="0" w:after="0" w:line="240" w:lineRule="auto"/>
              <w:rPr>
                <w:rFonts w:cs="Tahoma"/>
                <w:i/>
                <w:iCs/>
                <w:color w:val="000000"/>
                <w:sz w:val="20"/>
                <w:szCs w:val="20"/>
              </w:rPr>
            </w:pPr>
            <w:r w:rsidRPr="0068236B">
              <w:rPr>
                <w:rFonts w:cs="Tahoma"/>
                <w:i/>
                <w:iCs/>
                <w:color w:val="000000"/>
                <w:sz w:val="20"/>
                <w:szCs w:val="20"/>
              </w:rPr>
              <w:t>Martes foina</w:t>
            </w:r>
          </w:p>
        </w:tc>
        <w:tc>
          <w:tcPr>
            <w:tcW w:w="783" w:type="dxa"/>
            <w:tcBorders>
              <w:top w:val="single" w:sz="8" w:space="0" w:color="auto"/>
              <w:bottom w:val="single" w:sz="8" w:space="0" w:color="auto"/>
            </w:tcBorders>
          </w:tcPr>
          <w:p w14:paraId="53AC3DBB"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single" w:sz="8" w:space="0" w:color="auto"/>
            </w:tcBorders>
          </w:tcPr>
          <w:p w14:paraId="11C9119E"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np</w:t>
            </w:r>
          </w:p>
        </w:tc>
        <w:tc>
          <w:tcPr>
            <w:tcW w:w="576" w:type="dxa"/>
            <w:tcBorders>
              <w:top w:val="single" w:sz="8" w:space="0" w:color="auto"/>
              <w:bottom w:val="single" w:sz="8" w:space="0" w:color="auto"/>
            </w:tcBorders>
          </w:tcPr>
          <w:p w14:paraId="69B59657" w14:textId="77777777" w:rsidR="0050424A" w:rsidRPr="0068236B" w:rsidRDefault="0050424A" w:rsidP="0050424A">
            <w:pPr>
              <w:spacing w:before="0" w:after="0" w:line="240" w:lineRule="auto"/>
              <w:jc w:val="center"/>
              <w:rPr>
                <w:rFonts w:cs="Tahoma"/>
                <w:sz w:val="20"/>
                <w:szCs w:val="20"/>
              </w:rPr>
            </w:pPr>
          </w:p>
        </w:tc>
        <w:tc>
          <w:tcPr>
            <w:tcW w:w="687" w:type="dxa"/>
            <w:tcBorders>
              <w:top w:val="single" w:sz="8" w:space="0" w:color="auto"/>
              <w:bottom w:val="single" w:sz="8" w:space="0" w:color="auto"/>
            </w:tcBorders>
          </w:tcPr>
          <w:p w14:paraId="76556D6E"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LC</w:t>
            </w:r>
          </w:p>
        </w:tc>
        <w:tc>
          <w:tcPr>
            <w:tcW w:w="717" w:type="dxa"/>
            <w:tcBorders>
              <w:top w:val="single" w:sz="8" w:space="0" w:color="auto"/>
              <w:bottom w:val="single" w:sz="8" w:space="0" w:color="auto"/>
            </w:tcBorders>
          </w:tcPr>
          <w:p w14:paraId="46540F65"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LC</w:t>
            </w:r>
          </w:p>
        </w:tc>
        <w:tc>
          <w:tcPr>
            <w:tcW w:w="926" w:type="dxa"/>
            <w:tcBorders>
              <w:top w:val="single" w:sz="8" w:space="0" w:color="auto"/>
              <w:bottom w:val="single" w:sz="8" w:space="0" w:color="auto"/>
            </w:tcBorders>
          </w:tcPr>
          <w:p w14:paraId="21DF67E4"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single" w:sz="8" w:space="0" w:color="auto"/>
            </w:tcBorders>
          </w:tcPr>
          <w:p w14:paraId="12A15346"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III</w:t>
            </w:r>
          </w:p>
        </w:tc>
        <w:tc>
          <w:tcPr>
            <w:tcW w:w="860" w:type="dxa"/>
            <w:tcBorders>
              <w:top w:val="single" w:sz="8" w:space="0" w:color="auto"/>
              <w:bottom w:val="single" w:sz="8" w:space="0" w:color="auto"/>
            </w:tcBorders>
          </w:tcPr>
          <w:p w14:paraId="520455CF" w14:textId="77777777" w:rsidR="0050424A" w:rsidRPr="0068236B" w:rsidRDefault="0050424A" w:rsidP="0050424A">
            <w:pPr>
              <w:spacing w:before="0" w:after="0" w:line="240" w:lineRule="auto"/>
              <w:rPr>
                <w:rFonts w:cs="Tahoma"/>
                <w:i/>
                <w:iCs/>
                <w:color w:val="000000"/>
                <w:sz w:val="20"/>
                <w:szCs w:val="20"/>
              </w:rPr>
            </w:pPr>
          </w:p>
        </w:tc>
        <w:tc>
          <w:tcPr>
            <w:tcW w:w="361" w:type="dxa"/>
            <w:tcBorders>
              <w:top w:val="single" w:sz="8" w:space="0" w:color="auto"/>
              <w:bottom w:val="single" w:sz="8" w:space="0" w:color="auto"/>
            </w:tcBorders>
            <w:tcMar>
              <w:left w:w="28" w:type="dxa"/>
              <w:right w:w="28" w:type="dxa"/>
            </w:tcMar>
          </w:tcPr>
          <w:p w14:paraId="0B5CB494"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7E884517"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4CCF6D74"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r>
      <w:tr w:rsidR="0050424A" w:rsidRPr="0068236B" w14:paraId="1259B798"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hideMark/>
          </w:tcPr>
          <w:p w14:paraId="38706568" w14:textId="77777777" w:rsidR="0050424A" w:rsidRPr="0068236B" w:rsidRDefault="0050424A" w:rsidP="0050424A">
            <w:pPr>
              <w:spacing w:before="0" w:after="0" w:line="240" w:lineRule="auto"/>
              <w:rPr>
                <w:rFonts w:cs="Tahoma"/>
                <w:i/>
                <w:iCs/>
                <w:color w:val="000000"/>
                <w:sz w:val="20"/>
                <w:szCs w:val="20"/>
              </w:rPr>
            </w:pPr>
            <w:r w:rsidRPr="0068236B">
              <w:rPr>
                <w:rFonts w:cs="Tahoma"/>
                <w:i/>
                <w:iCs/>
                <w:color w:val="000000"/>
                <w:sz w:val="20"/>
                <w:szCs w:val="20"/>
              </w:rPr>
              <w:t>Meles meles</w:t>
            </w:r>
          </w:p>
        </w:tc>
        <w:tc>
          <w:tcPr>
            <w:tcW w:w="783" w:type="dxa"/>
            <w:tcBorders>
              <w:top w:val="single" w:sz="8" w:space="0" w:color="auto"/>
              <w:bottom w:val="single" w:sz="8" w:space="0" w:color="auto"/>
            </w:tcBorders>
          </w:tcPr>
          <w:p w14:paraId="4AEF1994" w14:textId="77777777" w:rsidR="0050424A" w:rsidRPr="0068236B" w:rsidRDefault="0050424A" w:rsidP="0050424A">
            <w:pPr>
              <w:spacing w:before="0" w:after="0" w:line="240" w:lineRule="auto"/>
              <w:jc w:val="center"/>
              <w:rPr>
                <w:rFonts w:cs="Tahoma"/>
                <w:color w:val="000000"/>
                <w:sz w:val="20"/>
                <w:szCs w:val="20"/>
              </w:rPr>
            </w:pPr>
            <w:r w:rsidRPr="0068236B">
              <w:rPr>
                <w:rFonts w:cs="Tahoma"/>
                <w:sz w:val="20"/>
                <w:szCs w:val="20"/>
              </w:rPr>
              <w:t>ps</w:t>
            </w:r>
          </w:p>
        </w:tc>
        <w:tc>
          <w:tcPr>
            <w:tcW w:w="813" w:type="dxa"/>
            <w:tcBorders>
              <w:top w:val="single" w:sz="8" w:space="0" w:color="auto"/>
              <w:bottom w:val="single" w:sz="8" w:space="0" w:color="auto"/>
            </w:tcBorders>
          </w:tcPr>
          <w:p w14:paraId="51B51197"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pp</w:t>
            </w:r>
          </w:p>
        </w:tc>
        <w:tc>
          <w:tcPr>
            <w:tcW w:w="576" w:type="dxa"/>
            <w:tcBorders>
              <w:top w:val="single" w:sz="8" w:space="0" w:color="auto"/>
              <w:bottom w:val="single" w:sz="8" w:space="0" w:color="auto"/>
            </w:tcBorders>
          </w:tcPr>
          <w:p w14:paraId="2A70AAFE" w14:textId="77777777" w:rsidR="0050424A" w:rsidRPr="0068236B" w:rsidRDefault="0050424A" w:rsidP="0050424A">
            <w:pPr>
              <w:spacing w:before="0" w:after="0" w:line="240" w:lineRule="auto"/>
              <w:jc w:val="center"/>
              <w:rPr>
                <w:rFonts w:cs="Tahoma"/>
                <w:sz w:val="20"/>
                <w:szCs w:val="20"/>
              </w:rPr>
            </w:pPr>
          </w:p>
        </w:tc>
        <w:tc>
          <w:tcPr>
            <w:tcW w:w="687" w:type="dxa"/>
            <w:tcBorders>
              <w:top w:val="single" w:sz="8" w:space="0" w:color="auto"/>
              <w:bottom w:val="single" w:sz="8" w:space="0" w:color="auto"/>
            </w:tcBorders>
          </w:tcPr>
          <w:p w14:paraId="3F5CA3A5"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LC</w:t>
            </w:r>
          </w:p>
        </w:tc>
        <w:tc>
          <w:tcPr>
            <w:tcW w:w="717" w:type="dxa"/>
            <w:tcBorders>
              <w:top w:val="single" w:sz="8" w:space="0" w:color="auto"/>
              <w:bottom w:val="single" w:sz="8" w:space="0" w:color="auto"/>
            </w:tcBorders>
          </w:tcPr>
          <w:p w14:paraId="5FFED4D2"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LC</w:t>
            </w:r>
          </w:p>
        </w:tc>
        <w:tc>
          <w:tcPr>
            <w:tcW w:w="926" w:type="dxa"/>
            <w:tcBorders>
              <w:top w:val="single" w:sz="8" w:space="0" w:color="auto"/>
              <w:bottom w:val="single" w:sz="8" w:space="0" w:color="auto"/>
            </w:tcBorders>
          </w:tcPr>
          <w:p w14:paraId="4E375AFF"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single" w:sz="8" w:space="0" w:color="auto"/>
            </w:tcBorders>
          </w:tcPr>
          <w:p w14:paraId="3CAAD941"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III</w:t>
            </w:r>
          </w:p>
        </w:tc>
        <w:tc>
          <w:tcPr>
            <w:tcW w:w="860" w:type="dxa"/>
            <w:tcBorders>
              <w:top w:val="single" w:sz="8" w:space="0" w:color="auto"/>
              <w:bottom w:val="single" w:sz="8" w:space="0" w:color="auto"/>
            </w:tcBorders>
          </w:tcPr>
          <w:p w14:paraId="015D6CAE" w14:textId="77777777" w:rsidR="0050424A" w:rsidRPr="0068236B" w:rsidRDefault="0050424A" w:rsidP="0050424A">
            <w:pPr>
              <w:spacing w:before="0" w:after="0" w:line="240" w:lineRule="auto"/>
              <w:rPr>
                <w:rFonts w:cs="Tahoma"/>
                <w:i/>
                <w:iCs/>
                <w:color w:val="000000"/>
                <w:sz w:val="20"/>
                <w:szCs w:val="20"/>
              </w:rPr>
            </w:pPr>
          </w:p>
        </w:tc>
        <w:tc>
          <w:tcPr>
            <w:tcW w:w="361" w:type="dxa"/>
            <w:tcBorders>
              <w:top w:val="single" w:sz="8" w:space="0" w:color="auto"/>
              <w:bottom w:val="single" w:sz="8" w:space="0" w:color="auto"/>
            </w:tcBorders>
            <w:tcMar>
              <w:left w:w="28" w:type="dxa"/>
              <w:right w:w="28" w:type="dxa"/>
            </w:tcMar>
          </w:tcPr>
          <w:p w14:paraId="781F0F6C"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5A9F95A0"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373BF604"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r>
      <w:tr w:rsidR="0050424A" w:rsidRPr="0068236B" w14:paraId="60331F0D"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hideMark/>
          </w:tcPr>
          <w:p w14:paraId="16E50848" w14:textId="77777777" w:rsidR="0050424A" w:rsidRPr="0068236B" w:rsidRDefault="0050424A" w:rsidP="0050424A">
            <w:pPr>
              <w:spacing w:before="0" w:after="0" w:line="240" w:lineRule="auto"/>
              <w:rPr>
                <w:rFonts w:cs="Tahoma"/>
                <w:i/>
                <w:iCs/>
                <w:color w:val="000000"/>
                <w:sz w:val="20"/>
                <w:szCs w:val="20"/>
              </w:rPr>
            </w:pPr>
            <w:r w:rsidRPr="0068236B">
              <w:rPr>
                <w:rFonts w:cs="Tahoma"/>
                <w:i/>
                <w:iCs/>
                <w:color w:val="000000"/>
                <w:sz w:val="20"/>
                <w:szCs w:val="20"/>
              </w:rPr>
              <w:t>Lutra lutra</w:t>
            </w:r>
          </w:p>
        </w:tc>
        <w:tc>
          <w:tcPr>
            <w:tcW w:w="783" w:type="dxa"/>
            <w:tcBorders>
              <w:top w:val="single" w:sz="8" w:space="0" w:color="auto"/>
              <w:bottom w:val="single" w:sz="8" w:space="0" w:color="auto"/>
            </w:tcBorders>
          </w:tcPr>
          <w:p w14:paraId="6B7B5F43"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sps</w:t>
            </w:r>
          </w:p>
        </w:tc>
        <w:tc>
          <w:tcPr>
            <w:tcW w:w="813" w:type="dxa"/>
            <w:tcBorders>
              <w:top w:val="single" w:sz="8" w:space="0" w:color="auto"/>
              <w:bottom w:val="single" w:sz="8" w:space="0" w:color="auto"/>
            </w:tcBorders>
          </w:tcPr>
          <w:p w14:paraId="77027483"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pp</w:t>
            </w:r>
          </w:p>
        </w:tc>
        <w:tc>
          <w:tcPr>
            <w:tcW w:w="576" w:type="dxa"/>
            <w:tcBorders>
              <w:top w:val="single" w:sz="8" w:space="0" w:color="auto"/>
              <w:bottom w:val="single" w:sz="8" w:space="0" w:color="auto"/>
            </w:tcBorders>
          </w:tcPr>
          <w:p w14:paraId="343CCA70" w14:textId="77777777" w:rsidR="0050424A" w:rsidRPr="0068236B" w:rsidRDefault="0050424A" w:rsidP="0050424A">
            <w:pPr>
              <w:spacing w:before="0" w:after="0" w:line="240" w:lineRule="auto"/>
              <w:jc w:val="center"/>
              <w:rPr>
                <w:rFonts w:cs="Tahoma"/>
                <w:sz w:val="20"/>
                <w:szCs w:val="20"/>
              </w:rPr>
            </w:pPr>
            <w:r w:rsidRPr="0068236B">
              <w:rPr>
                <w:rFonts w:cs="Tahoma"/>
                <w:bCs/>
                <w:sz w:val="20"/>
                <w:szCs w:val="20"/>
              </w:rPr>
              <w:t>VU</w:t>
            </w:r>
          </w:p>
        </w:tc>
        <w:tc>
          <w:tcPr>
            <w:tcW w:w="687" w:type="dxa"/>
            <w:tcBorders>
              <w:top w:val="single" w:sz="8" w:space="0" w:color="auto"/>
              <w:bottom w:val="single" w:sz="8" w:space="0" w:color="auto"/>
            </w:tcBorders>
          </w:tcPr>
          <w:p w14:paraId="1B2F067A"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NT</w:t>
            </w:r>
          </w:p>
        </w:tc>
        <w:tc>
          <w:tcPr>
            <w:tcW w:w="717" w:type="dxa"/>
            <w:tcBorders>
              <w:top w:val="single" w:sz="8" w:space="0" w:color="auto"/>
              <w:bottom w:val="single" w:sz="8" w:space="0" w:color="auto"/>
            </w:tcBorders>
          </w:tcPr>
          <w:p w14:paraId="76183D59"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NT</w:t>
            </w:r>
          </w:p>
        </w:tc>
        <w:tc>
          <w:tcPr>
            <w:tcW w:w="926" w:type="dxa"/>
            <w:tcBorders>
              <w:top w:val="single" w:sz="8" w:space="0" w:color="auto"/>
              <w:bottom w:val="single" w:sz="8" w:space="0" w:color="auto"/>
            </w:tcBorders>
          </w:tcPr>
          <w:p w14:paraId="1AF68708"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II &amp; IV</w:t>
            </w:r>
          </w:p>
        </w:tc>
        <w:tc>
          <w:tcPr>
            <w:tcW w:w="582" w:type="dxa"/>
            <w:tcBorders>
              <w:top w:val="single" w:sz="8" w:space="0" w:color="auto"/>
              <w:bottom w:val="single" w:sz="8" w:space="0" w:color="auto"/>
            </w:tcBorders>
          </w:tcPr>
          <w:p w14:paraId="7EA6EF95" w14:textId="77777777" w:rsidR="0050424A" w:rsidRPr="0068236B" w:rsidRDefault="0050424A" w:rsidP="0050424A">
            <w:pPr>
              <w:spacing w:before="0" w:after="0" w:line="240" w:lineRule="auto"/>
              <w:jc w:val="center"/>
              <w:rPr>
                <w:rFonts w:cs="Tahoma"/>
                <w:color w:val="000000"/>
                <w:sz w:val="20"/>
                <w:szCs w:val="20"/>
              </w:rPr>
            </w:pPr>
            <w:r w:rsidRPr="0068236B">
              <w:rPr>
                <w:rFonts w:cs="Tahoma"/>
                <w:sz w:val="20"/>
                <w:szCs w:val="20"/>
              </w:rPr>
              <w:t>II</w:t>
            </w:r>
          </w:p>
        </w:tc>
        <w:tc>
          <w:tcPr>
            <w:tcW w:w="860" w:type="dxa"/>
            <w:tcBorders>
              <w:top w:val="single" w:sz="8" w:space="0" w:color="auto"/>
              <w:bottom w:val="single" w:sz="8" w:space="0" w:color="auto"/>
            </w:tcBorders>
          </w:tcPr>
          <w:p w14:paraId="65421160" w14:textId="77777777" w:rsidR="0050424A" w:rsidRPr="0068236B" w:rsidRDefault="0050424A" w:rsidP="0050424A">
            <w:pPr>
              <w:spacing w:before="0" w:after="0" w:line="240" w:lineRule="auto"/>
              <w:rPr>
                <w:rFonts w:cs="Tahoma"/>
                <w:i/>
                <w:iCs/>
                <w:color w:val="000000"/>
                <w:sz w:val="20"/>
                <w:szCs w:val="20"/>
              </w:rPr>
            </w:pPr>
          </w:p>
        </w:tc>
        <w:tc>
          <w:tcPr>
            <w:tcW w:w="361" w:type="dxa"/>
            <w:tcBorders>
              <w:top w:val="single" w:sz="8" w:space="0" w:color="auto"/>
              <w:bottom w:val="single" w:sz="8" w:space="0" w:color="auto"/>
            </w:tcBorders>
            <w:tcMar>
              <w:left w:w="28" w:type="dxa"/>
              <w:right w:w="28" w:type="dxa"/>
            </w:tcMar>
          </w:tcPr>
          <w:p w14:paraId="32A17F72" w14:textId="77777777" w:rsidR="0050424A" w:rsidRPr="0068236B" w:rsidRDefault="0050424A" w:rsidP="0050424A">
            <w:pPr>
              <w:spacing w:before="0" w:after="0" w:line="240" w:lineRule="auto"/>
              <w:jc w:val="center"/>
              <w:rPr>
                <w:rFonts w:cs="Tahoma"/>
                <w:color w:val="000000"/>
                <w:sz w:val="20"/>
                <w:szCs w:val="20"/>
              </w:rPr>
            </w:pPr>
          </w:p>
        </w:tc>
        <w:tc>
          <w:tcPr>
            <w:tcW w:w="362" w:type="dxa"/>
            <w:tcBorders>
              <w:top w:val="single" w:sz="8" w:space="0" w:color="auto"/>
              <w:bottom w:val="single" w:sz="8" w:space="0" w:color="auto"/>
            </w:tcBorders>
            <w:tcMar>
              <w:left w:w="28" w:type="dxa"/>
              <w:right w:w="28" w:type="dxa"/>
            </w:tcMar>
          </w:tcPr>
          <w:p w14:paraId="78A2FDA5"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1FE99CDA" w14:textId="77777777" w:rsidR="0050424A" w:rsidRPr="0068236B" w:rsidRDefault="0050424A" w:rsidP="0050424A">
            <w:pPr>
              <w:spacing w:before="0" w:after="0" w:line="240" w:lineRule="auto"/>
              <w:jc w:val="center"/>
              <w:rPr>
                <w:rFonts w:cs="Tahoma"/>
                <w:color w:val="000000"/>
                <w:sz w:val="20"/>
                <w:szCs w:val="20"/>
              </w:rPr>
            </w:pPr>
          </w:p>
        </w:tc>
      </w:tr>
      <w:tr w:rsidR="00A32FBA" w:rsidRPr="0068236B" w14:paraId="0BF9FC7D" w14:textId="77777777" w:rsidTr="00377B68">
        <w:trPr>
          <w:trHeight w:val="227"/>
          <w:jc w:val="center"/>
        </w:trPr>
        <w:tc>
          <w:tcPr>
            <w:tcW w:w="2791" w:type="dxa"/>
            <w:tcBorders>
              <w:top w:val="double" w:sz="4" w:space="0" w:color="auto"/>
              <w:bottom w:val="single" w:sz="8" w:space="0" w:color="auto"/>
              <w:right w:val="nil"/>
            </w:tcBorders>
            <w:shd w:val="clear" w:color="auto" w:fill="BDD6EE" w:themeFill="accent5" w:themeFillTint="66"/>
            <w:noWrap/>
            <w:tcMar>
              <w:left w:w="28" w:type="dxa"/>
              <w:right w:w="28" w:type="dxa"/>
            </w:tcMar>
            <w:vAlign w:val="center"/>
            <w:hideMark/>
          </w:tcPr>
          <w:p w14:paraId="243B16FB"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Reptiles</w:t>
            </w:r>
          </w:p>
        </w:tc>
        <w:tc>
          <w:tcPr>
            <w:tcW w:w="783" w:type="dxa"/>
            <w:tcBorders>
              <w:top w:val="double" w:sz="4" w:space="0" w:color="auto"/>
              <w:left w:val="nil"/>
              <w:bottom w:val="single" w:sz="8" w:space="0" w:color="auto"/>
              <w:right w:val="nil"/>
            </w:tcBorders>
            <w:shd w:val="clear" w:color="auto" w:fill="BDD6EE" w:themeFill="accent5" w:themeFillTint="66"/>
          </w:tcPr>
          <w:p w14:paraId="09ED6C2F"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double" w:sz="4" w:space="0" w:color="auto"/>
              <w:left w:val="nil"/>
              <w:bottom w:val="single" w:sz="8" w:space="0" w:color="auto"/>
              <w:right w:val="nil"/>
            </w:tcBorders>
            <w:shd w:val="clear" w:color="auto" w:fill="BDD6EE" w:themeFill="accent5" w:themeFillTint="66"/>
          </w:tcPr>
          <w:p w14:paraId="745C081C"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double" w:sz="4" w:space="0" w:color="auto"/>
              <w:left w:val="nil"/>
              <w:bottom w:val="single" w:sz="8" w:space="0" w:color="auto"/>
              <w:right w:val="nil"/>
            </w:tcBorders>
            <w:shd w:val="clear" w:color="auto" w:fill="BDD6EE" w:themeFill="accent5" w:themeFillTint="66"/>
          </w:tcPr>
          <w:p w14:paraId="09B00D7D"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double" w:sz="4" w:space="0" w:color="auto"/>
              <w:left w:val="nil"/>
              <w:bottom w:val="single" w:sz="8" w:space="0" w:color="auto"/>
              <w:right w:val="nil"/>
            </w:tcBorders>
            <w:shd w:val="clear" w:color="auto" w:fill="BDD6EE" w:themeFill="accent5" w:themeFillTint="66"/>
          </w:tcPr>
          <w:p w14:paraId="42023CDE" w14:textId="77777777" w:rsidR="0050424A" w:rsidRPr="0068236B" w:rsidRDefault="0050424A" w:rsidP="0050424A">
            <w:pPr>
              <w:spacing w:before="0" w:after="0" w:line="240" w:lineRule="auto"/>
              <w:jc w:val="center"/>
              <w:rPr>
                <w:rFonts w:cs="Tahoma"/>
                <w:color w:val="000000"/>
                <w:sz w:val="20"/>
                <w:szCs w:val="20"/>
              </w:rPr>
            </w:pPr>
          </w:p>
        </w:tc>
        <w:tc>
          <w:tcPr>
            <w:tcW w:w="717" w:type="dxa"/>
            <w:tcBorders>
              <w:top w:val="double" w:sz="4" w:space="0" w:color="auto"/>
              <w:left w:val="nil"/>
              <w:bottom w:val="single" w:sz="8" w:space="0" w:color="auto"/>
              <w:right w:val="nil"/>
            </w:tcBorders>
            <w:shd w:val="clear" w:color="auto" w:fill="BDD6EE" w:themeFill="accent5" w:themeFillTint="66"/>
          </w:tcPr>
          <w:p w14:paraId="6AE5DCEC" w14:textId="77777777" w:rsidR="0050424A" w:rsidRPr="0068236B" w:rsidRDefault="0050424A" w:rsidP="0050424A">
            <w:pPr>
              <w:spacing w:before="0" w:after="0" w:line="240" w:lineRule="auto"/>
              <w:jc w:val="center"/>
              <w:rPr>
                <w:rFonts w:cs="Tahoma"/>
                <w:color w:val="000000"/>
                <w:sz w:val="20"/>
                <w:szCs w:val="20"/>
              </w:rPr>
            </w:pPr>
          </w:p>
        </w:tc>
        <w:tc>
          <w:tcPr>
            <w:tcW w:w="926" w:type="dxa"/>
            <w:tcBorders>
              <w:top w:val="double" w:sz="4" w:space="0" w:color="auto"/>
              <w:left w:val="nil"/>
              <w:bottom w:val="single" w:sz="8" w:space="0" w:color="auto"/>
              <w:right w:val="nil"/>
            </w:tcBorders>
            <w:shd w:val="clear" w:color="auto" w:fill="BDD6EE" w:themeFill="accent5" w:themeFillTint="66"/>
          </w:tcPr>
          <w:p w14:paraId="0F59467E"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double" w:sz="4" w:space="0" w:color="auto"/>
              <w:left w:val="nil"/>
              <w:bottom w:val="single" w:sz="8" w:space="0" w:color="auto"/>
              <w:right w:val="nil"/>
            </w:tcBorders>
            <w:shd w:val="clear" w:color="auto" w:fill="BDD6EE" w:themeFill="accent5" w:themeFillTint="66"/>
          </w:tcPr>
          <w:p w14:paraId="6EF213E1"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double" w:sz="4" w:space="0" w:color="auto"/>
              <w:left w:val="nil"/>
              <w:bottom w:val="single" w:sz="8" w:space="0" w:color="auto"/>
              <w:right w:val="nil"/>
            </w:tcBorders>
            <w:shd w:val="clear" w:color="auto" w:fill="BDD6EE" w:themeFill="accent5" w:themeFillTint="66"/>
          </w:tcPr>
          <w:p w14:paraId="57F1A336"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double" w:sz="4" w:space="0" w:color="auto"/>
              <w:left w:val="nil"/>
              <w:bottom w:val="single" w:sz="8" w:space="0" w:color="auto"/>
              <w:right w:val="nil"/>
            </w:tcBorders>
            <w:shd w:val="clear" w:color="auto" w:fill="BDD6EE" w:themeFill="accent5" w:themeFillTint="66"/>
            <w:tcMar>
              <w:left w:w="28" w:type="dxa"/>
              <w:right w:w="28" w:type="dxa"/>
            </w:tcMar>
            <w:vAlign w:val="center"/>
          </w:tcPr>
          <w:p w14:paraId="6C0F2DD9" w14:textId="77777777" w:rsidR="0050424A" w:rsidRPr="0068236B" w:rsidRDefault="0050424A" w:rsidP="0050424A">
            <w:pPr>
              <w:spacing w:before="0" w:after="0" w:line="240" w:lineRule="auto"/>
              <w:jc w:val="center"/>
              <w:rPr>
                <w:rFonts w:cs="Tahoma"/>
                <w:color w:val="000000"/>
                <w:sz w:val="20"/>
                <w:szCs w:val="20"/>
              </w:rPr>
            </w:pPr>
          </w:p>
        </w:tc>
        <w:tc>
          <w:tcPr>
            <w:tcW w:w="362" w:type="dxa"/>
            <w:tcBorders>
              <w:top w:val="double" w:sz="4" w:space="0" w:color="auto"/>
              <w:left w:val="nil"/>
              <w:bottom w:val="single" w:sz="8" w:space="0" w:color="auto"/>
              <w:right w:val="nil"/>
            </w:tcBorders>
            <w:shd w:val="clear" w:color="auto" w:fill="BDD6EE" w:themeFill="accent5" w:themeFillTint="66"/>
            <w:tcMar>
              <w:left w:w="28" w:type="dxa"/>
              <w:right w:w="28" w:type="dxa"/>
            </w:tcMar>
            <w:vAlign w:val="center"/>
          </w:tcPr>
          <w:p w14:paraId="1D5ED8DE" w14:textId="77777777" w:rsidR="0050424A" w:rsidRPr="0068236B" w:rsidRDefault="0050424A" w:rsidP="0050424A">
            <w:pPr>
              <w:spacing w:before="0" w:after="0" w:line="240" w:lineRule="auto"/>
              <w:jc w:val="center"/>
              <w:rPr>
                <w:rFonts w:cs="Tahoma"/>
                <w:color w:val="000000"/>
                <w:sz w:val="20"/>
                <w:szCs w:val="20"/>
              </w:rPr>
            </w:pPr>
          </w:p>
        </w:tc>
        <w:tc>
          <w:tcPr>
            <w:tcW w:w="338" w:type="dxa"/>
            <w:tcBorders>
              <w:top w:val="double" w:sz="4" w:space="0" w:color="auto"/>
              <w:left w:val="nil"/>
              <w:bottom w:val="single" w:sz="8" w:space="0" w:color="auto"/>
              <w:right w:val="double" w:sz="4" w:space="0" w:color="auto"/>
            </w:tcBorders>
            <w:shd w:val="clear" w:color="auto" w:fill="BDD6EE" w:themeFill="accent5" w:themeFillTint="66"/>
            <w:tcMar>
              <w:left w:w="28" w:type="dxa"/>
              <w:right w:w="28" w:type="dxa"/>
            </w:tcMar>
            <w:vAlign w:val="center"/>
          </w:tcPr>
          <w:p w14:paraId="5AB279DD" w14:textId="77777777" w:rsidR="0050424A" w:rsidRPr="0068236B" w:rsidRDefault="0050424A" w:rsidP="0050424A">
            <w:pPr>
              <w:spacing w:before="0" w:after="0" w:line="240" w:lineRule="auto"/>
              <w:jc w:val="center"/>
              <w:rPr>
                <w:rFonts w:cs="Tahoma"/>
                <w:color w:val="000000"/>
                <w:sz w:val="20"/>
                <w:szCs w:val="20"/>
              </w:rPr>
            </w:pPr>
          </w:p>
        </w:tc>
      </w:tr>
      <w:tr w:rsidR="0050424A" w:rsidRPr="0068236B" w14:paraId="789830C0"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1057FBCA"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Podarcis muralis</w:t>
            </w:r>
          </w:p>
        </w:tc>
        <w:tc>
          <w:tcPr>
            <w:tcW w:w="783" w:type="dxa"/>
            <w:tcBorders>
              <w:top w:val="single" w:sz="8" w:space="0" w:color="auto"/>
              <w:bottom w:val="single" w:sz="8" w:space="0" w:color="auto"/>
            </w:tcBorders>
          </w:tcPr>
          <w:p w14:paraId="1A632696"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ps</w:t>
            </w:r>
          </w:p>
        </w:tc>
        <w:tc>
          <w:tcPr>
            <w:tcW w:w="813" w:type="dxa"/>
            <w:tcBorders>
              <w:top w:val="single" w:sz="8" w:space="0" w:color="auto"/>
              <w:bottom w:val="single" w:sz="8" w:space="0" w:color="auto"/>
            </w:tcBorders>
          </w:tcPr>
          <w:p w14:paraId="68CC16CA"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w:t>
            </w:r>
          </w:p>
        </w:tc>
        <w:tc>
          <w:tcPr>
            <w:tcW w:w="576" w:type="dxa"/>
            <w:tcBorders>
              <w:top w:val="single" w:sz="8" w:space="0" w:color="auto"/>
              <w:bottom w:val="single" w:sz="8" w:space="0" w:color="auto"/>
            </w:tcBorders>
          </w:tcPr>
          <w:p w14:paraId="78933C77"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LC</w:t>
            </w:r>
          </w:p>
        </w:tc>
        <w:tc>
          <w:tcPr>
            <w:tcW w:w="687" w:type="dxa"/>
            <w:tcBorders>
              <w:top w:val="single" w:sz="8" w:space="0" w:color="auto"/>
              <w:bottom w:val="single" w:sz="8" w:space="0" w:color="auto"/>
            </w:tcBorders>
          </w:tcPr>
          <w:p w14:paraId="43838F73"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LC</w:t>
            </w:r>
          </w:p>
        </w:tc>
        <w:tc>
          <w:tcPr>
            <w:tcW w:w="717" w:type="dxa"/>
            <w:tcBorders>
              <w:top w:val="single" w:sz="8" w:space="0" w:color="auto"/>
              <w:bottom w:val="single" w:sz="8" w:space="0" w:color="auto"/>
            </w:tcBorders>
          </w:tcPr>
          <w:p w14:paraId="2923101C"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LC</w:t>
            </w:r>
          </w:p>
        </w:tc>
        <w:tc>
          <w:tcPr>
            <w:tcW w:w="926" w:type="dxa"/>
            <w:tcBorders>
              <w:top w:val="single" w:sz="8" w:space="0" w:color="auto"/>
              <w:bottom w:val="single" w:sz="8" w:space="0" w:color="auto"/>
            </w:tcBorders>
          </w:tcPr>
          <w:p w14:paraId="412DDA23"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IV</w:t>
            </w:r>
          </w:p>
        </w:tc>
        <w:tc>
          <w:tcPr>
            <w:tcW w:w="582" w:type="dxa"/>
            <w:tcBorders>
              <w:top w:val="single" w:sz="8" w:space="0" w:color="auto"/>
              <w:bottom w:val="single" w:sz="8" w:space="0" w:color="auto"/>
            </w:tcBorders>
          </w:tcPr>
          <w:p w14:paraId="171653FF"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II</w:t>
            </w:r>
          </w:p>
        </w:tc>
        <w:tc>
          <w:tcPr>
            <w:tcW w:w="860" w:type="dxa"/>
            <w:tcBorders>
              <w:top w:val="single" w:sz="8" w:space="0" w:color="auto"/>
              <w:bottom w:val="single" w:sz="8" w:space="0" w:color="auto"/>
            </w:tcBorders>
          </w:tcPr>
          <w:p w14:paraId="4EA12AF6"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single" w:sz="8" w:space="0" w:color="auto"/>
              <w:bottom w:val="single" w:sz="8" w:space="0" w:color="auto"/>
            </w:tcBorders>
            <w:tcMar>
              <w:left w:w="28" w:type="dxa"/>
              <w:right w:w="28" w:type="dxa"/>
            </w:tcMar>
          </w:tcPr>
          <w:p w14:paraId="17FA0A98"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6E7519EB"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1D704F20"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r>
      <w:tr w:rsidR="0050424A" w:rsidRPr="0068236B" w14:paraId="43C176EE"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01932373"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Lacerta trilineata</w:t>
            </w:r>
          </w:p>
        </w:tc>
        <w:tc>
          <w:tcPr>
            <w:tcW w:w="783" w:type="dxa"/>
            <w:tcBorders>
              <w:top w:val="single" w:sz="8" w:space="0" w:color="auto"/>
              <w:bottom w:val="single" w:sz="8" w:space="0" w:color="auto"/>
            </w:tcBorders>
          </w:tcPr>
          <w:p w14:paraId="04C3A343"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ps</w:t>
            </w:r>
          </w:p>
        </w:tc>
        <w:tc>
          <w:tcPr>
            <w:tcW w:w="813" w:type="dxa"/>
            <w:tcBorders>
              <w:top w:val="single" w:sz="8" w:space="0" w:color="auto"/>
              <w:bottom w:val="single" w:sz="8" w:space="0" w:color="auto"/>
            </w:tcBorders>
          </w:tcPr>
          <w:p w14:paraId="605AE275"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w:t>
            </w:r>
          </w:p>
        </w:tc>
        <w:tc>
          <w:tcPr>
            <w:tcW w:w="576" w:type="dxa"/>
            <w:tcBorders>
              <w:top w:val="single" w:sz="8" w:space="0" w:color="auto"/>
              <w:bottom w:val="single" w:sz="8" w:space="0" w:color="auto"/>
            </w:tcBorders>
          </w:tcPr>
          <w:p w14:paraId="19AE92C9"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LC</w:t>
            </w:r>
          </w:p>
        </w:tc>
        <w:tc>
          <w:tcPr>
            <w:tcW w:w="687" w:type="dxa"/>
            <w:tcBorders>
              <w:top w:val="single" w:sz="8" w:space="0" w:color="auto"/>
              <w:bottom w:val="single" w:sz="8" w:space="0" w:color="auto"/>
            </w:tcBorders>
          </w:tcPr>
          <w:p w14:paraId="5941F6F2"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LC</w:t>
            </w:r>
          </w:p>
        </w:tc>
        <w:tc>
          <w:tcPr>
            <w:tcW w:w="717" w:type="dxa"/>
            <w:tcBorders>
              <w:top w:val="single" w:sz="8" w:space="0" w:color="auto"/>
              <w:bottom w:val="single" w:sz="8" w:space="0" w:color="auto"/>
            </w:tcBorders>
          </w:tcPr>
          <w:p w14:paraId="52AB7828"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LC</w:t>
            </w:r>
          </w:p>
        </w:tc>
        <w:tc>
          <w:tcPr>
            <w:tcW w:w="926" w:type="dxa"/>
            <w:tcBorders>
              <w:top w:val="single" w:sz="8" w:space="0" w:color="auto"/>
              <w:bottom w:val="single" w:sz="8" w:space="0" w:color="auto"/>
            </w:tcBorders>
          </w:tcPr>
          <w:p w14:paraId="172D72FF"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IV</w:t>
            </w:r>
          </w:p>
        </w:tc>
        <w:tc>
          <w:tcPr>
            <w:tcW w:w="582" w:type="dxa"/>
            <w:tcBorders>
              <w:top w:val="single" w:sz="8" w:space="0" w:color="auto"/>
              <w:bottom w:val="single" w:sz="8" w:space="0" w:color="auto"/>
            </w:tcBorders>
          </w:tcPr>
          <w:p w14:paraId="45A159A8"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II</w:t>
            </w:r>
          </w:p>
        </w:tc>
        <w:tc>
          <w:tcPr>
            <w:tcW w:w="860" w:type="dxa"/>
            <w:tcBorders>
              <w:top w:val="single" w:sz="8" w:space="0" w:color="auto"/>
              <w:bottom w:val="single" w:sz="8" w:space="0" w:color="auto"/>
            </w:tcBorders>
          </w:tcPr>
          <w:p w14:paraId="59F964A3"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single" w:sz="8" w:space="0" w:color="auto"/>
              <w:bottom w:val="single" w:sz="8" w:space="0" w:color="auto"/>
            </w:tcBorders>
            <w:tcMar>
              <w:left w:w="28" w:type="dxa"/>
              <w:right w:w="28" w:type="dxa"/>
            </w:tcMar>
          </w:tcPr>
          <w:p w14:paraId="4F969C8D"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6000B72B"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167FE6AF"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r>
      <w:tr w:rsidR="0050424A" w:rsidRPr="0068236B" w14:paraId="4AC70CCE"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6FFC5A81"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Testudo graeca</w:t>
            </w:r>
          </w:p>
        </w:tc>
        <w:tc>
          <w:tcPr>
            <w:tcW w:w="783" w:type="dxa"/>
            <w:tcBorders>
              <w:top w:val="single" w:sz="8" w:space="0" w:color="auto"/>
              <w:bottom w:val="single" w:sz="8" w:space="0" w:color="auto"/>
            </w:tcBorders>
          </w:tcPr>
          <w:p w14:paraId="3F290318"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ps</w:t>
            </w:r>
          </w:p>
        </w:tc>
        <w:tc>
          <w:tcPr>
            <w:tcW w:w="813" w:type="dxa"/>
            <w:tcBorders>
              <w:top w:val="single" w:sz="8" w:space="0" w:color="auto"/>
              <w:bottom w:val="single" w:sz="8" w:space="0" w:color="auto"/>
            </w:tcBorders>
          </w:tcPr>
          <w:p w14:paraId="23688FB4"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w:t>
            </w:r>
          </w:p>
        </w:tc>
        <w:tc>
          <w:tcPr>
            <w:tcW w:w="576" w:type="dxa"/>
            <w:tcBorders>
              <w:top w:val="single" w:sz="8" w:space="0" w:color="auto"/>
              <w:bottom w:val="single" w:sz="8" w:space="0" w:color="auto"/>
            </w:tcBorders>
          </w:tcPr>
          <w:p w14:paraId="7D5DBA03"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VU</w:t>
            </w:r>
          </w:p>
        </w:tc>
        <w:tc>
          <w:tcPr>
            <w:tcW w:w="687" w:type="dxa"/>
            <w:tcBorders>
              <w:top w:val="single" w:sz="8" w:space="0" w:color="auto"/>
              <w:bottom w:val="single" w:sz="8" w:space="0" w:color="auto"/>
            </w:tcBorders>
          </w:tcPr>
          <w:p w14:paraId="0FB60C30"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VU</w:t>
            </w:r>
          </w:p>
        </w:tc>
        <w:tc>
          <w:tcPr>
            <w:tcW w:w="717" w:type="dxa"/>
            <w:tcBorders>
              <w:top w:val="single" w:sz="8" w:space="0" w:color="auto"/>
              <w:bottom w:val="single" w:sz="8" w:space="0" w:color="auto"/>
            </w:tcBorders>
          </w:tcPr>
          <w:p w14:paraId="55FE5418"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VU</w:t>
            </w:r>
          </w:p>
        </w:tc>
        <w:tc>
          <w:tcPr>
            <w:tcW w:w="926" w:type="dxa"/>
            <w:tcBorders>
              <w:top w:val="single" w:sz="8" w:space="0" w:color="auto"/>
              <w:bottom w:val="single" w:sz="8" w:space="0" w:color="auto"/>
            </w:tcBorders>
          </w:tcPr>
          <w:p w14:paraId="18ED0193"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II, IV</w:t>
            </w:r>
          </w:p>
        </w:tc>
        <w:tc>
          <w:tcPr>
            <w:tcW w:w="582" w:type="dxa"/>
            <w:tcBorders>
              <w:top w:val="single" w:sz="8" w:space="0" w:color="auto"/>
              <w:bottom w:val="single" w:sz="8" w:space="0" w:color="auto"/>
            </w:tcBorders>
          </w:tcPr>
          <w:p w14:paraId="57622A9C"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II</w:t>
            </w:r>
          </w:p>
        </w:tc>
        <w:tc>
          <w:tcPr>
            <w:tcW w:w="860" w:type="dxa"/>
            <w:tcBorders>
              <w:top w:val="single" w:sz="8" w:space="0" w:color="auto"/>
              <w:bottom w:val="single" w:sz="8" w:space="0" w:color="auto"/>
            </w:tcBorders>
          </w:tcPr>
          <w:p w14:paraId="6C098414"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single" w:sz="8" w:space="0" w:color="auto"/>
              <w:bottom w:val="single" w:sz="8" w:space="0" w:color="auto"/>
            </w:tcBorders>
            <w:tcMar>
              <w:left w:w="28" w:type="dxa"/>
              <w:right w:w="28" w:type="dxa"/>
            </w:tcMar>
          </w:tcPr>
          <w:p w14:paraId="441CD233"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20B8CDC3"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6CBA8682"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r>
      <w:tr w:rsidR="0050424A" w:rsidRPr="0068236B" w14:paraId="6279F6F7"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hideMark/>
          </w:tcPr>
          <w:p w14:paraId="5143241C" w14:textId="77777777" w:rsidR="0050424A" w:rsidRPr="0068236B" w:rsidRDefault="0050424A" w:rsidP="0050424A">
            <w:pPr>
              <w:spacing w:before="0" w:after="0" w:line="240" w:lineRule="auto"/>
              <w:rPr>
                <w:rFonts w:cs="Tahoma"/>
                <w:i/>
                <w:iCs/>
                <w:sz w:val="20"/>
                <w:szCs w:val="20"/>
              </w:rPr>
            </w:pPr>
            <w:r w:rsidRPr="0068236B">
              <w:rPr>
                <w:rFonts w:cs="Tahoma"/>
                <w:i/>
                <w:iCs/>
                <w:sz w:val="20"/>
                <w:szCs w:val="20"/>
              </w:rPr>
              <w:t>Natrix natrix</w:t>
            </w:r>
          </w:p>
        </w:tc>
        <w:tc>
          <w:tcPr>
            <w:tcW w:w="783" w:type="dxa"/>
            <w:tcBorders>
              <w:top w:val="single" w:sz="8" w:space="0" w:color="auto"/>
              <w:bottom w:val="single" w:sz="8" w:space="0" w:color="auto"/>
            </w:tcBorders>
          </w:tcPr>
          <w:p w14:paraId="17CD27E2" w14:textId="77777777" w:rsidR="0050424A" w:rsidRPr="0068236B" w:rsidRDefault="0050424A" w:rsidP="0050424A">
            <w:pPr>
              <w:spacing w:before="0" w:after="0" w:line="240" w:lineRule="auto"/>
              <w:jc w:val="center"/>
              <w:rPr>
                <w:rFonts w:cs="Tahoma"/>
                <w:sz w:val="20"/>
                <w:szCs w:val="20"/>
              </w:rPr>
            </w:pPr>
          </w:p>
        </w:tc>
        <w:tc>
          <w:tcPr>
            <w:tcW w:w="813" w:type="dxa"/>
            <w:tcBorders>
              <w:top w:val="single" w:sz="8" w:space="0" w:color="auto"/>
              <w:bottom w:val="single" w:sz="8" w:space="0" w:color="auto"/>
            </w:tcBorders>
          </w:tcPr>
          <w:p w14:paraId="347FB72F"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w:t>
            </w:r>
          </w:p>
        </w:tc>
        <w:tc>
          <w:tcPr>
            <w:tcW w:w="576" w:type="dxa"/>
            <w:tcBorders>
              <w:top w:val="single" w:sz="8" w:space="0" w:color="auto"/>
              <w:bottom w:val="single" w:sz="8" w:space="0" w:color="auto"/>
            </w:tcBorders>
          </w:tcPr>
          <w:p w14:paraId="22A354C0"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LC</w:t>
            </w:r>
          </w:p>
        </w:tc>
        <w:tc>
          <w:tcPr>
            <w:tcW w:w="687" w:type="dxa"/>
            <w:tcBorders>
              <w:top w:val="single" w:sz="8" w:space="0" w:color="auto"/>
              <w:bottom w:val="single" w:sz="8" w:space="0" w:color="auto"/>
            </w:tcBorders>
          </w:tcPr>
          <w:p w14:paraId="6EF718F2"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LC</w:t>
            </w:r>
          </w:p>
        </w:tc>
        <w:tc>
          <w:tcPr>
            <w:tcW w:w="717" w:type="dxa"/>
            <w:tcBorders>
              <w:top w:val="single" w:sz="8" w:space="0" w:color="auto"/>
              <w:bottom w:val="single" w:sz="8" w:space="0" w:color="auto"/>
            </w:tcBorders>
          </w:tcPr>
          <w:p w14:paraId="1884FBE5"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LC</w:t>
            </w:r>
          </w:p>
        </w:tc>
        <w:tc>
          <w:tcPr>
            <w:tcW w:w="926" w:type="dxa"/>
            <w:tcBorders>
              <w:top w:val="single" w:sz="8" w:space="0" w:color="auto"/>
              <w:bottom w:val="single" w:sz="8" w:space="0" w:color="auto"/>
            </w:tcBorders>
          </w:tcPr>
          <w:p w14:paraId="40C03CF5" w14:textId="77777777" w:rsidR="0050424A" w:rsidRPr="0068236B" w:rsidRDefault="0050424A" w:rsidP="0050424A">
            <w:pPr>
              <w:spacing w:before="0" w:after="0" w:line="240" w:lineRule="auto"/>
              <w:jc w:val="center"/>
              <w:rPr>
                <w:rFonts w:cs="Tahoma"/>
                <w:sz w:val="20"/>
                <w:szCs w:val="20"/>
              </w:rPr>
            </w:pPr>
          </w:p>
        </w:tc>
        <w:tc>
          <w:tcPr>
            <w:tcW w:w="582" w:type="dxa"/>
            <w:tcBorders>
              <w:top w:val="single" w:sz="8" w:space="0" w:color="auto"/>
              <w:bottom w:val="single" w:sz="8" w:space="0" w:color="auto"/>
            </w:tcBorders>
          </w:tcPr>
          <w:p w14:paraId="29EF68C2"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III</w:t>
            </w:r>
          </w:p>
        </w:tc>
        <w:tc>
          <w:tcPr>
            <w:tcW w:w="860" w:type="dxa"/>
            <w:tcBorders>
              <w:top w:val="single" w:sz="8" w:space="0" w:color="auto"/>
              <w:bottom w:val="single" w:sz="8" w:space="0" w:color="auto"/>
            </w:tcBorders>
          </w:tcPr>
          <w:p w14:paraId="6092A793"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single" w:sz="8" w:space="0" w:color="auto"/>
              <w:bottom w:val="single" w:sz="8" w:space="0" w:color="auto"/>
            </w:tcBorders>
            <w:tcMar>
              <w:left w:w="28" w:type="dxa"/>
              <w:right w:w="28" w:type="dxa"/>
            </w:tcMar>
          </w:tcPr>
          <w:p w14:paraId="7533AF15"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5AD09C0F"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0FFFC6CA"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r>
      <w:tr w:rsidR="00A32FBA" w:rsidRPr="0068236B" w14:paraId="4404370C" w14:textId="77777777" w:rsidTr="00377B68">
        <w:trPr>
          <w:trHeight w:val="227"/>
          <w:jc w:val="center"/>
        </w:trPr>
        <w:tc>
          <w:tcPr>
            <w:tcW w:w="2791" w:type="dxa"/>
            <w:tcBorders>
              <w:top w:val="double" w:sz="4" w:space="0" w:color="auto"/>
              <w:bottom w:val="single" w:sz="8" w:space="0" w:color="auto"/>
              <w:right w:val="nil"/>
            </w:tcBorders>
            <w:shd w:val="clear" w:color="auto" w:fill="BDD6EE" w:themeFill="accent5" w:themeFillTint="66"/>
            <w:noWrap/>
            <w:tcMar>
              <w:left w:w="28" w:type="dxa"/>
              <w:right w:w="28" w:type="dxa"/>
            </w:tcMar>
            <w:vAlign w:val="center"/>
            <w:hideMark/>
          </w:tcPr>
          <w:p w14:paraId="7C045BC9"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Amphibians</w:t>
            </w:r>
          </w:p>
        </w:tc>
        <w:tc>
          <w:tcPr>
            <w:tcW w:w="783" w:type="dxa"/>
            <w:tcBorders>
              <w:top w:val="double" w:sz="4" w:space="0" w:color="auto"/>
              <w:left w:val="nil"/>
              <w:bottom w:val="single" w:sz="8" w:space="0" w:color="auto"/>
              <w:right w:val="nil"/>
            </w:tcBorders>
            <w:shd w:val="clear" w:color="auto" w:fill="BDD6EE" w:themeFill="accent5" w:themeFillTint="66"/>
          </w:tcPr>
          <w:p w14:paraId="4E422A1A"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double" w:sz="4" w:space="0" w:color="auto"/>
              <w:left w:val="nil"/>
              <w:bottom w:val="single" w:sz="8" w:space="0" w:color="auto"/>
              <w:right w:val="nil"/>
            </w:tcBorders>
            <w:shd w:val="clear" w:color="auto" w:fill="BDD6EE" w:themeFill="accent5" w:themeFillTint="66"/>
          </w:tcPr>
          <w:p w14:paraId="5B55F97E"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double" w:sz="4" w:space="0" w:color="auto"/>
              <w:left w:val="nil"/>
              <w:bottom w:val="single" w:sz="8" w:space="0" w:color="auto"/>
              <w:right w:val="nil"/>
            </w:tcBorders>
            <w:shd w:val="clear" w:color="auto" w:fill="BDD6EE" w:themeFill="accent5" w:themeFillTint="66"/>
          </w:tcPr>
          <w:p w14:paraId="0C512CA5"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double" w:sz="4" w:space="0" w:color="auto"/>
              <w:left w:val="nil"/>
              <w:bottom w:val="single" w:sz="8" w:space="0" w:color="auto"/>
              <w:right w:val="nil"/>
            </w:tcBorders>
            <w:shd w:val="clear" w:color="auto" w:fill="BDD6EE" w:themeFill="accent5" w:themeFillTint="66"/>
          </w:tcPr>
          <w:p w14:paraId="212A6F90" w14:textId="77777777" w:rsidR="0050424A" w:rsidRPr="0068236B" w:rsidRDefault="0050424A" w:rsidP="0050424A">
            <w:pPr>
              <w:spacing w:before="0" w:after="0" w:line="240" w:lineRule="auto"/>
              <w:jc w:val="center"/>
              <w:rPr>
                <w:rFonts w:cs="Tahoma"/>
                <w:color w:val="000000"/>
                <w:sz w:val="20"/>
                <w:szCs w:val="20"/>
              </w:rPr>
            </w:pPr>
          </w:p>
        </w:tc>
        <w:tc>
          <w:tcPr>
            <w:tcW w:w="717" w:type="dxa"/>
            <w:tcBorders>
              <w:top w:val="double" w:sz="4" w:space="0" w:color="auto"/>
              <w:left w:val="nil"/>
              <w:bottom w:val="single" w:sz="8" w:space="0" w:color="auto"/>
              <w:right w:val="nil"/>
            </w:tcBorders>
            <w:shd w:val="clear" w:color="auto" w:fill="BDD6EE" w:themeFill="accent5" w:themeFillTint="66"/>
          </w:tcPr>
          <w:p w14:paraId="7406B4EF" w14:textId="77777777" w:rsidR="0050424A" w:rsidRPr="0068236B" w:rsidRDefault="0050424A" w:rsidP="0050424A">
            <w:pPr>
              <w:spacing w:before="0" w:after="0" w:line="240" w:lineRule="auto"/>
              <w:jc w:val="center"/>
              <w:rPr>
                <w:rFonts w:cs="Tahoma"/>
                <w:color w:val="000000"/>
                <w:sz w:val="20"/>
                <w:szCs w:val="20"/>
              </w:rPr>
            </w:pPr>
          </w:p>
        </w:tc>
        <w:tc>
          <w:tcPr>
            <w:tcW w:w="926" w:type="dxa"/>
            <w:tcBorders>
              <w:top w:val="double" w:sz="4" w:space="0" w:color="auto"/>
              <w:left w:val="nil"/>
              <w:bottom w:val="single" w:sz="8" w:space="0" w:color="auto"/>
              <w:right w:val="nil"/>
            </w:tcBorders>
            <w:shd w:val="clear" w:color="auto" w:fill="BDD6EE" w:themeFill="accent5" w:themeFillTint="66"/>
          </w:tcPr>
          <w:p w14:paraId="40583BEC"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double" w:sz="4" w:space="0" w:color="auto"/>
              <w:left w:val="nil"/>
              <w:bottom w:val="single" w:sz="8" w:space="0" w:color="auto"/>
              <w:right w:val="nil"/>
            </w:tcBorders>
            <w:shd w:val="clear" w:color="auto" w:fill="BDD6EE" w:themeFill="accent5" w:themeFillTint="66"/>
          </w:tcPr>
          <w:p w14:paraId="13FF9365"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double" w:sz="4" w:space="0" w:color="auto"/>
              <w:left w:val="nil"/>
              <w:bottom w:val="single" w:sz="8" w:space="0" w:color="auto"/>
              <w:right w:val="nil"/>
            </w:tcBorders>
            <w:shd w:val="clear" w:color="auto" w:fill="BDD6EE" w:themeFill="accent5" w:themeFillTint="66"/>
          </w:tcPr>
          <w:p w14:paraId="4EC6482E"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double" w:sz="4" w:space="0" w:color="auto"/>
              <w:left w:val="nil"/>
              <w:bottom w:val="single" w:sz="8" w:space="0" w:color="auto"/>
              <w:right w:val="nil"/>
            </w:tcBorders>
            <w:shd w:val="clear" w:color="auto" w:fill="BDD6EE" w:themeFill="accent5" w:themeFillTint="66"/>
            <w:tcMar>
              <w:left w:w="28" w:type="dxa"/>
              <w:right w:w="28" w:type="dxa"/>
            </w:tcMar>
          </w:tcPr>
          <w:p w14:paraId="27CBF949" w14:textId="77777777" w:rsidR="0050424A" w:rsidRPr="0068236B" w:rsidRDefault="0050424A" w:rsidP="0050424A">
            <w:pPr>
              <w:spacing w:before="0" w:after="0" w:line="240" w:lineRule="auto"/>
              <w:jc w:val="center"/>
              <w:rPr>
                <w:rFonts w:cs="Tahoma"/>
                <w:color w:val="000000"/>
                <w:sz w:val="20"/>
                <w:szCs w:val="20"/>
              </w:rPr>
            </w:pPr>
          </w:p>
        </w:tc>
        <w:tc>
          <w:tcPr>
            <w:tcW w:w="362" w:type="dxa"/>
            <w:tcBorders>
              <w:top w:val="double" w:sz="4" w:space="0" w:color="auto"/>
              <w:left w:val="nil"/>
              <w:bottom w:val="single" w:sz="8" w:space="0" w:color="auto"/>
              <w:right w:val="nil"/>
            </w:tcBorders>
            <w:shd w:val="clear" w:color="auto" w:fill="BDD6EE" w:themeFill="accent5" w:themeFillTint="66"/>
            <w:tcMar>
              <w:left w:w="28" w:type="dxa"/>
              <w:right w:w="28" w:type="dxa"/>
            </w:tcMar>
            <w:vAlign w:val="center"/>
          </w:tcPr>
          <w:p w14:paraId="57272090" w14:textId="77777777" w:rsidR="0050424A" w:rsidRPr="0068236B" w:rsidRDefault="0050424A" w:rsidP="0050424A">
            <w:pPr>
              <w:spacing w:before="0" w:after="0" w:line="240" w:lineRule="auto"/>
              <w:jc w:val="center"/>
              <w:rPr>
                <w:rFonts w:cs="Tahoma"/>
                <w:color w:val="000000"/>
                <w:sz w:val="20"/>
                <w:szCs w:val="20"/>
              </w:rPr>
            </w:pPr>
          </w:p>
        </w:tc>
        <w:tc>
          <w:tcPr>
            <w:tcW w:w="338" w:type="dxa"/>
            <w:tcBorders>
              <w:top w:val="double" w:sz="4" w:space="0" w:color="auto"/>
              <w:left w:val="nil"/>
              <w:bottom w:val="single" w:sz="8" w:space="0" w:color="auto"/>
              <w:right w:val="double" w:sz="4" w:space="0" w:color="auto"/>
            </w:tcBorders>
            <w:shd w:val="clear" w:color="auto" w:fill="BDD6EE" w:themeFill="accent5" w:themeFillTint="66"/>
            <w:tcMar>
              <w:left w:w="28" w:type="dxa"/>
              <w:right w:w="28" w:type="dxa"/>
            </w:tcMar>
            <w:vAlign w:val="center"/>
          </w:tcPr>
          <w:p w14:paraId="13191340" w14:textId="77777777" w:rsidR="0050424A" w:rsidRPr="0068236B" w:rsidRDefault="0050424A" w:rsidP="0050424A">
            <w:pPr>
              <w:spacing w:before="0" w:after="0" w:line="240" w:lineRule="auto"/>
              <w:jc w:val="center"/>
              <w:rPr>
                <w:rFonts w:cs="Tahoma"/>
                <w:color w:val="000000"/>
                <w:sz w:val="20"/>
                <w:szCs w:val="20"/>
              </w:rPr>
            </w:pPr>
          </w:p>
        </w:tc>
      </w:tr>
      <w:tr w:rsidR="0050424A" w:rsidRPr="0068236B" w14:paraId="30D321BE"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70C0950F"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Pelophylax ridibundus</w:t>
            </w:r>
          </w:p>
        </w:tc>
        <w:tc>
          <w:tcPr>
            <w:tcW w:w="783" w:type="dxa"/>
            <w:tcBorders>
              <w:top w:val="single" w:sz="8" w:space="0" w:color="auto"/>
              <w:bottom w:val="single" w:sz="8" w:space="0" w:color="auto"/>
            </w:tcBorders>
          </w:tcPr>
          <w:p w14:paraId="27234827" w14:textId="77777777" w:rsidR="0050424A" w:rsidRPr="0068236B" w:rsidRDefault="0050424A" w:rsidP="0050424A">
            <w:pPr>
              <w:spacing w:before="0" w:after="0" w:line="240" w:lineRule="auto"/>
              <w:jc w:val="center"/>
              <w:rPr>
                <w:rFonts w:cs="Tahoma"/>
                <w:sz w:val="20"/>
                <w:szCs w:val="20"/>
              </w:rPr>
            </w:pPr>
          </w:p>
        </w:tc>
        <w:tc>
          <w:tcPr>
            <w:tcW w:w="813" w:type="dxa"/>
            <w:tcBorders>
              <w:top w:val="single" w:sz="8" w:space="0" w:color="auto"/>
              <w:bottom w:val="single" w:sz="8" w:space="0" w:color="auto"/>
            </w:tcBorders>
          </w:tcPr>
          <w:p w14:paraId="0F93C2A2"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w:t>
            </w:r>
          </w:p>
        </w:tc>
        <w:tc>
          <w:tcPr>
            <w:tcW w:w="576" w:type="dxa"/>
            <w:tcBorders>
              <w:top w:val="single" w:sz="8" w:space="0" w:color="auto"/>
              <w:bottom w:val="single" w:sz="8" w:space="0" w:color="auto"/>
            </w:tcBorders>
          </w:tcPr>
          <w:p w14:paraId="329E78C0"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LC</w:t>
            </w:r>
          </w:p>
        </w:tc>
        <w:tc>
          <w:tcPr>
            <w:tcW w:w="687" w:type="dxa"/>
            <w:tcBorders>
              <w:top w:val="single" w:sz="8" w:space="0" w:color="auto"/>
              <w:bottom w:val="single" w:sz="8" w:space="0" w:color="auto"/>
            </w:tcBorders>
          </w:tcPr>
          <w:p w14:paraId="048B2490"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LC</w:t>
            </w:r>
          </w:p>
        </w:tc>
        <w:tc>
          <w:tcPr>
            <w:tcW w:w="717" w:type="dxa"/>
            <w:tcBorders>
              <w:top w:val="single" w:sz="8" w:space="0" w:color="auto"/>
              <w:bottom w:val="single" w:sz="8" w:space="0" w:color="auto"/>
            </w:tcBorders>
          </w:tcPr>
          <w:p w14:paraId="69064E60"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LC</w:t>
            </w:r>
          </w:p>
        </w:tc>
        <w:tc>
          <w:tcPr>
            <w:tcW w:w="926" w:type="dxa"/>
            <w:tcBorders>
              <w:top w:val="single" w:sz="8" w:space="0" w:color="auto"/>
              <w:bottom w:val="single" w:sz="8" w:space="0" w:color="auto"/>
            </w:tcBorders>
          </w:tcPr>
          <w:p w14:paraId="31F99D35"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V</w:t>
            </w:r>
          </w:p>
        </w:tc>
        <w:tc>
          <w:tcPr>
            <w:tcW w:w="582" w:type="dxa"/>
            <w:tcBorders>
              <w:top w:val="single" w:sz="8" w:space="0" w:color="auto"/>
              <w:bottom w:val="single" w:sz="8" w:space="0" w:color="auto"/>
            </w:tcBorders>
          </w:tcPr>
          <w:p w14:paraId="5010B60C"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III</w:t>
            </w:r>
          </w:p>
        </w:tc>
        <w:tc>
          <w:tcPr>
            <w:tcW w:w="860" w:type="dxa"/>
            <w:tcBorders>
              <w:top w:val="single" w:sz="8" w:space="0" w:color="auto"/>
              <w:bottom w:val="single" w:sz="8" w:space="0" w:color="auto"/>
            </w:tcBorders>
          </w:tcPr>
          <w:p w14:paraId="2C24C240"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single" w:sz="8" w:space="0" w:color="auto"/>
              <w:bottom w:val="single" w:sz="8" w:space="0" w:color="auto"/>
            </w:tcBorders>
            <w:tcMar>
              <w:left w:w="28" w:type="dxa"/>
              <w:right w:w="28" w:type="dxa"/>
            </w:tcMar>
          </w:tcPr>
          <w:p w14:paraId="193CED90" w14:textId="77777777" w:rsidR="0050424A" w:rsidRPr="0068236B" w:rsidRDefault="0050424A" w:rsidP="0050424A">
            <w:pPr>
              <w:spacing w:before="0" w:after="0" w:line="240" w:lineRule="auto"/>
              <w:jc w:val="center"/>
              <w:rPr>
                <w:rFonts w:cs="Tahoma"/>
                <w:color w:val="000000"/>
                <w:sz w:val="20"/>
                <w:szCs w:val="20"/>
              </w:rPr>
            </w:pPr>
          </w:p>
        </w:tc>
        <w:tc>
          <w:tcPr>
            <w:tcW w:w="362" w:type="dxa"/>
            <w:tcBorders>
              <w:top w:val="single" w:sz="8" w:space="0" w:color="auto"/>
              <w:bottom w:val="single" w:sz="8" w:space="0" w:color="auto"/>
            </w:tcBorders>
            <w:tcMar>
              <w:left w:w="28" w:type="dxa"/>
              <w:right w:w="28" w:type="dxa"/>
            </w:tcMar>
          </w:tcPr>
          <w:p w14:paraId="51727EC2"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3075C353"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r>
      <w:tr w:rsidR="0050424A" w:rsidRPr="0068236B" w14:paraId="79CC482D"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2EC240A7"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Bufo viridis</w:t>
            </w:r>
          </w:p>
        </w:tc>
        <w:tc>
          <w:tcPr>
            <w:tcW w:w="783" w:type="dxa"/>
            <w:tcBorders>
              <w:top w:val="single" w:sz="8" w:space="0" w:color="auto"/>
              <w:bottom w:val="single" w:sz="8" w:space="0" w:color="auto"/>
            </w:tcBorders>
          </w:tcPr>
          <w:p w14:paraId="6D371D35"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ps</w:t>
            </w:r>
          </w:p>
        </w:tc>
        <w:tc>
          <w:tcPr>
            <w:tcW w:w="813" w:type="dxa"/>
            <w:tcBorders>
              <w:top w:val="single" w:sz="8" w:space="0" w:color="auto"/>
              <w:bottom w:val="single" w:sz="8" w:space="0" w:color="auto"/>
            </w:tcBorders>
          </w:tcPr>
          <w:p w14:paraId="76687296"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w:t>
            </w:r>
          </w:p>
        </w:tc>
        <w:tc>
          <w:tcPr>
            <w:tcW w:w="576" w:type="dxa"/>
            <w:tcBorders>
              <w:top w:val="single" w:sz="8" w:space="0" w:color="auto"/>
              <w:bottom w:val="single" w:sz="8" w:space="0" w:color="auto"/>
            </w:tcBorders>
          </w:tcPr>
          <w:p w14:paraId="2000D9C2"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LC</w:t>
            </w:r>
          </w:p>
        </w:tc>
        <w:tc>
          <w:tcPr>
            <w:tcW w:w="687" w:type="dxa"/>
            <w:tcBorders>
              <w:top w:val="single" w:sz="8" w:space="0" w:color="auto"/>
              <w:bottom w:val="single" w:sz="8" w:space="0" w:color="auto"/>
            </w:tcBorders>
          </w:tcPr>
          <w:p w14:paraId="5BAEA54B"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LC</w:t>
            </w:r>
          </w:p>
        </w:tc>
        <w:tc>
          <w:tcPr>
            <w:tcW w:w="717" w:type="dxa"/>
            <w:tcBorders>
              <w:top w:val="single" w:sz="8" w:space="0" w:color="auto"/>
              <w:bottom w:val="single" w:sz="8" w:space="0" w:color="auto"/>
            </w:tcBorders>
          </w:tcPr>
          <w:p w14:paraId="56080277"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LC</w:t>
            </w:r>
          </w:p>
        </w:tc>
        <w:tc>
          <w:tcPr>
            <w:tcW w:w="926" w:type="dxa"/>
            <w:tcBorders>
              <w:top w:val="single" w:sz="8" w:space="0" w:color="auto"/>
              <w:bottom w:val="single" w:sz="8" w:space="0" w:color="auto"/>
            </w:tcBorders>
          </w:tcPr>
          <w:p w14:paraId="0C536F5E"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IV</w:t>
            </w:r>
          </w:p>
        </w:tc>
        <w:tc>
          <w:tcPr>
            <w:tcW w:w="582" w:type="dxa"/>
            <w:tcBorders>
              <w:top w:val="single" w:sz="8" w:space="0" w:color="auto"/>
              <w:bottom w:val="single" w:sz="8" w:space="0" w:color="auto"/>
            </w:tcBorders>
          </w:tcPr>
          <w:p w14:paraId="77E41E58"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II</w:t>
            </w:r>
          </w:p>
        </w:tc>
        <w:tc>
          <w:tcPr>
            <w:tcW w:w="860" w:type="dxa"/>
            <w:tcBorders>
              <w:top w:val="single" w:sz="8" w:space="0" w:color="auto"/>
              <w:bottom w:val="single" w:sz="8" w:space="0" w:color="auto"/>
            </w:tcBorders>
          </w:tcPr>
          <w:p w14:paraId="056D14D4"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single" w:sz="8" w:space="0" w:color="auto"/>
              <w:bottom w:val="single" w:sz="8" w:space="0" w:color="auto"/>
            </w:tcBorders>
            <w:tcMar>
              <w:left w:w="28" w:type="dxa"/>
              <w:right w:w="28" w:type="dxa"/>
            </w:tcMar>
          </w:tcPr>
          <w:p w14:paraId="44C4AA0F"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47BCDF42"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33CDD0B4"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r>
      <w:tr w:rsidR="0050424A" w:rsidRPr="0068236B" w14:paraId="65A5B697" w14:textId="77777777" w:rsidTr="00377B68">
        <w:trPr>
          <w:trHeight w:val="227"/>
          <w:jc w:val="center"/>
        </w:trPr>
        <w:tc>
          <w:tcPr>
            <w:tcW w:w="2791" w:type="dxa"/>
            <w:tcBorders>
              <w:top w:val="single" w:sz="8" w:space="0" w:color="auto"/>
              <w:bottom w:val="double" w:sz="4" w:space="0" w:color="auto"/>
            </w:tcBorders>
            <w:noWrap/>
            <w:tcMar>
              <w:left w:w="28" w:type="dxa"/>
              <w:right w:w="28" w:type="dxa"/>
            </w:tcMar>
            <w:vAlign w:val="center"/>
            <w:hideMark/>
          </w:tcPr>
          <w:p w14:paraId="2CF9EECB"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Rana graeca</w:t>
            </w:r>
          </w:p>
        </w:tc>
        <w:tc>
          <w:tcPr>
            <w:tcW w:w="783" w:type="dxa"/>
            <w:tcBorders>
              <w:top w:val="single" w:sz="8" w:space="0" w:color="auto"/>
              <w:bottom w:val="double" w:sz="4" w:space="0" w:color="auto"/>
            </w:tcBorders>
          </w:tcPr>
          <w:p w14:paraId="0B4AB2BF"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ps</w:t>
            </w:r>
          </w:p>
        </w:tc>
        <w:tc>
          <w:tcPr>
            <w:tcW w:w="813" w:type="dxa"/>
            <w:tcBorders>
              <w:top w:val="single" w:sz="8" w:space="0" w:color="auto"/>
              <w:bottom w:val="double" w:sz="4" w:space="0" w:color="auto"/>
            </w:tcBorders>
          </w:tcPr>
          <w:p w14:paraId="4BB80A6D"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w:t>
            </w:r>
          </w:p>
        </w:tc>
        <w:tc>
          <w:tcPr>
            <w:tcW w:w="576" w:type="dxa"/>
            <w:tcBorders>
              <w:top w:val="single" w:sz="8" w:space="0" w:color="auto"/>
              <w:bottom w:val="double" w:sz="4" w:space="0" w:color="auto"/>
            </w:tcBorders>
          </w:tcPr>
          <w:p w14:paraId="6E74C48C"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NT</w:t>
            </w:r>
          </w:p>
        </w:tc>
        <w:tc>
          <w:tcPr>
            <w:tcW w:w="687" w:type="dxa"/>
            <w:tcBorders>
              <w:top w:val="single" w:sz="8" w:space="0" w:color="auto"/>
              <w:bottom w:val="double" w:sz="4" w:space="0" w:color="auto"/>
            </w:tcBorders>
          </w:tcPr>
          <w:p w14:paraId="10A51D9B"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LC</w:t>
            </w:r>
          </w:p>
        </w:tc>
        <w:tc>
          <w:tcPr>
            <w:tcW w:w="717" w:type="dxa"/>
            <w:tcBorders>
              <w:top w:val="single" w:sz="8" w:space="0" w:color="auto"/>
              <w:bottom w:val="double" w:sz="4" w:space="0" w:color="auto"/>
            </w:tcBorders>
          </w:tcPr>
          <w:p w14:paraId="296D889E"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LC</w:t>
            </w:r>
          </w:p>
        </w:tc>
        <w:tc>
          <w:tcPr>
            <w:tcW w:w="926" w:type="dxa"/>
            <w:tcBorders>
              <w:top w:val="single" w:sz="8" w:space="0" w:color="auto"/>
              <w:bottom w:val="double" w:sz="4" w:space="0" w:color="auto"/>
            </w:tcBorders>
          </w:tcPr>
          <w:p w14:paraId="6A1EEFE9"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IV</w:t>
            </w:r>
          </w:p>
        </w:tc>
        <w:tc>
          <w:tcPr>
            <w:tcW w:w="582" w:type="dxa"/>
            <w:tcBorders>
              <w:top w:val="single" w:sz="8" w:space="0" w:color="auto"/>
              <w:bottom w:val="double" w:sz="4" w:space="0" w:color="auto"/>
            </w:tcBorders>
          </w:tcPr>
          <w:p w14:paraId="3FE6A7AB" w14:textId="77777777" w:rsidR="0050424A" w:rsidRPr="0068236B" w:rsidRDefault="0050424A" w:rsidP="0050424A">
            <w:pPr>
              <w:spacing w:before="0" w:after="0" w:line="240" w:lineRule="auto"/>
              <w:jc w:val="center"/>
              <w:rPr>
                <w:rFonts w:cs="Tahoma"/>
                <w:sz w:val="20"/>
                <w:szCs w:val="20"/>
              </w:rPr>
            </w:pPr>
            <w:r w:rsidRPr="0068236B">
              <w:rPr>
                <w:rFonts w:cs="Tahoma"/>
                <w:sz w:val="20"/>
                <w:szCs w:val="20"/>
              </w:rPr>
              <w:t>II</w:t>
            </w:r>
          </w:p>
        </w:tc>
        <w:tc>
          <w:tcPr>
            <w:tcW w:w="860" w:type="dxa"/>
            <w:tcBorders>
              <w:top w:val="single" w:sz="8" w:space="0" w:color="auto"/>
              <w:bottom w:val="double" w:sz="4" w:space="0" w:color="auto"/>
            </w:tcBorders>
          </w:tcPr>
          <w:p w14:paraId="0EBB25CA"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single" w:sz="8" w:space="0" w:color="auto"/>
              <w:bottom w:val="double" w:sz="4" w:space="0" w:color="auto"/>
            </w:tcBorders>
            <w:tcMar>
              <w:left w:w="28" w:type="dxa"/>
              <w:right w:w="28" w:type="dxa"/>
            </w:tcMar>
          </w:tcPr>
          <w:p w14:paraId="3CA5619E" w14:textId="77777777" w:rsidR="0050424A" w:rsidRPr="0068236B" w:rsidRDefault="0050424A" w:rsidP="0050424A">
            <w:pPr>
              <w:spacing w:before="0" w:after="0" w:line="240" w:lineRule="auto"/>
              <w:jc w:val="center"/>
              <w:rPr>
                <w:rFonts w:cs="Tahoma"/>
                <w:color w:val="000000"/>
                <w:sz w:val="20"/>
                <w:szCs w:val="20"/>
              </w:rPr>
            </w:pPr>
          </w:p>
        </w:tc>
        <w:tc>
          <w:tcPr>
            <w:tcW w:w="362" w:type="dxa"/>
            <w:tcBorders>
              <w:top w:val="single" w:sz="8" w:space="0" w:color="auto"/>
              <w:bottom w:val="double" w:sz="4" w:space="0" w:color="auto"/>
            </w:tcBorders>
            <w:tcMar>
              <w:left w:w="28" w:type="dxa"/>
              <w:right w:w="28" w:type="dxa"/>
            </w:tcMar>
          </w:tcPr>
          <w:p w14:paraId="2F9EBCD2"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38" w:type="dxa"/>
            <w:tcBorders>
              <w:top w:val="single" w:sz="8" w:space="0" w:color="auto"/>
              <w:bottom w:val="double" w:sz="4" w:space="0" w:color="auto"/>
            </w:tcBorders>
            <w:tcMar>
              <w:left w:w="28" w:type="dxa"/>
              <w:right w:w="28" w:type="dxa"/>
            </w:tcMar>
          </w:tcPr>
          <w:p w14:paraId="77BE96A2"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r>
      <w:tr w:rsidR="00A32FBA" w:rsidRPr="0068236B" w14:paraId="5873DD46" w14:textId="77777777" w:rsidTr="00377B68">
        <w:trPr>
          <w:trHeight w:val="227"/>
          <w:jc w:val="center"/>
        </w:trPr>
        <w:tc>
          <w:tcPr>
            <w:tcW w:w="2791" w:type="dxa"/>
            <w:tcBorders>
              <w:top w:val="double" w:sz="4" w:space="0" w:color="auto"/>
              <w:bottom w:val="single" w:sz="8" w:space="0" w:color="auto"/>
              <w:right w:val="nil"/>
            </w:tcBorders>
            <w:shd w:val="clear" w:color="auto" w:fill="BDD6EE" w:themeFill="accent5" w:themeFillTint="66"/>
            <w:noWrap/>
            <w:tcMar>
              <w:left w:w="28" w:type="dxa"/>
              <w:right w:w="28" w:type="dxa"/>
            </w:tcMar>
            <w:vAlign w:val="center"/>
            <w:hideMark/>
          </w:tcPr>
          <w:p w14:paraId="215AB4B8"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Butterflies</w:t>
            </w:r>
          </w:p>
        </w:tc>
        <w:tc>
          <w:tcPr>
            <w:tcW w:w="783" w:type="dxa"/>
            <w:tcBorders>
              <w:top w:val="double" w:sz="4" w:space="0" w:color="auto"/>
              <w:left w:val="nil"/>
              <w:bottom w:val="single" w:sz="8" w:space="0" w:color="auto"/>
              <w:right w:val="nil"/>
            </w:tcBorders>
            <w:shd w:val="clear" w:color="auto" w:fill="BDD6EE" w:themeFill="accent5" w:themeFillTint="66"/>
          </w:tcPr>
          <w:p w14:paraId="2FD3C5F8"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double" w:sz="4" w:space="0" w:color="auto"/>
              <w:left w:val="nil"/>
              <w:bottom w:val="single" w:sz="8" w:space="0" w:color="auto"/>
              <w:right w:val="nil"/>
            </w:tcBorders>
            <w:shd w:val="clear" w:color="auto" w:fill="BDD6EE" w:themeFill="accent5" w:themeFillTint="66"/>
          </w:tcPr>
          <w:p w14:paraId="6A5E8DBD"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double" w:sz="4" w:space="0" w:color="auto"/>
              <w:left w:val="nil"/>
              <w:bottom w:val="single" w:sz="8" w:space="0" w:color="auto"/>
              <w:right w:val="nil"/>
            </w:tcBorders>
            <w:shd w:val="clear" w:color="auto" w:fill="BDD6EE" w:themeFill="accent5" w:themeFillTint="66"/>
          </w:tcPr>
          <w:p w14:paraId="487072E9"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double" w:sz="4" w:space="0" w:color="auto"/>
              <w:left w:val="nil"/>
              <w:bottom w:val="single" w:sz="8" w:space="0" w:color="auto"/>
              <w:right w:val="nil"/>
            </w:tcBorders>
            <w:shd w:val="clear" w:color="auto" w:fill="BDD6EE" w:themeFill="accent5" w:themeFillTint="66"/>
          </w:tcPr>
          <w:p w14:paraId="1CF53A06" w14:textId="77777777" w:rsidR="0050424A" w:rsidRPr="0068236B" w:rsidRDefault="0050424A" w:rsidP="0050424A">
            <w:pPr>
              <w:spacing w:before="0" w:after="0" w:line="240" w:lineRule="auto"/>
              <w:jc w:val="center"/>
              <w:rPr>
                <w:rFonts w:cs="Tahoma"/>
                <w:color w:val="000000"/>
                <w:sz w:val="20"/>
                <w:szCs w:val="20"/>
              </w:rPr>
            </w:pPr>
          </w:p>
        </w:tc>
        <w:tc>
          <w:tcPr>
            <w:tcW w:w="717" w:type="dxa"/>
            <w:tcBorders>
              <w:top w:val="double" w:sz="4" w:space="0" w:color="auto"/>
              <w:left w:val="nil"/>
              <w:bottom w:val="single" w:sz="8" w:space="0" w:color="auto"/>
              <w:right w:val="nil"/>
            </w:tcBorders>
            <w:shd w:val="clear" w:color="auto" w:fill="BDD6EE" w:themeFill="accent5" w:themeFillTint="66"/>
          </w:tcPr>
          <w:p w14:paraId="06BFC8CE" w14:textId="77777777" w:rsidR="0050424A" w:rsidRPr="0068236B" w:rsidRDefault="0050424A" w:rsidP="0050424A">
            <w:pPr>
              <w:spacing w:before="0" w:after="0" w:line="240" w:lineRule="auto"/>
              <w:jc w:val="center"/>
              <w:rPr>
                <w:rFonts w:cs="Tahoma"/>
                <w:color w:val="000000"/>
                <w:sz w:val="20"/>
                <w:szCs w:val="20"/>
              </w:rPr>
            </w:pPr>
          </w:p>
        </w:tc>
        <w:tc>
          <w:tcPr>
            <w:tcW w:w="926" w:type="dxa"/>
            <w:tcBorders>
              <w:top w:val="double" w:sz="4" w:space="0" w:color="auto"/>
              <w:left w:val="nil"/>
              <w:bottom w:val="single" w:sz="8" w:space="0" w:color="auto"/>
              <w:right w:val="nil"/>
            </w:tcBorders>
            <w:shd w:val="clear" w:color="auto" w:fill="BDD6EE" w:themeFill="accent5" w:themeFillTint="66"/>
          </w:tcPr>
          <w:p w14:paraId="06874B66"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double" w:sz="4" w:space="0" w:color="auto"/>
              <w:left w:val="nil"/>
              <w:bottom w:val="single" w:sz="8" w:space="0" w:color="auto"/>
              <w:right w:val="nil"/>
            </w:tcBorders>
            <w:shd w:val="clear" w:color="auto" w:fill="BDD6EE" w:themeFill="accent5" w:themeFillTint="66"/>
          </w:tcPr>
          <w:p w14:paraId="0F644340"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double" w:sz="4" w:space="0" w:color="auto"/>
              <w:left w:val="nil"/>
              <w:bottom w:val="single" w:sz="8" w:space="0" w:color="auto"/>
              <w:right w:val="nil"/>
            </w:tcBorders>
            <w:shd w:val="clear" w:color="auto" w:fill="BDD6EE" w:themeFill="accent5" w:themeFillTint="66"/>
          </w:tcPr>
          <w:p w14:paraId="1474B4C3"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double" w:sz="4" w:space="0" w:color="auto"/>
              <w:left w:val="nil"/>
              <w:bottom w:val="single" w:sz="8" w:space="0" w:color="auto"/>
              <w:right w:val="nil"/>
            </w:tcBorders>
            <w:shd w:val="clear" w:color="auto" w:fill="BDD6EE" w:themeFill="accent5" w:themeFillTint="66"/>
            <w:tcMar>
              <w:left w:w="28" w:type="dxa"/>
              <w:right w:w="28" w:type="dxa"/>
            </w:tcMar>
            <w:vAlign w:val="center"/>
          </w:tcPr>
          <w:p w14:paraId="5C474D64" w14:textId="77777777" w:rsidR="0050424A" w:rsidRPr="0068236B" w:rsidRDefault="0050424A" w:rsidP="0050424A">
            <w:pPr>
              <w:spacing w:before="0" w:after="0" w:line="240" w:lineRule="auto"/>
              <w:jc w:val="center"/>
              <w:rPr>
                <w:rFonts w:cs="Tahoma"/>
                <w:color w:val="000000"/>
                <w:sz w:val="20"/>
                <w:szCs w:val="20"/>
              </w:rPr>
            </w:pPr>
          </w:p>
        </w:tc>
        <w:tc>
          <w:tcPr>
            <w:tcW w:w="362" w:type="dxa"/>
            <w:tcBorders>
              <w:top w:val="double" w:sz="4" w:space="0" w:color="auto"/>
              <w:left w:val="nil"/>
              <w:bottom w:val="single" w:sz="8" w:space="0" w:color="auto"/>
              <w:right w:val="nil"/>
            </w:tcBorders>
            <w:shd w:val="clear" w:color="auto" w:fill="BDD6EE" w:themeFill="accent5" w:themeFillTint="66"/>
            <w:tcMar>
              <w:left w:w="28" w:type="dxa"/>
              <w:right w:w="28" w:type="dxa"/>
            </w:tcMar>
          </w:tcPr>
          <w:p w14:paraId="3670EA24" w14:textId="77777777" w:rsidR="0050424A" w:rsidRPr="0068236B" w:rsidRDefault="0050424A" w:rsidP="0050424A">
            <w:pPr>
              <w:spacing w:before="0" w:after="0" w:line="240" w:lineRule="auto"/>
              <w:jc w:val="center"/>
              <w:rPr>
                <w:rFonts w:cs="Tahoma"/>
                <w:sz w:val="20"/>
                <w:szCs w:val="20"/>
              </w:rPr>
            </w:pPr>
          </w:p>
        </w:tc>
        <w:tc>
          <w:tcPr>
            <w:tcW w:w="338" w:type="dxa"/>
            <w:tcBorders>
              <w:top w:val="double" w:sz="4" w:space="0" w:color="auto"/>
              <w:left w:val="nil"/>
              <w:bottom w:val="single" w:sz="8" w:space="0" w:color="auto"/>
              <w:right w:val="double" w:sz="4" w:space="0" w:color="auto"/>
            </w:tcBorders>
            <w:shd w:val="clear" w:color="auto" w:fill="BDD6EE" w:themeFill="accent5" w:themeFillTint="66"/>
            <w:tcMar>
              <w:left w:w="28" w:type="dxa"/>
              <w:right w:w="28" w:type="dxa"/>
            </w:tcMar>
            <w:vAlign w:val="center"/>
          </w:tcPr>
          <w:p w14:paraId="24D347BD" w14:textId="77777777" w:rsidR="0050424A" w:rsidRPr="0068236B" w:rsidRDefault="0050424A" w:rsidP="0050424A">
            <w:pPr>
              <w:spacing w:before="0" w:after="0" w:line="240" w:lineRule="auto"/>
              <w:jc w:val="center"/>
              <w:rPr>
                <w:rFonts w:cs="Tahoma"/>
                <w:color w:val="000000"/>
                <w:sz w:val="20"/>
                <w:szCs w:val="20"/>
              </w:rPr>
            </w:pPr>
          </w:p>
        </w:tc>
      </w:tr>
      <w:tr w:rsidR="0050424A" w:rsidRPr="0068236B" w14:paraId="61A8C9B3"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6FFCA86F"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Iphiclides podalirius</w:t>
            </w:r>
          </w:p>
        </w:tc>
        <w:tc>
          <w:tcPr>
            <w:tcW w:w="783" w:type="dxa"/>
            <w:tcBorders>
              <w:top w:val="single" w:sz="8" w:space="0" w:color="auto"/>
              <w:bottom w:val="single" w:sz="8" w:space="0" w:color="auto"/>
            </w:tcBorders>
          </w:tcPr>
          <w:p w14:paraId="4AD69AA4"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single" w:sz="8" w:space="0" w:color="auto"/>
            </w:tcBorders>
          </w:tcPr>
          <w:p w14:paraId="25F76A35"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single" w:sz="8" w:space="0" w:color="auto"/>
              <w:bottom w:val="single" w:sz="8" w:space="0" w:color="auto"/>
            </w:tcBorders>
          </w:tcPr>
          <w:p w14:paraId="1FB24AEC"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single" w:sz="8" w:space="0" w:color="auto"/>
              <w:bottom w:val="single" w:sz="8" w:space="0" w:color="auto"/>
            </w:tcBorders>
          </w:tcPr>
          <w:p w14:paraId="15F10725" w14:textId="77777777" w:rsidR="0050424A" w:rsidRPr="0068236B" w:rsidRDefault="0050424A" w:rsidP="0050424A">
            <w:pPr>
              <w:spacing w:before="0" w:after="0" w:line="240" w:lineRule="auto"/>
              <w:jc w:val="center"/>
              <w:rPr>
                <w:rFonts w:cs="Tahoma"/>
                <w:color w:val="000000"/>
                <w:sz w:val="20"/>
                <w:szCs w:val="20"/>
              </w:rPr>
            </w:pPr>
          </w:p>
        </w:tc>
        <w:tc>
          <w:tcPr>
            <w:tcW w:w="717" w:type="dxa"/>
            <w:tcBorders>
              <w:top w:val="single" w:sz="8" w:space="0" w:color="auto"/>
              <w:bottom w:val="single" w:sz="8" w:space="0" w:color="auto"/>
            </w:tcBorders>
          </w:tcPr>
          <w:p w14:paraId="5AABCDE3" w14:textId="77777777" w:rsidR="0050424A" w:rsidRPr="0068236B" w:rsidRDefault="0050424A" w:rsidP="0050424A">
            <w:pPr>
              <w:spacing w:before="0" w:after="0" w:line="240" w:lineRule="auto"/>
              <w:jc w:val="center"/>
              <w:rPr>
                <w:rFonts w:cs="Tahoma"/>
                <w:color w:val="000000"/>
                <w:sz w:val="20"/>
                <w:szCs w:val="20"/>
              </w:rPr>
            </w:pPr>
          </w:p>
        </w:tc>
        <w:tc>
          <w:tcPr>
            <w:tcW w:w="926" w:type="dxa"/>
            <w:tcBorders>
              <w:top w:val="single" w:sz="8" w:space="0" w:color="auto"/>
              <w:bottom w:val="single" w:sz="8" w:space="0" w:color="auto"/>
            </w:tcBorders>
          </w:tcPr>
          <w:p w14:paraId="0C066731"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single" w:sz="8" w:space="0" w:color="auto"/>
            </w:tcBorders>
          </w:tcPr>
          <w:p w14:paraId="6CB18197"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single" w:sz="8" w:space="0" w:color="auto"/>
              <w:bottom w:val="single" w:sz="8" w:space="0" w:color="auto"/>
            </w:tcBorders>
          </w:tcPr>
          <w:p w14:paraId="70C55FEF"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single" w:sz="8" w:space="0" w:color="auto"/>
              <w:bottom w:val="single" w:sz="8" w:space="0" w:color="auto"/>
            </w:tcBorders>
            <w:tcMar>
              <w:left w:w="28" w:type="dxa"/>
              <w:right w:w="28" w:type="dxa"/>
            </w:tcMar>
          </w:tcPr>
          <w:p w14:paraId="5EFE4B2F"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5C97318C"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2F54C225"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r>
      <w:tr w:rsidR="0050424A" w:rsidRPr="0068236B" w14:paraId="40DCD4C1"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234EC413"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Maniola jurtina</w:t>
            </w:r>
          </w:p>
        </w:tc>
        <w:tc>
          <w:tcPr>
            <w:tcW w:w="783" w:type="dxa"/>
            <w:tcBorders>
              <w:top w:val="single" w:sz="8" w:space="0" w:color="auto"/>
              <w:bottom w:val="single" w:sz="8" w:space="0" w:color="auto"/>
            </w:tcBorders>
          </w:tcPr>
          <w:p w14:paraId="1FC4E3E5"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single" w:sz="8" w:space="0" w:color="auto"/>
            </w:tcBorders>
          </w:tcPr>
          <w:p w14:paraId="5F679D9C"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single" w:sz="8" w:space="0" w:color="auto"/>
              <w:bottom w:val="single" w:sz="8" w:space="0" w:color="auto"/>
            </w:tcBorders>
          </w:tcPr>
          <w:p w14:paraId="25164636"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single" w:sz="8" w:space="0" w:color="auto"/>
              <w:bottom w:val="single" w:sz="8" w:space="0" w:color="auto"/>
            </w:tcBorders>
          </w:tcPr>
          <w:p w14:paraId="6290459B" w14:textId="77777777" w:rsidR="0050424A" w:rsidRPr="0068236B" w:rsidRDefault="0050424A" w:rsidP="0050424A">
            <w:pPr>
              <w:spacing w:before="0" w:after="0" w:line="240" w:lineRule="auto"/>
              <w:jc w:val="center"/>
              <w:rPr>
                <w:rFonts w:cs="Tahoma"/>
                <w:color w:val="000000"/>
                <w:sz w:val="20"/>
                <w:szCs w:val="20"/>
              </w:rPr>
            </w:pPr>
          </w:p>
        </w:tc>
        <w:tc>
          <w:tcPr>
            <w:tcW w:w="717" w:type="dxa"/>
            <w:tcBorders>
              <w:top w:val="single" w:sz="8" w:space="0" w:color="auto"/>
              <w:bottom w:val="single" w:sz="8" w:space="0" w:color="auto"/>
            </w:tcBorders>
          </w:tcPr>
          <w:p w14:paraId="53CB29CB" w14:textId="77777777" w:rsidR="0050424A" w:rsidRPr="0068236B" w:rsidRDefault="0050424A" w:rsidP="0050424A">
            <w:pPr>
              <w:spacing w:before="0" w:after="0" w:line="240" w:lineRule="auto"/>
              <w:jc w:val="center"/>
              <w:rPr>
                <w:rFonts w:cs="Tahoma"/>
                <w:color w:val="000000"/>
                <w:sz w:val="20"/>
                <w:szCs w:val="20"/>
              </w:rPr>
            </w:pPr>
          </w:p>
        </w:tc>
        <w:tc>
          <w:tcPr>
            <w:tcW w:w="926" w:type="dxa"/>
            <w:tcBorders>
              <w:top w:val="single" w:sz="8" w:space="0" w:color="auto"/>
              <w:bottom w:val="single" w:sz="8" w:space="0" w:color="auto"/>
            </w:tcBorders>
          </w:tcPr>
          <w:p w14:paraId="340F2C76"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single" w:sz="8" w:space="0" w:color="auto"/>
            </w:tcBorders>
          </w:tcPr>
          <w:p w14:paraId="45296AEE"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single" w:sz="8" w:space="0" w:color="auto"/>
              <w:bottom w:val="single" w:sz="8" w:space="0" w:color="auto"/>
            </w:tcBorders>
          </w:tcPr>
          <w:p w14:paraId="60F811EA"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single" w:sz="8" w:space="0" w:color="auto"/>
              <w:bottom w:val="single" w:sz="8" w:space="0" w:color="auto"/>
            </w:tcBorders>
            <w:tcMar>
              <w:left w:w="28" w:type="dxa"/>
              <w:right w:w="28" w:type="dxa"/>
            </w:tcMar>
          </w:tcPr>
          <w:p w14:paraId="27D4159A"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0E4D7563"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4C9D1288"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r>
      <w:tr w:rsidR="0050424A" w:rsidRPr="0068236B" w14:paraId="7223EF37"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72DAD8C9"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Colias crocea</w:t>
            </w:r>
          </w:p>
        </w:tc>
        <w:tc>
          <w:tcPr>
            <w:tcW w:w="783" w:type="dxa"/>
            <w:tcBorders>
              <w:top w:val="single" w:sz="8" w:space="0" w:color="auto"/>
              <w:bottom w:val="single" w:sz="8" w:space="0" w:color="auto"/>
            </w:tcBorders>
          </w:tcPr>
          <w:p w14:paraId="50BB8DB5"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single" w:sz="8" w:space="0" w:color="auto"/>
            </w:tcBorders>
          </w:tcPr>
          <w:p w14:paraId="463827CE"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single" w:sz="8" w:space="0" w:color="auto"/>
              <w:bottom w:val="single" w:sz="8" w:space="0" w:color="auto"/>
            </w:tcBorders>
          </w:tcPr>
          <w:p w14:paraId="735BD583"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single" w:sz="8" w:space="0" w:color="auto"/>
              <w:bottom w:val="single" w:sz="8" w:space="0" w:color="auto"/>
            </w:tcBorders>
          </w:tcPr>
          <w:p w14:paraId="251AEDF7" w14:textId="77777777" w:rsidR="0050424A" w:rsidRPr="0068236B" w:rsidRDefault="0050424A" w:rsidP="0050424A">
            <w:pPr>
              <w:spacing w:before="0" w:after="0" w:line="240" w:lineRule="auto"/>
              <w:jc w:val="center"/>
              <w:rPr>
                <w:rFonts w:cs="Tahoma"/>
                <w:color w:val="000000"/>
                <w:sz w:val="20"/>
                <w:szCs w:val="20"/>
              </w:rPr>
            </w:pPr>
          </w:p>
        </w:tc>
        <w:tc>
          <w:tcPr>
            <w:tcW w:w="717" w:type="dxa"/>
            <w:tcBorders>
              <w:top w:val="single" w:sz="8" w:space="0" w:color="auto"/>
              <w:bottom w:val="single" w:sz="8" w:space="0" w:color="auto"/>
            </w:tcBorders>
          </w:tcPr>
          <w:p w14:paraId="1527DB73" w14:textId="77777777" w:rsidR="0050424A" w:rsidRPr="0068236B" w:rsidRDefault="0050424A" w:rsidP="0050424A">
            <w:pPr>
              <w:spacing w:before="0" w:after="0" w:line="240" w:lineRule="auto"/>
              <w:jc w:val="center"/>
              <w:rPr>
                <w:rFonts w:cs="Tahoma"/>
                <w:color w:val="000000"/>
                <w:sz w:val="20"/>
                <w:szCs w:val="20"/>
              </w:rPr>
            </w:pPr>
          </w:p>
        </w:tc>
        <w:tc>
          <w:tcPr>
            <w:tcW w:w="926" w:type="dxa"/>
            <w:tcBorders>
              <w:top w:val="single" w:sz="8" w:space="0" w:color="auto"/>
              <w:bottom w:val="single" w:sz="8" w:space="0" w:color="auto"/>
            </w:tcBorders>
          </w:tcPr>
          <w:p w14:paraId="351A7F87"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single" w:sz="8" w:space="0" w:color="auto"/>
            </w:tcBorders>
          </w:tcPr>
          <w:p w14:paraId="549B3316"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single" w:sz="8" w:space="0" w:color="auto"/>
              <w:bottom w:val="single" w:sz="8" w:space="0" w:color="auto"/>
            </w:tcBorders>
          </w:tcPr>
          <w:p w14:paraId="6103B30C"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single" w:sz="8" w:space="0" w:color="auto"/>
              <w:bottom w:val="single" w:sz="8" w:space="0" w:color="auto"/>
            </w:tcBorders>
            <w:tcMar>
              <w:left w:w="28" w:type="dxa"/>
              <w:right w:w="28" w:type="dxa"/>
            </w:tcMar>
          </w:tcPr>
          <w:p w14:paraId="65F8CE51" w14:textId="77777777" w:rsidR="0050424A" w:rsidRPr="0068236B" w:rsidRDefault="0050424A" w:rsidP="0050424A">
            <w:pPr>
              <w:spacing w:before="0" w:after="0" w:line="240" w:lineRule="auto"/>
              <w:jc w:val="center"/>
              <w:rPr>
                <w:rFonts w:cs="Tahoma"/>
                <w:color w:val="000000"/>
                <w:sz w:val="20"/>
                <w:szCs w:val="20"/>
              </w:rPr>
            </w:pPr>
          </w:p>
        </w:tc>
        <w:tc>
          <w:tcPr>
            <w:tcW w:w="362" w:type="dxa"/>
            <w:tcBorders>
              <w:top w:val="single" w:sz="8" w:space="0" w:color="auto"/>
              <w:bottom w:val="single" w:sz="8" w:space="0" w:color="auto"/>
            </w:tcBorders>
            <w:tcMar>
              <w:left w:w="28" w:type="dxa"/>
              <w:right w:w="28" w:type="dxa"/>
            </w:tcMar>
          </w:tcPr>
          <w:p w14:paraId="150FD60A" w14:textId="77777777" w:rsidR="0050424A" w:rsidRPr="0068236B" w:rsidRDefault="0050424A" w:rsidP="0050424A">
            <w:pPr>
              <w:spacing w:before="0" w:after="0" w:line="240" w:lineRule="auto"/>
              <w:jc w:val="center"/>
              <w:rPr>
                <w:rFonts w:cs="Tahoma"/>
                <w:color w:val="000000"/>
                <w:sz w:val="20"/>
                <w:szCs w:val="20"/>
              </w:rPr>
            </w:pPr>
          </w:p>
        </w:tc>
        <w:tc>
          <w:tcPr>
            <w:tcW w:w="338" w:type="dxa"/>
            <w:tcBorders>
              <w:top w:val="single" w:sz="8" w:space="0" w:color="auto"/>
              <w:bottom w:val="single" w:sz="8" w:space="0" w:color="auto"/>
            </w:tcBorders>
            <w:tcMar>
              <w:left w:w="28" w:type="dxa"/>
              <w:right w:w="28" w:type="dxa"/>
            </w:tcMar>
          </w:tcPr>
          <w:p w14:paraId="1B930498"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r>
      <w:tr w:rsidR="0050424A" w:rsidRPr="0068236B" w14:paraId="09D9FBEE"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679D136E"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Anthocharis cardamines</w:t>
            </w:r>
          </w:p>
        </w:tc>
        <w:tc>
          <w:tcPr>
            <w:tcW w:w="783" w:type="dxa"/>
            <w:tcBorders>
              <w:top w:val="single" w:sz="8" w:space="0" w:color="auto"/>
              <w:bottom w:val="single" w:sz="8" w:space="0" w:color="auto"/>
            </w:tcBorders>
          </w:tcPr>
          <w:p w14:paraId="0FFF45F2"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single" w:sz="8" w:space="0" w:color="auto"/>
            </w:tcBorders>
          </w:tcPr>
          <w:p w14:paraId="4F2B065E"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single" w:sz="8" w:space="0" w:color="auto"/>
              <w:bottom w:val="single" w:sz="8" w:space="0" w:color="auto"/>
            </w:tcBorders>
          </w:tcPr>
          <w:p w14:paraId="40A0197E"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single" w:sz="8" w:space="0" w:color="auto"/>
              <w:bottom w:val="single" w:sz="8" w:space="0" w:color="auto"/>
            </w:tcBorders>
          </w:tcPr>
          <w:p w14:paraId="58FECC57" w14:textId="77777777" w:rsidR="0050424A" w:rsidRPr="0068236B" w:rsidRDefault="0050424A" w:rsidP="0050424A">
            <w:pPr>
              <w:spacing w:before="0" w:after="0" w:line="240" w:lineRule="auto"/>
              <w:jc w:val="center"/>
              <w:rPr>
                <w:rFonts w:cs="Tahoma"/>
                <w:color w:val="000000"/>
                <w:sz w:val="20"/>
                <w:szCs w:val="20"/>
              </w:rPr>
            </w:pPr>
          </w:p>
        </w:tc>
        <w:tc>
          <w:tcPr>
            <w:tcW w:w="717" w:type="dxa"/>
            <w:tcBorders>
              <w:top w:val="single" w:sz="8" w:space="0" w:color="auto"/>
              <w:bottom w:val="single" w:sz="8" w:space="0" w:color="auto"/>
            </w:tcBorders>
          </w:tcPr>
          <w:p w14:paraId="41F21014" w14:textId="77777777" w:rsidR="0050424A" w:rsidRPr="0068236B" w:rsidRDefault="0050424A" w:rsidP="0050424A">
            <w:pPr>
              <w:spacing w:before="0" w:after="0" w:line="240" w:lineRule="auto"/>
              <w:jc w:val="center"/>
              <w:rPr>
                <w:rFonts w:cs="Tahoma"/>
                <w:color w:val="000000"/>
                <w:sz w:val="20"/>
                <w:szCs w:val="20"/>
              </w:rPr>
            </w:pPr>
          </w:p>
        </w:tc>
        <w:tc>
          <w:tcPr>
            <w:tcW w:w="926" w:type="dxa"/>
            <w:tcBorders>
              <w:top w:val="single" w:sz="8" w:space="0" w:color="auto"/>
              <w:bottom w:val="single" w:sz="8" w:space="0" w:color="auto"/>
            </w:tcBorders>
          </w:tcPr>
          <w:p w14:paraId="7E5FAD5F"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single" w:sz="8" w:space="0" w:color="auto"/>
            </w:tcBorders>
          </w:tcPr>
          <w:p w14:paraId="378B1B1C"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single" w:sz="8" w:space="0" w:color="auto"/>
              <w:bottom w:val="single" w:sz="8" w:space="0" w:color="auto"/>
            </w:tcBorders>
          </w:tcPr>
          <w:p w14:paraId="6E9BD5EA"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single" w:sz="8" w:space="0" w:color="auto"/>
              <w:bottom w:val="single" w:sz="8" w:space="0" w:color="auto"/>
            </w:tcBorders>
            <w:tcMar>
              <w:left w:w="28" w:type="dxa"/>
              <w:right w:w="28" w:type="dxa"/>
            </w:tcMar>
          </w:tcPr>
          <w:p w14:paraId="6B6A5C8E"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6A6D98A9"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09868CF3" w14:textId="77777777" w:rsidR="0050424A" w:rsidRPr="0068236B" w:rsidRDefault="0050424A" w:rsidP="0050424A">
            <w:pPr>
              <w:spacing w:before="0" w:after="0" w:line="240" w:lineRule="auto"/>
              <w:jc w:val="center"/>
              <w:rPr>
                <w:rFonts w:cs="Tahoma"/>
                <w:color w:val="000000"/>
                <w:sz w:val="20"/>
                <w:szCs w:val="20"/>
              </w:rPr>
            </w:pPr>
          </w:p>
        </w:tc>
      </w:tr>
      <w:tr w:rsidR="0050424A" w:rsidRPr="0068236B" w14:paraId="14F28271"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0AA28F0A"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Gonepteryx rhami</w:t>
            </w:r>
          </w:p>
        </w:tc>
        <w:tc>
          <w:tcPr>
            <w:tcW w:w="783" w:type="dxa"/>
            <w:tcBorders>
              <w:top w:val="single" w:sz="8" w:space="0" w:color="auto"/>
              <w:bottom w:val="single" w:sz="8" w:space="0" w:color="auto"/>
            </w:tcBorders>
          </w:tcPr>
          <w:p w14:paraId="1956213E"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single" w:sz="8" w:space="0" w:color="auto"/>
            </w:tcBorders>
          </w:tcPr>
          <w:p w14:paraId="1845FA41"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single" w:sz="8" w:space="0" w:color="auto"/>
              <w:bottom w:val="single" w:sz="8" w:space="0" w:color="auto"/>
            </w:tcBorders>
          </w:tcPr>
          <w:p w14:paraId="4F9E41F7"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single" w:sz="8" w:space="0" w:color="auto"/>
              <w:bottom w:val="single" w:sz="8" w:space="0" w:color="auto"/>
            </w:tcBorders>
          </w:tcPr>
          <w:p w14:paraId="05557CF9" w14:textId="77777777" w:rsidR="0050424A" w:rsidRPr="0068236B" w:rsidRDefault="0050424A" w:rsidP="0050424A">
            <w:pPr>
              <w:spacing w:before="0" w:after="0" w:line="240" w:lineRule="auto"/>
              <w:jc w:val="center"/>
              <w:rPr>
                <w:rFonts w:cs="Tahoma"/>
                <w:color w:val="000000"/>
                <w:sz w:val="20"/>
                <w:szCs w:val="20"/>
              </w:rPr>
            </w:pPr>
          </w:p>
        </w:tc>
        <w:tc>
          <w:tcPr>
            <w:tcW w:w="717" w:type="dxa"/>
            <w:tcBorders>
              <w:top w:val="single" w:sz="8" w:space="0" w:color="auto"/>
              <w:bottom w:val="single" w:sz="8" w:space="0" w:color="auto"/>
            </w:tcBorders>
          </w:tcPr>
          <w:p w14:paraId="3BA80093" w14:textId="77777777" w:rsidR="0050424A" w:rsidRPr="0068236B" w:rsidRDefault="0050424A" w:rsidP="0050424A">
            <w:pPr>
              <w:spacing w:before="0" w:after="0" w:line="240" w:lineRule="auto"/>
              <w:jc w:val="center"/>
              <w:rPr>
                <w:rFonts w:cs="Tahoma"/>
                <w:color w:val="000000"/>
                <w:sz w:val="20"/>
                <w:szCs w:val="20"/>
              </w:rPr>
            </w:pPr>
          </w:p>
        </w:tc>
        <w:tc>
          <w:tcPr>
            <w:tcW w:w="926" w:type="dxa"/>
            <w:tcBorders>
              <w:top w:val="single" w:sz="8" w:space="0" w:color="auto"/>
              <w:bottom w:val="single" w:sz="8" w:space="0" w:color="auto"/>
            </w:tcBorders>
          </w:tcPr>
          <w:p w14:paraId="372AD002"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single" w:sz="8" w:space="0" w:color="auto"/>
            </w:tcBorders>
          </w:tcPr>
          <w:p w14:paraId="007AB6F2"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single" w:sz="8" w:space="0" w:color="auto"/>
              <w:bottom w:val="single" w:sz="8" w:space="0" w:color="auto"/>
            </w:tcBorders>
          </w:tcPr>
          <w:p w14:paraId="7EC909B3"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single" w:sz="8" w:space="0" w:color="auto"/>
              <w:bottom w:val="single" w:sz="8" w:space="0" w:color="auto"/>
            </w:tcBorders>
            <w:tcMar>
              <w:left w:w="28" w:type="dxa"/>
              <w:right w:w="28" w:type="dxa"/>
            </w:tcMar>
          </w:tcPr>
          <w:p w14:paraId="0186032E"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0D34B0FD"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39769302"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r>
      <w:tr w:rsidR="0050424A" w:rsidRPr="0068236B" w14:paraId="1158C22F"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3682E897"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Pieris brassicae</w:t>
            </w:r>
          </w:p>
        </w:tc>
        <w:tc>
          <w:tcPr>
            <w:tcW w:w="783" w:type="dxa"/>
            <w:tcBorders>
              <w:top w:val="single" w:sz="8" w:space="0" w:color="auto"/>
              <w:bottom w:val="single" w:sz="8" w:space="0" w:color="auto"/>
            </w:tcBorders>
          </w:tcPr>
          <w:p w14:paraId="5721C3E4"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single" w:sz="8" w:space="0" w:color="auto"/>
            </w:tcBorders>
          </w:tcPr>
          <w:p w14:paraId="4564F644"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single" w:sz="8" w:space="0" w:color="auto"/>
              <w:bottom w:val="single" w:sz="8" w:space="0" w:color="auto"/>
            </w:tcBorders>
          </w:tcPr>
          <w:p w14:paraId="4D4872E2"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single" w:sz="8" w:space="0" w:color="auto"/>
              <w:bottom w:val="single" w:sz="8" w:space="0" w:color="auto"/>
            </w:tcBorders>
          </w:tcPr>
          <w:p w14:paraId="6F6C1C52" w14:textId="77777777" w:rsidR="0050424A" w:rsidRPr="0068236B" w:rsidRDefault="0050424A" w:rsidP="0050424A">
            <w:pPr>
              <w:spacing w:before="0" w:after="0" w:line="240" w:lineRule="auto"/>
              <w:jc w:val="center"/>
              <w:rPr>
                <w:rFonts w:cs="Tahoma"/>
                <w:color w:val="000000"/>
                <w:sz w:val="20"/>
                <w:szCs w:val="20"/>
              </w:rPr>
            </w:pPr>
          </w:p>
        </w:tc>
        <w:tc>
          <w:tcPr>
            <w:tcW w:w="717" w:type="dxa"/>
            <w:tcBorders>
              <w:top w:val="single" w:sz="8" w:space="0" w:color="auto"/>
              <w:bottom w:val="single" w:sz="8" w:space="0" w:color="auto"/>
            </w:tcBorders>
          </w:tcPr>
          <w:p w14:paraId="218755ED" w14:textId="77777777" w:rsidR="0050424A" w:rsidRPr="0068236B" w:rsidRDefault="0050424A" w:rsidP="0050424A">
            <w:pPr>
              <w:spacing w:before="0" w:after="0" w:line="240" w:lineRule="auto"/>
              <w:jc w:val="center"/>
              <w:rPr>
                <w:rFonts w:cs="Tahoma"/>
                <w:color w:val="000000"/>
                <w:sz w:val="20"/>
                <w:szCs w:val="20"/>
              </w:rPr>
            </w:pPr>
          </w:p>
        </w:tc>
        <w:tc>
          <w:tcPr>
            <w:tcW w:w="926" w:type="dxa"/>
            <w:tcBorders>
              <w:top w:val="single" w:sz="8" w:space="0" w:color="auto"/>
              <w:bottom w:val="single" w:sz="8" w:space="0" w:color="auto"/>
            </w:tcBorders>
          </w:tcPr>
          <w:p w14:paraId="5FF81A5F"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single" w:sz="8" w:space="0" w:color="auto"/>
            </w:tcBorders>
          </w:tcPr>
          <w:p w14:paraId="4C188DF8"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single" w:sz="8" w:space="0" w:color="auto"/>
              <w:bottom w:val="single" w:sz="8" w:space="0" w:color="auto"/>
            </w:tcBorders>
          </w:tcPr>
          <w:p w14:paraId="650B4CAA"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single" w:sz="8" w:space="0" w:color="auto"/>
              <w:bottom w:val="single" w:sz="8" w:space="0" w:color="auto"/>
            </w:tcBorders>
            <w:tcMar>
              <w:left w:w="28" w:type="dxa"/>
              <w:right w:w="28" w:type="dxa"/>
            </w:tcMar>
          </w:tcPr>
          <w:p w14:paraId="7D891356"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0EB7B492"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3896EEED" w14:textId="77777777" w:rsidR="0050424A" w:rsidRPr="0068236B" w:rsidRDefault="0050424A" w:rsidP="0050424A">
            <w:pPr>
              <w:spacing w:before="0" w:after="0" w:line="240" w:lineRule="auto"/>
              <w:jc w:val="center"/>
              <w:rPr>
                <w:rFonts w:cs="Tahoma"/>
                <w:color w:val="000000"/>
                <w:sz w:val="20"/>
                <w:szCs w:val="20"/>
              </w:rPr>
            </w:pPr>
          </w:p>
        </w:tc>
      </w:tr>
      <w:tr w:rsidR="0050424A" w:rsidRPr="0068236B" w14:paraId="19FFE05F"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151E2E83"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Pieris mannii</w:t>
            </w:r>
          </w:p>
        </w:tc>
        <w:tc>
          <w:tcPr>
            <w:tcW w:w="783" w:type="dxa"/>
            <w:tcBorders>
              <w:top w:val="single" w:sz="8" w:space="0" w:color="auto"/>
              <w:bottom w:val="single" w:sz="8" w:space="0" w:color="auto"/>
            </w:tcBorders>
          </w:tcPr>
          <w:p w14:paraId="41EB1C39"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single" w:sz="8" w:space="0" w:color="auto"/>
            </w:tcBorders>
          </w:tcPr>
          <w:p w14:paraId="73A69F3B"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single" w:sz="8" w:space="0" w:color="auto"/>
              <w:bottom w:val="single" w:sz="8" w:space="0" w:color="auto"/>
            </w:tcBorders>
          </w:tcPr>
          <w:p w14:paraId="5A37832F"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single" w:sz="8" w:space="0" w:color="auto"/>
              <w:bottom w:val="single" w:sz="8" w:space="0" w:color="auto"/>
            </w:tcBorders>
          </w:tcPr>
          <w:p w14:paraId="1EB0795E" w14:textId="77777777" w:rsidR="0050424A" w:rsidRPr="0068236B" w:rsidRDefault="0050424A" w:rsidP="0050424A">
            <w:pPr>
              <w:spacing w:before="0" w:after="0" w:line="240" w:lineRule="auto"/>
              <w:jc w:val="center"/>
              <w:rPr>
                <w:rFonts w:cs="Tahoma"/>
                <w:color w:val="000000"/>
                <w:sz w:val="20"/>
                <w:szCs w:val="20"/>
              </w:rPr>
            </w:pPr>
          </w:p>
        </w:tc>
        <w:tc>
          <w:tcPr>
            <w:tcW w:w="717" w:type="dxa"/>
            <w:tcBorders>
              <w:top w:val="single" w:sz="8" w:space="0" w:color="auto"/>
              <w:bottom w:val="single" w:sz="8" w:space="0" w:color="auto"/>
            </w:tcBorders>
          </w:tcPr>
          <w:p w14:paraId="732CD613" w14:textId="77777777" w:rsidR="0050424A" w:rsidRPr="0068236B" w:rsidRDefault="0050424A" w:rsidP="0050424A">
            <w:pPr>
              <w:spacing w:before="0" w:after="0" w:line="240" w:lineRule="auto"/>
              <w:jc w:val="center"/>
              <w:rPr>
                <w:rFonts w:cs="Tahoma"/>
                <w:color w:val="000000"/>
                <w:sz w:val="20"/>
                <w:szCs w:val="20"/>
              </w:rPr>
            </w:pPr>
          </w:p>
        </w:tc>
        <w:tc>
          <w:tcPr>
            <w:tcW w:w="926" w:type="dxa"/>
            <w:tcBorders>
              <w:top w:val="single" w:sz="8" w:space="0" w:color="auto"/>
              <w:bottom w:val="single" w:sz="8" w:space="0" w:color="auto"/>
            </w:tcBorders>
          </w:tcPr>
          <w:p w14:paraId="1A1D8952"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single" w:sz="8" w:space="0" w:color="auto"/>
            </w:tcBorders>
          </w:tcPr>
          <w:p w14:paraId="7A29D059"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single" w:sz="8" w:space="0" w:color="auto"/>
              <w:bottom w:val="single" w:sz="8" w:space="0" w:color="auto"/>
            </w:tcBorders>
          </w:tcPr>
          <w:p w14:paraId="312AE410"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single" w:sz="8" w:space="0" w:color="auto"/>
              <w:bottom w:val="single" w:sz="8" w:space="0" w:color="auto"/>
            </w:tcBorders>
            <w:tcMar>
              <w:left w:w="28" w:type="dxa"/>
              <w:right w:w="28" w:type="dxa"/>
            </w:tcMar>
          </w:tcPr>
          <w:p w14:paraId="557C0BB5"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12DA0D0D"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52336D95" w14:textId="77777777" w:rsidR="0050424A" w:rsidRPr="0068236B" w:rsidRDefault="0050424A" w:rsidP="0050424A">
            <w:pPr>
              <w:spacing w:before="0" w:after="0" w:line="240" w:lineRule="auto"/>
              <w:jc w:val="center"/>
              <w:rPr>
                <w:rFonts w:cs="Tahoma"/>
                <w:color w:val="000000"/>
                <w:sz w:val="20"/>
                <w:szCs w:val="20"/>
              </w:rPr>
            </w:pPr>
          </w:p>
        </w:tc>
      </w:tr>
      <w:tr w:rsidR="0050424A" w:rsidRPr="0068236B" w14:paraId="4AE456EB"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084F5DEE"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Pararge aegeria</w:t>
            </w:r>
          </w:p>
        </w:tc>
        <w:tc>
          <w:tcPr>
            <w:tcW w:w="783" w:type="dxa"/>
            <w:tcBorders>
              <w:top w:val="single" w:sz="8" w:space="0" w:color="auto"/>
              <w:bottom w:val="single" w:sz="8" w:space="0" w:color="auto"/>
            </w:tcBorders>
          </w:tcPr>
          <w:p w14:paraId="67D31686"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single" w:sz="8" w:space="0" w:color="auto"/>
            </w:tcBorders>
          </w:tcPr>
          <w:p w14:paraId="2814132F"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single" w:sz="8" w:space="0" w:color="auto"/>
              <w:bottom w:val="single" w:sz="8" w:space="0" w:color="auto"/>
            </w:tcBorders>
          </w:tcPr>
          <w:p w14:paraId="2530B942"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single" w:sz="8" w:space="0" w:color="auto"/>
              <w:bottom w:val="single" w:sz="8" w:space="0" w:color="auto"/>
            </w:tcBorders>
          </w:tcPr>
          <w:p w14:paraId="593FE1E1" w14:textId="77777777" w:rsidR="0050424A" w:rsidRPr="0068236B" w:rsidRDefault="0050424A" w:rsidP="0050424A">
            <w:pPr>
              <w:spacing w:before="0" w:after="0" w:line="240" w:lineRule="auto"/>
              <w:jc w:val="center"/>
              <w:rPr>
                <w:rFonts w:cs="Tahoma"/>
                <w:color w:val="000000"/>
                <w:sz w:val="20"/>
                <w:szCs w:val="20"/>
              </w:rPr>
            </w:pPr>
          </w:p>
        </w:tc>
        <w:tc>
          <w:tcPr>
            <w:tcW w:w="717" w:type="dxa"/>
            <w:tcBorders>
              <w:top w:val="single" w:sz="8" w:space="0" w:color="auto"/>
              <w:bottom w:val="single" w:sz="8" w:space="0" w:color="auto"/>
            </w:tcBorders>
          </w:tcPr>
          <w:p w14:paraId="02C96AD4" w14:textId="77777777" w:rsidR="0050424A" w:rsidRPr="0068236B" w:rsidRDefault="0050424A" w:rsidP="0050424A">
            <w:pPr>
              <w:spacing w:before="0" w:after="0" w:line="240" w:lineRule="auto"/>
              <w:jc w:val="center"/>
              <w:rPr>
                <w:rFonts w:cs="Tahoma"/>
                <w:color w:val="000000"/>
                <w:sz w:val="20"/>
                <w:szCs w:val="20"/>
              </w:rPr>
            </w:pPr>
          </w:p>
        </w:tc>
        <w:tc>
          <w:tcPr>
            <w:tcW w:w="926" w:type="dxa"/>
            <w:tcBorders>
              <w:top w:val="single" w:sz="8" w:space="0" w:color="auto"/>
              <w:bottom w:val="single" w:sz="8" w:space="0" w:color="auto"/>
            </w:tcBorders>
          </w:tcPr>
          <w:p w14:paraId="041404B0"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single" w:sz="8" w:space="0" w:color="auto"/>
            </w:tcBorders>
          </w:tcPr>
          <w:p w14:paraId="0F0473DD"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single" w:sz="8" w:space="0" w:color="auto"/>
              <w:bottom w:val="single" w:sz="8" w:space="0" w:color="auto"/>
            </w:tcBorders>
          </w:tcPr>
          <w:p w14:paraId="38DD97EF"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single" w:sz="8" w:space="0" w:color="auto"/>
              <w:bottom w:val="single" w:sz="8" w:space="0" w:color="auto"/>
            </w:tcBorders>
            <w:tcMar>
              <w:left w:w="28" w:type="dxa"/>
              <w:right w:w="28" w:type="dxa"/>
            </w:tcMar>
          </w:tcPr>
          <w:p w14:paraId="281A75F3"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1A2BAF8A"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18FA06D2"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r>
      <w:tr w:rsidR="0050424A" w:rsidRPr="0068236B" w14:paraId="6EE1BB09"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34E74ACA"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Lybithea celtis</w:t>
            </w:r>
          </w:p>
        </w:tc>
        <w:tc>
          <w:tcPr>
            <w:tcW w:w="783" w:type="dxa"/>
            <w:tcBorders>
              <w:top w:val="single" w:sz="8" w:space="0" w:color="auto"/>
              <w:bottom w:val="single" w:sz="8" w:space="0" w:color="auto"/>
            </w:tcBorders>
          </w:tcPr>
          <w:p w14:paraId="282D03EC"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single" w:sz="8" w:space="0" w:color="auto"/>
            </w:tcBorders>
          </w:tcPr>
          <w:p w14:paraId="61FC34B9"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single" w:sz="8" w:space="0" w:color="auto"/>
              <w:bottom w:val="single" w:sz="8" w:space="0" w:color="auto"/>
            </w:tcBorders>
          </w:tcPr>
          <w:p w14:paraId="237F7BB2"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single" w:sz="8" w:space="0" w:color="auto"/>
              <w:bottom w:val="single" w:sz="8" w:space="0" w:color="auto"/>
            </w:tcBorders>
          </w:tcPr>
          <w:p w14:paraId="6CB91103" w14:textId="77777777" w:rsidR="0050424A" w:rsidRPr="0068236B" w:rsidRDefault="0050424A" w:rsidP="0050424A">
            <w:pPr>
              <w:spacing w:before="0" w:after="0" w:line="240" w:lineRule="auto"/>
              <w:jc w:val="center"/>
              <w:rPr>
                <w:rFonts w:cs="Tahoma"/>
                <w:color w:val="000000"/>
                <w:sz w:val="20"/>
                <w:szCs w:val="20"/>
              </w:rPr>
            </w:pPr>
          </w:p>
        </w:tc>
        <w:tc>
          <w:tcPr>
            <w:tcW w:w="717" w:type="dxa"/>
            <w:tcBorders>
              <w:top w:val="single" w:sz="8" w:space="0" w:color="auto"/>
              <w:bottom w:val="single" w:sz="8" w:space="0" w:color="auto"/>
            </w:tcBorders>
          </w:tcPr>
          <w:p w14:paraId="12CE8685" w14:textId="77777777" w:rsidR="0050424A" w:rsidRPr="0068236B" w:rsidRDefault="0050424A" w:rsidP="0050424A">
            <w:pPr>
              <w:spacing w:before="0" w:after="0" w:line="240" w:lineRule="auto"/>
              <w:jc w:val="center"/>
              <w:rPr>
                <w:rFonts w:cs="Tahoma"/>
                <w:color w:val="000000"/>
                <w:sz w:val="20"/>
                <w:szCs w:val="20"/>
              </w:rPr>
            </w:pPr>
          </w:p>
        </w:tc>
        <w:tc>
          <w:tcPr>
            <w:tcW w:w="926" w:type="dxa"/>
            <w:tcBorders>
              <w:top w:val="single" w:sz="8" w:space="0" w:color="auto"/>
              <w:bottom w:val="single" w:sz="8" w:space="0" w:color="auto"/>
            </w:tcBorders>
          </w:tcPr>
          <w:p w14:paraId="180B5B7C"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single" w:sz="8" w:space="0" w:color="auto"/>
            </w:tcBorders>
          </w:tcPr>
          <w:p w14:paraId="06C15C3F"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single" w:sz="8" w:space="0" w:color="auto"/>
              <w:bottom w:val="single" w:sz="8" w:space="0" w:color="auto"/>
            </w:tcBorders>
          </w:tcPr>
          <w:p w14:paraId="42FC9934"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single" w:sz="8" w:space="0" w:color="auto"/>
              <w:bottom w:val="single" w:sz="8" w:space="0" w:color="auto"/>
            </w:tcBorders>
            <w:tcMar>
              <w:left w:w="28" w:type="dxa"/>
              <w:right w:w="28" w:type="dxa"/>
            </w:tcMar>
          </w:tcPr>
          <w:p w14:paraId="6F8E4232"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3F8E5DFE"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53B8AD6B"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r>
      <w:tr w:rsidR="0050424A" w:rsidRPr="0068236B" w14:paraId="33B747F2" w14:textId="77777777" w:rsidTr="00377B68">
        <w:trPr>
          <w:trHeight w:val="227"/>
          <w:jc w:val="center"/>
        </w:trPr>
        <w:tc>
          <w:tcPr>
            <w:tcW w:w="2791" w:type="dxa"/>
            <w:tcBorders>
              <w:top w:val="single" w:sz="8" w:space="0" w:color="auto"/>
              <w:bottom w:val="double" w:sz="4" w:space="0" w:color="auto"/>
            </w:tcBorders>
            <w:noWrap/>
            <w:tcMar>
              <w:left w:w="28" w:type="dxa"/>
              <w:right w:w="28" w:type="dxa"/>
            </w:tcMar>
            <w:vAlign w:val="center"/>
            <w:hideMark/>
          </w:tcPr>
          <w:p w14:paraId="64D127F3"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Polyommatus icarus</w:t>
            </w:r>
          </w:p>
        </w:tc>
        <w:tc>
          <w:tcPr>
            <w:tcW w:w="783" w:type="dxa"/>
            <w:tcBorders>
              <w:top w:val="single" w:sz="8" w:space="0" w:color="auto"/>
              <w:bottom w:val="double" w:sz="4" w:space="0" w:color="auto"/>
            </w:tcBorders>
          </w:tcPr>
          <w:p w14:paraId="46F693D5"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double" w:sz="4" w:space="0" w:color="auto"/>
            </w:tcBorders>
          </w:tcPr>
          <w:p w14:paraId="7C922432"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single" w:sz="8" w:space="0" w:color="auto"/>
              <w:bottom w:val="double" w:sz="4" w:space="0" w:color="auto"/>
            </w:tcBorders>
          </w:tcPr>
          <w:p w14:paraId="0D839FDB"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single" w:sz="8" w:space="0" w:color="auto"/>
              <w:bottom w:val="double" w:sz="4" w:space="0" w:color="auto"/>
            </w:tcBorders>
          </w:tcPr>
          <w:p w14:paraId="0D985A9F" w14:textId="77777777" w:rsidR="0050424A" w:rsidRPr="0068236B" w:rsidRDefault="0050424A" w:rsidP="0050424A">
            <w:pPr>
              <w:spacing w:before="0" w:after="0" w:line="240" w:lineRule="auto"/>
              <w:jc w:val="center"/>
              <w:rPr>
                <w:rFonts w:cs="Tahoma"/>
                <w:color w:val="000000"/>
                <w:sz w:val="20"/>
                <w:szCs w:val="20"/>
              </w:rPr>
            </w:pPr>
          </w:p>
        </w:tc>
        <w:tc>
          <w:tcPr>
            <w:tcW w:w="717" w:type="dxa"/>
            <w:tcBorders>
              <w:top w:val="single" w:sz="8" w:space="0" w:color="auto"/>
              <w:bottom w:val="double" w:sz="4" w:space="0" w:color="auto"/>
            </w:tcBorders>
          </w:tcPr>
          <w:p w14:paraId="28D932DF" w14:textId="77777777" w:rsidR="0050424A" w:rsidRPr="0068236B" w:rsidRDefault="0050424A" w:rsidP="0050424A">
            <w:pPr>
              <w:spacing w:before="0" w:after="0" w:line="240" w:lineRule="auto"/>
              <w:jc w:val="center"/>
              <w:rPr>
                <w:rFonts w:cs="Tahoma"/>
                <w:color w:val="000000"/>
                <w:sz w:val="20"/>
                <w:szCs w:val="20"/>
              </w:rPr>
            </w:pPr>
          </w:p>
        </w:tc>
        <w:tc>
          <w:tcPr>
            <w:tcW w:w="926" w:type="dxa"/>
            <w:tcBorders>
              <w:top w:val="single" w:sz="8" w:space="0" w:color="auto"/>
              <w:bottom w:val="double" w:sz="4" w:space="0" w:color="auto"/>
            </w:tcBorders>
          </w:tcPr>
          <w:p w14:paraId="2F8155D3"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double" w:sz="4" w:space="0" w:color="auto"/>
            </w:tcBorders>
          </w:tcPr>
          <w:p w14:paraId="0FC65E11"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single" w:sz="8" w:space="0" w:color="auto"/>
              <w:bottom w:val="double" w:sz="4" w:space="0" w:color="auto"/>
            </w:tcBorders>
          </w:tcPr>
          <w:p w14:paraId="4813608E"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single" w:sz="8" w:space="0" w:color="auto"/>
              <w:bottom w:val="double" w:sz="4" w:space="0" w:color="auto"/>
            </w:tcBorders>
            <w:tcMar>
              <w:left w:w="28" w:type="dxa"/>
              <w:right w:w="28" w:type="dxa"/>
            </w:tcMar>
          </w:tcPr>
          <w:p w14:paraId="2A6C1223"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62" w:type="dxa"/>
            <w:tcBorders>
              <w:top w:val="single" w:sz="8" w:space="0" w:color="auto"/>
              <w:bottom w:val="double" w:sz="4" w:space="0" w:color="auto"/>
            </w:tcBorders>
            <w:tcMar>
              <w:left w:w="28" w:type="dxa"/>
              <w:right w:w="28" w:type="dxa"/>
            </w:tcMar>
          </w:tcPr>
          <w:p w14:paraId="0F00876F"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c>
          <w:tcPr>
            <w:tcW w:w="338" w:type="dxa"/>
            <w:tcBorders>
              <w:top w:val="single" w:sz="8" w:space="0" w:color="auto"/>
              <w:bottom w:val="double" w:sz="4" w:space="0" w:color="auto"/>
            </w:tcBorders>
            <w:tcMar>
              <w:left w:w="28" w:type="dxa"/>
              <w:right w:w="28" w:type="dxa"/>
            </w:tcMar>
          </w:tcPr>
          <w:p w14:paraId="22586213" w14:textId="77777777" w:rsidR="0050424A" w:rsidRPr="0068236B" w:rsidRDefault="0050424A" w:rsidP="0050424A">
            <w:pPr>
              <w:spacing w:before="0" w:after="0" w:line="240" w:lineRule="auto"/>
              <w:jc w:val="center"/>
              <w:rPr>
                <w:rFonts w:cs="Tahoma"/>
                <w:sz w:val="20"/>
                <w:szCs w:val="20"/>
              </w:rPr>
            </w:pPr>
            <w:r w:rsidRPr="0068236B">
              <w:rPr>
                <w:rFonts w:cs="Tahoma"/>
                <w:color w:val="000000"/>
                <w:sz w:val="20"/>
                <w:szCs w:val="20"/>
              </w:rPr>
              <w:t>√</w:t>
            </w:r>
          </w:p>
        </w:tc>
      </w:tr>
      <w:tr w:rsidR="00A32FBA" w:rsidRPr="0068236B" w14:paraId="1BA69005" w14:textId="77777777" w:rsidTr="00377B68">
        <w:trPr>
          <w:trHeight w:val="227"/>
          <w:jc w:val="center"/>
        </w:trPr>
        <w:tc>
          <w:tcPr>
            <w:tcW w:w="2791" w:type="dxa"/>
            <w:tcBorders>
              <w:top w:val="double" w:sz="4" w:space="0" w:color="auto"/>
              <w:bottom w:val="single" w:sz="8" w:space="0" w:color="auto"/>
              <w:right w:val="nil"/>
            </w:tcBorders>
            <w:shd w:val="clear" w:color="auto" w:fill="BDD6EE" w:themeFill="accent5" w:themeFillTint="66"/>
            <w:noWrap/>
            <w:tcMar>
              <w:left w:w="28" w:type="dxa"/>
              <w:right w:w="28" w:type="dxa"/>
            </w:tcMar>
            <w:vAlign w:val="center"/>
            <w:hideMark/>
          </w:tcPr>
          <w:p w14:paraId="194FEEFA"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Other insects</w:t>
            </w:r>
          </w:p>
        </w:tc>
        <w:tc>
          <w:tcPr>
            <w:tcW w:w="783" w:type="dxa"/>
            <w:tcBorders>
              <w:top w:val="double" w:sz="4" w:space="0" w:color="auto"/>
              <w:left w:val="nil"/>
              <w:bottom w:val="single" w:sz="8" w:space="0" w:color="auto"/>
              <w:right w:val="nil"/>
            </w:tcBorders>
            <w:shd w:val="clear" w:color="auto" w:fill="BDD6EE" w:themeFill="accent5" w:themeFillTint="66"/>
          </w:tcPr>
          <w:p w14:paraId="2A8F9B0D"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double" w:sz="4" w:space="0" w:color="auto"/>
              <w:left w:val="nil"/>
              <w:bottom w:val="single" w:sz="8" w:space="0" w:color="auto"/>
              <w:right w:val="nil"/>
            </w:tcBorders>
            <w:shd w:val="clear" w:color="auto" w:fill="BDD6EE" w:themeFill="accent5" w:themeFillTint="66"/>
          </w:tcPr>
          <w:p w14:paraId="623C1E55"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double" w:sz="4" w:space="0" w:color="auto"/>
              <w:left w:val="nil"/>
              <w:bottom w:val="single" w:sz="8" w:space="0" w:color="auto"/>
              <w:right w:val="nil"/>
            </w:tcBorders>
            <w:shd w:val="clear" w:color="auto" w:fill="BDD6EE" w:themeFill="accent5" w:themeFillTint="66"/>
          </w:tcPr>
          <w:p w14:paraId="37649033"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double" w:sz="4" w:space="0" w:color="auto"/>
              <w:left w:val="nil"/>
              <w:bottom w:val="single" w:sz="8" w:space="0" w:color="auto"/>
              <w:right w:val="nil"/>
            </w:tcBorders>
            <w:shd w:val="clear" w:color="auto" w:fill="BDD6EE" w:themeFill="accent5" w:themeFillTint="66"/>
          </w:tcPr>
          <w:p w14:paraId="27FCCEE5" w14:textId="77777777" w:rsidR="0050424A" w:rsidRPr="0068236B" w:rsidRDefault="0050424A" w:rsidP="0050424A">
            <w:pPr>
              <w:spacing w:before="0" w:after="0" w:line="240" w:lineRule="auto"/>
              <w:jc w:val="center"/>
              <w:rPr>
                <w:rFonts w:cs="Tahoma"/>
                <w:color w:val="000000"/>
                <w:sz w:val="20"/>
                <w:szCs w:val="20"/>
              </w:rPr>
            </w:pPr>
          </w:p>
        </w:tc>
        <w:tc>
          <w:tcPr>
            <w:tcW w:w="717" w:type="dxa"/>
            <w:tcBorders>
              <w:top w:val="double" w:sz="4" w:space="0" w:color="auto"/>
              <w:left w:val="nil"/>
              <w:bottom w:val="single" w:sz="8" w:space="0" w:color="auto"/>
              <w:right w:val="nil"/>
            </w:tcBorders>
            <w:shd w:val="clear" w:color="auto" w:fill="BDD6EE" w:themeFill="accent5" w:themeFillTint="66"/>
          </w:tcPr>
          <w:p w14:paraId="2899DCEB" w14:textId="77777777" w:rsidR="0050424A" w:rsidRPr="0068236B" w:rsidRDefault="0050424A" w:rsidP="0050424A">
            <w:pPr>
              <w:spacing w:before="0" w:after="0" w:line="240" w:lineRule="auto"/>
              <w:jc w:val="center"/>
              <w:rPr>
                <w:rFonts w:cs="Tahoma"/>
                <w:color w:val="000000"/>
                <w:sz w:val="20"/>
                <w:szCs w:val="20"/>
              </w:rPr>
            </w:pPr>
          </w:p>
        </w:tc>
        <w:tc>
          <w:tcPr>
            <w:tcW w:w="926" w:type="dxa"/>
            <w:tcBorders>
              <w:top w:val="double" w:sz="4" w:space="0" w:color="auto"/>
              <w:left w:val="nil"/>
              <w:bottom w:val="single" w:sz="8" w:space="0" w:color="auto"/>
              <w:right w:val="nil"/>
            </w:tcBorders>
            <w:shd w:val="clear" w:color="auto" w:fill="BDD6EE" w:themeFill="accent5" w:themeFillTint="66"/>
          </w:tcPr>
          <w:p w14:paraId="31BCDFEA"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double" w:sz="4" w:space="0" w:color="auto"/>
              <w:left w:val="nil"/>
              <w:bottom w:val="single" w:sz="8" w:space="0" w:color="auto"/>
              <w:right w:val="nil"/>
            </w:tcBorders>
            <w:shd w:val="clear" w:color="auto" w:fill="BDD6EE" w:themeFill="accent5" w:themeFillTint="66"/>
          </w:tcPr>
          <w:p w14:paraId="35E6E4DB"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double" w:sz="4" w:space="0" w:color="auto"/>
              <w:left w:val="nil"/>
              <w:bottom w:val="single" w:sz="8" w:space="0" w:color="auto"/>
              <w:right w:val="nil"/>
            </w:tcBorders>
            <w:shd w:val="clear" w:color="auto" w:fill="BDD6EE" w:themeFill="accent5" w:themeFillTint="66"/>
          </w:tcPr>
          <w:p w14:paraId="75E67F05"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double" w:sz="4" w:space="0" w:color="auto"/>
              <w:left w:val="nil"/>
              <w:bottom w:val="single" w:sz="8" w:space="0" w:color="auto"/>
              <w:right w:val="nil"/>
            </w:tcBorders>
            <w:shd w:val="clear" w:color="auto" w:fill="BDD6EE" w:themeFill="accent5" w:themeFillTint="66"/>
            <w:tcMar>
              <w:left w:w="28" w:type="dxa"/>
              <w:right w:w="28" w:type="dxa"/>
            </w:tcMar>
          </w:tcPr>
          <w:p w14:paraId="26A3DE60" w14:textId="77777777" w:rsidR="0050424A" w:rsidRPr="0068236B" w:rsidRDefault="0050424A" w:rsidP="0050424A">
            <w:pPr>
              <w:spacing w:before="0" w:after="0" w:line="240" w:lineRule="auto"/>
              <w:jc w:val="center"/>
              <w:rPr>
                <w:rFonts w:cs="Tahoma"/>
                <w:color w:val="000000"/>
                <w:sz w:val="20"/>
                <w:szCs w:val="20"/>
              </w:rPr>
            </w:pPr>
          </w:p>
        </w:tc>
        <w:tc>
          <w:tcPr>
            <w:tcW w:w="362" w:type="dxa"/>
            <w:tcBorders>
              <w:top w:val="double" w:sz="4" w:space="0" w:color="auto"/>
              <w:left w:val="nil"/>
              <w:bottom w:val="single" w:sz="8" w:space="0" w:color="auto"/>
              <w:right w:val="nil"/>
            </w:tcBorders>
            <w:shd w:val="clear" w:color="auto" w:fill="BDD6EE" w:themeFill="accent5" w:themeFillTint="66"/>
            <w:tcMar>
              <w:left w:w="28" w:type="dxa"/>
              <w:right w:w="28" w:type="dxa"/>
            </w:tcMar>
          </w:tcPr>
          <w:p w14:paraId="7796D094" w14:textId="77777777" w:rsidR="0050424A" w:rsidRPr="0068236B" w:rsidRDefault="0050424A" w:rsidP="0050424A">
            <w:pPr>
              <w:spacing w:before="0" w:after="0" w:line="240" w:lineRule="auto"/>
              <w:jc w:val="center"/>
              <w:rPr>
                <w:rFonts w:cs="Tahoma"/>
                <w:color w:val="000000"/>
                <w:sz w:val="20"/>
                <w:szCs w:val="20"/>
              </w:rPr>
            </w:pPr>
          </w:p>
        </w:tc>
        <w:tc>
          <w:tcPr>
            <w:tcW w:w="338" w:type="dxa"/>
            <w:tcBorders>
              <w:top w:val="double" w:sz="4" w:space="0" w:color="auto"/>
              <w:left w:val="nil"/>
              <w:bottom w:val="single" w:sz="8" w:space="0" w:color="auto"/>
              <w:right w:val="double" w:sz="4" w:space="0" w:color="auto"/>
            </w:tcBorders>
            <w:shd w:val="clear" w:color="auto" w:fill="BDD6EE" w:themeFill="accent5" w:themeFillTint="66"/>
            <w:tcMar>
              <w:left w:w="28" w:type="dxa"/>
              <w:right w:w="28" w:type="dxa"/>
            </w:tcMar>
          </w:tcPr>
          <w:p w14:paraId="6FCCB772" w14:textId="77777777" w:rsidR="0050424A" w:rsidRPr="0068236B" w:rsidRDefault="0050424A" w:rsidP="0050424A">
            <w:pPr>
              <w:spacing w:before="0" w:after="0" w:line="240" w:lineRule="auto"/>
              <w:jc w:val="center"/>
              <w:rPr>
                <w:rFonts w:cs="Tahoma"/>
                <w:color w:val="000000"/>
                <w:sz w:val="20"/>
                <w:szCs w:val="20"/>
              </w:rPr>
            </w:pPr>
          </w:p>
        </w:tc>
      </w:tr>
      <w:tr w:rsidR="0050424A" w:rsidRPr="0068236B" w14:paraId="7C11587C"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5FEFD02E"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Nemoptera sinuata</w:t>
            </w:r>
          </w:p>
        </w:tc>
        <w:tc>
          <w:tcPr>
            <w:tcW w:w="783" w:type="dxa"/>
            <w:tcBorders>
              <w:top w:val="single" w:sz="8" w:space="0" w:color="auto"/>
              <w:bottom w:val="single" w:sz="8" w:space="0" w:color="auto"/>
            </w:tcBorders>
          </w:tcPr>
          <w:p w14:paraId="0E124FAD"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single" w:sz="8" w:space="0" w:color="auto"/>
            </w:tcBorders>
          </w:tcPr>
          <w:p w14:paraId="6F8766F4"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single" w:sz="8" w:space="0" w:color="auto"/>
              <w:bottom w:val="single" w:sz="8" w:space="0" w:color="auto"/>
            </w:tcBorders>
          </w:tcPr>
          <w:p w14:paraId="388586F1"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single" w:sz="8" w:space="0" w:color="auto"/>
              <w:bottom w:val="single" w:sz="8" w:space="0" w:color="auto"/>
            </w:tcBorders>
          </w:tcPr>
          <w:p w14:paraId="75969F65" w14:textId="77777777" w:rsidR="0050424A" w:rsidRPr="0068236B" w:rsidRDefault="0050424A" w:rsidP="0050424A">
            <w:pPr>
              <w:spacing w:before="0" w:after="0" w:line="240" w:lineRule="auto"/>
              <w:jc w:val="center"/>
              <w:rPr>
                <w:rFonts w:cs="Tahoma"/>
                <w:color w:val="000000"/>
                <w:sz w:val="20"/>
                <w:szCs w:val="20"/>
              </w:rPr>
            </w:pPr>
          </w:p>
        </w:tc>
        <w:tc>
          <w:tcPr>
            <w:tcW w:w="717" w:type="dxa"/>
            <w:tcBorders>
              <w:top w:val="single" w:sz="8" w:space="0" w:color="auto"/>
              <w:bottom w:val="single" w:sz="8" w:space="0" w:color="auto"/>
            </w:tcBorders>
          </w:tcPr>
          <w:p w14:paraId="2E6DC959" w14:textId="77777777" w:rsidR="0050424A" w:rsidRPr="0068236B" w:rsidRDefault="0050424A" w:rsidP="0050424A">
            <w:pPr>
              <w:spacing w:before="0" w:after="0" w:line="240" w:lineRule="auto"/>
              <w:jc w:val="center"/>
              <w:rPr>
                <w:rFonts w:cs="Tahoma"/>
                <w:color w:val="000000"/>
                <w:sz w:val="20"/>
                <w:szCs w:val="20"/>
              </w:rPr>
            </w:pPr>
          </w:p>
        </w:tc>
        <w:tc>
          <w:tcPr>
            <w:tcW w:w="926" w:type="dxa"/>
            <w:tcBorders>
              <w:top w:val="single" w:sz="8" w:space="0" w:color="auto"/>
              <w:bottom w:val="single" w:sz="8" w:space="0" w:color="auto"/>
            </w:tcBorders>
          </w:tcPr>
          <w:p w14:paraId="44D22523"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single" w:sz="8" w:space="0" w:color="auto"/>
            </w:tcBorders>
          </w:tcPr>
          <w:p w14:paraId="4CE78655"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single" w:sz="8" w:space="0" w:color="auto"/>
              <w:bottom w:val="single" w:sz="8" w:space="0" w:color="auto"/>
            </w:tcBorders>
          </w:tcPr>
          <w:p w14:paraId="691943D1"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single" w:sz="8" w:space="0" w:color="auto"/>
              <w:bottom w:val="single" w:sz="8" w:space="0" w:color="auto"/>
            </w:tcBorders>
            <w:tcMar>
              <w:left w:w="28" w:type="dxa"/>
              <w:right w:w="28" w:type="dxa"/>
            </w:tcMar>
          </w:tcPr>
          <w:p w14:paraId="094B9A12" w14:textId="77777777" w:rsidR="0050424A" w:rsidRPr="0068236B" w:rsidRDefault="0050424A" w:rsidP="0050424A">
            <w:pPr>
              <w:spacing w:before="0" w:after="0" w:line="240" w:lineRule="auto"/>
              <w:jc w:val="center"/>
              <w:rPr>
                <w:rFonts w:cs="Tahoma"/>
                <w:color w:val="000000"/>
                <w:sz w:val="20"/>
                <w:szCs w:val="20"/>
              </w:rPr>
            </w:pPr>
          </w:p>
        </w:tc>
        <w:tc>
          <w:tcPr>
            <w:tcW w:w="362" w:type="dxa"/>
            <w:tcBorders>
              <w:top w:val="single" w:sz="8" w:space="0" w:color="auto"/>
              <w:bottom w:val="single" w:sz="8" w:space="0" w:color="auto"/>
            </w:tcBorders>
            <w:tcMar>
              <w:left w:w="28" w:type="dxa"/>
              <w:right w:w="28" w:type="dxa"/>
            </w:tcMar>
          </w:tcPr>
          <w:p w14:paraId="346262A8" w14:textId="77777777" w:rsidR="0050424A" w:rsidRPr="0068236B" w:rsidRDefault="0050424A" w:rsidP="0050424A">
            <w:pPr>
              <w:spacing w:before="0" w:after="0" w:line="240" w:lineRule="auto"/>
              <w:jc w:val="center"/>
              <w:rPr>
                <w:rFonts w:cs="Tahoma"/>
                <w:color w:val="000000"/>
                <w:sz w:val="20"/>
                <w:szCs w:val="20"/>
              </w:rPr>
            </w:pPr>
          </w:p>
        </w:tc>
        <w:tc>
          <w:tcPr>
            <w:tcW w:w="338" w:type="dxa"/>
            <w:tcBorders>
              <w:top w:val="single" w:sz="8" w:space="0" w:color="auto"/>
              <w:bottom w:val="single" w:sz="8" w:space="0" w:color="auto"/>
            </w:tcBorders>
            <w:tcMar>
              <w:left w:w="28" w:type="dxa"/>
              <w:right w:w="28" w:type="dxa"/>
            </w:tcMar>
          </w:tcPr>
          <w:p w14:paraId="3D6F90C3"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r>
      <w:tr w:rsidR="0050424A" w:rsidRPr="0068236B" w14:paraId="53913C7A"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407C9079"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Oecanthus pellucens</w:t>
            </w:r>
          </w:p>
        </w:tc>
        <w:tc>
          <w:tcPr>
            <w:tcW w:w="783" w:type="dxa"/>
            <w:tcBorders>
              <w:top w:val="single" w:sz="8" w:space="0" w:color="auto"/>
              <w:bottom w:val="single" w:sz="8" w:space="0" w:color="auto"/>
            </w:tcBorders>
          </w:tcPr>
          <w:p w14:paraId="05BF3C5D" w14:textId="77777777" w:rsidR="0050424A" w:rsidRPr="0068236B" w:rsidRDefault="0050424A" w:rsidP="0050424A">
            <w:pPr>
              <w:spacing w:before="0" w:after="0" w:line="240" w:lineRule="auto"/>
              <w:rPr>
                <w:rFonts w:cs="Tahoma"/>
                <w:color w:val="000000"/>
                <w:sz w:val="20"/>
                <w:szCs w:val="20"/>
              </w:rPr>
            </w:pPr>
          </w:p>
        </w:tc>
        <w:tc>
          <w:tcPr>
            <w:tcW w:w="813" w:type="dxa"/>
            <w:tcBorders>
              <w:top w:val="single" w:sz="8" w:space="0" w:color="auto"/>
              <w:bottom w:val="single" w:sz="8" w:space="0" w:color="auto"/>
            </w:tcBorders>
          </w:tcPr>
          <w:p w14:paraId="147B7D6D" w14:textId="77777777" w:rsidR="0050424A" w:rsidRPr="0068236B" w:rsidRDefault="0050424A" w:rsidP="0050424A">
            <w:pPr>
              <w:spacing w:before="0" w:after="0" w:line="240" w:lineRule="auto"/>
              <w:rPr>
                <w:rFonts w:cs="Tahoma"/>
                <w:color w:val="000000"/>
                <w:sz w:val="20"/>
                <w:szCs w:val="20"/>
              </w:rPr>
            </w:pPr>
          </w:p>
        </w:tc>
        <w:tc>
          <w:tcPr>
            <w:tcW w:w="576" w:type="dxa"/>
            <w:tcBorders>
              <w:top w:val="single" w:sz="8" w:space="0" w:color="auto"/>
              <w:bottom w:val="single" w:sz="8" w:space="0" w:color="auto"/>
            </w:tcBorders>
          </w:tcPr>
          <w:p w14:paraId="60877691" w14:textId="77777777" w:rsidR="0050424A" w:rsidRPr="0068236B" w:rsidRDefault="0050424A" w:rsidP="0050424A">
            <w:pPr>
              <w:spacing w:before="0" w:after="0" w:line="240" w:lineRule="auto"/>
              <w:rPr>
                <w:rFonts w:cs="Tahoma"/>
                <w:color w:val="000000"/>
                <w:sz w:val="20"/>
                <w:szCs w:val="20"/>
              </w:rPr>
            </w:pPr>
          </w:p>
        </w:tc>
        <w:tc>
          <w:tcPr>
            <w:tcW w:w="687" w:type="dxa"/>
            <w:tcBorders>
              <w:top w:val="single" w:sz="8" w:space="0" w:color="auto"/>
              <w:bottom w:val="single" w:sz="8" w:space="0" w:color="auto"/>
            </w:tcBorders>
          </w:tcPr>
          <w:p w14:paraId="47DC8CD1" w14:textId="77777777" w:rsidR="0050424A" w:rsidRPr="0068236B" w:rsidRDefault="0050424A" w:rsidP="0050424A">
            <w:pPr>
              <w:spacing w:before="0" w:after="0" w:line="240" w:lineRule="auto"/>
              <w:rPr>
                <w:rFonts w:cs="Tahoma"/>
                <w:color w:val="000000"/>
                <w:sz w:val="20"/>
                <w:szCs w:val="20"/>
              </w:rPr>
            </w:pPr>
          </w:p>
        </w:tc>
        <w:tc>
          <w:tcPr>
            <w:tcW w:w="717" w:type="dxa"/>
            <w:tcBorders>
              <w:top w:val="single" w:sz="8" w:space="0" w:color="auto"/>
              <w:bottom w:val="single" w:sz="8" w:space="0" w:color="auto"/>
            </w:tcBorders>
          </w:tcPr>
          <w:p w14:paraId="7312F63B" w14:textId="77777777" w:rsidR="0050424A" w:rsidRPr="0068236B" w:rsidRDefault="0050424A" w:rsidP="0050424A">
            <w:pPr>
              <w:spacing w:before="0" w:after="0" w:line="240" w:lineRule="auto"/>
              <w:rPr>
                <w:rFonts w:cs="Tahoma"/>
                <w:color w:val="000000"/>
                <w:sz w:val="20"/>
                <w:szCs w:val="20"/>
              </w:rPr>
            </w:pPr>
          </w:p>
        </w:tc>
        <w:tc>
          <w:tcPr>
            <w:tcW w:w="926" w:type="dxa"/>
            <w:tcBorders>
              <w:top w:val="single" w:sz="8" w:space="0" w:color="auto"/>
              <w:bottom w:val="single" w:sz="8" w:space="0" w:color="auto"/>
            </w:tcBorders>
          </w:tcPr>
          <w:p w14:paraId="397D1A23" w14:textId="77777777" w:rsidR="0050424A" w:rsidRPr="0068236B" w:rsidRDefault="0050424A" w:rsidP="0050424A">
            <w:pPr>
              <w:spacing w:before="0" w:after="0" w:line="240" w:lineRule="auto"/>
              <w:rPr>
                <w:rFonts w:cs="Tahoma"/>
                <w:color w:val="000000"/>
                <w:sz w:val="20"/>
                <w:szCs w:val="20"/>
              </w:rPr>
            </w:pPr>
          </w:p>
        </w:tc>
        <w:tc>
          <w:tcPr>
            <w:tcW w:w="582" w:type="dxa"/>
            <w:tcBorders>
              <w:top w:val="single" w:sz="8" w:space="0" w:color="auto"/>
              <w:bottom w:val="single" w:sz="8" w:space="0" w:color="auto"/>
            </w:tcBorders>
          </w:tcPr>
          <w:p w14:paraId="0F608F5A" w14:textId="77777777" w:rsidR="0050424A" w:rsidRPr="0068236B" w:rsidRDefault="0050424A" w:rsidP="0050424A">
            <w:pPr>
              <w:spacing w:before="0" w:after="0" w:line="240" w:lineRule="auto"/>
              <w:rPr>
                <w:rFonts w:cs="Tahoma"/>
                <w:color w:val="000000"/>
                <w:sz w:val="20"/>
                <w:szCs w:val="20"/>
              </w:rPr>
            </w:pPr>
          </w:p>
        </w:tc>
        <w:tc>
          <w:tcPr>
            <w:tcW w:w="860" w:type="dxa"/>
            <w:tcBorders>
              <w:top w:val="single" w:sz="8" w:space="0" w:color="auto"/>
              <w:bottom w:val="single" w:sz="8" w:space="0" w:color="auto"/>
            </w:tcBorders>
          </w:tcPr>
          <w:p w14:paraId="066832FC" w14:textId="77777777" w:rsidR="0050424A" w:rsidRPr="0068236B" w:rsidRDefault="0050424A" w:rsidP="0050424A">
            <w:pPr>
              <w:spacing w:before="0" w:after="0" w:line="240" w:lineRule="auto"/>
              <w:rPr>
                <w:rFonts w:cs="Tahoma"/>
                <w:color w:val="000000"/>
                <w:sz w:val="20"/>
                <w:szCs w:val="20"/>
              </w:rPr>
            </w:pPr>
          </w:p>
        </w:tc>
        <w:tc>
          <w:tcPr>
            <w:tcW w:w="361" w:type="dxa"/>
            <w:tcBorders>
              <w:top w:val="single" w:sz="8" w:space="0" w:color="auto"/>
              <w:bottom w:val="single" w:sz="8" w:space="0" w:color="auto"/>
            </w:tcBorders>
            <w:tcMar>
              <w:left w:w="28" w:type="dxa"/>
              <w:right w:w="28" w:type="dxa"/>
            </w:tcMar>
          </w:tcPr>
          <w:p w14:paraId="6678A55E"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3D6CED5A"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16DA663F"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r>
      <w:tr w:rsidR="0050424A" w:rsidRPr="0068236B" w14:paraId="5EE94360"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05C9FA00"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Carabuc coriaceus emgei</w:t>
            </w:r>
          </w:p>
        </w:tc>
        <w:tc>
          <w:tcPr>
            <w:tcW w:w="783" w:type="dxa"/>
            <w:tcBorders>
              <w:top w:val="single" w:sz="8" w:space="0" w:color="auto"/>
              <w:bottom w:val="single" w:sz="8" w:space="0" w:color="auto"/>
            </w:tcBorders>
          </w:tcPr>
          <w:p w14:paraId="30889822" w14:textId="77777777" w:rsidR="0050424A" w:rsidRPr="0068236B" w:rsidRDefault="0050424A" w:rsidP="0050424A">
            <w:pPr>
              <w:spacing w:before="0" w:after="0" w:line="240" w:lineRule="auto"/>
              <w:rPr>
                <w:rFonts w:cs="Tahoma"/>
                <w:color w:val="000000"/>
                <w:sz w:val="20"/>
                <w:szCs w:val="20"/>
              </w:rPr>
            </w:pPr>
          </w:p>
        </w:tc>
        <w:tc>
          <w:tcPr>
            <w:tcW w:w="813" w:type="dxa"/>
            <w:tcBorders>
              <w:top w:val="single" w:sz="8" w:space="0" w:color="auto"/>
              <w:bottom w:val="single" w:sz="8" w:space="0" w:color="auto"/>
            </w:tcBorders>
          </w:tcPr>
          <w:p w14:paraId="03412ACB" w14:textId="77777777" w:rsidR="0050424A" w:rsidRPr="0068236B" w:rsidRDefault="0050424A" w:rsidP="0050424A">
            <w:pPr>
              <w:spacing w:before="0" w:after="0" w:line="240" w:lineRule="auto"/>
              <w:rPr>
                <w:rFonts w:cs="Tahoma"/>
                <w:color w:val="000000"/>
                <w:sz w:val="20"/>
                <w:szCs w:val="20"/>
              </w:rPr>
            </w:pPr>
          </w:p>
        </w:tc>
        <w:tc>
          <w:tcPr>
            <w:tcW w:w="576" w:type="dxa"/>
            <w:tcBorders>
              <w:top w:val="single" w:sz="8" w:space="0" w:color="auto"/>
              <w:bottom w:val="single" w:sz="8" w:space="0" w:color="auto"/>
            </w:tcBorders>
          </w:tcPr>
          <w:p w14:paraId="76136A6F" w14:textId="77777777" w:rsidR="0050424A" w:rsidRPr="0068236B" w:rsidRDefault="0050424A" w:rsidP="0050424A">
            <w:pPr>
              <w:spacing w:before="0" w:after="0" w:line="240" w:lineRule="auto"/>
              <w:rPr>
                <w:rFonts w:cs="Tahoma"/>
                <w:color w:val="000000"/>
                <w:sz w:val="20"/>
                <w:szCs w:val="20"/>
              </w:rPr>
            </w:pPr>
          </w:p>
        </w:tc>
        <w:tc>
          <w:tcPr>
            <w:tcW w:w="687" w:type="dxa"/>
            <w:tcBorders>
              <w:top w:val="single" w:sz="8" w:space="0" w:color="auto"/>
              <w:bottom w:val="single" w:sz="8" w:space="0" w:color="auto"/>
            </w:tcBorders>
          </w:tcPr>
          <w:p w14:paraId="61E72979" w14:textId="77777777" w:rsidR="0050424A" w:rsidRPr="0068236B" w:rsidRDefault="0050424A" w:rsidP="0050424A">
            <w:pPr>
              <w:spacing w:before="0" w:after="0" w:line="240" w:lineRule="auto"/>
              <w:rPr>
                <w:rFonts w:cs="Tahoma"/>
                <w:color w:val="000000"/>
                <w:sz w:val="20"/>
                <w:szCs w:val="20"/>
              </w:rPr>
            </w:pPr>
          </w:p>
        </w:tc>
        <w:tc>
          <w:tcPr>
            <w:tcW w:w="717" w:type="dxa"/>
            <w:tcBorders>
              <w:top w:val="single" w:sz="8" w:space="0" w:color="auto"/>
              <w:bottom w:val="single" w:sz="8" w:space="0" w:color="auto"/>
            </w:tcBorders>
          </w:tcPr>
          <w:p w14:paraId="7C2EEF2E" w14:textId="77777777" w:rsidR="0050424A" w:rsidRPr="0068236B" w:rsidRDefault="0050424A" w:rsidP="0050424A">
            <w:pPr>
              <w:spacing w:before="0" w:after="0" w:line="240" w:lineRule="auto"/>
              <w:rPr>
                <w:rFonts w:cs="Tahoma"/>
                <w:color w:val="000000"/>
                <w:sz w:val="20"/>
                <w:szCs w:val="20"/>
              </w:rPr>
            </w:pPr>
          </w:p>
        </w:tc>
        <w:tc>
          <w:tcPr>
            <w:tcW w:w="926" w:type="dxa"/>
            <w:tcBorders>
              <w:top w:val="single" w:sz="8" w:space="0" w:color="auto"/>
              <w:bottom w:val="single" w:sz="8" w:space="0" w:color="auto"/>
            </w:tcBorders>
          </w:tcPr>
          <w:p w14:paraId="2F9AAAF4" w14:textId="77777777" w:rsidR="0050424A" w:rsidRPr="0068236B" w:rsidRDefault="0050424A" w:rsidP="0050424A">
            <w:pPr>
              <w:spacing w:before="0" w:after="0" w:line="240" w:lineRule="auto"/>
              <w:rPr>
                <w:rFonts w:cs="Tahoma"/>
                <w:color w:val="000000"/>
                <w:sz w:val="20"/>
                <w:szCs w:val="20"/>
              </w:rPr>
            </w:pPr>
          </w:p>
        </w:tc>
        <w:tc>
          <w:tcPr>
            <w:tcW w:w="582" w:type="dxa"/>
            <w:tcBorders>
              <w:top w:val="single" w:sz="8" w:space="0" w:color="auto"/>
              <w:bottom w:val="single" w:sz="8" w:space="0" w:color="auto"/>
            </w:tcBorders>
          </w:tcPr>
          <w:p w14:paraId="5B9D140D" w14:textId="77777777" w:rsidR="0050424A" w:rsidRPr="0068236B" w:rsidRDefault="0050424A" w:rsidP="0050424A">
            <w:pPr>
              <w:spacing w:before="0" w:after="0" w:line="240" w:lineRule="auto"/>
              <w:rPr>
                <w:rFonts w:cs="Tahoma"/>
                <w:color w:val="000000"/>
                <w:sz w:val="20"/>
                <w:szCs w:val="20"/>
              </w:rPr>
            </w:pPr>
          </w:p>
        </w:tc>
        <w:tc>
          <w:tcPr>
            <w:tcW w:w="860" w:type="dxa"/>
            <w:tcBorders>
              <w:top w:val="single" w:sz="8" w:space="0" w:color="auto"/>
              <w:bottom w:val="single" w:sz="8" w:space="0" w:color="auto"/>
            </w:tcBorders>
          </w:tcPr>
          <w:p w14:paraId="34172684" w14:textId="77777777" w:rsidR="0050424A" w:rsidRPr="0068236B" w:rsidRDefault="0050424A" w:rsidP="0050424A">
            <w:pPr>
              <w:spacing w:before="0" w:after="0" w:line="240" w:lineRule="auto"/>
              <w:rPr>
                <w:rFonts w:cs="Tahoma"/>
                <w:color w:val="000000"/>
                <w:sz w:val="20"/>
                <w:szCs w:val="20"/>
              </w:rPr>
            </w:pPr>
          </w:p>
        </w:tc>
        <w:tc>
          <w:tcPr>
            <w:tcW w:w="361" w:type="dxa"/>
            <w:tcBorders>
              <w:top w:val="single" w:sz="8" w:space="0" w:color="auto"/>
              <w:bottom w:val="single" w:sz="8" w:space="0" w:color="auto"/>
            </w:tcBorders>
            <w:tcMar>
              <w:left w:w="28" w:type="dxa"/>
              <w:right w:w="28" w:type="dxa"/>
            </w:tcMar>
          </w:tcPr>
          <w:p w14:paraId="772D7017"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25320FE7"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0C98D9D4"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r>
      <w:tr w:rsidR="0050424A" w:rsidRPr="0068236B" w14:paraId="69A93006"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35CA9DE8"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Carabus graecus morio</w:t>
            </w:r>
          </w:p>
        </w:tc>
        <w:tc>
          <w:tcPr>
            <w:tcW w:w="783" w:type="dxa"/>
            <w:tcBorders>
              <w:top w:val="single" w:sz="8" w:space="0" w:color="auto"/>
              <w:bottom w:val="single" w:sz="8" w:space="0" w:color="auto"/>
            </w:tcBorders>
          </w:tcPr>
          <w:p w14:paraId="39189391"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single" w:sz="8" w:space="0" w:color="auto"/>
            </w:tcBorders>
          </w:tcPr>
          <w:p w14:paraId="7EE1E3AF"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single" w:sz="8" w:space="0" w:color="auto"/>
              <w:bottom w:val="single" w:sz="8" w:space="0" w:color="auto"/>
            </w:tcBorders>
          </w:tcPr>
          <w:p w14:paraId="3AE8B1C0"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single" w:sz="8" w:space="0" w:color="auto"/>
              <w:bottom w:val="single" w:sz="8" w:space="0" w:color="auto"/>
            </w:tcBorders>
          </w:tcPr>
          <w:p w14:paraId="0BF7F249" w14:textId="77777777" w:rsidR="0050424A" w:rsidRPr="0068236B" w:rsidRDefault="0050424A" w:rsidP="0050424A">
            <w:pPr>
              <w:spacing w:before="0" w:after="0" w:line="240" w:lineRule="auto"/>
              <w:jc w:val="center"/>
              <w:rPr>
                <w:rFonts w:cs="Tahoma"/>
                <w:color w:val="000000"/>
                <w:sz w:val="20"/>
                <w:szCs w:val="20"/>
              </w:rPr>
            </w:pPr>
          </w:p>
        </w:tc>
        <w:tc>
          <w:tcPr>
            <w:tcW w:w="717" w:type="dxa"/>
            <w:tcBorders>
              <w:top w:val="single" w:sz="8" w:space="0" w:color="auto"/>
              <w:bottom w:val="single" w:sz="8" w:space="0" w:color="auto"/>
            </w:tcBorders>
          </w:tcPr>
          <w:p w14:paraId="4216A4B3" w14:textId="77777777" w:rsidR="0050424A" w:rsidRPr="0068236B" w:rsidRDefault="0050424A" w:rsidP="0050424A">
            <w:pPr>
              <w:spacing w:before="0" w:after="0" w:line="240" w:lineRule="auto"/>
              <w:jc w:val="center"/>
              <w:rPr>
                <w:rFonts w:cs="Tahoma"/>
                <w:color w:val="000000"/>
                <w:sz w:val="20"/>
                <w:szCs w:val="20"/>
              </w:rPr>
            </w:pPr>
          </w:p>
        </w:tc>
        <w:tc>
          <w:tcPr>
            <w:tcW w:w="926" w:type="dxa"/>
            <w:tcBorders>
              <w:top w:val="single" w:sz="8" w:space="0" w:color="auto"/>
              <w:bottom w:val="single" w:sz="8" w:space="0" w:color="auto"/>
            </w:tcBorders>
          </w:tcPr>
          <w:p w14:paraId="79B93A1F"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single" w:sz="8" w:space="0" w:color="auto"/>
            </w:tcBorders>
          </w:tcPr>
          <w:p w14:paraId="51F7A1F5"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single" w:sz="8" w:space="0" w:color="auto"/>
              <w:bottom w:val="single" w:sz="8" w:space="0" w:color="auto"/>
            </w:tcBorders>
          </w:tcPr>
          <w:p w14:paraId="240D2705"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Balkan endemic</w:t>
            </w:r>
          </w:p>
        </w:tc>
        <w:tc>
          <w:tcPr>
            <w:tcW w:w="361" w:type="dxa"/>
            <w:tcBorders>
              <w:top w:val="single" w:sz="8" w:space="0" w:color="auto"/>
              <w:bottom w:val="single" w:sz="8" w:space="0" w:color="auto"/>
            </w:tcBorders>
            <w:tcMar>
              <w:left w:w="28" w:type="dxa"/>
              <w:right w:w="28" w:type="dxa"/>
            </w:tcMar>
          </w:tcPr>
          <w:p w14:paraId="279EBDB0" w14:textId="77777777" w:rsidR="0050424A" w:rsidRPr="0068236B" w:rsidRDefault="0050424A" w:rsidP="0050424A">
            <w:pPr>
              <w:spacing w:before="0" w:after="0" w:line="240" w:lineRule="auto"/>
              <w:jc w:val="center"/>
              <w:rPr>
                <w:rFonts w:cs="Tahoma"/>
                <w:color w:val="000000"/>
                <w:sz w:val="20"/>
                <w:szCs w:val="20"/>
              </w:rPr>
            </w:pPr>
          </w:p>
        </w:tc>
        <w:tc>
          <w:tcPr>
            <w:tcW w:w="362" w:type="dxa"/>
            <w:tcBorders>
              <w:top w:val="single" w:sz="8" w:space="0" w:color="auto"/>
              <w:bottom w:val="single" w:sz="8" w:space="0" w:color="auto"/>
            </w:tcBorders>
            <w:tcMar>
              <w:left w:w="28" w:type="dxa"/>
              <w:right w:w="28" w:type="dxa"/>
            </w:tcMar>
          </w:tcPr>
          <w:p w14:paraId="0FDFDEBC"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1A7084F3" w14:textId="77777777" w:rsidR="0050424A" w:rsidRPr="0068236B" w:rsidRDefault="0050424A" w:rsidP="0050424A">
            <w:pPr>
              <w:spacing w:before="0" w:after="0" w:line="240" w:lineRule="auto"/>
              <w:jc w:val="center"/>
              <w:rPr>
                <w:rFonts w:cs="Tahoma"/>
                <w:color w:val="000000"/>
                <w:sz w:val="20"/>
                <w:szCs w:val="20"/>
              </w:rPr>
            </w:pPr>
          </w:p>
        </w:tc>
      </w:tr>
      <w:tr w:rsidR="0050424A" w:rsidRPr="0068236B" w14:paraId="4294DE15"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1AA4368A"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Elaphrus aureus</w:t>
            </w:r>
          </w:p>
        </w:tc>
        <w:tc>
          <w:tcPr>
            <w:tcW w:w="783" w:type="dxa"/>
            <w:tcBorders>
              <w:top w:val="single" w:sz="8" w:space="0" w:color="auto"/>
              <w:bottom w:val="single" w:sz="8" w:space="0" w:color="auto"/>
            </w:tcBorders>
          </w:tcPr>
          <w:p w14:paraId="28CD163D"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single" w:sz="8" w:space="0" w:color="auto"/>
            </w:tcBorders>
          </w:tcPr>
          <w:p w14:paraId="5EDAEE49"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single" w:sz="8" w:space="0" w:color="auto"/>
              <w:bottom w:val="single" w:sz="8" w:space="0" w:color="auto"/>
            </w:tcBorders>
          </w:tcPr>
          <w:p w14:paraId="0FF45557"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single" w:sz="8" w:space="0" w:color="auto"/>
              <w:bottom w:val="single" w:sz="8" w:space="0" w:color="auto"/>
            </w:tcBorders>
          </w:tcPr>
          <w:p w14:paraId="2B7AB6E2" w14:textId="77777777" w:rsidR="0050424A" w:rsidRPr="0068236B" w:rsidRDefault="0050424A" w:rsidP="0050424A">
            <w:pPr>
              <w:spacing w:before="0" w:after="0" w:line="240" w:lineRule="auto"/>
              <w:jc w:val="center"/>
              <w:rPr>
                <w:rFonts w:cs="Tahoma"/>
                <w:color w:val="000000"/>
                <w:sz w:val="20"/>
                <w:szCs w:val="20"/>
              </w:rPr>
            </w:pPr>
          </w:p>
        </w:tc>
        <w:tc>
          <w:tcPr>
            <w:tcW w:w="717" w:type="dxa"/>
            <w:tcBorders>
              <w:top w:val="single" w:sz="8" w:space="0" w:color="auto"/>
              <w:bottom w:val="single" w:sz="8" w:space="0" w:color="auto"/>
            </w:tcBorders>
          </w:tcPr>
          <w:p w14:paraId="1DC6D27F" w14:textId="77777777" w:rsidR="0050424A" w:rsidRPr="0068236B" w:rsidRDefault="0050424A" w:rsidP="0050424A">
            <w:pPr>
              <w:spacing w:before="0" w:after="0" w:line="240" w:lineRule="auto"/>
              <w:jc w:val="center"/>
              <w:rPr>
                <w:rFonts w:cs="Tahoma"/>
                <w:color w:val="000000"/>
                <w:sz w:val="20"/>
                <w:szCs w:val="20"/>
              </w:rPr>
            </w:pPr>
          </w:p>
        </w:tc>
        <w:tc>
          <w:tcPr>
            <w:tcW w:w="926" w:type="dxa"/>
            <w:tcBorders>
              <w:top w:val="single" w:sz="8" w:space="0" w:color="auto"/>
              <w:bottom w:val="single" w:sz="8" w:space="0" w:color="auto"/>
            </w:tcBorders>
          </w:tcPr>
          <w:p w14:paraId="6F86162B"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single" w:sz="8" w:space="0" w:color="auto"/>
            </w:tcBorders>
          </w:tcPr>
          <w:p w14:paraId="060D6D21"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single" w:sz="8" w:space="0" w:color="auto"/>
              <w:bottom w:val="single" w:sz="8" w:space="0" w:color="auto"/>
            </w:tcBorders>
          </w:tcPr>
          <w:p w14:paraId="4C20480E"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single" w:sz="8" w:space="0" w:color="auto"/>
              <w:bottom w:val="single" w:sz="8" w:space="0" w:color="auto"/>
            </w:tcBorders>
            <w:tcMar>
              <w:left w:w="28" w:type="dxa"/>
              <w:right w:w="28" w:type="dxa"/>
            </w:tcMar>
          </w:tcPr>
          <w:p w14:paraId="0D791C5A" w14:textId="77777777" w:rsidR="0050424A" w:rsidRPr="0068236B" w:rsidRDefault="0050424A" w:rsidP="0050424A">
            <w:pPr>
              <w:spacing w:before="0" w:after="0" w:line="240" w:lineRule="auto"/>
              <w:jc w:val="center"/>
              <w:rPr>
                <w:rFonts w:cs="Tahoma"/>
                <w:color w:val="000000"/>
                <w:sz w:val="20"/>
                <w:szCs w:val="20"/>
              </w:rPr>
            </w:pPr>
          </w:p>
        </w:tc>
        <w:tc>
          <w:tcPr>
            <w:tcW w:w="362" w:type="dxa"/>
            <w:tcBorders>
              <w:top w:val="single" w:sz="8" w:space="0" w:color="auto"/>
              <w:bottom w:val="single" w:sz="8" w:space="0" w:color="auto"/>
            </w:tcBorders>
            <w:tcMar>
              <w:left w:w="28" w:type="dxa"/>
              <w:right w:w="28" w:type="dxa"/>
            </w:tcMar>
          </w:tcPr>
          <w:p w14:paraId="7A41654F"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v</w:t>
            </w:r>
          </w:p>
        </w:tc>
        <w:tc>
          <w:tcPr>
            <w:tcW w:w="338" w:type="dxa"/>
            <w:tcBorders>
              <w:top w:val="single" w:sz="8" w:space="0" w:color="auto"/>
              <w:bottom w:val="single" w:sz="8" w:space="0" w:color="auto"/>
            </w:tcBorders>
            <w:tcMar>
              <w:left w:w="28" w:type="dxa"/>
              <w:right w:w="28" w:type="dxa"/>
            </w:tcMar>
          </w:tcPr>
          <w:p w14:paraId="39D885E1" w14:textId="77777777" w:rsidR="0050424A" w:rsidRPr="0068236B" w:rsidRDefault="0050424A" w:rsidP="0050424A">
            <w:pPr>
              <w:spacing w:before="0" w:after="0" w:line="240" w:lineRule="auto"/>
              <w:jc w:val="center"/>
              <w:rPr>
                <w:rFonts w:cs="Tahoma"/>
                <w:color w:val="000000"/>
                <w:sz w:val="20"/>
                <w:szCs w:val="20"/>
              </w:rPr>
            </w:pPr>
          </w:p>
        </w:tc>
      </w:tr>
      <w:tr w:rsidR="0050424A" w:rsidRPr="0068236B" w14:paraId="2F85A6FE" w14:textId="77777777" w:rsidTr="00377B68">
        <w:trPr>
          <w:trHeight w:val="227"/>
          <w:jc w:val="center"/>
        </w:trPr>
        <w:tc>
          <w:tcPr>
            <w:tcW w:w="2791" w:type="dxa"/>
            <w:tcBorders>
              <w:top w:val="single" w:sz="8" w:space="0" w:color="auto"/>
              <w:bottom w:val="single" w:sz="8" w:space="0" w:color="auto"/>
            </w:tcBorders>
            <w:noWrap/>
            <w:tcMar>
              <w:left w:w="28" w:type="dxa"/>
              <w:right w:w="28" w:type="dxa"/>
            </w:tcMar>
            <w:vAlign w:val="center"/>
            <w:hideMark/>
          </w:tcPr>
          <w:p w14:paraId="6418A132"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Cicindela campestris</w:t>
            </w:r>
          </w:p>
        </w:tc>
        <w:tc>
          <w:tcPr>
            <w:tcW w:w="783" w:type="dxa"/>
            <w:tcBorders>
              <w:top w:val="single" w:sz="8" w:space="0" w:color="auto"/>
              <w:bottom w:val="single" w:sz="8" w:space="0" w:color="auto"/>
            </w:tcBorders>
          </w:tcPr>
          <w:p w14:paraId="1FECE5A4" w14:textId="77777777" w:rsidR="0050424A" w:rsidRPr="0068236B" w:rsidRDefault="0050424A" w:rsidP="0050424A">
            <w:pPr>
              <w:spacing w:before="0" w:after="0" w:line="240" w:lineRule="auto"/>
              <w:rPr>
                <w:rFonts w:cs="Tahoma"/>
                <w:color w:val="000000"/>
                <w:sz w:val="20"/>
                <w:szCs w:val="20"/>
              </w:rPr>
            </w:pPr>
          </w:p>
        </w:tc>
        <w:tc>
          <w:tcPr>
            <w:tcW w:w="813" w:type="dxa"/>
            <w:tcBorders>
              <w:top w:val="single" w:sz="8" w:space="0" w:color="auto"/>
              <w:bottom w:val="single" w:sz="8" w:space="0" w:color="auto"/>
            </w:tcBorders>
          </w:tcPr>
          <w:p w14:paraId="5E327C53" w14:textId="77777777" w:rsidR="0050424A" w:rsidRPr="0068236B" w:rsidRDefault="0050424A" w:rsidP="0050424A">
            <w:pPr>
              <w:spacing w:before="0" w:after="0" w:line="240" w:lineRule="auto"/>
              <w:rPr>
                <w:rFonts w:cs="Tahoma"/>
                <w:color w:val="000000"/>
                <w:sz w:val="20"/>
                <w:szCs w:val="20"/>
              </w:rPr>
            </w:pPr>
          </w:p>
        </w:tc>
        <w:tc>
          <w:tcPr>
            <w:tcW w:w="576" w:type="dxa"/>
            <w:tcBorders>
              <w:top w:val="single" w:sz="8" w:space="0" w:color="auto"/>
              <w:bottom w:val="single" w:sz="8" w:space="0" w:color="auto"/>
            </w:tcBorders>
          </w:tcPr>
          <w:p w14:paraId="51D85B63" w14:textId="77777777" w:rsidR="0050424A" w:rsidRPr="0068236B" w:rsidRDefault="0050424A" w:rsidP="0050424A">
            <w:pPr>
              <w:spacing w:before="0" w:after="0" w:line="240" w:lineRule="auto"/>
              <w:rPr>
                <w:rFonts w:cs="Tahoma"/>
                <w:color w:val="000000"/>
                <w:sz w:val="20"/>
                <w:szCs w:val="20"/>
              </w:rPr>
            </w:pPr>
          </w:p>
        </w:tc>
        <w:tc>
          <w:tcPr>
            <w:tcW w:w="687" w:type="dxa"/>
            <w:tcBorders>
              <w:top w:val="single" w:sz="8" w:space="0" w:color="auto"/>
              <w:bottom w:val="single" w:sz="8" w:space="0" w:color="auto"/>
            </w:tcBorders>
          </w:tcPr>
          <w:p w14:paraId="7436B9A2" w14:textId="77777777" w:rsidR="0050424A" w:rsidRPr="0068236B" w:rsidRDefault="0050424A" w:rsidP="0050424A">
            <w:pPr>
              <w:spacing w:before="0" w:after="0" w:line="240" w:lineRule="auto"/>
              <w:rPr>
                <w:rFonts w:cs="Tahoma"/>
                <w:color w:val="000000"/>
                <w:sz w:val="20"/>
                <w:szCs w:val="20"/>
              </w:rPr>
            </w:pPr>
          </w:p>
        </w:tc>
        <w:tc>
          <w:tcPr>
            <w:tcW w:w="717" w:type="dxa"/>
            <w:tcBorders>
              <w:top w:val="single" w:sz="8" w:space="0" w:color="auto"/>
              <w:bottom w:val="single" w:sz="8" w:space="0" w:color="auto"/>
            </w:tcBorders>
          </w:tcPr>
          <w:p w14:paraId="727C5F6E" w14:textId="77777777" w:rsidR="0050424A" w:rsidRPr="0068236B" w:rsidRDefault="0050424A" w:rsidP="0050424A">
            <w:pPr>
              <w:spacing w:before="0" w:after="0" w:line="240" w:lineRule="auto"/>
              <w:rPr>
                <w:rFonts w:cs="Tahoma"/>
                <w:color w:val="000000"/>
                <w:sz w:val="20"/>
                <w:szCs w:val="20"/>
              </w:rPr>
            </w:pPr>
          </w:p>
        </w:tc>
        <w:tc>
          <w:tcPr>
            <w:tcW w:w="926" w:type="dxa"/>
            <w:tcBorders>
              <w:top w:val="single" w:sz="8" w:space="0" w:color="auto"/>
              <w:bottom w:val="single" w:sz="8" w:space="0" w:color="auto"/>
            </w:tcBorders>
          </w:tcPr>
          <w:p w14:paraId="2865E83D" w14:textId="77777777" w:rsidR="0050424A" w:rsidRPr="0068236B" w:rsidRDefault="0050424A" w:rsidP="0050424A">
            <w:pPr>
              <w:spacing w:before="0" w:after="0" w:line="240" w:lineRule="auto"/>
              <w:rPr>
                <w:rFonts w:cs="Tahoma"/>
                <w:color w:val="000000"/>
                <w:sz w:val="20"/>
                <w:szCs w:val="20"/>
              </w:rPr>
            </w:pPr>
          </w:p>
        </w:tc>
        <w:tc>
          <w:tcPr>
            <w:tcW w:w="582" w:type="dxa"/>
            <w:tcBorders>
              <w:top w:val="single" w:sz="8" w:space="0" w:color="auto"/>
              <w:bottom w:val="single" w:sz="8" w:space="0" w:color="auto"/>
            </w:tcBorders>
          </w:tcPr>
          <w:p w14:paraId="688B2793" w14:textId="77777777" w:rsidR="0050424A" w:rsidRPr="0068236B" w:rsidRDefault="0050424A" w:rsidP="0050424A">
            <w:pPr>
              <w:spacing w:before="0" w:after="0" w:line="240" w:lineRule="auto"/>
              <w:rPr>
                <w:rFonts w:cs="Tahoma"/>
                <w:color w:val="000000"/>
                <w:sz w:val="20"/>
                <w:szCs w:val="20"/>
              </w:rPr>
            </w:pPr>
          </w:p>
        </w:tc>
        <w:tc>
          <w:tcPr>
            <w:tcW w:w="860" w:type="dxa"/>
            <w:tcBorders>
              <w:top w:val="single" w:sz="8" w:space="0" w:color="auto"/>
              <w:bottom w:val="single" w:sz="8" w:space="0" w:color="auto"/>
            </w:tcBorders>
          </w:tcPr>
          <w:p w14:paraId="3D7A342E" w14:textId="77777777" w:rsidR="0050424A" w:rsidRPr="0068236B" w:rsidRDefault="0050424A" w:rsidP="0050424A">
            <w:pPr>
              <w:spacing w:before="0" w:after="0" w:line="240" w:lineRule="auto"/>
              <w:rPr>
                <w:rFonts w:cs="Tahoma"/>
                <w:color w:val="000000"/>
                <w:sz w:val="20"/>
                <w:szCs w:val="20"/>
              </w:rPr>
            </w:pPr>
          </w:p>
        </w:tc>
        <w:tc>
          <w:tcPr>
            <w:tcW w:w="361" w:type="dxa"/>
            <w:tcBorders>
              <w:top w:val="single" w:sz="8" w:space="0" w:color="auto"/>
              <w:bottom w:val="single" w:sz="8" w:space="0" w:color="auto"/>
            </w:tcBorders>
            <w:tcMar>
              <w:left w:w="28" w:type="dxa"/>
              <w:right w:w="28" w:type="dxa"/>
            </w:tcMar>
          </w:tcPr>
          <w:p w14:paraId="14309345"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c>
          <w:tcPr>
            <w:tcW w:w="362" w:type="dxa"/>
            <w:tcBorders>
              <w:top w:val="single" w:sz="8" w:space="0" w:color="auto"/>
              <w:bottom w:val="single" w:sz="8" w:space="0" w:color="auto"/>
            </w:tcBorders>
            <w:tcMar>
              <w:left w:w="28" w:type="dxa"/>
              <w:right w:w="28" w:type="dxa"/>
            </w:tcMar>
          </w:tcPr>
          <w:p w14:paraId="268E6747"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c>
          <w:tcPr>
            <w:tcW w:w="338" w:type="dxa"/>
            <w:tcBorders>
              <w:top w:val="single" w:sz="8" w:space="0" w:color="auto"/>
              <w:bottom w:val="single" w:sz="8" w:space="0" w:color="auto"/>
            </w:tcBorders>
            <w:tcMar>
              <w:left w:w="28" w:type="dxa"/>
              <w:right w:w="28" w:type="dxa"/>
            </w:tcMar>
          </w:tcPr>
          <w:p w14:paraId="401CE4E3" w14:textId="77777777" w:rsidR="0050424A" w:rsidRPr="0068236B" w:rsidRDefault="0050424A" w:rsidP="0050424A">
            <w:pPr>
              <w:spacing w:before="0" w:after="0" w:line="240" w:lineRule="auto"/>
              <w:rPr>
                <w:rFonts w:cs="Tahoma"/>
                <w:sz w:val="20"/>
                <w:szCs w:val="20"/>
              </w:rPr>
            </w:pPr>
            <w:r w:rsidRPr="0068236B">
              <w:rPr>
                <w:rFonts w:cs="Tahoma"/>
                <w:color w:val="000000"/>
                <w:sz w:val="20"/>
                <w:szCs w:val="20"/>
              </w:rPr>
              <w:t>√</w:t>
            </w:r>
          </w:p>
        </w:tc>
      </w:tr>
      <w:tr w:rsidR="0050424A" w:rsidRPr="0068236B" w14:paraId="31562ED9" w14:textId="77777777" w:rsidTr="00377B68">
        <w:trPr>
          <w:trHeight w:val="227"/>
          <w:jc w:val="center"/>
        </w:trPr>
        <w:tc>
          <w:tcPr>
            <w:tcW w:w="2791" w:type="dxa"/>
            <w:tcBorders>
              <w:top w:val="single" w:sz="8" w:space="0" w:color="auto"/>
              <w:bottom w:val="double" w:sz="4" w:space="0" w:color="auto"/>
            </w:tcBorders>
            <w:noWrap/>
            <w:tcMar>
              <w:left w:w="28" w:type="dxa"/>
              <w:right w:w="28" w:type="dxa"/>
            </w:tcMar>
            <w:vAlign w:val="center"/>
            <w:hideMark/>
          </w:tcPr>
          <w:p w14:paraId="35641F89" w14:textId="77777777" w:rsidR="0050424A" w:rsidRPr="0068236B" w:rsidRDefault="0050424A" w:rsidP="0050424A">
            <w:pPr>
              <w:spacing w:before="0" w:after="0" w:line="240" w:lineRule="auto"/>
              <w:jc w:val="left"/>
              <w:rPr>
                <w:rFonts w:cs="Tahoma"/>
                <w:i/>
                <w:sz w:val="20"/>
                <w:szCs w:val="20"/>
              </w:rPr>
            </w:pPr>
            <w:r w:rsidRPr="0068236B">
              <w:rPr>
                <w:rFonts w:cs="Tahoma"/>
                <w:i/>
                <w:sz w:val="20"/>
                <w:szCs w:val="20"/>
              </w:rPr>
              <w:t>Bembidion punctulatum</w:t>
            </w:r>
          </w:p>
        </w:tc>
        <w:tc>
          <w:tcPr>
            <w:tcW w:w="783" w:type="dxa"/>
            <w:tcBorders>
              <w:top w:val="single" w:sz="8" w:space="0" w:color="auto"/>
              <w:bottom w:val="double" w:sz="4" w:space="0" w:color="auto"/>
            </w:tcBorders>
          </w:tcPr>
          <w:p w14:paraId="5D1AACA0" w14:textId="77777777" w:rsidR="0050424A" w:rsidRPr="0068236B" w:rsidRDefault="0050424A" w:rsidP="0050424A">
            <w:pPr>
              <w:spacing w:before="0" w:after="0" w:line="240" w:lineRule="auto"/>
              <w:jc w:val="center"/>
              <w:rPr>
                <w:rFonts w:cs="Tahoma"/>
                <w:color w:val="000000"/>
                <w:sz w:val="20"/>
                <w:szCs w:val="20"/>
              </w:rPr>
            </w:pPr>
          </w:p>
        </w:tc>
        <w:tc>
          <w:tcPr>
            <w:tcW w:w="813" w:type="dxa"/>
            <w:tcBorders>
              <w:top w:val="single" w:sz="8" w:space="0" w:color="auto"/>
              <w:bottom w:val="double" w:sz="4" w:space="0" w:color="auto"/>
            </w:tcBorders>
          </w:tcPr>
          <w:p w14:paraId="635D5881" w14:textId="77777777" w:rsidR="0050424A" w:rsidRPr="0068236B" w:rsidRDefault="0050424A" w:rsidP="0050424A">
            <w:pPr>
              <w:spacing w:before="0" w:after="0" w:line="240" w:lineRule="auto"/>
              <w:jc w:val="center"/>
              <w:rPr>
                <w:rFonts w:cs="Tahoma"/>
                <w:color w:val="000000"/>
                <w:sz w:val="20"/>
                <w:szCs w:val="20"/>
              </w:rPr>
            </w:pPr>
          </w:p>
        </w:tc>
        <w:tc>
          <w:tcPr>
            <w:tcW w:w="576" w:type="dxa"/>
            <w:tcBorders>
              <w:top w:val="single" w:sz="8" w:space="0" w:color="auto"/>
              <w:bottom w:val="double" w:sz="4" w:space="0" w:color="auto"/>
            </w:tcBorders>
          </w:tcPr>
          <w:p w14:paraId="0F1939AA" w14:textId="77777777" w:rsidR="0050424A" w:rsidRPr="0068236B" w:rsidRDefault="0050424A" w:rsidP="0050424A">
            <w:pPr>
              <w:spacing w:before="0" w:after="0" w:line="240" w:lineRule="auto"/>
              <w:jc w:val="center"/>
              <w:rPr>
                <w:rFonts w:cs="Tahoma"/>
                <w:color w:val="000000"/>
                <w:sz w:val="20"/>
                <w:szCs w:val="20"/>
              </w:rPr>
            </w:pPr>
          </w:p>
        </w:tc>
        <w:tc>
          <w:tcPr>
            <w:tcW w:w="687" w:type="dxa"/>
            <w:tcBorders>
              <w:top w:val="single" w:sz="8" w:space="0" w:color="auto"/>
              <w:bottom w:val="double" w:sz="4" w:space="0" w:color="auto"/>
            </w:tcBorders>
          </w:tcPr>
          <w:p w14:paraId="55C5D858" w14:textId="77777777" w:rsidR="0050424A" w:rsidRPr="0068236B" w:rsidRDefault="0050424A" w:rsidP="0050424A">
            <w:pPr>
              <w:spacing w:before="0" w:after="0" w:line="240" w:lineRule="auto"/>
              <w:jc w:val="center"/>
              <w:rPr>
                <w:rFonts w:cs="Tahoma"/>
                <w:color w:val="000000"/>
                <w:sz w:val="20"/>
                <w:szCs w:val="20"/>
              </w:rPr>
            </w:pPr>
          </w:p>
        </w:tc>
        <w:tc>
          <w:tcPr>
            <w:tcW w:w="717" w:type="dxa"/>
            <w:tcBorders>
              <w:top w:val="single" w:sz="8" w:space="0" w:color="auto"/>
              <w:bottom w:val="double" w:sz="4" w:space="0" w:color="auto"/>
            </w:tcBorders>
          </w:tcPr>
          <w:p w14:paraId="22097A8B" w14:textId="77777777" w:rsidR="0050424A" w:rsidRPr="0068236B" w:rsidRDefault="0050424A" w:rsidP="0050424A">
            <w:pPr>
              <w:spacing w:before="0" w:after="0" w:line="240" w:lineRule="auto"/>
              <w:jc w:val="center"/>
              <w:rPr>
                <w:rFonts w:cs="Tahoma"/>
                <w:color w:val="000000"/>
                <w:sz w:val="20"/>
                <w:szCs w:val="20"/>
              </w:rPr>
            </w:pPr>
          </w:p>
        </w:tc>
        <w:tc>
          <w:tcPr>
            <w:tcW w:w="926" w:type="dxa"/>
            <w:tcBorders>
              <w:top w:val="single" w:sz="8" w:space="0" w:color="auto"/>
              <w:bottom w:val="double" w:sz="4" w:space="0" w:color="auto"/>
            </w:tcBorders>
          </w:tcPr>
          <w:p w14:paraId="60AEE06A" w14:textId="77777777" w:rsidR="0050424A" w:rsidRPr="0068236B" w:rsidRDefault="0050424A" w:rsidP="0050424A">
            <w:pPr>
              <w:spacing w:before="0" w:after="0" w:line="240" w:lineRule="auto"/>
              <w:jc w:val="center"/>
              <w:rPr>
                <w:rFonts w:cs="Tahoma"/>
                <w:color w:val="000000"/>
                <w:sz w:val="20"/>
                <w:szCs w:val="20"/>
              </w:rPr>
            </w:pPr>
          </w:p>
        </w:tc>
        <w:tc>
          <w:tcPr>
            <w:tcW w:w="582" w:type="dxa"/>
            <w:tcBorders>
              <w:top w:val="single" w:sz="8" w:space="0" w:color="auto"/>
              <w:bottom w:val="double" w:sz="4" w:space="0" w:color="auto"/>
            </w:tcBorders>
          </w:tcPr>
          <w:p w14:paraId="2FE42C02" w14:textId="77777777" w:rsidR="0050424A" w:rsidRPr="0068236B" w:rsidRDefault="0050424A" w:rsidP="0050424A">
            <w:pPr>
              <w:spacing w:before="0" w:after="0" w:line="240" w:lineRule="auto"/>
              <w:jc w:val="center"/>
              <w:rPr>
                <w:rFonts w:cs="Tahoma"/>
                <w:color w:val="000000"/>
                <w:sz w:val="20"/>
                <w:szCs w:val="20"/>
              </w:rPr>
            </w:pPr>
          </w:p>
        </w:tc>
        <w:tc>
          <w:tcPr>
            <w:tcW w:w="860" w:type="dxa"/>
            <w:tcBorders>
              <w:top w:val="single" w:sz="8" w:space="0" w:color="auto"/>
              <w:bottom w:val="double" w:sz="4" w:space="0" w:color="auto"/>
            </w:tcBorders>
          </w:tcPr>
          <w:p w14:paraId="5F7918F9" w14:textId="77777777" w:rsidR="0050424A" w:rsidRPr="0068236B" w:rsidRDefault="0050424A" w:rsidP="0050424A">
            <w:pPr>
              <w:spacing w:before="0" w:after="0" w:line="240" w:lineRule="auto"/>
              <w:jc w:val="center"/>
              <w:rPr>
                <w:rFonts w:cs="Tahoma"/>
                <w:color w:val="000000"/>
                <w:sz w:val="20"/>
                <w:szCs w:val="20"/>
              </w:rPr>
            </w:pPr>
          </w:p>
        </w:tc>
        <w:tc>
          <w:tcPr>
            <w:tcW w:w="361" w:type="dxa"/>
            <w:tcBorders>
              <w:top w:val="single" w:sz="8" w:space="0" w:color="auto"/>
              <w:bottom w:val="double" w:sz="4" w:space="0" w:color="auto"/>
            </w:tcBorders>
            <w:tcMar>
              <w:left w:w="28" w:type="dxa"/>
              <w:right w:w="28" w:type="dxa"/>
            </w:tcMar>
          </w:tcPr>
          <w:p w14:paraId="43BFF6E7" w14:textId="77777777" w:rsidR="0050424A" w:rsidRPr="0068236B" w:rsidRDefault="0050424A" w:rsidP="0050424A">
            <w:pPr>
              <w:spacing w:before="0" w:after="0" w:line="240" w:lineRule="auto"/>
              <w:jc w:val="center"/>
              <w:rPr>
                <w:rFonts w:cs="Tahoma"/>
                <w:color w:val="000000"/>
                <w:sz w:val="20"/>
                <w:szCs w:val="20"/>
              </w:rPr>
            </w:pPr>
          </w:p>
        </w:tc>
        <w:tc>
          <w:tcPr>
            <w:tcW w:w="362" w:type="dxa"/>
            <w:tcBorders>
              <w:top w:val="single" w:sz="8" w:space="0" w:color="auto"/>
              <w:bottom w:val="double" w:sz="4" w:space="0" w:color="auto"/>
            </w:tcBorders>
            <w:tcMar>
              <w:left w:w="28" w:type="dxa"/>
              <w:right w:w="28" w:type="dxa"/>
            </w:tcMar>
          </w:tcPr>
          <w:p w14:paraId="366FCBB8" w14:textId="77777777" w:rsidR="0050424A" w:rsidRPr="0068236B" w:rsidRDefault="0050424A" w:rsidP="0050424A">
            <w:pPr>
              <w:spacing w:before="0" w:after="0" w:line="240" w:lineRule="auto"/>
              <w:jc w:val="center"/>
              <w:rPr>
                <w:rFonts w:cs="Tahoma"/>
                <w:color w:val="000000"/>
                <w:sz w:val="20"/>
                <w:szCs w:val="20"/>
              </w:rPr>
            </w:pPr>
            <w:r w:rsidRPr="0068236B">
              <w:rPr>
                <w:rFonts w:cs="Tahoma"/>
                <w:color w:val="000000"/>
                <w:sz w:val="20"/>
                <w:szCs w:val="20"/>
              </w:rPr>
              <w:t>√</w:t>
            </w:r>
          </w:p>
        </w:tc>
        <w:tc>
          <w:tcPr>
            <w:tcW w:w="338" w:type="dxa"/>
            <w:tcBorders>
              <w:top w:val="single" w:sz="8" w:space="0" w:color="auto"/>
              <w:bottom w:val="double" w:sz="4" w:space="0" w:color="auto"/>
            </w:tcBorders>
            <w:tcMar>
              <w:left w:w="28" w:type="dxa"/>
              <w:right w:w="28" w:type="dxa"/>
            </w:tcMar>
          </w:tcPr>
          <w:p w14:paraId="79E7167A" w14:textId="77777777" w:rsidR="0050424A" w:rsidRPr="0068236B" w:rsidRDefault="0050424A" w:rsidP="0050424A">
            <w:pPr>
              <w:spacing w:before="0" w:after="0" w:line="240" w:lineRule="auto"/>
              <w:jc w:val="center"/>
              <w:rPr>
                <w:rFonts w:cs="Tahoma"/>
                <w:color w:val="000000"/>
                <w:sz w:val="20"/>
                <w:szCs w:val="20"/>
              </w:rPr>
            </w:pPr>
          </w:p>
        </w:tc>
      </w:tr>
    </w:tbl>
    <w:p w14:paraId="3299A0EE" w14:textId="19DF0083" w:rsidR="00D24FBA" w:rsidRPr="0068236B" w:rsidRDefault="00172852" w:rsidP="00D24FBA">
      <w:pPr>
        <w:spacing w:after="0"/>
        <w:rPr>
          <w:sz w:val="18"/>
          <w:szCs w:val="20"/>
        </w:rPr>
      </w:pPr>
      <w:bookmarkStart w:id="268" w:name="_Toc113018182"/>
      <w:r w:rsidRPr="0068236B">
        <w:rPr>
          <w:sz w:val="18"/>
          <w:szCs w:val="20"/>
        </w:rPr>
        <w:t xml:space="preserve">Table </w:t>
      </w:r>
      <w:r w:rsidRPr="0068236B">
        <w:rPr>
          <w:sz w:val="18"/>
          <w:szCs w:val="20"/>
        </w:rPr>
        <w:fldChar w:fldCharType="begin"/>
      </w:r>
      <w:r w:rsidRPr="0068236B">
        <w:rPr>
          <w:sz w:val="18"/>
          <w:szCs w:val="20"/>
        </w:rPr>
        <w:instrText xml:space="preserve"> STYLEREF 1 \s </w:instrText>
      </w:r>
      <w:r w:rsidRPr="0068236B">
        <w:rPr>
          <w:sz w:val="18"/>
          <w:szCs w:val="20"/>
        </w:rPr>
        <w:fldChar w:fldCharType="separate"/>
      </w:r>
      <w:r w:rsidR="00FD57E6">
        <w:rPr>
          <w:noProof/>
          <w:sz w:val="18"/>
          <w:szCs w:val="20"/>
        </w:rPr>
        <w:t>7</w:t>
      </w:r>
      <w:r w:rsidRPr="0068236B">
        <w:rPr>
          <w:sz w:val="18"/>
          <w:szCs w:val="20"/>
        </w:rPr>
        <w:fldChar w:fldCharType="end"/>
      </w:r>
      <w:r w:rsidRPr="0068236B">
        <w:rPr>
          <w:sz w:val="18"/>
          <w:szCs w:val="20"/>
        </w:rPr>
        <w:t>.</w:t>
      </w:r>
      <w:r w:rsidRPr="0068236B">
        <w:rPr>
          <w:sz w:val="18"/>
          <w:szCs w:val="20"/>
        </w:rPr>
        <w:fldChar w:fldCharType="begin"/>
      </w:r>
      <w:r w:rsidRPr="0068236B">
        <w:rPr>
          <w:sz w:val="18"/>
          <w:szCs w:val="20"/>
        </w:rPr>
        <w:instrText xml:space="preserve"> SEQ Table \* ARABIC \s 1 </w:instrText>
      </w:r>
      <w:r w:rsidRPr="0068236B">
        <w:rPr>
          <w:sz w:val="18"/>
          <w:szCs w:val="20"/>
        </w:rPr>
        <w:fldChar w:fldCharType="separate"/>
      </w:r>
      <w:r w:rsidR="00FD57E6">
        <w:rPr>
          <w:noProof/>
          <w:sz w:val="18"/>
          <w:szCs w:val="20"/>
        </w:rPr>
        <w:t>11</w:t>
      </w:r>
      <w:r w:rsidRPr="0068236B">
        <w:rPr>
          <w:sz w:val="18"/>
          <w:szCs w:val="20"/>
        </w:rPr>
        <w:fldChar w:fldCharType="end"/>
      </w:r>
      <w:r w:rsidRPr="0068236B">
        <w:rPr>
          <w:sz w:val="18"/>
          <w:szCs w:val="20"/>
        </w:rPr>
        <w:t>:</w:t>
      </w:r>
      <w:r w:rsidRPr="0068236B">
        <w:rPr>
          <w:b/>
          <w:sz w:val="18"/>
          <w:szCs w:val="20"/>
        </w:rPr>
        <w:t xml:space="preserve"> </w:t>
      </w:r>
      <w:r w:rsidR="0050424A" w:rsidRPr="0068236B">
        <w:rPr>
          <w:sz w:val="18"/>
          <w:szCs w:val="20"/>
        </w:rPr>
        <w:t>Fa</w:t>
      </w:r>
      <w:r w:rsidRPr="0068236B">
        <w:rPr>
          <w:sz w:val="18"/>
          <w:szCs w:val="20"/>
        </w:rPr>
        <w:t xml:space="preserve">una </w:t>
      </w:r>
      <w:r w:rsidR="0050424A" w:rsidRPr="0068236B">
        <w:rPr>
          <w:sz w:val="18"/>
          <w:szCs w:val="20"/>
        </w:rPr>
        <w:t xml:space="preserve">species (birds excluded) </w:t>
      </w:r>
      <w:r w:rsidRPr="0068236B">
        <w:rPr>
          <w:sz w:val="18"/>
          <w:szCs w:val="20"/>
        </w:rPr>
        <w:t>within study area, valorization and distribution per project element</w:t>
      </w:r>
      <w:bookmarkEnd w:id="268"/>
    </w:p>
    <w:p w14:paraId="4268CC44" w14:textId="77777777" w:rsidR="0050424A" w:rsidRPr="0068236B" w:rsidRDefault="0050424A" w:rsidP="001A65EF">
      <w:pPr>
        <w:pStyle w:val="ListBullet"/>
        <w:numPr>
          <w:ilvl w:val="0"/>
          <w:numId w:val="0"/>
        </w:numPr>
        <w:spacing w:before="60" w:line="240" w:lineRule="auto"/>
        <w:ind w:left="142"/>
        <w:jc w:val="left"/>
        <w:rPr>
          <w:sz w:val="16"/>
          <w:szCs w:val="16"/>
        </w:rPr>
      </w:pPr>
      <w:r w:rsidRPr="0068236B">
        <w:rPr>
          <w:sz w:val="16"/>
          <w:szCs w:val="16"/>
        </w:rPr>
        <w:t xml:space="preserve">Notes: </w:t>
      </w:r>
    </w:p>
    <w:p w14:paraId="49711DDA" w14:textId="77777777" w:rsidR="0050424A" w:rsidRPr="0068236B" w:rsidRDefault="0050424A" w:rsidP="001A65EF">
      <w:pPr>
        <w:pStyle w:val="ListBullet"/>
        <w:numPr>
          <w:ilvl w:val="0"/>
          <w:numId w:val="133"/>
        </w:numPr>
        <w:spacing w:after="0"/>
        <w:jc w:val="left"/>
        <w:rPr>
          <w:rFonts w:cs="Tahoma"/>
          <w:sz w:val="16"/>
          <w:szCs w:val="16"/>
        </w:rPr>
      </w:pPr>
      <w:r w:rsidRPr="0068236B">
        <w:rPr>
          <w:rFonts w:cs="Tahoma"/>
          <w:sz w:val="16"/>
          <w:szCs w:val="16"/>
        </w:rPr>
        <w:t>1a - new 400/110 kV SS and 400 kV in-out connector; 1b - new 110 kV connectors to SS ‘EVP’ Miletkovo; 1c - reconstruction of 110 kV OHL from Valandovo to Miletkovo.</w:t>
      </w:r>
    </w:p>
    <w:p w14:paraId="1393032C" w14:textId="1012DED7" w:rsidR="0050424A" w:rsidRPr="0068236B" w:rsidRDefault="0050424A" w:rsidP="001A65EF">
      <w:pPr>
        <w:pStyle w:val="ListBullet"/>
        <w:numPr>
          <w:ilvl w:val="0"/>
          <w:numId w:val="133"/>
        </w:numPr>
        <w:spacing w:after="0"/>
        <w:jc w:val="left"/>
        <w:rPr>
          <w:rFonts w:cs="Tahoma"/>
          <w:sz w:val="16"/>
          <w:szCs w:val="16"/>
        </w:rPr>
      </w:pPr>
      <w:r w:rsidRPr="0068236B">
        <w:rPr>
          <w:rFonts w:cs="Tahoma"/>
          <w:sz w:val="16"/>
          <w:szCs w:val="16"/>
        </w:rPr>
        <w:t xml:space="preserve">Law on </w:t>
      </w:r>
      <w:r w:rsidR="005E6643" w:rsidRPr="0068236B">
        <w:rPr>
          <w:rFonts w:cs="Tahoma"/>
          <w:sz w:val="16"/>
          <w:szCs w:val="16"/>
        </w:rPr>
        <w:t>Hunting</w:t>
      </w:r>
      <w:r w:rsidRPr="0068236B">
        <w:rPr>
          <w:rFonts w:cs="Tahoma"/>
          <w:sz w:val="16"/>
          <w:szCs w:val="16"/>
        </w:rPr>
        <w:t>: permanent protection (pp); temporary protection (tp); no protection (np), hunting game (h)</w:t>
      </w:r>
    </w:p>
    <w:p w14:paraId="09ED73B2" w14:textId="77777777" w:rsidR="0050424A" w:rsidRPr="0068236B" w:rsidRDefault="0050424A" w:rsidP="001A65EF">
      <w:pPr>
        <w:pStyle w:val="ListBullet"/>
        <w:numPr>
          <w:ilvl w:val="0"/>
          <w:numId w:val="133"/>
        </w:numPr>
        <w:spacing w:after="240"/>
        <w:jc w:val="left"/>
        <w:rPr>
          <w:rFonts w:cs="Tahoma"/>
          <w:sz w:val="16"/>
          <w:szCs w:val="16"/>
        </w:rPr>
      </w:pPr>
      <w:r w:rsidRPr="0068236B">
        <w:rPr>
          <w:rFonts w:cs="Tahoma"/>
          <w:sz w:val="16"/>
          <w:szCs w:val="16"/>
        </w:rPr>
        <w:t>Law on Nature Protection: protected species (ps); strictly protected species (sps)</w:t>
      </w:r>
    </w:p>
    <w:p w14:paraId="30A7F05E" w14:textId="77777777" w:rsidR="001177B2" w:rsidRPr="0068236B" w:rsidRDefault="001177B2" w:rsidP="001177B2">
      <w:pPr>
        <w:ind w:left="720" w:firstLine="720"/>
        <w:rPr>
          <w:rFonts w:cs="Tahoma"/>
          <w:sz w:val="20"/>
          <w:szCs w:val="20"/>
          <w:u w:val="single"/>
        </w:rPr>
      </w:pPr>
      <w:r w:rsidRPr="0068236B">
        <w:rPr>
          <w:rFonts w:cs="Tahoma"/>
          <w:sz w:val="20"/>
          <w:szCs w:val="20"/>
          <w:u w:val="single"/>
        </w:rPr>
        <w:lastRenderedPageBreak/>
        <w:t>Natural Heritage Sites</w:t>
      </w:r>
    </w:p>
    <w:p w14:paraId="775B4F48" w14:textId="3885BE08" w:rsidR="0050424A" w:rsidRPr="0068236B" w:rsidRDefault="0050424A" w:rsidP="0050424A">
      <w:pPr>
        <w:rPr>
          <w:rFonts w:cs="Tahoma"/>
          <w:sz w:val="20"/>
          <w:szCs w:val="20"/>
        </w:rPr>
      </w:pPr>
      <w:r w:rsidRPr="0068236B">
        <w:rPr>
          <w:rFonts w:cs="Tahoma"/>
          <w:sz w:val="20"/>
          <w:szCs w:val="20"/>
        </w:rPr>
        <w:t xml:space="preserve">All </w:t>
      </w:r>
      <w:r w:rsidR="00377B68" w:rsidRPr="0068236B">
        <w:rPr>
          <w:rFonts w:cs="Tahoma"/>
          <w:sz w:val="20"/>
          <w:szCs w:val="20"/>
        </w:rPr>
        <w:t xml:space="preserve">Project elements </w:t>
      </w:r>
      <w:r w:rsidRPr="0068236B">
        <w:rPr>
          <w:rFonts w:cs="Tahoma"/>
          <w:sz w:val="20"/>
          <w:szCs w:val="20"/>
        </w:rPr>
        <w:t>are situa</w:t>
      </w:r>
      <w:r w:rsidR="00377B68" w:rsidRPr="0068236B">
        <w:rPr>
          <w:rFonts w:cs="Tahoma"/>
          <w:sz w:val="20"/>
          <w:szCs w:val="20"/>
        </w:rPr>
        <w:t xml:space="preserve">ted in an area with no legally protected or internationally recognised areas, such as </w:t>
      </w:r>
      <w:r w:rsidRPr="0068236B">
        <w:rPr>
          <w:rFonts w:cs="Tahoma"/>
          <w:sz w:val="20"/>
          <w:szCs w:val="20"/>
        </w:rPr>
        <w:t>Ramsar, Emer</w:t>
      </w:r>
      <w:r w:rsidR="00377B68" w:rsidRPr="0068236B">
        <w:rPr>
          <w:rFonts w:cs="Tahoma"/>
          <w:sz w:val="20"/>
          <w:szCs w:val="20"/>
        </w:rPr>
        <w:t>ald or</w:t>
      </w:r>
      <w:r w:rsidRPr="0068236B">
        <w:rPr>
          <w:rFonts w:cs="Tahoma"/>
          <w:sz w:val="20"/>
          <w:szCs w:val="20"/>
        </w:rPr>
        <w:t xml:space="preserve"> Natura 2000</w:t>
      </w:r>
      <w:r w:rsidR="00377B68" w:rsidRPr="0068236B">
        <w:rPr>
          <w:rFonts w:cs="Tahoma"/>
          <w:sz w:val="20"/>
          <w:szCs w:val="20"/>
        </w:rPr>
        <w:t xml:space="preserve"> sites or </w:t>
      </w:r>
      <w:r w:rsidRPr="0068236B">
        <w:rPr>
          <w:rFonts w:cs="Tahoma"/>
          <w:sz w:val="20"/>
          <w:szCs w:val="20"/>
        </w:rPr>
        <w:t>Important Bi</w:t>
      </w:r>
      <w:r w:rsidR="00377B68" w:rsidRPr="0068236B">
        <w:rPr>
          <w:rFonts w:cs="Tahoma"/>
          <w:sz w:val="20"/>
          <w:szCs w:val="20"/>
        </w:rPr>
        <w:t>rd Areas, Important Plant Areas or</w:t>
      </w:r>
      <w:r w:rsidRPr="0068236B">
        <w:rPr>
          <w:rFonts w:cs="Tahoma"/>
          <w:sz w:val="20"/>
          <w:szCs w:val="20"/>
        </w:rPr>
        <w:t xml:space="preserve"> Prime Bu</w:t>
      </w:r>
      <w:r w:rsidRPr="0068236B">
        <w:rPr>
          <w:rFonts w:cs="Tahoma"/>
          <w:sz w:val="20"/>
          <w:szCs w:val="20"/>
        </w:rPr>
        <w:t>t</w:t>
      </w:r>
      <w:r w:rsidRPr="0068236B">
        <w:rPr>
          <w:rFonts w:cs="Tahoma"/>
          <w:sz w:val="20"/>
          <w:szCs w:val="20"/>
        </w:rPr>
        <w:t>terfly Areas.</w:t>
      </w:r>
      <w:r w:rsidR="00377B68" w:rsidRPr="0068236B">
        <w:rPr>
          <w:rFonts w:cs="Tahoma"/>
          <w:sz w:val="20"/>
          <w:szCs w:val="20"/>
        </w:rPr>
        <w:t xml:space="preserve"> Therefore there will be no interaction between the Project and natural heritage resources in the Project region.</w:t>
      </w:r>
    </w:p>
    <w:p w14:paraId="7B981BD5" w14:textId="642E667B" w:rsidR="00742EBE" w:rsidRPr="0068236B" w:rsidRDefault="00742EBE" w:rsidP="00742EBE">
      <w:pPr>
        <w:pStyle w:val="Heading4"/>
        <w:numPr>
          <w:ilvl w:val="4"/>
          <w:numId w:val="60"/>
        </w:numPr>
        <w:rPr>
          <w:sz w:val="20"/>
        </w:rPr>
      </w:pPr>
      <w:r w:rsidRPr="0068236B">
        <w:rPr>
          <w:sz w:val="20"/>
        </w:rPr>
        <w:t>Alien species</w:t>
      </w:r>
    </w:p>
    <w:p w14:paraId="05A4EEBC" w14:textId="77777777" w:rsidR="00742EBE" w:rsidRPr="0068236B" w:rsidRDefault="00742EBE" w:rsidP="00742EBE">
      <w:pPr>
        <w:ind w:right="-187"/>
        <w:rPr>
          <w:rFonts w:cs="Tahoma"/>
          <w:sz w:val="20"/>
          <w:szCs w:val="20"/>
        </w:rPr>
      </w:pPr>
      <w:r w:rsidRPr="0068236B">
        <w:rPr>
          <w:rFonts w:cs="Tahoma"/>
          <w:sz w:val="20"/>
          <w:szCs w:val="20"/>
        </w:rPr>
        <w:t>The Project area is predominantly agricultural one and presence of alien species is expected (</w:t>
      </w:r>
      <w:r w:rsidRPr="0068236B">
        <w:rPr>
          <w:rFonts w:cs="Tahoma"/>
          <w:i/>
          <w:sz w:val="20"/>
          <w:szCs w:val="20"/>
        </w:rPr>
        <w:t>Morus alba, Amorpha fruticosa, Acer negundo, Conyza canadensis, Ailanthus glandulosa, Lycium halimifolium</w:t>
      </w:r>
      <w:r w:rsidRPr="0068236B">
        <w:rPr>
          <w:rFonts w:cs="Tahoma"/>
          <w:sz w:val="20"/>
          <w:szCs w:val="20"/>
        </w:rPr>
        <w:t xml:space="preserve">). </w:t>
      </w:r>
    </w:p>
    <w:p w14:paraId="2367576C" w14:textId="77777777" w:rsidR="00742EBE" w:rsidRPr="0068236B" w:rsidRDefault="00742EBE" w:rsidP="00742EBE">
      <w:pPr>
        <w:ind w:right="-187"/>
        <w:rPr>
          <w:rFonts w:cs="Tahoma"/>
          <w:sz w:val="20"/>
          <w:szCs w:val="20"/>
        </w:rPr>
      </w:pPr>
      <w:r w:rsidRPr="0068236B">
        <w:rPr>
          <w:rFonts w:cs="Tahoma"/>
          <w:sz w:val="20"/>
          <w:szCs w:val="20"/>
        </w:rPr>
        <w:t>Indigo bush (</w:t>
      </w:r>
      <w:r w:rsidRPr="0068236B">
        <w:rPr>
          <w:rFonts w:cs="Tahoma"/>
          <w:i/>
          <w:sz w:val="20"/>
          <w:szCs w:val="20"/>
        </w:rPr>
        <w:t>Amorpha fruticosa</w:t>
      </w:r>
      <w:r w:rsidRPr="0068236B">
        <w:rPr>
          <w:rFonts w:cs="Tahoma"/>
          <w:sz w:val="20"/>
          <w:szCs w:val="20"/>
        </w:rPr>
        <w:t>)</w:t>
      </w:r>
      <w:r w:rsidRPr="0068236B">
        <w:rPr>
          <w:rFonts w:cs="Tahoma"/>
          <w:i/>
          <w:sz w:val="20"/>
          <w:szCs w:val="20"/>
        </w:rPr>
        <w:t xml:space="preserve"> </w:t>
      </w:r>
      <w:r w:rsidRPr="0068236B">
        <w:rPr>
          <w:rFonts w:cs="Tahoma"/>
          <w:sz w:val="20"/>
          <w:szCs w:val="20"/>
        </w:rPr>
        <w:t>and Manitoba maple (</w:t>
      </w:r>
      <w:r w:rsidRPr="0068236B">
        <w:rPr>
          <w:rFonts w:cs="Tahoma"/>
          <w:i/>
          <w:sz w:val="20"/>
          <w:szCs w:val="20"/>
        </w:rPr>
        <w:t>Acer negundo</w:t>
      </w:r>
      <w:r w:rsidRPr="0068236B">
        <w:rPr>
          <w:rFonts w:cs="Tahoma"/>
          <w:sz w:val="20"/>
          <w:szCs w:val="20"/>
        </w:rPr>
        <w:t>)</w:t>
      </w:r>
      <w:r w:rsidRPr="0068236B">
        <w:rPr>
          <w:rFonts w:cs="Tahoma"/>
          <w:i/>
          <w:sz w:val="20"/>
          <w:szCs w:val="20"/>
        </w:rPr>
        <w:t xml:space="preserve"> </w:t>
      </w:r>
      <w:r w:rsidRPr="0068236B">
        <w:rPr>
          <w:rFonts w:cs="Tahoma"/>
          <w:sz w:val="20"/>
          <w:szCs w:val="20"/>
        </w:rPr>
        <w:t>are present along the Vardar River and to a lesser extent along the river Anska Reka. This is invasive species that causes changes in the natural co</w:t>
      </w:r>
      <w:r w:rsidRPr="0068236B">
        <w:rPr>
          <w:rFonts w:cs="Tahoma"/>
          <w:sz w:val="20"/>
          <w:szCs w:val="20"/>
        </w:rPr>
        <w:t>m</w:t>
      </w:r>
      <w:r w:rsidRPr="0068236B">
        <w:rPr>
          <w:rFonts w:cs="Tahoma"/>
          <w:sz w:val="20"/>
          <w:szCs w:val="20"/>
        </w:rPr>
        <w:t>munities, especially in the case of riparian belts along the Vardar River. Similar is the case with Mullbery (</w:t>
      </w:r>
      <w:r w:rsidRPr="0068236B">
        <w:rPr>
          <w:rFonts w:cs="Tahoma"/>
          <w:i/>
          <w:sz w:val="20"/>
          <w:szCs w:val="20"/>
        </w:rPr>
        <w:t>M</w:t>
      </w:r>
      <w:r w:rsidRPr="0068236B">
        <w:rPr>
          <w:rFonts w:cs="Tahoma"/>
          <w:i/>
          <w:sz w:val="20"/>
          <w:szCs w:val="20"/>
        </w:rPr>
        <w:t>o</w:t>
      </w:r>
      <w:r w:rsidRPr="0068236B">
        <w:rPr>
          <w:rFonts w:cs="Tahoma"/>
          <w:i/>
          <w:sz w:val="20"/>
          <w:szCs w:val="20"/>
        </w:rPr>
        <w:t>rus alba</w:t>
      </w:r>
      <w:r w:rsidRPr="0068236B">
        <w:rPr>
          <w:rFonts w:cs="Tahoma"/>
          <w:sz w:val="20"/>
          <w:szCs w:val="20"/>
        </w:rPr>
        <w:t xml:space="preserve">) which is present in both the riparian belts as well as in the agricultural areas in the region (it was used as a fodder plant for domestic silk moth </w:t>
      </w:r>
      <w:r w:rsidRPr="0068236B">
        <w:rPr>
          <w:rFonts w:cs="Tahoma"/>
          <w:i/>
          <w:sz w:val="20"/>
          <w:szCs w:val="20"/>
        </w:rPr>
        <w:t>Bombyx mori</w:t>
      </w:r>
      <w:r w:rsidRPr="0068236B">
        <w:rPr>
          <w:rFonts w:cs="Tahoma"/>
          <w:sz w:val="20"/>
          <w:szCs w:val="20"/>
        </w:rPr>
        <w:t xml:space="preserve"> in the past). All of these species require special attention.</w:t>
      </w:r>
    </w:p>
    <w:p w14:paraId="4E919BC1" w14:textId="77777777" w:rsidR="00742EBE" w:rsidRPr="0068236B" w:rsidRDefault="00742EBE" w:rsidP="00742EBE">
      <w:pPr>
        <w:ind w:right="-187"/>
        <w:rPr>
          <w:rFonts w:cs="Tahoma"/>
          <w:sz w:val="20"/>
          <w:szCs w:val="20"/>
        </w:rPr>
      </w:pPr>
      <w:r w:rsidRPr="0068236B">
        <w:rPr>
          <w:rFonts w:cs="Tahoma"/>
          <w:sz w:val="20"/>
          <w:szCs w:val="20"/>
        </w:rPr>
        <w:t>The tree of heaven (</w:t>
      </w:r>
      <w:r w:rsidRPr="0068236B">
        <w:rPr>
          <w:rFonts w:cs="Tahoma"/>
          <w:i/>
          <w:sz w:val="20"/>
          <w:szCs w:val="20"/>
        </w:rPr>
        <w:t>Ailanthus glandulosa</w:t>
      </w:r>
      <w:r w:rsidRPr="0068236B">
        <w:rPr>
          <w:rFonts w:cs="Tahoma"/>
          <w:sz w:val="20"/>
          <w:szCs w:val="20"/>
        </w:rPr>
        <w:t>) is scattered in the agricultural land (mostly ruderal sites). It may also be found in the riparian belt. Horseweed (</w:t>
      </w:r>
      <w:r w:rsidRPr="0068236B">
        <w:rPr>
          <w:rFonts w:cs="Tahoma"/>
          <w:i/>
          <w:sz w:val="20"/>
          <w:szCs w:val="20"/>
        </w:rPr>
        <w:t>Conyza canadensis</w:t>
      </w:r>
      <w:r w:rsidRPr="0068236B">
        <w:rPr>
          <w:rFonts w:cs="Tahoma"/>
          <w:sz w:val="20"/>
          <w:szCs w:val="20"/>
        </w:rPr>
        <w:t>) is also in the agricultural land (mostly fallow fields and ruderal sites).</w:t>
      </w:r>
    </w:p>
    <w:p w14:paraId="6C18948D" w14:textId="4E03C4E5" w:rsidR="00377B68" w:rsidRPr="0068236B" w:rsidRDefault="00742EBE" w:rsidP="00742EBE">
      <w:pPr>
        <w:pStyle w:val="Heading4"/>
        <w:rPr>
          <w:rFonts w:cs="Tahoma"/>
        </w:rPr>
      </w:pPr>
      <w:r w:rsidRPr="0068236B">
        <w:rPr>
          <w:rFonts w:cs="Tahoma"/>
        </w:rPr>
        <w:t>Assessment of Key Biodiversity Features</w:t>
      </w:r>
    </w:p>
    <w:p w14:paraId="442565AE" w14:textId="77777777" w:rsidR="00742EBE" w:rsidRPr="0068236B" w:rsidRDefault="00742EBE" w:rsidP="00742EBE">
      <w:pPr>
        <w:widowControl w:val="0"/>
        <w:rPr>
          <w:rFonts w:cs="Tahoma"/>
          <w:sz w:val="20"/>
        </w:rPr>
      </w:pPr>
      <w:r w:rsidRPr="0068236B">
        <w:rPr>
          <w:rFonts w:cs="Tahoma"/>
          <w:sz w:val="20"/>
        </w:rPr>
        <w:t xml:space="preserve">Assessment of </w:t>
      </w:r>
      <w:r w:rsidRPr="0068236B">
        <w:rPr>
          <w:rFonts w:cs="Tahoma"/>
          <w:bCs/>
          <w:sz w:val="20"/>
          <w:szCs w:val="20"/>
        </w:rPr>
        <w:t>Key Biodiversity Features (</w:t>
      </w:r>
      <w:r w:rsidRPr="0068236B">
        <w:rPr>
          <w:rFonts w:cs="Tahoma"/>
          <w:sz w:val="20"/>
        </w:rPr>
        <w:t>Critical Habitat – CH and Priority Biodiversity Features – PBF) was performed according to the PR6 guidelines</w:t>
      </w:r>
      <w:r w:rsidRPr="0068236B">
        <w:rPr>
          <w:rStyle w:val="FootnoteReference"/>
          <w:rFonts w:cs="Tahoma"/>
          <w:sz w:val="20"/>
        </w:rPr>
        <w:footnoteReference w:id="92"/>
      </w:r>
      <w:r w:rsidRPr="0068236B">
        <w:rPr>
          <w:rFonts w:cs="Tahoma"/>
          <w:sz w:val="20"/>
        </w:rPr>
        <w:t>. The objectives of PR6 are to protect and conserve biodiversity; maintain core ecological functions of ecosystem services and biodiversity they support; adapt the mitigation hierarchy approach; and promote the sustainable management of living natural resources through the ado</w:t>
      </w:r>
      <w:r w:rsidRPr="0068236B">
        <w:rPr>
          <w:rFonts w:cs="Tahoma"/>
          <w:sz w:val="20"/>
        </w:rPr>
        <w:t>p</w:t>
      </w:r>
      <w:r w:rsidRPr="0068236B">
        <w:rPr>
          <w:rFonts w:cs="Tahoma"/>
          <w:sz w:val="20"/>
        </w:rPr>
        <w:t xml:space="preserve">tion of good international practices. </w:t>
      </w:r>
    </w:p>
    <w:p w14:paraId="69BAA2D8" w14:textId="77777777" w:rsidR="00742EBE" w:rsidRPr="0068236B" w:rsidRDefault="00742EBE" w:rsidP="00742EBE">
      <w:pPr>
        <w:pStyle w:val="Default"/>
        <w:spacing w:before="120" w:after="120" w:line="276" w:lineRule="auto"/>
        <w:rPr>
          <w:rFonts w:ascii="Tahoma" w:hAnsi="Tahoma" w:cs="Tahoma"/>
          <w:sz w:val="20"/>
          <w:szCs w:val="22"/>
        </w:rPr>
      </w:pPr>
      <w:r w:rsidRPr="0068236B">
        <w:rPr>
          <w:rFonts w:ascii="Tahoma" w:hAnsi="Tahoma" w:cs="Tahoma"/>
          <w:sz w:val="20"/>
          <w:szCs w:val="22"/>
        </w:rPr>
        <w:t xml:space="preserve">EBRD PR 6 defines critical habitats (CH) as: </w:t>
      </w:r>
    </w:p>
    <w:p w14:paraId="3806221E" w14:textId="6E82AC21" w:rsidR="00742EBE" w:rsidRPr="0068236B" w:rsidRDefault="005D2480" w:rsidP="00744C45">
      <w:pPr>
        <w:pStyle w:val="Default"/>
        <w:numPr>
          <w:ilvl w:val="1"/>
          <w:numId w:val="40"/>
        </w:numPr>
        <w:spacing w:before="40"/>
        <w:ind w:left="709" w:hanging="425"/>
        <w:rPr>
          <w:rFonts w:ascii="Tahoma" w:hAnsi="Tahoma" w:cs="Tahoma"/>
          <w:sz w:val="20"/>
          <w:szCs w:val="22"/>
        </w:rPr>
      </w:pPr>
      <w:r w:rsidRPr="0068236B">
        <w:rPr>
          <w:rFonts w:ascii="Tahoma" w:hAnsi="Tahoma" w:cs="Tahoma"/>
          <w:iCs/>
          <w:sz w:val="20"/>
          <w:szCs w:val="22"/>
          <w:u w:val="single"/>
        </w:rPr>
        <w:t>H</w:t>
      </w:r>
      <w:r w:rsidR="00742EBE" w:rsidRPr="0068236B">
        <w:rPr>
          <w:rFonts w:ascii="Tahoma" w:hAnsi="Tahoma" w:cs="Tahoma"/>
          <w:iCs/>
          <w:sz w:val="20"/>
          <w:szCs w:val="22"/>
          <w:u w:val="single"/>
        </w:rPr>
        <w:t>ighly threatened or unique ecosystems</w:t>
      </w:r>
      <w:r w:rsidR="00742EBE" w:rsidRPr="0068236B">
        <w:rPr>
          <w:rFonts w:ascii="Tahoma" w:hAnsi="Tahoma" w:cs="Tahoma"/>
          <w:iCs/>
          <w:sz w:val="20"/>
          <w:szCs w:val="22"/>
        </w:rPr>
        <w:t>. There is only one habitat on the Annex I of the EU Habitat Directive (</w:t>
      </w:r>
      <w:r w:rsidR="00742EBE" w:rsidRPr="0068236B">
        <w:rPr>
          <w:rFonts w:ascii="Tahoma" w:hAnsi="Tahoma" w:cs="Tahoma"/>
          <w:sz w:val="20"/>
          <w:szCs w:val="20"/>
        </w:rPr>
        <w:t xml:space="preserve">92A0 </w:t>
      </w:r>
      <w:r w:rsidR="00742EBE" w:rsidRPr="0068236B">
        <w:rPr>
          <w:rFonts w:ascii="Tahoma" w:hAnsi="Tahoma" w:cs="Tahoma"/>
          <w:i/>
          <w:sz w:val="20"/>
          <w:szCs w:val="20"/>
        </w:rPr>
        <w:t>Salix alba</w:t>
      </w:r>
      <w:r w:rsidR="00742EBE" w:rsidRPr="0068236B">
        <w:rPr>
          <w:rFonts w:ascii="Tahoma" w:hAnsi="Tahoma" w:cs="Tahoma"/>
          <w:sz w:val="20"/>
          <w:szCs w:val="20"/>
        </w:rPr>
        <w:t xml:space="preserve"> and </w:t>
      </w:r>
      <w:r w:rsidR="00742EBE" w:rsidRPr="0068236B">
        <w:rPr>
          <w:rFonts w:ascii="Tahoma" w:hAnsi="Tahoma" w:cs="Tahoma"/>
          <w:i/>
          <w:sz w:val="20"/>
          <w:szCs w:val="20"/>
        </w:rPr>
        <w:t xml:space="preserve">Populus alba galleries) </w:t>
      </w:r>
      <w:r w:rsidR="00742EBE" w:rsidRPr="0068236B">
        <w:rPr>
          <w:rFonts w:ascii="Tahoma" w:hAnsi="Tahoma" w:cs="Tahoma"/>
          <w:sz w:val="20"/>
          <w:szCs w:val="20"/>
        </w:rPr>
        <w:t>but this habitat is not considered as priority (*) and as such it does not qualify for CH but it qualifies for PBF.</w:t>
      </w:r>
    </w:p>
    <w:p w14:paraId="5E57B715" w14:textId="2AB2CFA4" w:rsidR="00742EBE" w:rsidRPr="0068236B" w:rsidRDefault="005D2480" w:rsidP="00744C45">
      <w:pPr>
        <w:pStyle w:val="Default"/>
        <w:numPr>
          <w:ilvl w:val="1"/>
          <w:numId w:val="40"/>
        </w:numPr>
        <w:spacing w:before="40"/>
        <w:ind w:left="709" w:hanging="425"/>
        <w:rPr>
          <w:rFonts w:ascii="Tahoma" w:hAnsi="Tahoma" w:cs="Tahoma"/>
          <w:sz w:val="20"/>
          <w:szCs w:val="22"/>
        </w:rPr>
      </w:pPr>
      <w:r w:rsidRPr="0068236B">
        <w:rPr>
          <w:rFonts w:ascii="Tahoma" w:hAnsi="Tahoma" w:cs="Tahoma"/>
          <w:iCs/>
          <w:sz w:val="20"/>
          <w:szCs w:val="22"/>
          <w:u w:val="single"/>
        </w:rPr>
        <w:t>H</w:t>
      </w:r>
      <w:r w:rsidR="00742EBE" w:rsidRPr="0068236B">
        <w:rPr>
          <w:rFonts w:ascii="Tahoma" w:hAnsi="Tahoma" w:cs="Tahoma"/>
          <w:iCs/>
          <w:sz w:val="20"/>
          <w:szCs w:val="22"/>
          <w:u w:val="single"/>
        </w:rPr>
        <w:t>abitats of significant importance to endangered or critically endangered species</w:t>
      </w:r>
      <w:r w:rsidR="00742EBE" w:rsidRPr="0068236B">
        <w:rPr>
          <w:rFonts w:ascii="Tahoma" w:hAnsi="Tahoma" w:cs="Tahoma"/>
          <w:iCs/>
          <w:sz w:val="20"/>
          <w:szCs w:val="22"/>
        </w:rPr>
        <w:t>. There are no e</w:t>
      </w:r>
      <w:r w:rsidR="00742EBE" w:rsidRPr="0068236B">
        <w:rPr>
          <w:rFonts w:ascii="Tahoma" w:hAnsi="Tahoma" w:cs="Tahoma"/>
          <w:iCs/>
          <w:sz w:val="20"/>
          <w:szCs w:val="22"/>
        </w:rPr>
        <w:t>n</w:t>
      </w:r>
      <w:r w:rsidR="00742EBE" w:rsidRPr="0068236B">
        <w:rPr>
          <w:rFonts w:ascii="Tahoma" w:hAnsi="Tahoma" w:cs="Tahoma"/>
          <w:iCs/>
          <w:sz w:val="20"/>
          <w:szCs w:val="22"/>
        </w:rPr>
        <w:t xml:space="preserve">dangered (EN) or critically engendered species (CR). However, there are four vulnerable species (VU) on the global/European red list: </w:t>
      </w:r>
      <w:r w:rsidR="00742EBE" w:rsidRPr="0068236B">
        <w:rPr>
          <w:rFonts w:ascii="Tahoma" w:hAnsi="Tahoma" w:cs="Tahoma"/>
          <w:i/>
          <w:iCs/>
          <w:sz w:val="20"/>
          <w:szCs w:val="22"/>
        </w:rPr>
        <w:t xml:space="preserve">Streptopelia turtur, Alcedo atthis </w:t>
      </w:r>
      <w:r w:rsidR="00742EBE" w:rsidRPr="0068236B">
        <w:rPr>
          <w:rFonts w:ascii="Tahoma" w:hAnsi="Tahoma" w:cs="Tahoma"/>
          <w:iCs/>
          <w:sz w:val="20"/>
          <w:szCs w:val="22"/>
        </w:rPr>
        <w:t xml:space="preserve">and </w:t>
      </w:r>
      <w:r w:rsidR="00742EBE" w:rsidRPr="0068236B">
        <w:rPr>
          <w:rFonts w:ascii="Tahoma" w:hAnsi="Tahoma" w:cs="Tahoma"/>
          <w:i/>
          <w:iCs/>
          <w:sz w:val="20"/>
          <w:szCs w:val="22"/>
        </w:rPr>
        <w:t>Testudo graeca</w:t>
      </w:r>
      <w:r w:rsidR="00742EBE" w:rsidRPr="0068236B">
        <w:rPr>
          <w:rFonts w:ascii="Tahoma" w:hAnsi="Tahoma" w:cs="Tahoma"/>
          <w:iCs/>
          <w:sz w:val="20"/>
          <w:szCs w:val="22"/>
        </w:rPr>
        <w:t xml:space="preserve"> and one (</w:t>
      </w:r>
      <w:r w:rsidR="00742EBE" w:rsidRPr="0068236B">
        <w:rPr>
          <w:rFonts w:ascii="Tahoma" w:hAnsi="Tahoma" w:cs="Tahoma"/>
          <w:i/>
          <w:iCs/>
          <w:sz w:val="20"/>
          <w:szCs w:val="22"/>
        </w:rPr>
        <w:t>Lutra lutra</w:t>
      </w:r>
      <w:r w:rsidR="00742EBE" w:rsidRPr="0068236B">
        <w:rPr>
          <w:rFonts w:ascii="Tahoma" w:hAnsi="Tahoma" w:cs="Tahoma"/>
          <w:iCs/>
          <w:sz w:val="20"/>
          <w:szCs w:val="22"/>
        </w:rPr>
        <w:t>) on the national red list. Additionally, a number of species in Annexes II and IV of the Habitats Directive and Annex I of the Birds Directive are present in the area. These species will be presented in the following text.</w:t>
      </w:r>
    </w:p>
    <w:p w14:paraId="661786D4" w14:textId="7CBF8135" w:rsidR="00742EBE" w:rsidRPr="0068236B" w:rsidRDefault="005D2480" w:rsidP="00744C45">
      <w:pPr>
        <w:pStyle w:val="Default"/>
        <w:numPr>
          <w:ilvl w:val="1"/>
          <w:numId w:val="40"/>
        </w:numPr>
        <w:spacing w:before="40"/>
        <w:ind w:left="709" w:hanging="425"/>
        <w:rPr>
          <w:rFonts w:ascii="Tahoma" w:hAnsi="Tahoma" w:cs="Tahoma"/>
          <w:sz w:val="20"/>
          <w:szCs w:val="22"/>
        </w:rPr>
      </w:pPr>
      <w:r w:rsidRPr="0068236B">
        <w:rPr>
          <w:rFonts w:ascii="Tahoma" w:hAnsi="Tahoma" w:cs="Tahoma"/>
          <w:iCs/>
          <w:sz w:val="20"/>
          <w:szCs w:val="22"/>
          <w:u w:val="single"/>
        </w:rPr>
        <w:t>H</w:t>
      </w:r>
      <w:r w:rsidR="00742EBE" w:rsidRPr="0068236B">
        <w:rPr>
          <w:rFonts w:ascii="Tahoma" w:hAnsi="Tahoma" w:cs="Tahoma"/>
          <w:iCs/>
          <w:sz w:val="20"/>
          <w:szCs w:val="22"/>
          <w:u w:val="single"/>
        </w:rPr>
        <w:t>abitats of significant importance to endemic or geographically restricted species</w:t>
      </w:r>
      <w:r w:rsidR="00742EBE" w:rsidRPr="0068236B">
        <w:rPr>
          <w:rFonts w:ascii="Tahoma" w:hAnsi="Tahoma" w:cs="Tahoma"/>
          <w:iCs/>
          <w:sz w:val="20"/>
          <w:szCs w:val="22"/>
        </w:rPr>
        <w:t xml:space="preserve">. The area has no significance from the aspect of endemic species/; </w:t>
      </w:r>
    </w:p>
    <w:p w14:paraId="2F9C69EE" w14:textId="21B74911" w:rsidR="00742EBE" w:rsidRPr="0068236B" w:rsidRDefault="005D2480" w:rsidP="00744C45">
      <w:pPr>
        <w:pStyle w:val="Default"/>
        <w:numPr>
          <w:ilvl w:val="1"/>
          <w:numId w:val="40"/>
        </w:numPr>
        <w:spacing w:before="40"/>
        <w:ind w:left="709" w:hanging="425"/>
        <w:rPr>
          <w:rFonts w:ascii="Tahoma" w:hAnsi="Tahoma" w:cs="Tahoma"/>
          <w:sz w:val="20"/>
          <w:szCs w:val="22"/>
        </w:rPr>
      </w:pPr>
      <w:r w:rsidRPr="0068236B">
        <w:rPr>
          <w:rFonts w:ascii="Tahoma" w:hAnsi="Tahoma" w:cs="Tahoma"/>
          <w:iCs/>
          <w:sz w:val="20"/>
          <w:szCs w:val="22"/>
          <w:u w:val="single"/>
        </w:rPr>
        <w:t>H</w:t>
      </w:r>
      <w:r w:rsidR="00742EBE" w:rsidRPr="0068236B">
        <w:rPr>
          <w:rFonts w:ascii="Tahoma" w:hAnsi="Tahoma" w:cs="Tahoma"/>
          <w:iCs/>
          <w:sz w:val="20"/>
          <w:szCs w:val="22"/>
          <w:u w:val="single"/>
        </w:rPr>
        <w:t>abitats supporting globally significant migratory or congregatory species</w:t>
      </w:r>
      <w:r w:rsidR="00742EBE" w:rsidRPr="0068236B">
        <w:rPr>
          <w:rFonts w:ascii="Tahoma" w:hAnsi="Tahoma" w:cs="Tahoma"/>
          <w:iCs/>
          <w:sz w:val="20"/>
          <w:szCs w:val="22"/>
        </w:rPr>
        <w:t>. There are no habitats habitats supporting globally significant migratory or congregatory species. The valley of river Vardar is not considered as significant migratory route.</w:t>
      </w:r>
    </w:p>
    <w:p w14:paraId="1E988D0E" w14:textId="744CE709" w:rsidR="00742EBE" w:rsidRPr="0068236B" w:rsidRDefault="005D2480" w:rsidP="00744C45">
      <w:pPr>
        <w:pStyle w:val="Default"/>
        <w:numPr>
          <w:ilvl w:val="1"/>
          <w:numId w:val="40"/>
        </w:numPr>
        <w:spacing w:before="40"/>
        <w:ind w:left="709" w:hanging="425"/>
        <w:rPr>
          <w:rFonts w:ascii="Tahoma" w:hAnsi="Tahoma" w:cs="Tahoma"/>
          <w:sz w:val="20"/>
          <w:szCs w:val="22"/>
        </w:rPr>
      </w:pPr>
      <w:r w:rsidRPr="0068236B">
        <w:rPr>
          <w:rFonts w:ascii="Tahoma" w:hAnsi="Tahoma" w:cs="Tahoma"/>
          <w:iCs/>
          <w:sz w:val="20"/>
          <w:szCs w:val="22"/>
          <w:u w:val="single"/>
        </w:rPr>
        <w:t>A</w:t>
      </w:r>
      <w:r w:rsidR="00742EBE" w:rsidRPr="0068236B">
        <w:rPr>
          <w:rFonts w:ascii="Tahoma" w:hAnsi="Tahoma" w:cs="Tahoma"/>
          <w:iCs/>
          <w:sz w:val="20"/>
          <w:szCs w:val="22"/>
          <w:u w:val="single"/>
        </w:rPr>
        <w:t>reas associated with key evolutionary processes</w:t>
      </w:r>
      <w:r w:rsidR="00742EBE" w:rsidRPr="0068236B">
        <w:rPr>
          <w:rFonts w:ascii="Tahoma" w:hAnsi="Tahoma" w:cs="Tahoma"/>
          <w:iCs/>
          <w:sz w:val="20"/>
          <w:szCs w:val="22"/>
        </w:rPr>
        <w:t>. There are no areas associated with key evolutio</w:t>
      </w:r>
      <w:r w:rsidR="00742EBE" w:rsidRPr="0068236B">
        <w:rPr>
          <w:rFonts w:ascii="Tahoma" w:hAnsi="Tahoma" w:cs="Tahoma"/>
          <w:iCs/>
          <w:sz w:val="20"/>
          <w:szCs w:val="22"/>
        </w:rPr>
        <w:t>n</w:t>
      </w:r>
      <w:r w:rsidR="00742EBE" w:rsidRPr="0068236B">
        <w:rPr>
          <w:rFonts w:ascii="Tahoma" w:hAnsi="Tahoma" w:cs="Tahoma"/>
          <w:iCs/>
          <w:sz w:val="20"/>
          <w:szCs w:val="22"/>
        </w:rPr>
        <w:t xml:space="preserve">ary processes in the area of interest.  </w:t>
      </w:r>
    </w:p>
    <w:p w14:paraId="5D681166" w14:textId="7E13632C" w:rsidR="00742EBE" w:rsidRPr="0068236B" w:rsidRDefault="005D2480" w:rsidP="00744C45">
      <w:pPr>
        <w:pStyle w:val="Default"/>
        <w:numPr>
          <w:ilvl w:val="1"/>
          <w:numId w:val="40"/>
        </w:numPr>
        <w:spacing w:before="40"/>
        <w:ind w:left="709" w:hanging="425"/>
        <w:rPr>
          <w:rFonts w:ascii="Tahoma" w:hAnsi="Tahoma" w:cs="Tahoma"/>
          <w:iCs/>
          <w:sz w:val="20"/>
          <w:szCs w:val="22"/>
        </w:rPr>
      </w:pPr>
      <w:r w:rsidRPr="0068236B">
        <w:rPr>
          <w:rFonts w:ascii="Tahoma" w:hAnsi="Tahoma" w:cs="Tahoma"/>
          <w:iCs/>
          <w:sz w:val="20"/>
          <w:szCs w:val="22"/>
          <w:u w:val="single"/>
        </w:rPr>
        <w:t>E</w:t>
      </w:r>
      <w:r w:rsidR="00742EBE" w:rsidRPr="0068236B">
        <w:rPr>
          <w:rFonts w:ascii="Tahoma" w:hAnsi="Tahoma" w:cs="Tahoma"/>
          <w:iCs/>
          <w:sz w:val="20"/>
          <w:szCs w:val="22"/>
          <w:u w:val="single"/>
        </w:rPr>
        <w:t>cological functions that are vital to maintaining the viability of biodiversity features described above</w:t>
      </w:r>
      <w:r w:rsidR="00742EBE" w:rsidRPr="0068236B">
        <w:rPr>
          <w:rFonts w:ascii="Tahoma" w:hAnsi="Tahoma" w:cs="Tahoma"/>
          <w:iCs/>
          <w:sz w:val="20"/>
          <w:szCs w:val="22"/>
        </w:rPr>
        <w:t>. There are no ecological features that are vital for biodiversity which were not covered by previous criteria.</w:t>
      </w:r>
    </w:p>
    <w:p w14:paraId="7C70628C" w14:textId="77777777" w:rsidR="00742EBE" w:rsidRPr="0068236B" w:rsidRDefault="00742EBE" w:rsidP="00742EBE">
      <w:pPr>
        <w:pStyle w:val="Default"/>
        <w:spacing w:before="120" w:after="120" w:line="276" w:lineRule="auto"/>
        <w:rPr>
          <w:rFonts w:ascii="Tahoma" w:hAnsi="Tahoma" w:cs="Tahoma"/>
          <w:sz w:val="20"/>
          <w:szCs w:val="22"/>
        </w:rPr>
      </w:pPr>
      <w:r w:rsidRPr="0068236B">
        <w:rPr>
          <w:rFonts w:ascii="Tahoma" w:hAnsi="Tahoma" w:cs="Tahoma"/>
          <w:sz w:val="20"/>
          <w:szCs w:val="22"/>
        </w:rPr>
        <w:lastRenderedPageBreak/>
        <w:t>Priority biodiversity features (PBF) are below critical habitat in terms of sensitivity, however, they still require careful consideration as part of the assessment and development of mitigation. They include four criteria: Criterion i - Threatened habitat; Criterion ii - Vulnerable species; Criterion iii - Significant biodiversity features identified by a broad set of stakeholders / governments; and Criterion iv - Ecological functions vital to mai</w:t>
      </w:r>
      <w:r w:rsidRPr="0068236B">
        <w:rPr>
          <w:rFonts w:ascii="Tahoma" w:hAnsi="Tahoma" w:cs="Tahoma"/>
          <w:sz w:val="20"/>
          <w:szCs w:val="22"/>
        </w:rPr>
        <w:t>n</w:t>
      </w:r>
      <w:r w:rsidRPr="0068236B">
        <w:rPr>
          <w:rFonts w:ascii="Tahoma" w:hAnsi="Tahoma" w:cs="Tahoma"/>
          <w:sz w:val="20"/>
          <w:szCs w:val="22"/>
        </w:rPr>
        <w:t>taining the viability of identified PBF.</w:t>
      </w:r>
    </w:p>
    <w:tbl>
      <w:tblPr>
        <w:tblStyle w:val="TableGrid"/>
        <w:tblW w:w="9781" w:type="dxa"/>
        <w:tblInd w:w="108" w:type="dxa"/>
        <w:tblLook w:val="04A0" w:firstRow="1" w:lastRow="0" w:firstColumn="1" w:lastColumn="0" w:noHBand="0" w:noVBand="1"/>
      </w:tblPr>
      <w:tblGrid>
        <w:gridCol w:w="3260"/>
        <w:gridCol w:w="3260"/>
        <w:gridCol w:w="3261"/>
      </w:tblGrid>
      <w:tr w:rsidR="00742EBE" w:rsidRPr="0068236B" w14:paraId="5BB1E5CE" w14:textId="77777777" w:rsidTr="00742EBE">
        <w:tc>
          <w:tcPr>
            <w:tcW w:w="3260" w:type="dxa"/>
            <w:tcBorders>
              <w:bottom w:val="single" w:sz="4" w:space="0" w:color="auto"/>
            </w:tcBorders>
            <w:shd w:val="clear" w:color="auto" w:fill="B4C6E7" w:themeFill="accent1" w:themeFillTint="66"/>
          </w:tcPr>
          <w:p w14:paraId="4C575786" w14:textId="77777777" w:rsidR="00742EBE" w:rsidRPr="0068236B" w:rsidRDefault="00742EBE" w:rsidP="00742EBE">
            <w:pPr>
              <w:spacing w:before="0" w:after="0" w:line="240" w:lineRule="auto"/>
              <w:rPr>
                <w:rFonts w:cs="Tahoma"/>
                <w:bCs/>
                <w:sz w:val="18"/>
                <w:szCs w:val="18"/>
              </w:rPr>
            </w:pPr>
            <w:r w:rsidRPr="0068236B">
              <w:rPr>
                <w:rFonts w:cs="Tahoma"/>
                <w:bCs/>
                <w:sz w:val="18"/>
                <w:szCs w:val="18"/>
              </w:rPr>
              <w:t>Criterion</w:t>
            </w:r>
          </w:p>
        </w:tc>
        <w:tc>
          <w:tcPr>
            <w:tcW w:w="3260" w:type="dxa"/>
            <w:tcBorders>
              <w:bottom w:val="single" w:sz="4" w:space="0" w:color="auto"/>
            </w:tcBorders>
            <w:shd w:val="clear" w:color="auto" w:fill="B4C6E7" w:themeFill="accent1" w:themeFillTint="66"/>
          </w:tcPr>
          <w:p w14:paraId="4DC59582" w14:textId="77777777" w:rsidR="00742EBE" w:rsidRPr="0068236B" w:rsidRDefault="00742EBE" w:rsidP="00742EBE">
            <w:pPr>
              <w:spacing w:before="0" w:after="0" w:line="240" w:lineRule="auto"/>
              <w:rPr>
                <w:rFonts w:cs="Tahoma"/>
                <w:bCs/>
                <w:sz w:val="18"/>
                <w:szCs w:val="18"/>
              </w:rPr>
            </w:pPr>
            <w:r w:rsidRPr="0068236B">
              <w:rPr>
                <w:rFonts w:cs="Tahoma"/>
                <w:bCs/>
                <w:sz w:val="18"/>
                <w:szCs w:val="18"/>
              </w:rPr>
              <w:t>Priority Biodiversity Feature</w:t>
            </w:r>
          </w:p>
        </w:tc>
        <w:tc>
          <w:tcPr>
            <w:tcW w:w="3261" w:type="dxa"/>
            <w:tcBorders>
              <w:bottom w:val="single" w:sz="4" w:space="0" w:color="auto"/>
            </w:tcBorders>
            <w:shd w:val="clear" w:color="auto" w:fill="B4C6E7" w:themeFill="accent1" w:themeFillTint="66"/>
          </w:tcPr>
          <w:p w14:paraId="3005704C" w14:textId="77777777" w:rsidR="00742EBE" w:rsidRPr="0068236B" w:rsidRDefault="00742EBE" w:rsidP="00742EBE">
            <w:pPr>
              <w:spacing w:before="0" w:after="0" w:line="240" w:lineRule="auto"/>
              <w:rPr>
                <w:rFonts w:cs="Tahoma"/>
                <w:bCs/>
                <w:sz w:val="18"/>
                <w:szCs w:val="18"/>
              </w:rPr>
            </w:pPr>
            <w:r w:rsidRPr="0068236B">
              <w:rPr>
                <w:rFonts w:cs="Tahoma"/>
                <w:bCs/>
                <w:sz w:val="18"/>
                <w:szCs w:val="18"/>
              </w:rPr>
              <w:t>Critical Habitat</w:t>
            </w:r>
          </w:p>
        </w:tc>
      </w:tr>
      <w:tr w:rsidR="00742EBE" w:rsidRPr="0068236B" w14:paraId="2894B252" w14:textId="77777777" w:rsidTr="00742EBE">
        <w:tc>
          <w:tcPr>
            <w:tcW w:w="9781" w:type="dxa"/>
            <w:gridSpan w:val="3"/>
            <w:shd w:val="clear" w:color="auto" w:fill="A8D08D" w:themeFill="accent6" w:themeFillTint="99"/>
          </w:tcPr>
          <w:p w14:paraId="52C9F3A4" w14:textId="77777777" w:rsidR="00742EBE" w:rsidRPr="0068236B" w:rsidRDefault="00742EBE" w:rsidP="00D24CEF">
            <w:pPr>
              <w:pStyle w:val="ListParagraph"/>
              <w:numPr>
                <w:ilvl w:val="0"/>
                <w:numId w:val="120"/>
              </w:numPr>
              <w:spacing w:before="0" w:after="0" w:line="240" w:lineRule="auto"/>
              <w:jc w:val="left"/>
              <w:rPr>
                <w:rFonts w:cs="Tahoma"/>
                <w:sz w:val="18"/>
                <w:szCs w:val="18"/>
              </w:rPr>
            </w:pPr>
            <w:r w:rsidRPr="0068236B">
              <w:rPr>
                <w:rFonts w:cs="Tahoma"/>
                <w:sz w:val="18"/>
                <w:szCs w:val="18"/>
              </w:rPr>
              <w:t xml:space="preserve">Priority ecosystems </w:t>
            </w:r>
          </w:p>
        </w:tc>
      </w:tr>
      <w:tr w:rsidR="00742EBE" w:rsidRPr="0068236B" w14:paraId="2B95E57A" w14:textId="77777777" w:rsidTr="00742EBE">
        <w:tc>
          <w:tcPr>
            <w:tcW w:w="3260" w:type="dxa"/>
          </w:tcPr>
          <w:p w14:paraId="6B89C229" w14:textId="77777777" w:rsidR="00742EBE" w:rsidRPr="0068236B" w:rsidRDefault="00742EBE" w:rsidP="00742EBE">
            <w:pPr>
              <w:spacing w:before="0" w:after="0" w:line="240" w:lineRule="auto"/>
              <w:rPr>
                <w:rFonts w:cs="Tahoma"/>
                <w:i/>
                <w:iCs/>
                <w:sz w:val="18"/>
                <w:szCs w:val="18"/>
              </w:rPr>
            </w:pPr>
            <w:r w:rsidRPr="0068236B">
              <w:rPr>
                <w:rFonts w:cs="Tahoma"/>
                <w:i/>
                <w:iCs/>
                <w:sz w:val="18"/>
                <w:szCs w:val="18"/>
              </w:rPr>
              <w:t>Threatened ecosystems</w:t>
            </w:r>
          </w:p>
          <w:p w14:paraId="1EEA9EF3" w14:textId="77777777" w:rsidR="00742EBE" w:rsidRPr="0068236B" w:rsidRDefault="00742EBE" w:rsidP="00742EBE">
            <w:pPr>
              <w:spacing w:before="0" w:after="0" w:line="240" w:lineRule="auto"/>
              <w:rPr>
                <w:rFonts w:cs="Tahoma"/>
                <w:sz w:val="18"/>
                <w:szCs w:val="18"/>
              </w:rPr>
            </w:pPr>
          </w:p>
          <w:p w14:paraId="29E09417" w14:textId="77777777" w:rsidR="00742EBE" w:rsidRPr="0068236B" w:rsidRDefault="00742EBE" w:rsidP="00D24CEF">
            <w:pPr>
              <w:pStyle w:val="ListParagraph"/>
              <w:numPr>
                <w:ilvl w:val="0"/>
                <w:numId w:val="123"/>
              </w:numPr>
              <w:spacing w:before="0" w:after="0" w:line="240" w:lineRule="auto"/>
              <w:ind w:left="332"/>
              <w:jc w:val="left"/>
              <w:rPr>
                <w:rFonts w:cs="Tahoma"/>
                <w:sz w:val="18"/>
                <w:szCs w:val="18"/>
              </w:rPr>
            </w:pPr>
            <w:r w:rsidRPr="0068236B">
              <w:rPr>
                <w:rFonts w:cs="Tahoma"/>
                <w:sz w:val="18"/>
                <w:szCs w:val="18"/>
              </w:rPr>
              <w:t>Habitats listed in Annex 1 of EU Habitats Directive (EU members only) or Resolution 4 of Bern Convention (signatory nations o</w:t>
            </w:r>
            <w:r w:rsidRPr="0068236B">
              <w:rPr>
                <w:rFonts w:cs="Tahoma"/>
                <w:sz w:val="18"/>
                <w:szCs w:val="18"/>
              </w:rPr>
              <w:t>n</w:t>
            </w:r>
            <w:r w:rsidRPr="0068236B">
              <w:rPr>
                <w:rFonts w:cs="Tahoma"/>
                <w:sz w:val="18"/>
                <w:szCs w:val="18"/>
              </w:rPr>
              <w:t>ly)</w:t>
            </w:r>
          </w:p>
          <w:p w14:paraId="279DF898" w14:textId="77777777" w:rsidR="00742EBE" w:rsidRPr="0068236B" w:rsidRDefault="00742EBE" w:rsidP="00742EBE">
            <w:pPr>
              <w:spacing w:before="0" w:after="0" w:line="240" w:lineRule="auto"/>
              <w:rPr>
                <w:rFonts w:cs="Tahoma"/>
                <w:sz w:val="18"/>
                <w:szCs w:val="18"/>
              </w:rPr>
            </w:pPr>
          </w:p>
          <w:p w14:paraId="7256A892" w14:textId="77777777" w:rsidR="00742EBE" w:rsidRPr="0068236B" w:rsidRDefault="00742EBE" w:rsidP="00D24CEF">
            <w:pPr>
              <w:pStyle w:val="ListParagraph"/>
              <w:numPr>
                <w:ilvl w:val="0"/>
                <w:numId w:val="123"/>
              </w:numPr>
              <w:spacing w:before="0" w:after="0" w:line="240" w:lineRule="auto"/>
              <w:ind w:left="332"/>
              <w:jc w:val="left"/>
              <w:rPr>
                <w:rFonts w:cs="Tahoma"/>
                <w:sz w:val="18"/>
                <w:szCs w:val="18"/>
              </w:rPr>
            </w:pPr>
            <w:r w:rsidRPr="0068236B">
              <w:rPr>
                <w:rFonts w:cs="Tahoma"/>
                <w:sz w:val="18"/>
                <w:szCs w:val="18"/>
              </w:rPr>
              <w:t>IUCN Red-List EN or CR ecosy</w:t>
            </w:r>
            <w:r w:rsidRPr="0068236B">
              <w:rPr>
                <w:rFonts w:cs="Tahoma"/>
                <w:sz w:val="18"/>
                <w:szCs w:val="18"/>
              </w:rPr>
              <w:t>s</w:t>
            </w:r>
            <w:r w:rsidRPr="0068236B">
              <w:rPr>
                <w:rFonts w:cs="Tahoma"/>
                <w:sz w:val="18"/>
                <w:szCs w:val="18"/>
              </w:rPr>
              <w:t>tems</w:t>
            </w:r>
          </w:p>
          <w:p w14:paraId="018DE294" w14:textId="77777777" w:rsidR="00742EBE" w:rsidRPr="0068236B" w:rsidRDefault="00742EBE" w:rsidP="00742EBE">
            <w:pPr>
              <w:spacing w:before="0" w:after="0" w:line="240" w:lineRule="auto"/>
              <w:rPr>
                <w:rFonts w:cs="Tahoma"/>
                <w:i/>
                <w:iCs/>
                <w:sz w:val="18"/>
                <w:szCs w:val="18"/>
              </w:rPr>
            </w:pPr>
          </w:p>
        </w:tc>
        <w:tc>
          <w:tcPr>
            <w:tcW w:w="3260" w:type="dxa"/>
            <w:tcBorders>
              <w:bottom w:val="single" w:sz="4" w:space="0" w:color="auto"/>
            </w:tcBorders>
          </w:tcPr>
          <w:p w14:paraId="3B39ECB5" w14:textId="77777777" w:rsidR="00742EBE" w:rsidRPr="0068236B" w:rsidRDefault="00742EBE" w:rsidP="00742EBE">
            <w:pPr>
              <w:pStyle w:val="ListParagraph"/>
              <w:spacing w:before="0" w:after="0" w:line="240" w:lineRule="auto"/>
              <w:ind w:left="0"/>
              <w:rPr>
                <w:rFonts w:cs="Tahoma"/>
                <w:sz w:val="18"/>
                <w:szCs w:val="18"/>
              </w:rPr>
            </w:pPr>
            <w:r w:rsidRPr="0068236B">
              <w:rPr>
                <w:rFonts w:cs="Tahoma"/>
                <w:sz w:val="18"/>
                <w:szCs w:val="18"/>
              </w:rPr>
              <w:t>(PR6 para. 12-i)</w:t>
            </w:r>
          </w:p>
          <w:p w14:paraId="383AA449" w14:textId="77777777" w:rsidR="00742EBE" w:rsidRPr="0068236B" w:rsidRDefault="00742EBE" w:rsidP="00742EBE">
            <w:pPr>
              <w:spacing w:before="0" w:after="0" w:line="240" w:lineRule="auto"/>
              <w:rPr>
                <w:rFonts w:cs="Tahoma"/>
                <w:sz w:val="18"/>
                <w:szCs w:val="18"/>
              </w:rPr>
            </w:pPr>
          </w:p>
          <w:p w14:paraId="3CBD633B" w14:textId="77777777" w:rsidR="00742EBE" w:rsidRPr="0068236B" w:rsidRDefault="00742EBE" w:rsidP="00D24CEF">
            <w:pPr>
              <w:pStyle w:val="ListParagraph"/>
              <w:numPr>
                <w:ilvl w:val="0"/>
                <w:numId w:val="121"/>
              </w:numPr>
              <w:spacing w:before="0" w:after="0" w:line="240" w:lineRule="auto"/>
              <w:jc w:val="left"/>
              <w:rPr>
                <w:rFonts w:cs="Tahoma"/>
                <w:sz w:val="18"/>
                <w:szCs w:val="18"/>
              </w:rPr>
            </w:pPr>
            <w:r w:rsidRPr="0068236B">
              <w:rPr>
                <w:rFonts w:cs="Tahoma"/>
                <w:sz w:val="18"/>
                <w:szCs w:val="18"/>
              </w:rPr>
              <w:t>EAAA is habitat type listed in Annex 1 of EU Habitats Directive or Resolution 4 of Bern Conve</w:t>
            </w:r>
            <w:r w:rsidRPr="0068236B">
              <w:rPr>
                <w:rFonts w:cs="Tahoma"/>
                <w:sz w:val="18"/>
                <w:szCs w:val="18"/>
              </w:rPr>
              <w:t>n</w:t>
            </w:r>
            <w:r w:rsidRPr="0068236B">
              <w:rPr>
                <w:rFonts w:cs="Tahoma"/>
                <w:sz w:val="18"/>
                <w:szCs w:val="18"/>
              </w:rPr>
              <w:t>tion</w:t>
            </w:r>
          </w:p>
          <w:p w14:paraId="489498B0" w14:textId="77777777" w:rsidR="00742EBE" w:rsidRPr="0068236B" w:rsidRDefault="00742EBE" w:rsidP="00742EBE">
            <w:pPr>
              <w:pStyle w:val="ListParagraph"/>
              <w:spacing w:before="0" w:after="0" w:line="240" w:lineRule="auto"/>
              <w:ind w:left="360"/>
              <w:rPr>
                <w:rFonts w:cs="Tahoma"/>
                <w:sz w:val="18"/>
                <w:szCs w:val="18"/>
              </w:rPr>
            </w:pPr>
          </w:p>
          <w:p w14:paraId="07B27201" w14:textId="77777777" w:rsidR="00742EBE" w:rsidRPr="0068236B" w:rsidRDefault="00742EBE" w:rsidP="00D24CEF">
            <w:pPr>
              <w:pStyle w:val="ListParagraph"/>
              <w:numPr>
                <w:ilvl w:val="0"/>
                <w:numId w:val="121"/>
              </w:numPr>
              <w:spacing w:before="0" w:after="0" w:line="240" w:lineRule="auto"/>
              <w:jc w:val="left"/>
              <w:rPr>
                <w:rFonts w:cs="Tahoma"/>
                <w:sz w:val="18"/>
                <w:szCs w:val="18"/>
              </w:rPr>
            </w:pPr>
            <w:r w:rsidRPr="0068236B">
              <w:rPr>
                <w:rFonts w:cs="Tahoma"/>
                <w:sz w:val="18"/>
                <w:szCs w:val="18"/>
              </w:rPr>
              <w:t>EAAA** &lt; 5% of the global e</w:t>
            </w:r>
            <w:r w:rsidRPr="0068236B">
              <w:rPr>
                <w:rFonts w:cs="Tahoma"/>
                <w:sz w:val="18"/>
                <w:szCs w:val="18"/>
              </w:rPr>
              <w:t>x</w:t>
            </w:r>
            <w:r w:rsidRPr="0068236B">
              <w:rPr>
                <w:rFonts w:cs="Tahoma"/>
                <w:sz w:val="18"/>
                <w:szCs w:val="18"/>
              </w:rPr>
              <w:t xml:space="preserve">tent of an </w:t>
            </w:r>
            <w:r w:rsidRPr="0068236B">
              <w:rPr>
                <w:rFonts w:cs="Tahoma"/>
                <w:i/>
                <w:iCs/>
                <w:sz w:val="18"/>
                <w:szCs w:val="18"/>
              </w:rPr>
              <w:t>ecosystem</w:t>
            </w:r>
            <w:r w:rsidRPr="0068236B">
              <w:rPr>
                <w:rFonts w:cs="Tahoma"/>
                <w:sz w:val="18"/>
                <w:szCs w:val="18"/>
              </w:rPr>
              <w:t xml:space="preserve"> type with IUCN status of CR or EN</w:t>
            </w:r>
          </w:p>
          <w:p w14:paraId="63CC5093" w14:textId="77777777" w:rsidR="00742EBE" w:rsidRPr="0068236B" w:rsidRDefault="00742EBE" w:rsidP="00742EBE">
            <w:pPr>
              <w:spacing w:before="0" w:after="0" w:line="240" w:lineRule="auto"/>
              <w:rPr>
                <w:rFonts w:cs="Tahoma"/>
                <w:sz w:val="18"/>
                <w:szCs w:val="18"/>
              </w:rPr>
            </w:pPr>
          </w:p>
          <w:p w14:paraId="303C0ACB" w14:textId="77777777" w:rsidR="00742EBE" w:rsidRPr="0068236B" w:rsidRDefault="00742EBE" w:rsidP="00742EBE">
            <w:pPr>
              <w:spacing w:before="0" w:after="0" w:line="240" w:lineRule="auto"/>
              <w:rPr>
                <w:rFonts w:cs="Tahoma"/>
                <w:sz w:val="18"/>
                <w:szCs w:val="18"/>
              </w:rPr>
            </w:pPr>
          </w:p>
        </w:tc>
        <w:tc>
          <w:tcPr>
            <w:tcW w:w="3261" w:type="dxa"/>
            <w:tcBorders>
              <w:bottom w:val="single" w:sz="4" w:space="0" w:color="auto"/>
            </w:tcBorders>
          </w:tcPr>
          <w:p w14:paraId="0A76DD19" w14:textId="77777777" w:rsidR="00742EBE" w:rsidRPr="0068236B" w:rsidRDefault="00742EBE" w:rsidP="00742EBE">
            <w:pPr>
              <w:pStyle w:val="ListParagraph"/>
              <w:spacing w:before="0" w:after="0" w:line="240" w:lineRule="auto"/>
              <w:ind w:left="0"/>
              <w:rPr>
                <w:rFonts w:cs="Tahoma"/>
                <w:sz w:val="18"/>
                <w:szCs w:val="18"/>
              </w:rPr>
            </w:pPr>
            <w:r w:rsidRPr="0068236B">
              <w:rPr>
                <w:rFonts w:cs="Tahoma"/>
                <w:sz w:val="18"/>
                <w:szCs w:val="18"/>
              </w:rPr>
              <w:t>(PR6 para. 14-i)</w:t>
            </w:r>
          </w:p>
          <w:p w14:paraId="0D0CC946" w14:textId="77777777" w:rsidR="00742EBE" w:rsidRPr="0068236B" w:rsidRDefault="00742EBE" w:rsidP="00742EBE">
            <w:pPr>
              <w:pStyle w:val="ListParagraph"/>
              <w:spacing w:before="0" w:after="0" w:line="240" w:lineRule="auto"/>
              <w:ind w:left="360"/>
              <w:rPr>
                <w:rFonts w:cs="Tahoma"/>
                <w:sz w:val="18"/>
                <w:szCs w:val="18"/>
              </w:rPr>
            </w:pPr>
          </w:p>
          <w:p w14:paraId="3E9236F4" w14:textId="77777777" w:rsidR="00742EBE" w:rsidRPr="0068236B" w:rsidRDefault="00742EBE" w:rsidP="00D24CEF">
            <w:pPr>
              <w:pStyle w:val="ListParagraph"/>
              <w:numPr>
                <w:ilvl w:val="0"/>
                <w:numId w:val="122"/>
              </w:numPr>
              <w:spacing w:before="0" w:after="0" w:line="240" w:lineRule="auto"/>
              <w:jc w:val="left"/>
              <w:rPr>
                <w:rFonts w:cs="Tahoma"/>
                <w:sz w:val="18"/>
                <w:szCs w:val="18"/>
              </w:rPr>
            </w:pPr>
            <w:r w:rsidRPr="0068236B">
              <w:rPr>
                <w:rFonts w:cs="Tahoma"/>
                <w:sz w:val="18"/>
                <w:szCs w:val="18"/>
              </w:rPr>
              <w:t>EAAA is habitat type listed in Annex 1 of EU Habitats Directive marked as “priority habitat type”</w:t>
            </w:r>
          </w:p>
          <w:p w14:paraId="0A531525" w14:textId="77777777" w:rsidR="00742EBE" w:rsidRPr="0068236B" w:rsidRDefault="00742EBE" w:rsidP="00742EBE">
            <w:pPr>
              <w:pStyle w:val="ListParagraph"/>
              <w:spacing w:before="0" w:after="0" w:line="240" w:lineRule="auto"/>
              <w:ind w:left="360"/>
              <w:rPr>
                <w:rFonts w:cs="Tahoma"/>
                <w:sz w:val="18"/>
                <w:szCs w:val="18"/>
              </w:rPr>
            </w:pPr>
          </w:p>
          <w:p w14:paraId="305EF280" w14:textId="77777777" w:rsidR="00742EBE" w:rsidRPr="0068236B" w:rsidRDefault="00742EBE" w:rsidP="00D24CEF">
            <w:pPr>
              <w:pStyle w:val="ListParagraph"/>
              <w:numPr>
                <w:ilvl w:val="0"/>
                <w:numId w:val="122"/>
              </w:numPr>
              <w:spacing w:before="0" w:after="0" w:line="240" w:lineRule="auto"/>
              <w:jc w:val="left"/>
              <w:rPr>
                <w:rFonts w:cs="Tahoma"/>
                <w:sz w:val="18"/>
                <w:szCs w:val="18"/>
              </w:rPr>
            </w:pPr>
            <w:r w:rsidRPr="0068236B">
              <w:rPr>
                <w:rFonts w:cs="Tahoma"/>
                <w:sz w:val="18"/>
                <w:szCs w:val="18"/>
              </w:rPr>
              <w:t>EAAA ≥5% of global extent of an ecosystem type with IUCN status of CR or EN</w:t>
            </w:r>
          </w:p>
          <w:p w14:paraId="4589EBF8" w14:textId="77777777" w:rsidR="00742EBE" w:rsidRPr="0068236B" w:rsidRDefault="00742EBE" w:rsidP="00742EBE">
            <w:pPr>
              <w:spacing w:before="0" w:after="0" w:line="240" w:lineRule="auto"/>
              <w:rPr>
                <w:rFonts w:cs="Tahoma"/>
                <w:sz w:val="18"/>
                <w:szCs w:val="18"/>
              </w:rPr>
            </w:pPr>
          </w:p>
          <w:p w14:paraId="572E7045" w14:textId="77777777" w:rsidR="00742EBE" w:rsidRPr="0068236B" w:rsidRDefault="00742EBE" w:rsidP="00D24CEF">
            <w:pPr>
              <w:pStyle w:val="ListParagraph"/>
              <w:numPr>
                <w:ilvl w:val="0"/>
                <w:numId w:val="122"/>
              </w:numPr>
              <w:spacing w:before="0" w:after="0" w:line="240" w:lineRule="auto"/>
              <w:jc w:val="left"/>
              <w:rPr>
                <w:rFonts w:cs="Tahoma"/>
                <w:sz w:val="18"/>
                <w:szCs w:val="18"/>
              </w:rPr>
            </w:pPr>
            <w:r w:rsidRPr="0068236B">
              <w:rPr>
                <w:rFonts w:cs="Tahoma"/>
                <w:sz w:val="18"/>
                <w:szCs w:val="18"/>
              </w:rPr>
              <w:t>EAAA is ecosystem determined to be of high priority for conserv</w:t>
            </w:r>
            <w:r w:rsidRPr="0068236B">
              <w:rPr>
                <w:rFonts w:cs="Tahoma"/>
                <w:sz w:val="18"/>
                <w:szCs w:val="18"/>
              </w:rPr>
              <w:t>a</w:t>
            </w:r>
            <w:r w:rsidRPr="0068236B">
              <w:rPr>
                <w:rFonts w:cs="Tahoma"/>
                <w:sz w:val="18"/>
                <w:szCs w:val="18"/>
              </w:rPr>
              <w:t>tion by national systematic co</w:t>
            </w:r>
            <w:r w:rsidRPr="0068236B">
              <w:rPr>
                <w:rFonts w:cs="Tahoma"/>
                <w:sz w:val="18"/>
                <w:szCs w:val="18"/>
              </w:rPr>
              <w:t>n</w:t>
            </w:r>
            <w:r w:rsidRPr="0068236B">
              <w:rPr>
                <w:rFonts w:cs="Tahoma"/>
                <w:sz w:val="18"/>
                <w:szCs w:val="18"/>
              </w:rPr>
              <w:t>servation planning</w:t>
            </w:r>
          </w:p>
        </w:tc>
      </w:tr>
      <w:tr w:rsidR="00742EBE" w:rsidRPr="0068236B" w14:paraId="516CA65C" w14:textId="77777777" w:rsidTr="00742EBE">
        <w:tc>
          <w:tcPr>
            <w:tcW w:w="9781" w:type="dxa"/>
            <w:gridSpan w:val="3"/>
            <w:shd w:val="clear" w:color="auto" w:fill="A8D08D" w:themeFill="accent6" w:themeFillTint="99"/>
          </w:tcPr>
          <w:p w14:paraId="30914E11" w14:textId="77777777" w:rsidR="00742EBE" w:rsidRPr="0068236B" w:rsidRDefault="00742EBE" w:rsidP="00D24CEF">
            <w:pPr>
              <w:pStyle w:val="ListParagraph"/>
              <w:numPr>
                <w:ilvl w:val="0"/>
                <w:numId w:val="120"/>
              </w:numPr>
              <w:spacing w:before="0" w:after="0" w:line="240" w:lineRule="auto"/>
              <w:jc w:val="left"/>
              <w:rPr>
                <w:rFonts w:cs="Tahoma"/>
                <w:sz w:val="18"/>
                <w:szCs w:val="18"/>
              </w:rPr>
            </w:pPr>
            <w:r w:rsidRPr="0068236B">
              <w:rPr>
                <w:rFonts w:cs="Tahoma"/>
                <w:sz w:val="18"/>
                <w:szCs w:val="18"/>
              </w:rPr>
              <w:t>Priority Species and their Habitats</w:t>
            </w:r>
          </w:p>
        </w:tc>
      </w:tr>
      <w:tr w:rsidR="00742EBE" w:rsidRPr="0068236B" w14:paraId="2F8383B3" w14:textId="77777777" w:rsidTr="00742EBE">
        <w:tc>
          <w:tcPr>
            <w:tcW w:w="3260" w:type="dxa"/>
          </w:tcPr>
          <w:p w14:paraId="5036FC80" w14:textId="77777777" w:rsidR="00742EBE" w:rsidRPr="0068236B" w:rsidRDefault="00742EBE" w:rsidP="00742EBE">
            <w:pPr>
              <w:spacing w:before="0" w:after="0" w:line="240" w:lineRule="auto"/>
              <w:rPr>
                <w:rFonts w:cs="Tahoma"/>
                <w:i/>
                <w:iCs/>
                <w:sz w:val="18"/>
                <w:szCs w:val="18"/>
              </w:rPr>
            </w:pPr>
            <w:r w:rsidRPr="0068236B">
              <w:rPr>
                <w:rFonts w:cs="Tahoma"/>
                <w:i/>
                <w:iCs/>
                <w:sz w:val="18"/>
                <w:szCs w:val="18"/>
              </w:rPr>
              <w:t>Threatened species</w:t>
            </w:r>
          </w:p>
          <w:p w14:paraId="6881959C" w14:textId="77777777" w:rsidR="00742EBE" w:rsidRPr="0068236B" w:rsidRDefault="00742EBE" w:rsidP="00742EBE">
            <w:pPr>
              <w:spacing w:before="0" w:after="0" w:line="240" w:lineRule="auto"/>
              <w:rPr>
                <w:rFonts w:cs="Tahoma"/>
                <w:sz w:val="18"/>
                <w:szCs w:val="18"/>
              </w:rPr>
            </w:pPr>
          </w:p>
          <w:p w14:paraId="4E557D14" w14:textId="77777777" w:rsidR="00742EBE" w:rsidRPr="0068236B" w:rsidRDefault="00742EBE" w:rsidP="00D24CEF">
            <w:pPr>
              <w:pStyle w:val="ListParagraph"/>
              <w:numPr>
                <w:ilvl w:val="0"/>
                <w:numId w:val="129"/>
              </w:numPr>
              <w:spacing w:before="0" w:after="0" w:line="240" w:lineRule="auto"/>
              <w:ind w:left="332"/>
              <w:jc w:val="left"/>
              <w:rPr>
                <w:rFonts w:cs="Tahoma"/>
                <w:sz w:val="18"/>
                <w:szCs w:val="18"/>
              </w:rPr>
            </w:pPr>
            <w:r w:rsidRPr="0068236B">
              <w:rPr>
                <w:rFonts w:cs="Tahoma"/>
                <w:sz w:val="18"/>
                <w:szCs w:val="18"/>
              </w:rPr>
              <w:t>Species and their habitats listed in EU Habitats Directive and Birds Directive (EU members only) or Bern Convention (signatory n</w:t>
            </w:r>
            <w:r w:rsidRPr="0068236B">
              <w:rPr>
                <w:rFonts w:cs="Tahoma"/>
                <w:sz w:val="18"/>
                <w:szCs w:val="18"/>
              </w:rPr>
              <w:t>a</w:t>
            </w:r>
            <w:r w:rsidRPr="0068236B">
              <w:rPr>
                <w:rFonts w:cs="Tahoma"/>
                <w:sz w:val="18"/>
                <w:szCs w:val="18"/>
              </w:rPr>
              <w:t>tions only)</w:t>
            </w:r>
          </w:p>
          <w:p w14:paraId="40AC4853" w14:textId="77777777" w:rsidR="00742EBE" w:rsidRPr="0068236B" w:rsidRDefault="00742EBE" w:rsidP="00742EBE">
            <w:pPr>
              <w:spacing w:before="0" w:after="0" w:line="240" w:lineRule="auto"/>
              <w:rPr>
                <w:rFonts w:cs="Tahoma"/>
                <w:sz w:val="18"/>
                <w:szCs w:val="18"/>
              </w:rPr>
            </w:pPr>
          </w:p>
          <w:p w14:paraId="2C5F6CBF" w14:textId="77777777" w:rsidR="00742EBE" w:rsidRPr="0068236B" w:rsidRDefault="00742EBE" w:rsidP="00D24CEF">
            <w:pPr>
              <w:pStyle w:val="ListParagraph"/>
              <w:numPr>
                <w:ilvl w:val="0"/>
                <w:numId w:val="129"/>
              </w:numPr>
              <w:spacing w:before="0" w:after="0" w:line="240" w:lineRule="auto"/>
              <w:ind w:left="332"/>
              <w:jc w:val="left"/>
              <w:rPr>
                <w:rFonts w:cs="Tahoma"/>
                <w:sz w:val="18"/>
                <w:szCs w:val="18"/>
              </w:rPr>
            </w:pPr>
            <w:r w:rsidRPr="0068236B">
              <w:rPr>
                <w:rFonts w:cs="Tahoma"/>
                <w:sz w:val="18"/>
                <w:szCs w:val="18"/>
              </w:rPr>
              <w:t>IUCN Red List EN or CR species</w:t>
            </w:r>
          </w:p>
          <w:p w14:paraId="63DBB7FF" w14:textId="77777777" w:rsidR="00742EBE" w:rsidRPr="0068236B" w:rsidRDefault="00742EBE" w:rsidP="00742EBE">
            <w:pPr>
              <w:spacing w:before="0" w:after="0" w:line="240" w:lineRule="auto"/>
              <w:rPr>
                <w:rFonts w:cs="Tahoma"/>
                <w:sz w:val="18"/>
                <w:szCs w:val="18"/>
              </w:rPr>
            </w:pPr>
          </w:p>
          <w:p w14:paraId="7F2E9EF4" w14:textId="77777777" w:rsidR="00742EBE" w:rsidRPr="0068236B" w:rsidRDefault="00742EBE" w:rsidP="00D24CEF">
            <w:pPr>
              <w:pStyle w:val="ListParagraph"/>
              <w:numPr>
                <w:ilvl w:val="0"/>
                <w:numId w:val="129"/>
              </w:numPr>
              <w:spacing w:before="0" w:after="0" w:line="240" w:lineRule="auto"/>
              <w:ind w:left="332"/>
              <w:jc w:val="left"/>
              <w:rPr>
                <w:rFonts w:cs="Tahoma"/>
                <w:sz w:val="18"/>
                <w:szCs w:val="18"/>
              </w:rPr>
            </w:pPr>
            <w:r w:rsidRPr="0068236B">
              <w:rPr>
                <w:rFonts w:cs="Tahoma"/>
                <w:sz w:val="18"/>
                <w:szCs w:val="18"/>
              </w:rPr>
              <w:t>IUCN Red List VU species</w:t>
            </w:r>
          </w:p>
          <w:p w14:paraId="3A94F75E" w14:textId="77777777" w:rsidR="00742EBE" w:rsidRPr="0068236B" w:rsidRDefault="00742EBE" w:rsidP="00742EBE">
            <w:pPr>
              <w:spacing w:before="0" w:after="0" w:line="240" w:lineRule="auto"/>
              <w:ind w:left="332"/>
              <w:rPr>
                <w:rFonts w:cs="Tahoma"/>
                <w:sz w:val="18"/>
                <w:szCs w:val="18"/>
              </w:rPr>
            </w:pPr>
          </w:p>
          <w:p w14:paraId="7FE2AD3B" w14:textId="77777777" w:rsidR="00742EBE" w:rsidRPr="0068236B" w:rsidRDefault="00742EBE" w:rsidP="00D24CEF">
            <w:pPr>
              <w:pStyle w:val="ListParagraph"/>
              <w:numPr>
                <w:ilvl w:val="0"/>
                <w:numId w:val="129"/>
              </w:numPr>
              <w:spacing w:before="0" w:after="0" w:line="240" w:lineRule="auto"/>
              <w:ind w:left="332"/>
              <w:jc w:val="left"/>
              <w:rPr>
                <w:rFonts w:cs="Tahoma"/>
                <w:sz w:val="18"/>
                <w:szCs w:val="18"/>
              </w:rPr>
            </w:pPr>
            <w:r w:rsidRPr="0068236B">
              <w:rPr>
                <w:rFonts w:cs="Tahoma"/>
                <w:sz w:val="18"/>
                <w:szCs w:val="18"/>
              </w:rPr>
              <w:t>Nationally or regionally (e.g., Europe) listed EN or CR species</w:t>
            </w:r>
          </w:p>
          <w:p w14:paraId="361CB9B4" w14:textId="77777777" w:rsidR="00742EBE" w:rsidRPr="0068236B" w:rsidRDefault="00742EBE" w:rsidP="00742EBE">
            <w:pPr>
              <w:spacing w:before="0" w:after="0" w:line="240" w:lineRule="auto"/>
              <w:rPr>
                <w:rFonts w:cs="Tahoma"/>
                <w:sz w:val="18"/>
                <w:szCs w:val="18"/>
              </w:rPr>
            </w:pPr>
          </w:p>
        </w:tc>
        <w:tc>
          <w:tcPr>
            <w:tcW w:w="3260" w:type="dxa"/>
            <w:tcBorders>
              <w:bottom w:val="single" w:sz="4" w:space="0" w:color="auto"/>
            </w:tcBorders>
          </w:tcPr>
          <w:p w14:paraId="070CFF3E" w14:textId="77777777" w:rsidR="00742EBE" w:rsidRPr="0068236B" w:rsidRDefault="00742EBE" w:rsidP="00742EBE">
            <w:pPr>
              <w:spacing w:before="0" w:after="0" w:line="240" w:lineRule="auto"/>
              <w:rPr>
                <w:rFonts w:cs="Tahoma"/>
                <w:sz w:val="18"/>
                <w:szCs w:val="18"/>
              </w:rPr>
            </w:pPr>
            <w:r w:rsidRPr="0068236B">
              <w:rPr>
                <w:rFonts w:cs="Tahoma"/>
                <w:sz w:val="18"/>
                <w:szCs w:val="18"/>
              </w:rPr>
              <w:t>(PR6 para. 12-ii)</w:t>
            </w:r>
          </w:p>
          <w:p w14:paraId="18A8A0A1" w14:textId="77777777" w:rsidR="00742EBE" w:rsidRPr="0068236B" w:rsidRDefault="00742EBE" w:rsidP="00742EBE">
            <w:pPr>
              <w:spacing w:before="0" w:after="0" w:line="240" w:lineRule="auto"/>
              <w:rPr>
                <w:rFonts w:cs="Tahoma"/>
                <w:sz w:val="18"/>
                <w:szCs w:val="18"/>
              </w:rPr>
            </w:pPr>
          </w:p>
          <w:p w14:paraId="1826EF52" w14:textId="77777777" w:rsidR="00742EBE" w:rsidRPr="0068236B" w:rsidRDefault="00742EBE" w:rsidP="00D24CEF">
            <w:pPr>
              <w:pStyle w:val="ListParagraph"/>
              <w:numPr>
                <w:ilvl w:val="0"/>
                <w:numId w:val="124"/>
              </w:numPr>
              <w:spacing w:before="0" w:after="0" w:line="240" w:lineRule="auto"/>
              <w:ind w:left="366"/>
              <w:jc w:val="left"/>
              <w:rPr>
                <w:rFonts w:cs="Tahoma"/>
                <w:sz w:val="18"/>
                <w:szCs w:val="18"/>
              </w:rPr>
            </w:pPr>
            <w:r w:rsidRPr="0068236B">
              <w:rPr>
                <w:rFonts w:cs="Tahoma"/>
                <w:sz w:val="18"/>
                <w:szCs w:val="18"/>
              </w:rPr>
              <w:t>EAAA for species and their hab</w:t>
            </w:r>
            <w:r w:rsidRPr="0068236B">
              <w:rPr>
                <w:rFonts w:cs="Tahoma"/>
                <w:sz w:val="18"/>
                <w:szCs w:val="18"/>
              </w:rPr>
              <w:t>i</w:t>
            </w:r>
            <w:r w:rsidRPr="0068236B">
              <w:rPr>
                <w:rFonts w:cs="Tahoma"/>
                <w:sz w:val="18"/>
                <w:szCs w:val="18"/>
              </w:rPr>
              <w:t>tats listed in Annex II of Habitats Directive, Annex I of Birds D</w:t>
            </w:r>
            <w:r w:rsidRPr="0068236B">
              <w:rPr>
                <w:rFonts w:cs="Tahoma"/>
                <w:sz w:val="18"/>
                <w:szCs w:val="18"/>
              </w:rPr>
              <w:t>i</w:t>
            </w:r>
            <w:r w:rsidRPr="0068236B">
              <w:rPr>
                <w:rFonts w:cs="Tahoma"/>
                <w:sz w:val="18"/>
                <w:szCs w:val="18"/>
              </w:rPr>
              <w:t>rective, or Resolution 6 of Bern Convention</w:t>
            </w:r>
          </w:p>
          <w:p w14:paraId="28B7E46C" w14:textId="77777777" w:rsidR="00742EBE" w:rsidRPr="0068236B" w:rsidRDefault="00742EBE" w:rsidP="00742EBE">
            <w:pPr>
              <w:pStyle w:val="ListParagraph"/>
              <w:spacing w:before="0" w:after="0" w:line="240" w:lineRule="auto"/>
              <w:rPr>
                <w:rFonts w:cs="Tahoma"/>
                <w:sz w:val="18"/>
                <w:szCs w:val="18"/>
              </w:rPr>
            </w:pPr>
          </w:p>
          <w:p w14:paraId="31C2CF96" w14:textId="77777777" w:rsidR="00742EBE" w:rsidRPr="0068236B" w:rsidRDefault="00742EBE" w:rsidP="00D24CEF">
            <w:pPr>
              <w:pStyle w:val="ListParagraph"/>
              <w:numPr>
                <w:ilvl w:val="0"/>
                <w:numId w:val="124"/>
              </w:numPr>
              <w:spacing w:before="0" w:after="0" w:line="240" w:lineRule="auto"/>
              <w:ind w:left="366"/>
              <w:jc w:val="left"/>
              <w:rPr>
                <w:rFonts w:cs="Tahoma"/>
                <w:sz w:val="18"/>
                <w:szCs w:val="18"/>
              </w:rPr>
            </w:pPr>
            <w:r w:rsidRPr="0068236B">
              <w:rPr>
                <w:rFonts w:cs="Tahoma"/>
                <w:sz w:val="18"/>
                <w:szCs w:val="18"/>
              </w:rPr>
              <w:t>EAAA supports &lt; 0.5% of global population OR &lt; 5 reproductive units</w:t>
            </w:r>
            <w:r w:rsidRPr="0068236B">
              <w:rPr>
                <w:rFonts w:cs="Tahoma"/>
                <w:position w:val="6"/>
                <w:sz w:val="18"/>
                <w:szCs w:val="18"/>
              </w:rPr>
              <w:t xml:space="preserve"> </w:t>
            </w:r>
            <w:r w:rsidRPr="0068236B">
              <w:rPr>
                <w:rFonts w:cs="Tahoma"/>
                <w:sz w:val="18"/>
                <w:szCs w:val="18"/>
              </w:rPr>
              <w:t>of a CR or EN species.</w:t>
            </w:r>
          </w:p>
          <w:p w14:paraId="19A28ADB" w14:textId="77777777" w:rsidR="00742EBE" w:rsidRPr="0068236B" w:rsidRDefault="00742EBE" w:rsidP="00742EBE">
            <w:pPr>
              <w:pStyle w:val="ListParagraph"/>
              <w:spacing w:before="0" w:after="0" w:line="240" w:lineRule="auto"/>
              <w:rPr>
                <w:rFonts w:cs="Tahoma"/>
                <w:sz w:val="18"/>
                <w:szCs w:val="18"/>
              </w:rPr>
            </w:pPr>
          </w:p>
          <w:p w14:paraId="0BB5B37A" w14:textId="77777777" w:rsidR="00742EBE" w:rsidRPr="0068236B" w:rsidRDefault="00742EBE" w:rsidP="00D24CEF">
            <w:pPr>
              <w:pStyle w:val="ListParagraph"/>
              <w:numPr>
                <w:ilvl w:val="0"/>
                <w:numId w:val="124"/>
              </w:numPr>
              <w:spacing w:before="0" w:after="0" w:line="240" w:lineRule="auto"/>
              <w:ind w:left="366"/>
              <w:jc w:val="left"/>
              <w:rPr>
                <w:rFonts w:cs="Tahoma"/>
                <w:sz w:val="18"/>
                <w:szCs w:val="18"/>
              </w:rPr>
            </w:pPr>
            <w:r w:rsidRPr="0068236B">
              <w:rPr>
                <w:rFonts w:cs="Tahoma"/>
                <w:sz w:val="18"/>
                <w:szCs w:val="18"/>
              </w:rPr>
              <w:t>EAAA supports VU species</w:t>
            </w:r>
          </w:p>
          <w:p w14:paraId="54B30079" w14:textId="77777777" w:rsidR="00742EBE" w:rsidRPr="0068236B" w:rsidRDefault="00742EBE" w:rsidP="00742EBE">
            <w:pPr>
              <w:spacing w:before="0" w:after="0" w:line="240" w:lineRule="auto"/>
              <w:rPr>
                <w:rFonts w:cs="Tahoma"/>
                <w:sz w:val="18"/>
                <w:szCs w:val="18"/>
              </w:rPr>
            </w:pPr>
          </w:p>
          <w:p w14:paraId="722601CA" w14:textId="77777777" w:rsidR="00742EBE" w:rsidRPr="0068236B" w:rsidRDefault="00742EBE" w:rsidP="00D24CEF">
            <w:pPr>
              <w:pStyle w:val="ListParagraph"/>
              <w:numPr>
                <w:ilvl w:val="0"/>
                <w:numId w:val="124"/>
              </w:numPr>
              <w:spacing w:before="0" w:after="0" w:line="240" w:lineRule="auto"/>
              <w:ind w:left="366"/>
              <w:jc w:val="left"/>
              <w:rPr>
                <w:rFonts w:cs="Tahoma"/>
                <w:sz w:val="18"/>
                <w:szCs w:val="18"/>
              </w:rPr>
            </w:pPr>
            <w:r w:rsidRPr="0068236B">
              <w:rPr>
                <w:rFonts w:cs="Tahoma"/>
                <w:sz w:val="18"/>
                <w:szCs w:val="18"/>
              </w:rPr>
              <w:t>EAAA for regularly occurring nationally or regionally listed EN or CR species</w:t>
            </w:r>
          </w:p>
          <w:p w14:paraId="371F8870" w14:textId="77777777" w:rsidR="00742EBE" w:rsidRPr="0068236B" w:rsidRDefault="00742EBE" w:rsidP="00742EBE">
            <w:pPr>
              <w:spacing w:before="0" w:after="0" w:line="240" w:lineRule="auto"/>
              <w:rPr>
                <w:rFonts w:cs="Tahoma"/>
                <w:sz w:val="18"/>
                <w:szCs w:val="18"/>
              </w:rPr>
            </w:pPr>
          </w:p>
        </w:tc>
        <w:tc>
          <w:tcPr>
            <w:tcW w:w="3261" w:type="dxa"/>
          </w:tcPr>
          <w:p w14:paraId="4FC1F34C" w14:textId="77777777" w:rsidR="00742EBE" w:rsidRPr="0068236B" w:rsidRDefault="00742EBE" w:rsidP="00742EBE">
            <w:pPr>
              <w:pStyle w:val="ListParagraph"/>
              <w:spacing w:before="0" w:after="0" w:line="240" w:lineRule="auto"/>
              <w:ind w:left="0"/>
              <w:rPr>
                <w:rFonts w:cs="Tahoma"/>
                <w:sz w:val="18"/>
                <w:szCs w:val="18"/>
              </w:rPr>
            </w:pPr>
            <w:r w:rsidRPr="0068236B">
              <w:rPr>
                <w:rFonts w:cs="Tahoma"/>
                <w:sz w:val="18"/>
                <w:szCs w:val="18"/>
              </w:rPr>
              <w:t>(PR6 para. 14-ii)</w:t>
            </w:r>
          </w:p>
          <w:p w14:paraId="5E9F96CE" w14:textId="77777777" w:rsidR="00742EBE" w:rsidRPr="0068236B" w:rsidRDefault="00742EBE" w:rsidP="00742EBE">
            <w:pPr>
              <w:pStyle w:val="ListParagraph"/>
              <w:spacing w:before="0" w:after="0" w:line="240" w:lineRule="auto"/>
              <w:ind w:left="0"/>
              <w:rPr>
                <w:rFonts w:cs="Tahoma"/>
                <w:sz w:val="18"/>
                <w:szCs w:val="18"/>
              </w:rPr>
            </w:pPr>
          </w:p>
          <w:p w14:paraId="2B6941C4" w14:textId="77777777" w:rsidR="00742EBE" w:rsidRPr="0068236B" w:rsidRDefault="00742EBE" w:rsidP="00D24CEF">
            <w:pPr>
              <w:pStyle w:val="ListParagraph"/>
              <w:numPr>
                <w:ilvl w:val="0"/>
                <w:numId w:val="125"/>
              </w:numPr>
              <w:spacing w:before="0" w:after="0" w:line="240" w:lineRule="auto"/>
              <w:ind w:left="319"/>
              <w:jc w:val="left"/>
              <w:rPr>
                <w:rFonts w:cs="Tahoma"/>
                <w:sz w:val="18"/>
                <w:szCs w:val="18"/>
              </w:rPr>
            </w:pPr>
            <w:r w:rsidRPr="0068236B">
              <w:rPr>
                <w:rFonts w:cs="Tahoma"/>
                <w:sz w:val="18"/>
                <w:szCs w:val="18"/>
              </w:rPr>
              <w:t>EAAA for species and their hab</w:t>
            </w:r>
            <w:r w:rsidRPr="0068236B">
              <w:rPr>
                <w:rFonts w:cs="Tahoma"/>
                <w:sz w:val="18"/>
                <w:szCs w:val="18"/>
              </w:rPr>
              <w:t>i</w:t>
            </w:r>
            <w:r w:rsidRPr="0068236B">
              <w:rPr>
                <w:rFonts w:cs="Tahoma"/>
                <w:sz w:val="18"/>
                <w:szCs w:val="18"/>
              </w:rPr>
              <w:t>tats listed in Annex IV of the Ha</w:t>
            </w:r>
            <w:r w:rsidRPr="0068236B">
              <w:rPr>
                <w:rFonts w:cs="Tahoma"/>
                <w:sz w:val="18"/>
                <w:szCs w:val="18"/>
              </w:rPr>
              <w:t>b</w:t>
            </w:r>
            <w:r w:rsidRPr="0068236B">
              <w:rPr>
                <w:rFonts w:cs="Tahoma"/>
                <w:sz w:val="18"/>
                <w:szCs w:val="18"/>
              </w:rPr>
              <w:t>itats Directive (See EU r</w:t>
            </w:r>
            <w:r w:rsidRPr="0068236B">
              <w:rPr>
                <w:rFonts w:cs="Tahoma"/>
                <w:sz w:val="18"/>
                <w:szCs w:val="18"/>
              </w:rPr>
              <w:t>e</w:t>
            </w:r>
            <w:r w:rsidRPr="0068236B">
              <w:rPr>
                <w:rFonts w:cs="Tahoma"/>
                <w:sz w:val="18"/>
                <w:szCs w:val="18"/>
              </w:rPr>
              <w:t>strictions)</w:t>
            </w:r>
          </w:p>
          <w:p w14:paraId="000CC962" w14:textId="77777777" w:rsidR="00742EBE" w:rsidRPr="0068236B" w:rsidRDefault="00742EBE" w:rsidP="00742EBE">
            <w:pPr>
              <w:spacing w:before="0" w:after="0" w:line="240" w:lineRule="auto"/>
              <w:rPr>
                <w:rFonts w:cs="Tahoma"/>
                <w:sz w:val="18"/>
                <w:szCs w:val="18"/>
              </w:rPr>
            </w:pPr>
          </w:p>
          <w:p w14:paraId="05966B87" w14:textId="77777777" w:rsidR="00742EBE" w:rsidRPr="0068236B" w:rsidRDefault="00742EBE" w:rsidP="00D24CEF">
            <w:pPr>
              <w:pStyle w:val="ListParagraph"/>
              <w:numPr>
                <w:ilvl w:val="0"/>
                <w:numId w:val="125"/>
              </w:numPr>
              <w:spacing w:before="0" w:after="0" w:line="240" w:lineRule="auto"/>
              <w:ind w:left="319"/>
              <w:jc w:val="left"/>
              <w:rPr>
                <w:rFonts w:cs="Tahoma"/>
                <w:sz w:val="18"/>
                <w:szCs w:val="18"/>
              </w:rPr>
            </w:pPr>
            <w:r w:rsidRPr="0068236B">
              <w:rPr>
                <w:rFonts w:cs="Tahoma"/>
                <w:sz w:val="18"/>
                <w:szCs w:val="18"/>
              </w:rPr>
              <w:t>EAAA supports ≥ 0.5% of the global population AND ≥ 5 repr</w:t>
            </w:r>
            <w:r w:rsidRPr="0068236B">
              <w:rPr>
                <w:rFonts w:cs="Tahoma"/>
                <w:sz w:val="18"/>
                <w:szCs w:val="18"/>
              </w:rPr>
              <w:t>o</w:t>
            </w:r>
            <w:r w:rsidRPr="0068236B">
              <w:rPr>
                <w:rFonts w:cs="Tahoma"/>
                <w:sz w:val="18"/>
                <w:szCs w:val="18"/>
              </w:rPr>
              <w:t>ductive units</w:t>
            </w:r>
            <w:r w:rsidRPr="0068236B">
              <w:rPr>
                <w:rFonts w:cs="Tahoma"/>
                <w:position w:val="6"/>
                <w:sz w:val="18"/>
                <w:szCs w:val="18"/>
              </w:rPr>
              <w:t xml:space="preserve"> </w:t>
            </w:r>
            <w:r w:rsidRPr="0068236B">
              <w:rPr>
                <w:rFonts w:cs="Tahoma"/>
                <w:sz w:val="18"/>
                <w:szCs w:val="18"/>
              </w:rPr>
              <w:t>of a CR or EN sp</w:t>
            </w:r>
            <w:r w:rsidRPr="0068236B">
              <w:rPr>
                <w:rFonts w:cs="Tahoma"/>
                <w:sz w:val="18"/>
                <w:szCs w:val="18"/>
              </w:rPr>
              <w:t>e</w:t>
            </w:r>
            <w:r w:rsidRPr="0068236B">
              <w:rPr>
                <w:rFonts w:cs="Tahoma"/>
                <w:sz w:val="18"/>
                <w:szCs w:val="18"/>
              </w:rPr>
              <w:t>cies</w:t>
            </w:r>
          </w:p>
          <w:p w14:paraId="76A7D2FD" w14:textId="77777777" w:rsidR="00742EBE" w:rsidRPr="0068236B" w:rsidRDefault="00742EBE" w:rsidP="00742EBE">
            <w:pPr>
              <w:pStyle w:val="ListParagraph"/>
              <w:spacing w:before="0" w:after="0" w:line="240" w:lineRule="auto"/>
              <w:ind w:left="319"/>
              <w:rPr>
                <w:rFonts w:cs="Tahoma"/>
                <w:sz w:val="18"/>
                <w:szCs w:val="18"/>
              </w:rPr>
            </w:pPr>
          </w:p>
          <w:p w14:paraId="1F561D35" w14:textId="77777777" w:rsidR="00742EBE" w:rsidRPr="0068236B" w:rsidRDefault="00742EBE" w:rsidP="00D24CEF">
            <w:pPr>
              <w:pStyle w:val="ListParagraph"/>
              <w:numPr>
                <w:ilvl w:val="0"/>
                <w:numId w:val="125"/>
              </w:numPr>
              <w:spacing w:before="0" w:after="0" w:line="240" w:lineRule="auto"/>
              <w:ind w:left="319"/>
              <w:jc w:val="left"/>
              <w:rPr>
                <w:rFonts w:cs="Tahoma"/>
                <w:sz w:val="18"/>
                <w:szCs w:val="18"/>
              </w:rPr>
            </w:pPr>
            <w:r w:rsidRPr="0068236B">
              <w:rPr>
                <w:rFonts w:cs="Tahoma"/>
                <w:sz w:val="18"/>
                <w:szCs w:val="18"/>
              </w:rPr>
              <w:t>EAAA supports globally significant population of VU species nece</w:t>
            </w:r>
            <w:r w:rsidRPr="0068236B">
              <w:rPr>
                <w:rFonts w:cs="Tahoma"/>
                <w:sz w:val="18"/>
                <w:szCs w:val="18"/>
              </w:rPr>
              <w:t>s</w:t>
            </w:r>
            <w:r w:rsidRPr="0068236B">
              <w:rPr>
                <w:rFonts w:cs="Tahoma"/>
                <w:sz w:val="18"/>
                <w:szCs w:val="18"/>
              </w:rPr>
              <w:t>sary to prevent a change of IUCN Red List status to EN or CR, and satisfies threshold (b)</w:t>
            </w:r>
          </w:p>
          <w:p w14:paraId="45AB2DBB" w14:textId="77777777" w:rsidR="00742EBE" w:rsidRPr="0068236B" w:rsidRDefault="00742EBE" w:rsidP="00742EBE">
            <w:pPr>
              <w:pStyle w:val="ListParagraph"/>
              <w:spacing w:before="0" w:after="0" w:line="240" w:lineRule="auto"/>
              <w:ind w:left="319"/>
              <w:rPr>
                <w:rFonts w:cs="Tahoma"/>
                <w:sz w:val="18"/>
                <w:szCs w:val="18"/>
              </w:rPr>
            </w:pPr>
          </w:p>
          <w:p w14:paraId="5306309B" w14:textId="77777777" w:rsidR="00742EBE" w:rsidRPr="0068236B" w:rsidRDefault="00742EBE" w:rsidP="00D24CEF">
            <w:pPr>
              <w:pStyle w:val="ListParagraph"/>
              <w:numPr>
                <w:ilvl w:val="0"/>
                <w:numId w:val="125"/>
              </w:numPr>
              <w:spacing w:before="0" w:after="0" w:line="240" w:lineRule="auto"/>
              <w:ind w:left="319"/>
              <w:jc w:val="left"/>
              <w:rPr>
                <w:rFonts w:cs="Tahoma"/>
                <w:sz w:val="18"/>
                <w:szCs w:val="18"/>
              </w:rPr>
            </w:pPr>
            <w:r w:rsidRPr="0068236B">
              <w:rPr>
                <w:rFonts w:cs="Tahoma"/>
                <w:sz w:val="18"/>
                <w:szCs w:val="18"/>
              </w:rPr>
              <w:t>EAAA for important concentr</w:t>
            </w:r>
            <w:r w:rsidRPr="0068236B">
              <w:rPr>
                <w:rFonts w:cs="Tahoma"/>
                <w:sz w:val="18"/>
                <w:szCs w:val="18"/>
              </w:rPr>
              <w:t>a</w:t>
            </w:r>
            <w:r w:rsidRPr="0068236B">
              <w:rPr>
                <w:rFonts w:cs="Tahoma"/>
                <w:sz w:val="18"/>
                <w:szCs w:val="18"/>
              </w:rPr>
              <w:t>tions of a nationally or regionally listed EN or CR species</w:t>
            </w:r>
          </w:p>
        </w:tc>
      </w:tr>
      <w:tr w:rsidR="00742EBE" w:rsidRPr="0068236B" w14:paraId="60C7A060" w14:textId="77777777" w:rsidTr="00742EBE">
        <w:tc>
          <w:tcPr>
            <w:tcW w:w="3260" w:type="dxa"/>
          </w:tcPr>
          <w:p w14:paraId="63603840" w14:textId="77777777" w:rsidR="00742EBE" w:rsidRPr="0068236B" w:rsidRDefault="00742EBE" w:rsidP="00742EBE">
            <w:pPr>
              <w:spacing w:before="0" w:after="0" w:line="240" w:lineRule="auto"/>
              <w:rPr>
                <w:rFonts w:cs="Tahoma"/>
                <w:i/>
                <w:iCs/>
                <w:sz w:val="18"/>
                <w:szCs w:val="18"/>
              </w:rPr>
            </w:pPr>
            <w:r w:rsidRPr="0068236B">
              <w:rPr>
                <w:rFonts w:cs="Tahoma"/>
                <w:i/>
                <w:iCs/>
                <w:sz w:val="18"/>
                <w:szCs w:val="18"/>
              </w:rPr>
              <w:t>Range-restricted species</w:t>
            </w:r>
          </w:p>
        </w:tc>
        <w:tc>
          <w:tcPr>
            <w:tcW w:w="3260" w:type="dxa"/>
            <w:tcBorders>
              <w:bottom w:val="single" w:sz="4" w:space="0" w:color="auto"/>
            </w:tcBorders>
            <w:shd w:val="clear" w:color="auto" w:fill="auto"/>
          </w:tcPr>
          <w:p w14:paraId="7D5AE15D" w14:textId="77777777" w:rsidR="00742EBE" w:rsidRPr="0068236B" w:rsidRDefault="00742EBE" w:rsidP="00742EBE">
            <w:pPr>
              <w:spacing w:before="0" w:after="0" w:line="240" w:lineRule="auto"/>
              <w:rPr>
                <w:rFonts w:cs="Tahoma"/>
                <w:sz w:val="18"/>
                <w:szCs w:val="18"/>
              </w:rPr>
            </w:pPr>
            <w:r w:rsidRPr="0068236B">
              <w:rPr>
                <w:rFonts w:cs="Tahoma"/>
                <w:sz w:val="18"/>
                <w:szCs w:val="18"/>
              </w:rPr>
              <w:t>(PR6 para. 12-ii)</w:t>
            </w:r>
          </w:p>
          <w:p w14:paraId="22849F21" w14:textId="77777777" w:rsidR="00742EBE" w:rsidRPr="0068236B" w:rsidRDefault="00742EBE" w:rsidP="00742EBE">
            <w:pPr>
              <w:spacing w:before="0" w:after="0" w:line="240" w:lineRule="auto"/>
              <w:rPr>
                <w:rFonts w:cs="Tahoma"/>
                <w:sz w:val="18"/>
                <w:szCs w:val="18"/>
              </w:rPr>
            </w:pPr>
          </w:p>
          <w:p w14:paraId="54D96F82" w14:textId="77777777" w:rsidR="00742EBE" w:rsidRPr="0068236B" w:rsidRDefault="00742EBE" w:rsidP="00D24CEF">
            <w:pPr>
              <w:pStyle w:val="ListParagraph"/>
              <w:numPr>
                <w:ilvl w:val="0"/>
                <w:numId w:val="128"/>
              </w:numPr>
              <w:spacing w:before="0" w:after="0" w:line="240" w:lineRule="auto"/>
              <w:ind w:left="366"/>
              <w:jc w:val="left"/>
              <w:rPr>
                <w:rFonts w:cs="Tahoma"/>
                <w:sz w:val="18"/>
                <w:szCs w:val="18"/>
              </w:rPr>
            </w:pPr>
            <w:r w:rsidRPr="0068236B">
              <w:rPr>
                <w:rFonts w:cs="Tahoma"/>
                <w:sz w:val="18"/>
                <w:szCs w:val="18"/>
              </w:rPr>
              <w:t>EAAA for regularly occurring range-restricted species</w:t>
            </w:r>
          </w:p>
          <w:p w14:paraId="3497A2BF" w14:textId="77777777" w:rsidR="00742EBE" w:rsidRPr="0068236B" w:rsidRDefault="00742EBE" w:rsidP="00742EBE">
            <w:pPr>
              <w:spacing w:before="0" w:after="0" w:line="240" w:lineRule="auto"/>
              <w:rPr>
                <w:rFonts w:cs="Tahoma"/>
                <w:sz w:val="18"/>
                <w:szCs w:val="18"/>
              </w:rPr>
            </w:pPr>
          </w:p>
        </w:tc>
        <w:tc>
          <w:tcPr>
            <w:tcW w:w="3261" w:type="dxa"/>
          </w:tcPr>
          <w:p w14:paraId="384B4F08" w14:textId="77777777" w:rsidR="00742EBE" w:rsidRPr="0068236B" w:rsidRDefault="00742EBE" w:rsidP="00742EBE">
            <w:pPr>
              <w:pStyle w:val="ListParagraph"/>
              <w:spacing w:before="0" w:after="0" w:line="240" w:lineRule="auto"/>
              <w:ind w:left="0"/>
              <w:rPr>
                <w:rFonts w:cs="Tahoma"/>
                <w:sz w:val="18"/>
                <w:szCs w:val="18"/>
              </w:rPr>
            </w:pPr>
            <w:r w:rsidRPr="0068236B">
              <w:rPr>
                <w:rFonts w:cs="Tahoma"/>
                <w:sz w:val="18"/>
                <w:szCs w:val="18"/>
              </w:rPr>
              <w:t>(PR6 para. 14-iii)</w:t>
            </w:r>
          </w:p>
          <w:p w14:paraId="3C23B0FC" w14:textId="77777777" w:rsidR="00742EBE" w:rsidRPr="0068236B" w:rsidRDefault="00742EBE" w:rsidP="00742EBE">
            <w:pPr>
              <w:pStyle w:val="ListParagraph"/>
              <w:spacing w:before="0" w:after="0" w:line="240" w:lineRule="auto"/>
              <w:ind w:left="0"/>
              <w:rPr>
                <w:rFonts w:cs="Tahoma"/>
                <w:sz w:val="18"/>
                <w:szCs w:val="18"/>
              </w:rPr>
            </w:pPr>
          </w:p>
          <w:p w14:paraId="40498D89" w14:textId="77777777" w:rsidR="00742EBE" w:rsidRPr="0068236B" w:rsidRDefault="00742EBE" w:rsidP="00D24CEF">
            <w:pPr>
              <w:pStyle w:val="ListParagraph"/>
              <w:numPr>
                <w:ilvl w:val="0"/>
                <w:numId w:val="126"/>
              </w:numPr>
              <w:spacing w:before="0" w:after="0" w:line="240" w:lineRule="auto"/>
              <w:ind w:left="310"/>
              <w:jc w:val="left"/>
              <w:rPr>
                <w:rFonts w:cs="Tahoma"/>
                <w:sz w:val="18"/>
                <w:szCs w:val="18"/>
              </w:rPr>
            </w:pPr>
            <w:r w:rsidRPr="0068236B">
              <w:rPr>
                <w:rFonts w:cs="Tahoma"/>
                <w:sz w:val="18"/>
                <w:szCs w:val="18"/>
              </w:rPr>
              <w:t>EAAA regularly holds ≥ 10% of global population AND ≥ 10 r</w:t>
            </w:r>
            <w:r w:rsidRPr="0068236B">
              <w:rPr>
                <w:rFonts w:cs="Tahoma"/>
                <w:sz w:val="18"/>
                <w:szCs w:val="18"/>
              </w:rPr>
              <w:t>e</w:t>
            </w:r>
            <w:r w:rsidRPr="0068236B">
              <w:rPr>
                <w:rFonts w:cs="Tahoma"/>
                <w:sz w:val="18"/>
                <w:szCs w:val="18"/>
              </w:rPr>
              <w:t>productive units of the species***</w:t>
            </w:r>
          </w:p>
        </w:tc>
      </w:tr>
      <w:tr w:rsidR="00742EBE" w:rsidRPr="0068236B" w14:paraId="6D8D0587" w14:textId="77777777" w:rsidTr="00742EBE">
        <w:tc>
          <w:tcPr>
            <w:tcW w:w="3260" w:type="dxa"/>
            <w:tcBorders>
              <w:bottom w:val="single" w:sz="4" w:space="0" w:color="auto"/>
            </w:tcBorders>
          </w:tcPr>
          <w:p w14:paraId="65607A62" w14:textId="77777777" w:rsidR="00742EBE" w:rsidRPr="0068236B" w:rsidRDefault="00742EBE" w:rsidP="00742EBE">
            <w:pPr>
              <w:spacing w:before="0" w:after="0" w:line="240" w:lineRule="auto"/>
              <w:rPr>
                <w:rFonts w:cs="Tahoma"/>
                <w:i/>
                <w:iCs/>
                <w:sz w:val="18"/>
                <w:szCs w:val="18"/>
              </w:rPr>
            </w:pPr>
            <w:r w:rsidRPr="0068236B">
              <w:rPr>
                <w:rFonts w:cs="Tahoma"/>
                <w:i/>
                <w:iCs/>
                <w:sz w:val="18"/>
                <w:szCs w:val="18"/>
              </w:rPr>
              <w:t>Migratory and congregatory species</w:t>
            </w:r>
          </w:p>
          <w:p w14:paraId="4143F6F1" w14:textId="77777777" w:rsidR="00742EBE" w:rsidRPr="0068236B" w:rsidRDefault="00742EBE" w:rsidP="00742EBE">
            <w:pPr>
              <w:spacing w:before="0" w:after="0" w:line="240" w:lineRule="auto"/>
              <w:rPr>
                <w:rFonts w:cs="Tahoma"/>
                <w:sz w:val="18"/>
                <w:szCs w:val="18"/>
              </w:rPr>
            </w:pPr>
          </w:p>
        </w:tc>
        <w:tc>
          <w:tcPr>
            <w:tcW w:w="3260" w:type="dxa"/>
            <w:tcBorders>
              <w:bottom w:val="single" w:sz="4" w:space="0" w:color="auto"/>
            </w:tcBorders>
            <w:shd w:val="clear" w:color="auto" w:fill="auto"/>
          </w:tcPr>
          <w:p w14:paraId="67654042" w14:textId="77777777" w:rsidR="00742EBE" w:rsidRPr="0068236B" w:rsidRDefault="00742EBE" w:rsidP="00742EBE">
            <w:pPr>
              <w:spacing w:before="0" w:after="0" w:line="240" w:lineRule="auto"/>
              <w:rPr>
                <w:rFonts w:cs="Tahoma"/>
                <w:sz w:val="18"/>
                <w:szCs w:val="18"/>
              </w:rPr>
            </w:pPr>
            <w:r w:rsidRPr="0068236B">
              <w:rPr>
                <w:rFonts w:cs="Tahoma"/>
                <w:sz w:val="18"/>
                <w:szCs w:val="18"/>
              </w:rPr>
              <w:t>(PR6 para. 12-ii)</w:t>
            </w:r>
          </w:p>
          <w:p w14:paraId="325F1379" w14:textId="77777777" w:rsidR="00742EBE" w:rsidRPr="0068236B" w:rsidRDefault="00742EBE" w:rsidP="00742EBE">
            <w:pPr>
              <w:spacing w:before="0" w:after="0" w:line="240" w:lineRule="auto"/>
              <w:rPr>
                <w:rFonts w:cs="Tahoma"/>
                <w:sz w:val="18"/>
                <w:szCs w:val="18"/>
              </w:rPr>
            </w:pPr>
          </w:p>
          <w:p w14:paraId="047AC73A" w14:textId="77777777" w:rsidR="00742EBE" w:rsidRPr="0068236B" w:rsidRDefault="00742EBE" w:rsidP="00D24CEF">
            <w:pPr>
              <w:pStyle w:val="ListParagraph"/>
              <w:numPr>
                <w:ilvl w:val="0"/>
                <w:numId w:val="127"/>
              </w:numPr>
              <w:spacing w:before="0" w:after="0" w:line="240" w:lineRule="auto"/>
              <w:ind w:left="366"/>
              <w:jc w:val="left"/>
              <w:rPr>
                <w:rFonts w:cs="Tahoma"/>
                <w:sz w:val="18"/>
                <w:szCs w:val="18"/>
              </w:rPr>
            </w:pPr>
            <w:r w:rsidRPr="0068236B">
              <w:rPr>
                <w:rFonts w:cs="Tahoma"/>
                <w:sz w:val="18"/>
                <w:szCs w:val="18"/>
              </w:rPr>
              <w:t>EAAA identified per Birds D</w:t>
            </w:r>
            <w:r w:rsidRPr="0068236B">
              <w:rPr>
                <w:rFonts w:cs="Tahoma"/>
                <w:sz w:val="18"/>
                <w:szCs w:val="18"/>
              </w:rPr>
              <w:t>i</w:t>
            </w:r>
            <w:r w:rsidRPr="0068236B">
              <w:rPr>
                <w:rFonts w:cs="Tahoma"/>
                <w:sz w:val="18"/>
                <w:szCs w:val="18"/>
              </w:rPr>
              <w:t>rective or recognized national or international process as i</w:t>
            </w:r>
            <w:r w:rsidRPr="0068236B">
              <w:rPr>
                <w:rFonts w:cs="Tahoma"/>
                <w:sz w:val="18"/>
                <w:szCs w:val="18"/>
              </w:rPr>
              <w:t>m</w:t>
            </w:r>
            <w:r w:rsidRPr="0068236B">
              <w:rPr>
                <w:rFonts w:cs="Tahoma"/>
                <w:sz w:val="18"/>
                <w:szCs w:val="18"/>
              </w:rPr>
              <w:t>portant for migratory birds (esp. wetlands)</w:t>
            </w:r>
          </w:p>
        </w:tc>
        <w:tc>
          <w:tcPr>
            <w:tcW w:w="3261" w:type="dxa"/>
            <w:tcBorders>
              <w:bottom w:val="single" w:sz="4" w:space="0" w:color="auto"/>
            </w:tcBorders>
          </w:tcPr>
          <w:p w14:paraId="7539AD5F" w14:textId="77777777" w:rsidR="00742EBE" w:rsidRPr="0068236B" w:rsidRDefault="00742EBE" w:rsidP="00742EBE">
            <w:pPr>
              <w:pStyle w:val="ListParagraph"/>
              <w:spacing w:before="0" w:after="0" w:line="240" w:lineRule="auto"/>
              <w:ind w:left="0"/>
              <w:rPr>
                <w:rFonts w:cs="Tahoma"/>
                <w:sz w:val="18"/>
                <w:szCs w:val="18"/>
              </w:rPr>
            </w:pPr>
            <w:r w:rsidRPr="0068236B">
              <w:rPr>
                <w:rFonts w:cs="Tahoma"/>
                <w:sz w:val="18"/>
                <w:szCs w:val="18"/>
              </w:rPr>
              <w:t>(PR6 para. 14-iv)</w:t>
            </w:r>
          </w:p>
          <w:p w14:paraId="40BD0348" w14:textId="77777777" w:rsidR="00742EBE" w:rsidRPr="0068236B" w:rsidRDefault="00742EBE" w:rsidP="00742EBE">
            <w:pPr>
              <w:pStyle w:val="ListParagraph"/>
              <w:spacing w:before="0" w:after="0" w:line="240" w:lineRule="auto"/>
              <w:ind w:left="0"/>
              <w:rPr>
                <w:rFonts w:cs="Tahoma"/>
                <w:sz w:val="18"/>
                <w:szCs w:val="18"/>
              </w:rPr>
            </w:pPr>
          </w:p>
          <w:p w14:paraId="2E33BF0B" w14:textId="77777777" w:rsidR="00742EBE" w:rsidRPr="0068236B" w:rsidRDefault="00742EBE" w:rsidP="00D24CEF">
            <w:pPr>
              <w:pStyle w:val="ListParagraph"/>
              <w:numPr>
                <w:ilvl w:val="0"/>
                <w:numId w:val="130"/>
              </w:numPr>
              <w:spacing w:before="0" w:after="0" w:line="240" w:lineRule="auto"/>
              <w:ind w:left="340"/>
              <w:jc w:val="left"/>
              <w:rPr>
                <w:rFonts w:cs="Tahoma"/>
                <w:sz w:val="18"/>
                <w:szCs w:val="18"/>
              </w:rPr>
            </w:pPr>
            <w:r w:rsidRPr="0068236B">
              <w:rPr>
                <w:rFonts w:cs="Tahoma"/>
                <w:sz w:val="18"/>
                <w:szCs w:val="18"/>
              </w:rPr>
              <w:t>EAAA sustains, on a cyclical or otherwise regular basis, ≥ 1 pe</w:t>
            </w:r>
            <w:r w:rsidRPr="0068236B">
              <w:rPr>
                <w:rFonts w:cs="Tahoma"/>
                <w:sz w:val="18"/>
                <w:szCs w:val="18"/>
              </w:rPr>
              <w:t>r</w:t>
            </w:r>
            <w:r w:rsidRPr="0068236B">
              <w:rPr>
                <w:rFonts w:cs="Tahoma"/>
                <w:sz w:val="18"/>
                <w:szCs w:val="18"/>
              </w:rPr>
              <w:t>cent of the global population at any point of the species’ lifecycle</w:t>
            </w:r>
          </w:p>
          <w:p w14:paraId="1234D354" w14:textId="77777777" w:rsidR="00742EBE" w:rsidRPr="0068236B" w:rsidRDefault="00742EBE" w:rsidP="00742EBE">
            <w:pPr>
              <w:spacing w:before="0" w:after="0" w:line="240" w:lineRule="auto"/>
              <w:ind w:left="340"/>
              <w:rPr>
                <w:rFonts w:cs="Tahoma"/>
                <w:sz w:val="18"/>
                <w:szCs w:val="18"/>
              </w:rPr>
            </w:pPr>
          </w:p>
          <w:p w14:paraId="0F9BF830" w14:textId="77777777" w:rsidR="00742EBE" w:rsidRPr="0068236B" w:rsidRDefault="00742EBE" w:rsidP="00D24CEF">
            <w:pPr>
              <w:pStyle w:val="ListParagraph"/>
              <w:numPr>
                <w:ilvl w:val="0"/>
                <w:numId w:val="130"/>
              </w:numPr>
              <w:spacing w:before="0" w:after="0" w:line="240" w:lineRule="auto"/>
              <w:ind w:left="340"/>
              <w:jc w:val="left"/>
              <w:rPr>
                <w:rFonts w:cs="Tahoma"/>
                <w:sz w:val="18"/>
                <w:szCs w:val="18"/>
              </w:rPr>
            </w:pPr>
            <w:r w:rsidRPr="0068236B">
              <w:rPr>
                <w:rFonts w:cs="Tahoma"/>
                <w:sz w:val="18"/>
                <w:szCs w:val="18"/>
              </w:rPr>
              <w:t>EAAA predictably supports ≥10 percent of global population du</w:t>
            </w:r>
            <w:r w:rsidRPr="0068236B">
              <w:rPr>
                <w:rFonts w:cs="Tahoma"/>
                <w:sz w:val="18"/>
                <w:szCs w:val="18"/>
              </w:rPr>
              <w:t>r</w:t>
            </w:r>
            <w:r w:rsidRPr="0068236B">
              <w:rPr>
                <w:rFonts w:cs="Tahoma"/>
                <w:sz w:val="18"/>
                <w:szCs w:val="18"/>
              </w:rPr>
              <w:t>ing periods of environmental stress</w:t>
            </w:r>
          </w:p>
        </w:tc>
      </w:tr>
    </w:tbl>
    <w:p w14:paraId="77275995" w14:textId="77777777" w:rsidR="00742EBE" w:rsidRPr="0068236B" w:rsidRDefault="00742EBE" w:rsidP="00742EBE">
      <w:pPr>
        <w:pStyle w:val="Default"/>
        <w:spacing w:before="60" w:after="60" w:line="276" w:lineRule="auto"/>
        <w:rPr>
          <w:rFonts w:ascii="Tahoma" w:hAnsi="Tahoma" w:cs="Tahoma"/>
          <w:sz w:val="18"/>
          <w:szCs w:val="18"/>
        </w:rPr>
      </w:pPr>
      <w:bookmarkStart w:id="269" w:name="_Toc113018183"/>
      <w:r w:rsidRPr="0068236B">
        <w:rPr>
          <w:rFonts w:ascii="Tahoma" w:hAnsi="Tahoma" w:cs="Tahoma"/>
          <w:sz w:val="18"/>
          <w:szCs w:val="20"/>
        </w:rPr>
        <w:t xml:space="preserve">Table </w:t>
      </w:r>
      <w:r w:rsidRPr="0068236B">
        <w:rPr>
          <w:rFonts w:ascii="Tahoma" w:hAnsi="Tahoma" w:cs="Tahoma"/>
          <w:sz w:val="18"/>
          <w:szCs w:val="20"/>
        </w:rPr>
        <w:fldChar w:fldCharType="begin"/>
      </w:r>
      <w:r w:rsidRPr="0068236B">
        <w:rPr>
          <w:rFonts w:ascii="Tahoma" w:hAnsi="Tahoma" w:cs="Tahoma"/>
          <w:sz w:val="18"/>
          <w:szCs w:val="20"/>
        </w:rPr>
        <w:instrText xml:space="preserve"> STYLEREF 1 \s </w:instrText>
      </w:r>
      <w:r w:rsidRPr="0068236B">
        <w:rPr>
          <w:rFonts w:ascii="Tahoma" w:hAnsi="Tahoma" w:cs="Tahoma"/>
          <w:sz w:val="18"/>
          <w:szCs w:val="20"/>
        </w:rPr>
        <w:fldChar w:fldCharType="separate"/>
      </w:r>
      <w:r w:rsidR="00FD57E6">
        <w:rPr>
          <w:rFonts w:ascii="Tahoma" w:hAnsi="Tahoma" w:cs="Tahoma"/>
          <w:noProof/>
          <w:sz w:val="18"/>
          <w:szCs w:val="20"/>
        </w:rPr>
        <w:t>7</w:t>
      </w:r>
      <w:r w:rsidRPr="0068236B">
        <w:rPr>
          <w:rFonts w:ascii="Tahoma" w:hAnsi="Tahoma" w:cs="Tahoma"/>
          <w:sz w:val="18"/>
          <w:szCs w:val="20"/>
        </w:rPr>
        <w:fldChar w:fldCharType="end"/>
      </w:r>
      <w:r w:rsidRPr="0068236B">
        <w:rPr>
          <w:rFonts w:ascii="Tahoma" w:hAnsi="Tahoma" w:cs="Tahoma"/>
          <w:sz w:val="18"/>
          <w:szCs w:val="20"/>
        </w:rPr>
        <w:t>.</w:t>
      </w:r>
      <w:r w:rsidRPr="0068236B">
        <w:rPr>
          <w:rFonts w:ascii="Tahoma" w:hAnsi="Tahoma" w:cs="Tahoma"/>
          <w:sz w:val="18"/>
          <w:szCs w:val="20"/>
        </w:rPr>
        <w:fldChar w:fldCharType="begin"/>
      </w:r>
      <w:r w:rsidRPr="0068236B">
        <w:rPr>
          <w:rFonts w:ascii="Tahoma" w:hAnsi="Tahoma" w:cs="Tahoma"/>
          <w:sz w:val="18"/>
          <w:szCs w:val="20"/>
        </w:rPr>
        <w:instrText xml:space="preserve"> SEQ Table \* ARABIC \s 1 </w:instrText>
      </w:r>
      <w:r w:rsidRPr="0068236B">
        <w:rPr>
          <w:rFonts w:ascii="Tahoma" w:hAnsi="Tahoma" w:cs="Tahoma"/>
          <w:sz w:val="18"/>
          <w:szCs w:val="20"/>
        </w:rPr>
        <w:fldChar w:fldCharType="separate"/>
      </w:r>
      <w:r w:rsidR="00FD57E6">
        <w:rPr>
          <w:rFonts w:ascii="Tahoma" w:hAnsi="Tahoma" w:cs="Tahoma"/>
          <w:noProof/>
          <w:sz w:val="18"/>
          <w:szCs w:val="20"/>
        </w:rPr>
        <w:t>12</w:t>
      </w:r>
      <w:r w:rsidRPr="0068236B">
        <w:rPr>
          <w:rFonts w:ascii="Tahoma" w:hAnsi="Tahoma" w:cs="Tahoma"/>
          <w:sz w:val="18"/>
          <w:szCs w:val="20"/>
        </w:rPr>
        <w:fldChar w:fldCharType="end"/>
      </w:r>
      <w:r w:rsidRPr="0068236B">
        <w:rPr>
          <w:rFonts w:ascii="Tahoma" w:hAnsi="Tahoma" w:cs="Tahoma"/>
          <w:sz w:val="18"/>
          <w:szCs w:val="20"/>
        </w:rPr>
        <w:t>:</w:t>
      </w:r>
      <w:r w:rsidRPr="0068236B">
        <w:rPr>
          <w:rFonts w:ascii="Tahoma" w:hAnsi="Tahoma" w:cs="Tahoma"/>
          <w:b/>
          <w:sz w:val="18"/>
          <w:szCs w:val="20"/>
        </w:rPr>
        <w:t xml:space="preserve"> </w:t>
      </w:r>
      <w:r w:rsidRPr="0068236B">
        <w:rPr>
          <w:rFonts w:ascii="Tahoma" w:hAnsi="Tahoma" w:cs="Tahoma"/>
          <w:sz w:val="18"/>
          <w:szCs w:val="18"/>
        </w:rPr>
        <w:t>Criteria and conditions for identifying priority biodiversity features and critical habitats</w:t>
      </w:r>
      <w:bookmarkEnd w:id="269"/>
    </w:p>
    <w:p w14:paraId="5619FFCE" w14:textId="6E417D35" w:rsidR="00742EBE" w:rsidRPr="00744C45" w:rsidRDefault="00744C45" w:rsidP="00742EBE">
      <w:pPr>
        <w:pStyle w:val="Default"/>
        <w:spacing w:before="60" w:after="240" w:line="276" w:lineRule="auto"/>
        <w:rPr>
          <w:rFonts w:ascii="Tahoma" w:hAnsi="Tahoma" w:cs="Tahoma"/>
          <w:sz w:val="16"/>
          <w:szCs w:val="16"/>
        </w:rPr>
      </w:pPr>
      <w:r w:rsidRPr="00744C45">
        <w:rPr>
          <w:rFonts w:ascii="Tahoma" w:hAnsi="Tahoma" w:cs="Tahoma"/>
          <w:sz w:val="16"/>
          <w:szCs w:val="16"/>
        </w:rPr>
        <w:t xml:space="preserve">Source: </w:t>
      </w:r>
      <w:r w:rsidR="00742EBE" w:rsidRPr="00744C45">
        <w:rPr>
          <w:rFonts w:ascii="Tahoma" w:hAnsi="Tahoma" w:cs="Tahoma"/>
          <w:sz w:val="16"/>
          <w:szCs w:val="16"/>
        </w:rPr>
        <w:t>EBRD PR6: Biodiversity Conservation and Sustainable Management of Living Natural Resources</w:t>
      </w:r>
    </w:p>
    <w:p w14:paraId="503EDCA6" w14:textId="57BF6464" w:rsidR="005D2480" w:rsidRPr="0068236B" w:rsidRDefault="005D2480" w:rsidP="005D2480">
      <w:pPr>
        <w:pStyle w:val="Heading4"/>
        <w:numPr>
          <w:ilvl w:val="4"/>
          <w:numId w:val="60"/>
        </w:numPr>
        <w:rPr>
          <w:sz w:val="20"/>
        </w:rPr>
      </w:pPr>
      <w:r w:rsidRPr="0068236B">
        <w:rPr>
          <w:sz w:val="20"/>
        </w:rPr>
        <w:lastRenderedPageBreak/>
        <w:t>Assessment of Critical Habitats</w:t>
      </w:r>
    </w:p>
    <w:p w14:paraId="34F81910" w14:textId="77777777" w:rsidR="00742EBE" w:rsidRPr="0068236B" w:rsidRDefault="00742EBE" w:rsidP="00742EBE">
      <w:pPr>
        <w:pStyle w:val="Default"/>
        <w:spacing w:before="120" w:after="120" w:line="276" w:lineRule="auto"/>
        <w:jc w:val="both"/>
        <w:rPr>
          <w:rFonts w:ascii="Tahoma" w:hAnsi="Tahoma" w:cs="Tahoma"/>
          <w:sz w:val="20"/>
          <w:szCs w:val="22"/>
        </w:rPr>
      </w:pPr>
      <w:r w:rsidRPr="0068236B">
        <w:rPr>
          <w:rFonts w:ascii="Tahoma" w:hAnsi="Tahoma" w:cs="Tahoma"/>
          <w:sz w:val="20"/>
          <w:szCs w:val="22"/>
        </w:rPr>
        <w:t>Critical Habitat and Priority Biodiversity Feature assessment is the process aimed at identification of those areas of the highest biodiversity value considered especially sensitive to impacts and where particular atte</w:t>
      </w:r>
      <w:r w:rsidRPr="0068236B">
        <w:rPr>
          <w:rFonts w:ascii="Tahoma" w:hAnsi="Tahoma" w:cs="Tahoma"/>
          <w:sz w:val="20"/>
          <w:szCs w:val="22"/>
        </w:rPr>
        <w:t>n</w:t>
      </w:r>
      <w:r w:rsidRPr="0068236B">
        <w:rPr>
          <w:rFonts w:ascii="Tahoma" w:hAnsi="Tahoma" w:cs="Tahoma"/>
          <w:sz w:val="20"/>
          <w:szCs w:val="22"/>
        </w:rPr>
        <w:t>tion must be paid. The CHA process comprises an initial project screening to identify potential CH/PBF tri</w:t>
      </w:r>
      <w:r w:rsidRPr="0068236B">
        <w:rPr>
          <w:rFonts w:ascii="Tahoma" w:hAnsi="Tahoma" w:cs="Tahoma"/>
          <w:sz w:val="20"/>
          <w:szCs w:val="22"/>
        </w:rPr>
        <w:t>g</w:t>
      </w:r>
      <w:r w:rsidRPr="0068236B">
        <w:rPr>
          <w:rFonts w:ascii="Tahoma" w:hAnsi="Tahoma" w:cs="Tahoma"/>
          <w:sz w:val="20"/>
          <w:szCs w:val="22"/>
        </w:rPr>
        <w:t>ger habitats or species present within the area affected by the project. Initial screening is conducted in order to establish trigger features concerning which analysis and verification are to be undertaken.</w:t>
      </w:r>
    </w:p>
    <w:p w14:paraId="2CE65015" w14:textId="74B173D3" w:rsidR="00742EBE" w:rsidRPr="0068236B" w:rsidRDefault="00742EBE" w:rsidP="005D2480">
      <w:pPr>
        <w:pStyle w:val="Default"/>
        <w:spacing w:before="120" w:after="120" w:line="276" w:lineRule="auto"/>
        <w:jc w:val="both"/>
        <w:rPr>
          <w:rFonts w:ascii="Tahoma" w:hAnsi="Tahoma" w:cs="Tahoma"/>
          <w:sz w:val="20"/>
          <w:szCs w:val="22"/>
        </w:rPr>
      </w:pPr>
      <w:r w:rsidRPr="0068236B">
        <w:rPr>
          <w:rFonts w:ascii="Tahoma" w:hAnsi="Tahoma" w:cs="Tahoma"/>
          <w:sz w:val="20"/>
          <w:szCs w:val="22"/>
        </w:rPr>
        <w:t xml:space="preserve">In the following text the six criteria for CH </w:t>
      </w:r>
      <w:r w:rsidR="005D2480" w:rsidRPr="0068236B">
        <w:rPr>
          <w:rFonts w:ascii="Tahoma" w:hAnsi="Tahoma" w:cs="Tahoma"/>
          <w:sz w:val="20"/>
          <w:szCs w:val="22"/>
        </w:rPr>
        <w:t>are</w:t>
      </w:r>
      <w:r w:rsidRPr="0068236B">
        <w:rPr>
          <w:rFonts w:ascii="Tahoma" w:hAnsi="Tahoma" w:cs="Tahoma"/>
          <w:sz w:val="20"/>
          <w:szCs w:val="22"/>
        </w:rPr>
        <w:t xml:space="preserve"> elaborated. The biodiversity features that qualify for CH will be presented as well as their characteristics in the area and the need to implement appropriate assessment according to the PR6.</w:t>
      </w:r>
    </w:p>
    <w:p w14:paraId="47FE13AA" w14:textId="77777777" w:rsidR="00742EBE" w:rsidRPr="0068236B" w:rsidRDefault="00742EBE" w:rsidP="00D24CEF">
      <w:pPr>
        <w:pStyle w:val="Default"/>
        <w:numPr>
          <w:ilvl w:val="0"/>
          <w:numId w:val="119"/>
        </w:numPr>
        <w:rPr>
          <w:rFonts w:ascii="Tahoma" w:hAnsi="Tahoma" w:cs="Tahoma"/>
          <w:sz w:val="20"/>
          <w:szCs w:val="22"/>
        </w:rPr>
      </w:pPr>
      <w:r w:rsidRPr="0068236B">
        <w:rPr>
          <w:rFonts w:ascii="Tahoma" w:hAnsi="Tahoma" w:cs="Tahoma"/>
          <w:iCs/>
          <w:sz w:val="20"/>
          <w:szCs w:val="22"/>
        </w:rPr>
        <w:t>highly threatened or unique ecosystems</w:t>
      </w:r>
    </w:p>
    <w:p w14:paraId="707B4A87" w14:textId="77777777" w:rsidR="00742EBE" w:rsidRPr="0068236B" w:rsidRDefault="00742EBE" w:rsidP="005D2480">
      <w:pPr>
        <w:pStyle w:val="Default"/>
        <w:spacing w:before="120" w:after="120" w:line="276" w:lineRule="auto"/>
        <w:jc w:val="both"/>
        <w:rPr>
          <w:rFonts w:ascii="Tahoma" w:hAnsi="Tahoma" w:cs="Tahoma"/>
          <w:sz w:val="20"/>
          <w:szCs w:val="20"/>
        </w:rPr>
      </w:pPr>
      <w:r w:rsidRPr="0068236B">
        <w:rPr>
          <w:rFonts w:ascii="Tahoma" w:hAnsi="Tahoma" w:cs="Tahoma"/>
          <w:iCs/>
          <w:sz w:val="20"/>
          <w:szCs w:val="22"/>
        </w:rPr>
        <w:t>Threatened ecosystems are the ones that are: Habitats listed in Annex 1 of EU Habitats Directive (EU me</w:t>
      </w:r>
      <w:r w:rsidRPr="0068236B">
        <w:rPr>
          <w:rFonts w:ascii="Tahoma" w:hAnsi="Tahoma" w:cs="Tahoma"/>
          <w:iCs/>
          <w:sz w:val="20"/>
          <w:szCs w:val="22"/>
        </w:rPr>
        <w:t>m</w:t>
      </w:r>
      <w:r w:rsidRPr="0068236B">
        <w:rPr>
          <w:rFonts w:ascii="Tahoma" w:hAnsi="Tahoma" w:cs="Tahoma"/>
          <w:iCs/>
          <w:sz w:val="20"/>
          <w:szCs w:val="22"/>
        </w:rPr>
        <w:t xml:space="preserve">bers only) or Resolution 4 of Bern Convention (signatory nations only) and </w:t>
      </w:r>
      <w:r w:rsidRPr="0068236B">
        <w:rPr>
          <w:rFonts w:ascii="Tahoma" w:hAnsi="Tahoma" w:cs="Tahoma"/>
          <w:sz w:val="18"/>
          <w:szCs w:val="18"/>
        </w:rPr>
        <w:t xml:space="preserve">IUCN Red-List EN or CR ecosystems. The only habitat that fulfils these subcruteria is </w:t>
      </w:r>
      <w:r w:rsidRPr="0068236B">
        <w:rPr>
          <w:rFonts w:ascii="Tahoma" w:hAnsi="Tahoma" w:cs="Tahoma"/>
          <w:sz w:val="20"/>
          <w:szCs w:val="20"/>
        </w:rPr>
        <w:t xml:space="preserve">92A0 </w:t>
      </w:r>
      <w:r w:rsidRPr="0068236B">
        <w:rPr>
          <w:rFonts w:ascii="Tahoma" w:hAnsi="Tahoma" w:cs="Tahoma"/>
          <w:i/>
          <w:sz w:val="20"/>
          <w:szCs w:val="20"/>
        </w:rPr>
        <w:t>Salix alba</w:t>
      </w:r>
      <w:r w:rsidRPr="0068236B">
        <w:rPr>
          <w:rFonts w:ascii="Tahoma" w:hAnsi="Tahoma" w:cs="Tahoma"/>
          <w:sz w:val="20"/>
          <w:szCs w:val="20"/>
        </w:rPr>
        <w:t xml:space="preserve"> and </w:t>
      </w:r>
      <w:r w:rsidRPr="0068236B">
        <w:rPr>
          <w:rFonts w:ascii="Tahoma" w:hAnsi="Tahoma" w:cs="Tahoma"/>
          <w:i/>
          <w:sz w:val="20"/>
          <w:szCs w:val="20"/>
        </w:rPr>
        <w:t xml:space="preserve">Populus alba galleries. </w:t>
      </w:r>
      <w:r w:rsidRPr="0068236B">
        <w:rPr>
          <w:rFonts w:ascii="Tahoma" w:hAnsi="Tahoma" w:cs="Tahoma"/>
          <w:sz w:val="20"/>
          <w:szCs w:val="20"/>
        </w:rPr>
        <w:t>The same habitat (at higher level) is named as G1.11 Riverine Salix woodland in the Resolution No. 4 of the Bern Convention. The respective ecosystem in the IUCN’s red list of ecosystems (https://iucnrle.org/) is named as:  Riverine willow woodlands and assessed as data deficient (DD).</w:t>
      </w:r>
    </w:p>
    <w:p w14:paraId="44E70651" w14:textId="77777777" w:rsidR="00742EBE" w:rsidRPr="0068236B" w:rsidRDefault="00742EBE" w:rsidP="00742EBE">
      <w:pPr>
        <w:pStyle w:val="Default"/>
        <w:jc w:val="both"/>
        <w:rPr>
          <w:rFonts w:ascii="Tahoma" w:hAnsi="Tahoma" w:cs="Tahoma"/>
          <w:sz w:val="20"/>
          <w:szCs w:val="20"/>
        </w:rPr>
      </w:pPr>
    </w:p>
    <w:p w14:paraId="6DEA3334" w14:textId="77777777" w:rsidR="00742EBE" w:rsidRPr="0068236B" w:rsidRDefault="00742EBE" w:rsidP="00742EBE">
      <w:pPr>
        <w:pStyle w:val="Default"/>
        <w:jc w:val="both"/>
        <w:rPr>
          <w:rFonts w:ascii="Tahoma" w:hAnsi="Tahoma" w:cs="Tahoma"/>
          <w:sz w:val="20"/>
          <w:szCs w:val="22"/>
        </w:rPr>
      </w:pPr>
      <w:r w:rsidRPr="0068236B">
        <w:rPr>
          <w:rFonts w:ascii="Tahoma" w:hAnsi="Tahoma" w:cs="Tahoma"/>
          <w:noProof/>
          <w:lang w:val="mk-MK" w:eastAsia="mk-MK"/>
        </w:rPr>
        <w:drawing>
          <wp:inline distT="0" distB="0" distL="0" distR="0" wp14:anchorId="1E4CB9EE" wp14:editId="1F07759F">
            <wp:extent cx="6184000" cy="2592000"/>
            <wp:effectExtent l="0" t="0" r="762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3" cstate="print">
                      <a:extLst>
                        <a:ext uri="{28A0092B-C50C-407E-A947-70E740481C1C}">
                          <a14:useLocalDpi xmlns:a14="http://schemas.microsoft.com/office/drawing/2010/main" val="0"/>
                        </a:ext>
                      </a:extLst>
                    </a:blip>
                    <a:srcRect l="17505" t="35257" r="18236" b="16860"/>
                    <a:stretch/>
                  </pic:blipFill>
                  <pic:spPr bwMode="auto">
                    <a:xfrm>
                      <a:off x="0" y="0"/>
                      <a:ext cx="6184000" cy="2592000"/>
                    </a:xfrm>
                    <a:prstGeom prst="rect">
                      <a:avLst/>
                    </a:prstGeom>
                    <a:ln>
                      <a:noFill/>
                    </a:ln>
                    <a:extLst>
                      <a:ext uri="{53640926-AAD7-44D8-BBD7-CCE9431645EC}">
                        <a14:shadowObscured xmlns:a14="http://schemas.microsoft.com/office/drawing/2010/main"/>
                      </a:ext>
                    </a:extLst>
                  </pic:spPr>
                </pic:pic>
              </a:graphicData>
            </a:graphic>
          </wp:inline>
        </w:drawing>
      </w:r>
    </w:p>
    <w:p w14:paraId="7436C2B4" w14:textId="77777777" w:rsidR="005D2480" w:rsidRPr="0068236B" w:rsidRDefault="00742EBE" w:rsidP="005D2480">
      <w:pPr>
        <w:pStyle w:val="Default"/>
        <w:spacing w:before="60" w:after="60"/>
        <w:rPr>
          <w:rFonts w:ascii="Tahoma" w:hAnsi="Tahoma" w:cs="Tahoma"/>
          <w:i/>
          <w:sz w:val="18"/>
          <w:szCs w:val="18"/>
        </w:rPr>
      </w:pPr>
      <w:bookmarkStart w:id="270" w:name="_Toc112928887"/>
      <w:r w:rsidRPr="0068236B">
        <w:rPr>
          <w:rFonts w:ascii="Tahoma" w:hAnsi="Tahoma" w:cs="Tahoma"/>
          <w:sz w:val="18"/>
          <w:szCs w:val="18"/>
        </w:rPr>
        <w:t xml:space="preserve">Figure </w:t>
      </w:r>
      <w:r w:rsidRPr="0068236B">
        <w:rPr>
          <w:rFonts w:ascii="Tahoma" w:hAnsi="Tahoma" w:cs="Tahoma"/>
          <w:sz w:val="18"/>
          <w:szCs w:val="18"/>
        </w:rPr>
        <w:fldChar w:fldCharType="begin"/>
      </w:r>
      <w:r w:rsidRPr="0068236B">
        <w:rPr>
          <w:rFonts w:ascii="Tahoma" w:hAnsi="Tahoma" w:cs="Tahoma"/>
          <w:sz w:val="18"/>
          <w:szCs w:val="18"/>
        </w:rPr>
        <w:instrText xml:space="preserve"> STYLEREF 1 \s </w:instrText>
      </w:r>
      <w:r w:rsidRPr="0068236B">
        <w:rPr>
          <w:rFonts w:ascii="Tahoma" w:hAnsi="Tahoma" w:cs="Tahoma"/>
          <w:sz w:val="18"/>
          <w:szCs w:val="18"/>
        </w:rPr>
        <w:fldChar w:fldCharType="separate"/>
      </w:r>
      <w:r w:rsidR="00FD57E6">
        <w:rPr>
          <w:rFonts w:ascii="Tahoma" w:hAnsi="Tahoma" w:cs="Tahoma"/>
          <w:noProof/>
          <w:sz w:val="18"/>
          <w:szCs w:val="18"/>
        </w:rPr>
        <w:t>7</w:t>
      </w:r>
      <w:r w:rsidRPr="0068236B">
        <w:rPr>
          <w:rFonts w:ascii="Tahoma" w:hAnsi="Tahoma" w:cs="Tahoma"/>
          <w:sz w:val="18"/>
          <w:szCs w:val="18"/>
        </w:rPr>
        <w:fldChar w:fldCharType="end"/>
      </w:r>
      <w:r w:rsidRPr="0068236B">
        <w:rPr>
          <w:rFonts w:ascii="Tahoma" w:hAnsi="Tahoma" w:cs="Tahoma"/>
          <w:sz w:val="18"/>
          <w:szCs w:val="18"/>
        </w:rPr>
        <w:t>.</w:t>
      </w:r>
      <w:r w:rsidRPr="0068236B">
        <w:rPr>
          <w:rFonts w:ascii="Tahoma" w:hAnsi="Tahoma" w:cs="Tahoma"/>
          <w:sz w:val="18"/>
          <w:szCs w:val="18"/>
        </w:rPr>
        <w:fldChar w:fldCharType="begin"/>
      </w:r>
      <w:r w:rsidRPr="0068236B">
        <w:rPr>
          <w:rFonts w:ascii="Tahoma" w:hAnsi="Tahoma" w:cs="Tahoma"/>
          <w:sz w:val="18"/>
          <w:szCs w:val="18"/>
        </w:rPr>
        <w:instrText xml:space="preserve"> SEQ Figure \* ARABIC \s 1 </w:instrText>
      </w:r>
      <w:r w:rsidRPr="0068236B">
        <w:rPr>
          <w:rFonts w:ascii="Tahoma" w:hAnsi="Tahoma" w:cs="Tahoma"/>
          <w:sz w:val="18"/>
          <w:szCs w:val="18"/>
        </w:rPr>
        <w:fldChar w:fldCharType="separate"/>
      </w:r>
      <w:r w:rsidR="00FD57E6">
        <w:rPr>
          <w:rFonts w:ascii="Tahoma" w:hAnsi="Tahoma" w:cs="Tahoma"/>
          <w:noProof/>
          <w:sz w:val="18"/>
          <w:szCs w:val="18"/>
        </w:rPr>
        <w:t>16</w:t>
      </w:r>
      <w:r w:rsidRPr="0068236B">
        <w:rPr>
          <w:rFonts w:ascii="Tahoma" w:hAnsi="Tahoma" w:cs="Tahoma"/>
          <w:sz w:val="18"/>
          <w:szCs w:val="18"/>
        </w:rPr>
        <w:fldChar w:fldCharType="end"/>
      </w:r>
      <w:r w:rsidRPr="0068236B">
        <w:rPr>
          <w:rFonts w:ascii="Tahoma" w:hAnsi="Tahoma" w:cs="Tahoma"/>
          <w:sz w:val="18"/>
          <w:szCs w:val="18"/>
        </w:rPr>
        <w:t xml:space="preserve">: EU conservation status of 92A0 </w:t>
      </w:r>
      <w:r w:rsidRPr="0068236B">
        <w:rPr>
          <w:rFonts w:ascii="Tahoma" w:hAnsi="Tahoma" w:cs="Tahoma"/>
          <w:i/>
          <w:sz w:val="18"/>
          <w:szCs w:val="18"/>
        </w:rPr>
        <w:t>Salix alba</w:t>
      </w:r>
      <w:r w:rsidRPr="0068236B">
        <w:rPr>
          <w:rFonts w:ascii="Tahoma" w:hAnsi="Tahoma" w:cs="Tahoma"/>
          <w:sz w:val="18"/>
          <w:szCs w:val="18"/>
        </w:rPr>
        <w:t xml:space="preserve"> and </w:t>
      </w:r>
      <w:r w:rsidR="005D2480" w:rsidRPr="0068236B">
        <w:rPr>
          <w:rFonts w:ascii="Tahoma" w:hAnsi="Tahoma" w:cs="Tahoma"/>
          <w:i/>
          <w:sz w:val="18"/>
          <w:szCs w:val="18"/>
        </w:rPr>
        <w:t>Populus alba galleries</w:t>
      </w:r>
      <w:bookmarkEnd w:id="270"/>
    </w:p>
    <w:p w14:paraId="4CBB53AA" w14:textId="1DB0A20E" w:rsidR="00742EBE" w:rsidRPr="0068236B" w:rsidRDefault="005D2480" w:rsidP="005D2480">
      <w:pPr>
        <w:pStyle w:val="Default"/>
        <w:spacing w:before="60" w:after="240"/>
        <w:rPr>
          <w:rFonts w:ascii="Tahoma" w:hAnsi="Tahoma" w:cs="Tahoma"/>
          <w:sz w:val="18"/>
          <w:szCs w:val="18"/>
        </w:rPr>
      </w:pPr>
      <w:r w:rsidRPr="0068236B">
        <w:rPr>
          <w:rFonts w:ascii="Tahoma" w:hAnsi="Tahoma" w:cs="Tahoma"/>
          <w:sz w:val="18"/>
          <w:szCs w:val="18"/>
        </w:rPr>
        <w:t xml:space="preserve">Source: </w:t>
      </w:r>
      <w:r w:rsidR="00742EBE" w:rsidRPr="0068236B">
        <w:rPr>
          <w:rFonts w:ascii="Tahoma" w:hAnsi="Tahoma" w:cs="Tahoma"/>
          <w:sz w:val="18"/>
          <w:szCs w:val="18"/>
        </w:rPr>
        <w:t>https://eunis.eea.europ</w:t>
      </w:r>
      <w:r w:rsidRPr="0068236B">
        <w:rPr>
          <w:rFonts w:ascii="Tahoma" w:hAnsi="Tahoma" w:cs="Tahoma"/>
          <w:sz w:val="18"/>
          <w:szCs w:val="18"/>
        </w:rPr>
        <w:t>a.eu/habitats/10214)</w:t>
      </w:r>
    </w:p>
    <w:p w14:paraId="3D032A54" w14:textId="77777777" w:rsidR="00742EBE" w:rsidRPr="0068236B" w:rsidRDefault="00742EBE" w:rsidP="005D2480">
      <w:pPr>
        <w:pStyle w:val="Default"/>
        <w:spacing w:before="120" w:after="120" w:line="276" w:lineRule="auto"/>
        <w:jc w:val="both"/>
        <w:rPr>
          <w:rFonts w:ascii="Tahoma" w:hAnsi="Tahoma" w:cs="Tahoma"/>
          <w:sz w:val="20"/>
          <w:szCs w:val="20"/>
        </w:rPr>
      </w:pPr>
      <w:r w:rsidRPr="0068236B">
        <w:rPr>
          <w:rFonts w:ascii="Tahoma" w:hAnsi="Tahoma" w:cs="Tahoma"/>
          <w:sz w:val="20"/>
          <w:szCs w:val="20"/>
        </w:rPr>
        <w:t xml:space="preserve">The habitat 92A0 </w:t>
      </w:r>
      <w:r w:rsidRPr="0068236B">
        <w:rPr>
          <w:rFonts w:ascii="Tahoma" w:hAnsi="Tahoma" w:cs="Tahoma"/>
          <w:i/>
          <w:sz w:val="20"/>
          <w:szCs w:val="20"/>
        </w:rPr>
        <w:t>Salix alba</w:t>
      </w:r>
      <w:r w:rsidRPr="0068236B">
        <w:rPr>
          <w:rFonts w:ascii="Tahoma" w:hAnsi="Tahoma" w:cs="Tahoma"/>
          <w:sz w:val="20"/>
          <w:szCs w:val="20"/>
        </w:rPr>
        <w:t xml:space="preserve"> and </w:t>
      </w:r>
      <w:r w:rsidRPr="0068236B">
        <w:rPr>
          <w:rFonts w:ascii="Tahoma" w:hAnsi="Tahoma" w:cs="Tahoma"/>
          <w:i/>
          <w:sz w:val="20"/>
          <w:szCs w:val="20"/>
        </w:rPr>
        <w:t xml:space="preserve">Populus alba galleries </w:t>
      </w:r>
      <w:r w:rsidRPr="0068236B">
        <w:rPr>
          <w:rFonts w:ascii="Tahoma" w:hAnsi="Tahoma" w:cs="Tahoma"/>
          <w:sz w:val="20"/>
          <w:szCs w:val="20"/>
        </w:rPr>
        <w:t>clearly qualifies as PBF since:</w:t>
      </w:r>
    </w:p>
    <w:p w14:paraId="3D7BA70A" w14:textId="77777777" w:rsidR="00742EBE" w:rsidRPr="0068236B" w:rsidRDefault="00742EBE" w:rsidP="00D24CEF">
      <w:pPr>
        <w:pStyle w:val="Default"/>
        <w:numPr>
          <w:ilvl w:val="0"/>
          <w:numId w:val="97"/>
        </w:numPr>
        <w:spacing w:before="120" w:after="120" w:line="276" w:lineRule="auto"/>
        <w:jc w:val="both"/>
        <w:rPr>
          <w:rFonts w:ascii="Tahoma" w:hAnsi="Tahoma" w:cs="Tahoma"/>
          <w:sz w:val="20"/>
          <w:szCs w:val="20"/>
        </w:rPr>
      </w:pPr>
      <w:r w:rsidRPr="0068236B">
        <w:rPr>
          <w:rFonts w:ascii="Tahoma" w:hAnsi="Tahoma" w:cs="Tahoma"/>
          <w:sz w:val="20"/>
          <w:szCs w:val="20"/>
        </w:rPr>
        <w:t>It is listed in Annex 1 of EU Habitats Directive or Resolution 4 of Bern Convention and</w:t>
      </w:r>
    </w:p>
    <w:p w14:paraId="4BC41242" w14:textId="77777777" w:rsidR="00742EBE" w:rsidRPr="0068236B" w:rsidRDefault="00742EBE" w:rsidP="00D24CEF">
      <w:pPr>
        <w:pStyle w:val="Default"/>
        <w:numPr>
          <w:ilvl w:val="0"/>
          <w:numId w:val="97"/>
        </w:numPr>
        <w:spacing w:before="120" w:after="120" w:line="276" w:lineRule="auto"/>
        <w:jc w:val="both"/>
        <w:rPr>
          <w:rFonts w:ascii="Tahoma" w:hAnsi="Tahoma" w:cs="Tahoma"/>
          <w:sz w:val="20"/>
          <w:szCs w:val="20"/>
        </w:rPr>
      </w:pPr>
      <w:r w:rsidRPr="0068236B">
        <w:rPr>
          <w:rFonts w:ascii="Tahoma" w:hAnsi="Tahoma" w:cs="Tahoma"/>
          <w:sz w:val="20"/>
          <w:szCs w:val="20"/>
        </w:rPr>
        <w:t>It is not listed with IUCN status of CR or EN</w:t>
      </w:r>
    </w:p>
    <w:p w14:paraId="7FEC80C2" w14:textId="77777777" w:rsidR="00742EBE" w:rsidRPr="0068236B" w:rsidRDefault="00742EBE" w:rsidP="00D24CEF">
      <w:pPr>
        <w:pStyle w:val="Default"/>
        <w:numPr>
          <w:ilvl w:val="0"/>
          <w:numId w:val="119"/>
        </w:numPr>
        <w:spacing w:before="120" w:after="120" w:line="276" w:lineRule="auto"/>
        <w:rPr>
          <w:rFonts w:ascii="Tahoma" w:hAnsi="Tahoma" w:cs="Tahoma"/>
          <w:sz w:val="20"/>
          <w:szCs w:val="22"/>
        </w:rPr>
      </w:pPr>
      <w:r w:rsidRPr="0068236B">
        <w:rPr>
          <w:rFonts w:ascii="Tahoma" w:hAnsi="Tahoma" w:cs="Tahoma"/>
          <w:iCs/>
          <w:sz w:val="20"/>
          <w:szCs w:val="22"/>
        </w:rPr>
        <w:t xml:space="preserve">habitats of significant importance to endangered or critically endangered species </w:t>
      </w:r>
    </w:p>
    <w:p w14:paraId="2F147F46" w14:textId="77777777" w:rsidR="00742EBE" w:rsidRPr="0068236B" w:rsidRDefault="00742EBE" w:rsidP="005D2480">
      <w:pPr>
        <w:pStyle w:val="Default"/>
        <w:spacing w:before="120" w:after="120" w:line="276" w:lineRule="auto"/>
        <w:rPr>
          <w:rFonts w:ascii="Tahoma" w:hAnsi="Tahoma" w:cs="Tahoma"/>
          <w:iCs/>
          <w:sz w:val="20"/>
          <w:szCs w:val="22"/>
        </w:rPr>
      </w:pPr>
      <w:r w:rsidRPr="0068236B">
        <w:rPr>
          <w:rFonts w:ascii="Tahoma" w:hAnsi="Tahoma" w:cs="Tahoma"/>
          <w:iCs/>
          <w:sz w:val="20"/>
          <w:szCs w:val="22"/>
        </w:rPr>
        <w:t>In principle, threatened species Threatened species are the ones that fulfil the following subcriteria:</w:t>
      </w:r>
    </w:p>
    <w:p w14:paraId="41DB0BCF" w14:textId="77777777" w:rsidR="00742EBE" w:rsidRPr="0068236B" w:rsidRDefault="00742EBE" w:rsidP="00D24CEF">
      <w:pPr>
        <w:pStyle w:val="Default"/>
        <w:numPr>
          <w:ilvl w:val="0"/>
          <w:numId w:val="131"/>
        </w:numPr>
        <w:spacing w:before="60" w:after="60"/>
        <w:ind w:left="714" w:hanging="357"/>
        <w:rPr>
          <w:rFonts w:ascii="Tahoma" w:hAnsi="Tahoma" w:cs="Tahoma"/>
          <w:iCs/>
          <w:sz w:val="20"/>
          <w:szCs w:val="22"/>
        </w:rPr>
      </w:pPr>
      <w:r w:rsidRPr="0068236B">
        <w:rPr>
          <w:rFonts w:ascii="Tahoma" w:hAnsi="Tahoma" w:cs="Tahoma"/>
          <w:iCs/>
          <w:sz w:val="20"/>
          <w:szCs w:val="22"/>
        </w:rPr>
        <w:t>Species and their habitats listed in EU Habitats Directive and Birds Directive (EU members only) or Bern Convention (signatory nations only)</w:t>
      </w:r>
    </w:p>
    <w:p w14:paraId="0B60E47C" w14:textId="77777777" w:rsidR="00742EBE" w:rsidRPr="0068236B" w:rsidRDefault="00742EBE" w:rsidP="00D24CEF">
      <w:pPr>
        <w:pStyle w:val="Default"/>
        <w:numPr>
          <w:ilvl w:val="0"/>
          <w:numId w:val="131"/>
        </w:numPr>
        <w:spacing w:before="60" w:after="60"/>
        <w:ind w:left="714" w:hanging="357"/>
        <w:rPr>
          <w:rFonts w:ascii="Tahoma" w:hAnsi="Tahoma" w:cs="Tahoma"/>
          <w:iCs/>
          <w:sz w:val="20"/>
          <w:szCs w:val="22"/>
        </w:rPr>
      </w:pPr>
      <w:r w:rsidRPr="0068236B">
        <w:rPr>
          <w:rFonts w:ascii="Tahoma" w:hAnsi="Tahoma" w:cs="Tahoma"/>
          <w:iCs/>
          <w:sz w:val="20"/>
          <w:szCs w:val="22"/>
        </w:rPr>
        <w:t>IUCN Red List EN or CR species</w:t>
      </w:r>
    </w:p>
    <w:p w14:paraId="1F2A2C2F" w14:textId="77777777" w:rsidR="00742EBE" w:rsidRPr="0068236B" w:rsidRDefault="00742EBE" w:rsidP="00D24CEF">
      <w:pPr>
        <w:pStyle w:val="Default"/>
        <w:numPr>
          <w:ilvl w:val="0"/>
          <w:numId w:val="131"/>
        </w:numPr>
        <w:spacing w:before="60" w:after="60"/>
        <w:ind w:left="714" w:hanging="357"/>
        <w:rPr>
          <w:rFonts w:ascii="Tahoma" w:hAnsi="Tahoma" w:cs="Tahoma"/>
          <w:iCs/>
          <w:sz w:val="20"/>
          <w:szCs w:val="22"/>
        </w:rPr>
      </w:pPr>
      <w:r w:rsidRPr="0068236B">
        <w:rPr>
          <w:rFonts w:ascii="Tahoma" w:hAnsi="Tahoma" w:cs="Tahoma"/>
          <w:iCs/>
          <w:sz w:val="20"/>
          <w:szCs w:val="22"/>
        </w:rPr>
        <w:t>IUCN Red List VU species</w:t>
      </w:r>
    </w:p>
    <w:p w14:paraId="2FEDD753" w14:textId="77777777" w:rsidR="00742EBE" w:rsidRPr="0068236B" w:rsidRDefault="00742EBE" w:rsidP="00D24CEF">
      <w:pPr>
        <w:pStyle w:val="Default"/>
        <w:numPr>
          <w:ilvl w:val="0"/>
          <w:numId w:val="131"/>
        </w:numPr>
        <w:spacing w:before="60" w:after="60"/>
        <w:ind w:left="714" w:hanging="357"/>
        <w:rPr>
          <w:rFonts w:ascii="Tahoma" w:hAnsi="Tahoma" w:cs="Tahoma"/>
          <w:iCs/>
          <w:sz w:val="20"/>
          <w:szCs w:val="22"/>
        </w:rPr>
      </w:pPr>
      <w:r w:rsidRPr="0068236B">
        <w:rPr>
          <w:rFonts w:ascii="Tahoma" w:hAnsi="Tahoma" w:cs="Tahoma"/>
          <w:iCs/>
          <w:sz w:val="20"/>
          <w:szCs w:val="22"/>
        </w:rPr>
        <w:t>Nationally or regionally (e.g., Europe) listed EN or CR species</w:t>
      </w:r>
    </w:p>
    <w:p w14:paraId="5407F498" w14:textId="77777777" w:rsidR="00742EBE" w:rsidRPr="0068236B" w:rsidRDefault="00742EBE" w:rsidP="005D2480">
      <w:pPr>
        <w:pStyle w:val="Default"/>
        <w:spacing w:before="120" w:after="120" w:line="276" w:lineRule="auto"/>
        <w:rPr>
          <w:rFonts w:ascii="Tahoma" w:hAnsi="Tahoma" w:cs="Tahoma"/>
          <w:sz w:val="20"/>
          <w:szCs w:val="22"/>
        </w:rPr>
      </w:pPr>
      <w:r w:rsidRPr="0068236B">
        <w:rPr>
          <w:rFonts w:ascii="Tahoma" w:hAnsi="Tahoma" w:cs="Tahoma"/>
          <w:sz w:val="20"/>
          <w:szCs w:val="22"/>
        </w:rPr>
        <w:t>The following table summarizes the important species i.e. the species that have statut that qualify (in princ</w:t>
      </w:r>
      <w:r w:rsidRPr="0068236B">
        <w:rPr>
          <w:rFonts w:ascii="Tahoma" w:hAnsi="Tahoma" w:cs="Tahoma"/>
          <w:sz w:val="20"/>
          <w:szCs w:val="22"/>
        </w:rPr>
        <w:t>i</w:t>
      </w:r>
      <w:r w:rsidRPr="0068236B">
        <w:rPr>
          <w:rFonts w:ascii="Tahoma" w:hAnsi="Tahoma" w:cs="Tahoma"/>
          <w:sz w:val="20"/>
          <w:szCs w:val="22"/>
        </w:rPr>
        <w:t xml:space="preserve">ple) for PBF or CH. </w:t>
      </w:r>
    </w:p>
    <w:p w14:paraId="503F5637" w14:textId="77777777" w:rsidR="00742EBE" w:rsidRPr="0068236B" w:rsidRDefault="00742EBE" w:rsidP="005D2480">
      <w:pPr>
        <w:pStyle w:val="Default"/>
        <w:spacing w:before="120" w:after="120" w:line="276" w:lineRule="auto"/>
        <w:rPr>
          <w:rFonts w:ascii="Tahoma" w:hAnsi="Tahoma" w:cs="Tahoma"/>
          <w:sz w:val="20"/>
          <w:szCs w:val="22"/>
        </w:rPr>
      </w:pPr>
      <w:r w:rsidRPr="0068236B">
        <w:rPr>
          <w:rFonts w:ascii="Tahoma" w:hAnsi="Tahoma" w:cs="Tahoma"/>
          <w:sz w:val="20"/>
          <w:szCs w:val="22"/>
        </w:rPr>
        <w:lastRenderedPageBreak/>
        <w:t>Some of these species were excluded from further analysis on the basis of the following criteria:</w:t>
      </w:r>
    </w:p>
    <w:p w14:paraId="28DB6482" w14:textId="77777777" w:rsidR="00742EBE" w:rsidRPr="0068236B" w:rsidRDefault="00742EBE" w:rsidP="00D24CEF">
      <w:pPr>
        <w:pStyle w:val="Default"/>
        <w:numPr>
          <w:ilvl w:val="0"/>
          <w:numId w:val="97"/>
        </w:numPr>
        <w:rPr>
          <w:rFonts w:ascii="Tahoma" w:hAnsi="Tahoma" w:cs="Tahoma"/>
          <w:sz w:val="20"/>
          <w:szCs w:val="22"/>
        </w:rPr>
      </w:pPr>
      <w:r w:rsidRPr="0068236B">
        <w:rPr>
          <w:rFonts w:ascii="Tahoma" w:hAnsi="Tahoma" w:cs="Tahoma"/>
          <w:sz w:val="20"/>
          <w:szCs w:val="22"/>
        </w:rPr>
        <w:t>There are few records and they do not use the area regularly (according to the conducted field research).</w:t>
      </w:r>
    </w:p>
    <w:p w14:paraId="03AB919E" w14:textId="77777777" w:rsidR="00742EBE" w:rsidRPr="0068236B" w:rsidRDefault="00742EBE" w:rsidP="00D24CEF">
      <w:pPr>
        <w:pStyle w:val="Default"/>
        <w:numPr>
          <w:ilvl w:val="0"/>
          <w:numId w:val="97"/>
        </w:numPr>
        <w:rPr>
          <w:rFonts w:ascii="Tahoma" w:hAnsi="Tahoma" w:cs="Tahoma"/>
          <w:sz w:val="20"/>
          <w:szCs w:val="22"/>
        </w:rPr>
      </w:pPr>
      <w:r w:rsidRPr="0068236B">
        <w:rPr>
          <w:rFonts w:ascii="Tahoma" w:hAnsi="Tahoma" w:cs="Tahoma"/>
          <w:sz w:val="20"/>
          <w:szCs w:val="22"/>
        </w:rPr>
        <w:t>They were recorded far away from the OHL, all of them outside the 2x500 m and even indirect impact cannot be expected</w:t>
      </w:r>
    </w:p>
    <w:p w14:paraId="67FE0B53" w14:textId="77777777" w:rsidR="00742EBE" w:rsidRPr="0068236B" w:rsidRDefault="00742EBE" w:rsidP="00D24CEF">
      <w:pPr>
        <w:pStyle w:val="Default"/>
        <w:numPr>
          <w:ilvl w:val="0"/>
          <w:numId w:val="97"/>
        </w:numPr>
        <w:rPr>
          <w:rFonts w:ascii="Tahoma" w:hAnsi="Tahoma" w:cs="Tahoma"/>
          <w:sz w:val="20"/>
          <w:szCs w:val="22"/>
        </w:rPr>
      </w:pPr>
      <w:r w:rsidRPr="0068236B">
        <w:rPr>
          <w:rFonts w:ascii="Tahoma" w:hAnsi="Tahoma" w:cs="Tahoma"/>
          <w:sz w:val="20"/>
          <w:szCs w:val="22"/>
        </w:rPr>
        <w:t>All of the bird species qualify for PBF and not CH. None of these bird species are resident for the area (they are wintering, migratory or migratory breeders).</w:t>
      </w:r>
    </w:p>
    <w:p w14:paraId="18056072" w14:textId="173A6A77" w:rsidR="00742EBE" w:rsidRPr="0068236B" w:rsidRDefault="00742EBE" w:rsidP="00D24CEF">
      <w:pPr>
        <w:pStyle w:val="Default"/>
        <w:numPr>
          <w:ilvl w:val="0"/>
          <w:numId w:val="97"/>
        </w:numPr>
        <w:rPr>
          <w:rFonts w:ascii="Tahoma" w:hAnsi="Tahoma" w:cs="Tahoma"/>
          <w:sz w:val="20"/>
          <w:szCs w:val="22"/>
        </w:rPr>
      </w:pPr>
      <w:r w:rsidRPr="0068236B">
        <w:rPr>
          <w:rFonts w:ascii="Tahoma" w:hAnsi="Tahoma" w:cs="Tahoma"/>
          <w:sz w:val="20"/>
          <w:szCs w:val="22"/>
        </w:rPr>
        <w:t>Specific comments regarding easc</w:t>
      </w:r>
      <w:r w:rsidR="005D2480" w:rsidRPr="0068236B">
        <w:rPr>
          <w:rFonts w:ascii="Tahoma" w:hAnsi="Tahoma" w:cs="Tahoma"/>
          <w:sz w:val="20"/>
          <w:szCs w:val="22"/>
        </w:rPr>
        <w:t>h species are presented in the T</w:t>
      </w:r>
      <w:r w:rsidRPr="0068236B">
        <w:rPr>
          <w:rFonts w:ascii="Tahoma" w:hAnsi="Tahoma" w:cs="Tahoma"/>
          <w:sz w:val="20"/>
          <w:szCs w:val="22"/>
        </w:rPr>
        <w:t xml:space="preserve">able below. </w:t>
      </w:r>
    </w:p>
    <w:p w14:paraId="2151C178" w14:textId="77777777" w:rsidR="00742EBE" w:rsidRPr="0068236B" w:rsidRDefault="00742EBE" w:rsidP="00742EBE">
      <w:pPr>
        <w:pStyle w:val="Default"/>
        <w:rPr>
          <w:rFonts w:ascii="Tahoma" w:hAnsi="Tahoma" w:cs="Tahoma"/>
          <w:sz w:val="20"/>
          <w:szCs w:val="22"/>
        </w:rPr>
      </w:pPr>
    </w:p>
    <w:tbl>
      <w:tblPr>
        <w:tblStyle w:val="Kokan"/>
        <w:tblW w:w="9792" w:type="dxa"/>
        <w:tblCellMar>
          <w:left w:w="57" w:type="dxa"/>
          <w:right w:w="57" w:type="dxa"/>
        </w:tblCellMar>
        <w:tblLook w:val="04A0" w:firstRow="1" w:lastRow="0" w:firstColumn="1" w:lastColumn="0" w:noHBand="0" w:noVBand="1"/>
      </w:tblPr>
      <w:tblGrid>
        <w:gridCol w:w="1785"/>
        <w:gridCol w:w="531"/>
        <w:gridCol w:w="1114"/>
        <w:gridCol w:w="948"/>
        <w:gridCol w:w="926"/>
        <w:gridCol w:w="3513"/>
        <w:gridCol w:w="326"/>
        <w:gridCol w:w="329"/>
        <w:gridCol w:w="314"/>
        <w:gridCol w:w="6"/>
      </w:tblGrid>
      <w:tr w:rsidR="005D2480" w:rsidRPr="00744C45" w14:paraId="11AF2804" w14:textId="77777777" w:rsidTr="005D2480">
        <w:trPr>
          <w:cnfStyle w:val="100000000000" w:firstRow="1" w:lastRow="0" w:firstColumn="0" w:lastColumn="0" w:oddVBand="0" w:evenVBand="0" w:oddHBand="0" w:evenHBand="0" w:firstRowFirstColumn="0" w:firstRowLastColumn="0" w:lastRowFirstColumn="0" w:lastRowLastColumn="0"/>
          <w:trHeight w:val="677"/>
          <w:tblHeader/>
        </w:trPr>
        <w:tc>
          <w:tcPr>
            <w:tcW w:w="1785" w:type="dxa"/>
            <w:vMerge w:val="restart"/>
            <w:tcBorders>
              <w:top w:val="double" w:sz="4" w:space="0" w:color="auto"/>
              <w:bottom w:val="double" w:sz="4" w:space="0" w:color="auto"/>
              <w:right w:val="double" w:sz="4" w:space="0" w:color="auto"/>
            </w:tcBorders>
            <w:shd w:val="clear" w:color="auto" w:fill="B4C6E7" w:themeFill="accent1" w:themeFillTint="66"/>
            <w:noWrap/>
            <w:tcMar>
              <w:left w:w="28" w:type="dxa"/>
              <w:right w:w="28" w:type="dxa"/>
            </w:tcMar>
            <w:hideMark/>
          </w:tcPr>
          <w:p w14:paraId="5877DA14" w14:textId="77777777" w:rsidR="00742EBE" w:rsidRPr="00744C45" w:rsidRDefault="00742EBE" w:rsidP="00742EBE">
            <w:pPr>
              <w:spacing w:before="0" w:after="0" w:line="240" w:lineRule="auto"/>
              <w:jc w:val="center"/>
              <w:rPr>
                <w:rFonts w:cs="Tahoma"/>
                <w:bCs/>
                <w:color w:val="auto"/>
                <w:sz w:val="18"/>
                <w:szCs w:val="18"/>
                <w:lang w:eastAsia="mk-MK"/>
              </w:rPr>
            </w:pPr>
            <w:r w:rsidRPr="00744C45">
              <w:rPr>
                <w:rFonts w:cs="Tahoma"/>
                <w:bCs/>
                <w:color w:val="auto"/>
                <w:sz w:val="18"/>
                <w:szCs w:val="18"/>
                <w:lang w:eastAsia="mk-MK"/>
              </w:rPr>
              <w:t>Species</w:t>
            </w:r>
          </w:p>
        </w:tc>
        <w:tc>
          <w:tcPr>
            <w:tcW w:w="531" w:type="dxa"/>
            <w:vMerge w:val="restart"/>
            <w:tcBorders>
              <w:top w:val="double" w:sz="4" w:space="0" w:color="auto"/>
              <w:left w:val="double" w:sz="4" w:space="0" w:color="auto"/>
              <w:bottom w:val="double" w:sz="4" w:space="0" w:color="auto"/>
              <w:right w:val="double" w:sz="4" w:space="0" w:color="auto"/>
            </w:tcBorders>
            <w:shd w:val="clear" w:color="auto" w:fill="B4C6E7" w:themeFill="accent1" w:themeFillTint="66"/>
            <w:textDirection w:val="btLr"/>
          </w:tcPr>
          <w:p w14:paraId="08F62808" w14:textId="77777777" w:rsidR="00742EBE" w:rsidRPr="00744C45" w:rsidRDefault="00742EBE" w:rsidP="00742EBE">
            <w:pPr>
              <w:spacing w:before="0" w:after="0" w:line="240" w:lineRule="auto"/>
              <w:ind w:left="113" w:right="113"/>
              <w:jc w:val="center"/>
              <w:rPr>
                <w:rFonts w:cs="Tahoma"/>
                <w:color w:val="auto"/>
                <w:sz w:val="18"/>
                <w:szCs w:val="18"/>
              </w:rPr>
            </w:pPr>
            <w:r w:rsidRPr="00744C45">
              <w:rPr>
                <w:rFonts w:cs="Tahoma"/>
                <w:color w:val="auto"/>
                <w:sz w:val="18"/>
                <w:szCs w:val="18"/>
              </w:rPr>
              <w:t>Biodiversity fe</w:t>
            </w:r>
            <w:r w:rsidRPr="00744C45">
              <w:rPr>
                <w:rFonts w:cs="Tahoma"/>
                <w:color w:val="auto"/>
                <w:sz w:val="18"/>
                <w:szCs w:val="18"/>
              </w:rPr>
              <w:t>a</w:t>
            </w:r>
            <w:r w:rsidRPr="00744C45">
              <w:rPr>
                <w:rFonts w:cs="Tahoma"/>
                <w:color w:val="auto"/>
                <w:sz w:val="18"/>
                <w:szCs w:val="18"/>
              </w:rPr>
              <w:t>ture</w:t>
            </w:r>
          </w:p>
        </w:tc>
        <w:tc>
          <w:tcPr>
            <w:tcW w:w="1114" w:type="dxa"/>
            <w:vMerge w:val="restart"/>
            <w:tcBorders>
              <w:top w:val="double" w:sz="4" w:space="0" w:color="auto"/>
              <w:left w:val="double" w:sz="4" w:space="0" w:color="auto"/>
              <w:bottom w:val="double" w:sz="4" w:space="0" w:color="auto"/>
              <w:right w:val="double" w:sz="4" w:space="0" w:color="auto"/>
            </w:tcBorders>
            <w:shd w:val="clear" w:color="auto" w:fill="B4C6E7" w:themeFill="accent1" w:themeFillTint="66"/>
            <w:textDirection w:val="btLr"/>
          </w:tcPr>
          <w:p w14:paraId="666A6A8F" w14:textId="77777777" w:rsidR="00742EBE" w:rsidRPr="00744C45" w:rsidRDefault="00742EBE" w:rsidP="00742EBE">
            <w:pPr>
              <w:spacing w:before="0" w:after="0" w:line="240" w:lineRule="auto"/>
              <w:ind w:left="113" w:right="113"/>
              <w:jc w:val="center"/>
              <w:rPr>
                <w:rFonts w:cs="Tahoma"/>
                <w:color w:val="auto"/>
                <w:sz w:val="18"/>
                <w:szCs w:val="18"/>
              </w:rPr>
            </w:pPr>
            <w:r w:rsidRPr="00744C45">
              <w:rPr>
                <w:rFonts w:cs="Tahoma"/>
                <w:color w:val="auto"/>
                <w:sz w:val="18"/>
                <w:szCs w:val="18"/>
              </w:rPr>
              <w:t>PBF/CH rationale</w:t>
            </w:r>
          </w:p>
        </w:tc>
        <w:tc>
          <w:tcPr>
            <w:tcW w:w="948" w:type="dxa"/>
            <w:vMerge w:val="restart"/>
            <w:tcBorders>
              <w:top w:val="double" w:sz="4" w:space="0" w:color="auto"/>
              <w:left w:val="double" w:sz="4" w:space="0" w:color="auto"/>
              <w:bottom w:val="double" w:sz="4" w:space="0" w:color="auto"/>
              <w:right w:val="double" w:sz="4" w:space="0" w:color="auto"/>
            </w:tcBorders>
            <w:shd w:val="clear" w:color="auto" w:fill="B4C6E7" w:themeFill="accent1" w:themeFillTint="66"/>
            <w:textDirection w:val="btLr"/>
          </w:tcPr>
          <w:p w14:paraId="1B86DDDF" w14:textId="77777777" w:rsidR="00742EBE" w:rsidRPr="00744C45" w:rsidRDefault="00742EBE" w:rsidP="00742EBE">
            <w:pPr>
              <w:spacing w:before="0" w:after="0" w:line="240" w:lineRule="auto"/>
              <w:ind w:left="113" w:right="113"/>
              <w:jc w:val="center"/>
              <w:rPr>
                <w:rFonts w:cs="Tahoma"/>
                <w:color w:val="auto"/>
                <w:sz w:val="18"/>
                <w:szCs w:val="18"/>
              </w:rPr>
            </w:pPr>
            <w:r w:rsidRPr="00744C45">
              <w:rPr>
                <w:rFonts w:cs="Tahoma"/>
                <w:color w:val="auto"/>
                <w:sz w:val="18"/>
                <w:szCs w:val="18"/>
              </w:rPr>
              <w:t>Status in the a</w:t>
            </w:r>
            <w:r w:rsidRPr="00744C45">
              <w:rPr>
                <w:rFonts w:cs="Tahoma"/>
                <w:color w:val="auto"/>
                <w:sz w:val="18"/>
                <w:szCs w:val="18"/>
              </w:rPr>
              <w:t>r</w:t>
            </w:r>
            <w:r w:rsidRPr="00744C45">
              <w:rPr>
                <w:rFonts w:cs="Tahoma"/>
                <w:color w:val="auto"/>
                <w:sz w:val="18"/>
                <w:szCs w:val="18"/>
              </w:rPr>
              <w:t>ea of interest</w:t>
            </w:r>
          </w:p>
        </w:tc>
        <w:tc>
          <w:tcPr>
            <w:tcW w:w="926" w:type="dxa"/>
            <w:vMerge w:val="restart"/>
            <w:tcBorders>
              <w:top w:val="double" w:sz="4" w:space="0" w:color="auto"/>
              <w:left w:val="double" w:sz="4" w:space="0" w:color="auto"/>
              <w:bottom w:val="double" w:sz="4" w:space="0" w:color="auto"/>
              <w:right w:val="double" w:sz="4" w:space="0" w:color="auto"/>
            </w:tcBorders>
            <w:shd w:val="clear" w:color="auto" w:fill="B4C6E7" w:themeFill="accent1" w:themeFillTint="66"/>
            <w:textDirection w:val="btLr"/>
          </w:tcPr>
          <w:p w14:paraId="1FFA7966" w14:textId="77777777" w:rsidR="00742EBE" w:rsidRPr="00744C45" w:rsidRDefault="00742EBE" w:rsidP="00742EBE">
            <w:pPr>
              <w:spacing w:before="0" w:after="0" w:line="240" w:lineRule="auto"/>
              <w:ind w:left="113" w:right="113"/>
              <w:jc w:val="center"/>
              <w:rPr>
                <w:rFonts w:cs="Tahoma"/>
                <w:color w:val="auto"/>
                <w:sz w:val="18"/>
                <w:szCs w:val="18"/>
              </w:rPr>
            </w:pPr>
            <w:r w:rsidRPr="00744C45">
              <w:rPr>
                <w:rFonts w:cs="Tahoma"/>
                <w:color w:val="auto"/>
                <w:sz w:val="18"/>
                <w:szCs w:val="18"/>
              </w:rPr>
              <w:t>Expected i</w:t>
            </w:r>
            <w:r w:rsidRPr="00744C45">
              <w:rPr>
                <w:rFonts w:cs="Tahoma"/>
                <w:color w:val="auto"/>
                <w:sz w:val="18"/>
                <w:szCs w:val="18"/>
              </w:rPr>
              <w:t>m</w:t>
            </w:r>
            <w:r w:rsidRPr="00744C45">
              <w:rPr>
                <w:rFonts w:cs="Tahoma"/>
                <w:color w:val="auto"/>
                <w:sz w:val="18"/>
                <w:szCs w:val="18"/>
              </w:rPr>
              <w:t>pacts</w:t>
            </w:r>
          </w:p>
        </w:tc>
        <w:tc>
          <w:tcPr>
            <w:tcW w:w="3513" w:type="dxa"/>
            <w:vMerge w:val="restart"/>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670FF92C" w14:textId="77777777" w:rsidR="00742EBE" w:rsidRPr="00744C45" w:rsidRDefault="00742EBE" w:rsidP="00742EBE">
            <w:pPr>
              <w:spacing w:before="0" w:after="0" w:line="240" w:lineRule="auto"/>
              <w:jc w:val="center"/>
              <w:rPr>
                <w:rFonts w:cs="Tahoma"/>
                <w:color w:val="auto"/>
                <w:sz w:val="18"/>
                <w:szCs w:val="18"/>
              </w:rPr>
            </w:pPr>
            <w:r w:rsidRPr="00744C45">
              <w:rPr>
                <w:rFonts w:cs="Tahoma"/>
                <w:color w:val="auto"/>
                <w:sz w:val="18"/>
                <w:szCs w:val="18"/>
              </w:rPr>
              <w:t>Comment</w:t>
            </w:r>
          </w:p>
        </w:tc>
        <w:tc>
          <w:tcPr>
            <w:tcW w:w="975" w:type="dxa"/>
            <w:gridSpan w:val="4"/>
            <w:tcBorders>
              <w:top w:val="double" w:sz="4" w:space="0" w:color="auto"/>
              <w:left w:val="double" w:sz="4" w:space="0" w:color="auto"/>
              <w:bottom w:val="double" w:sz="4" w:space="0" w:color="auto"/>
            </w:tcBorders>
            <w:shd w:val="clear" w:color="auto" w:fill="B4C6E7" w:themeFill="accent1" w:themeFillTint="66"/>
          </w:tcPr>
          <w:p w14:paraId="6AD6F2E2" w14:textId="77777777" w:rsidR="00742EBE" w:rsidRPr="00744C45" w:rsidRDefault="00742EBE" w:rsidP="00742EBE">
            <w:pPr>
              <w:spacing w:before="0" w:after="0" w:line="240" w:lineRule="auto"/>
              <w:jc w:val="center"/>
              <w:rPr>
                <w:rFonts w:cs="Tahoma"/>
                <w:color w:val="auto"/>
                <w:sz w:val="18"/>
                <w:szCs w:val="18"/>
              </w:rPr>
            </w:pPr>
            <w:r w:rsidRPr="00744C45">
              <w:rPr>
                <w:rFonts w:cs="Tahoma"/>
                <w:color w:val="auto"/>
                <w:sz w:val="18"/>
                <w:szCs w:val="18"/>
              </w:rPr>
              <w:t>Project</w:t>
            </w:r>
          </w:p>
          <w:p w14:paraId="5330C980" w14:textId="77777777" w:rsidR="00742EBE" w:rsidRPr="00744C45" w:rsidRDefault="00742EBE" w:rsidP="00742EBE">
            <w:pPr>
              <w:spacing w:before="0" w:after="0" w:line="240" w:lineRule="auto"/>
              <w:jc w:val="center"/>
              <w:rPr>
                <w:rFonts w:cs="Tahoma"/>
                <w:color w:val="auto"/>
                <w:sz w:val="18"/>
                <w:szCs w:val="18"/>
              </w:rPr>
            </w:pPr>
            <w:r w:rsidRPr="00744C45">
              <w:rPr>
                <w:rFonts w:cs="Tahoma"/>
                <w:color w:val="auto"/>
                <w:sz w:val="18"/>
                <w:szCs w:val="18"/>
              </w:rPr>
              <w:t>element</w:t>
            </w:r>
          </w:p>
        </w:tc>
      </w:tr>
      <w:tr w:rsidR="00A32FBA" w:rsidRPr="00744C45" w14:paraId="67291EB4" w14:textId="77777777" w:rsidTr="005D2480">
        <w:trPr>
          <w:gridAfter w:val="1"/>
          <w:cnfStyle w:val="100000000000" w:firstRow="1" w:lastRow="0" w:firstColumn="0" w:lastColumn="0" w:oddVBand="0" w:evenVBand="0" w:oddHBand="0" w:evenHBand="0" w:firstRowFirstColumn="0" w:firstRowLastColumn="0" w:lastRowFirstColumn="0" w:lastRowLastColumn="0"/>
          <w:wAfter w:w="6" w:type="dxa"/>
          <w:trHeight w:val="895"/>
          <w:tblHeader/>
        </w:trPr>
        <w:tc>
          <w:tcPr>
            <w:tcW w:w="1785" w:type="dxa"/>
            <w:vMerge/>
            <w:tcBorders>
              <w:top w:val="double" w:sz="4" w:space="0" w:color="auto"/>
              <w:bottom w:val="double" w:sz="4" w:space="0" w:color="auto"/>
              <w:right w:val="double" w:sz="4" w:space="0" w:color="auto"/>
            </w:tcBorders>
            <w:shd w:val="clear" w:color="auto" w:fill="D5DCE4" w:themeFill="text2" w:themeFillTint="33"/>
            <w:noWrap/>
            <w:tcMar>
              <w:left w:w="28" w:type="dxa"/>
              <w:right w:w="28" w:type="dxa"/>
            </w:tcMar>
            <w:hideMark/>
          </w:tcPr>
          <w:p w14:paraId="079EE63E" w14:textId="77777777" w:rsidR="00742EBE" w:rsidRPr="00744C45" w:rsidRDefault="00742EBE" w:rsidP="00742EBE">
            <w:pPr>
              <w:spacing w:before="0" w:after="0" w:line="240" w:lineRule="auto"/>
              <w:jc w:val="center"/>
              <w:rPr>
                <w:rFonts w:cs="Tahoma"/>
                <w:bCs/>
                <w:color w:val="auto"/>
                <w:sz w:val="18"/>
                <w:szCs w:val="18"/>
                <w:lang w:eastAsia="mk-MK"/>
              </w:rPr>
            </w:pPr>
          </w:p>
        </w:tc>
        <w:tc>
          <w:tcPr>
            <w:tcW w:w="531" w:type="dxa"/>
            <w:vMerge/>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75F38241" w14:textId="77777777" w:rsidR="00742EBE" w:rsidRPr="00744C45" w:rsidRDefault="00742EBE" w:rsidP="00742EBE">
            <w:pPr>
              <w:keepLines/>
              <w:spacing w:before="0" w:after="0" w:line="240" w:lineRule="auto"/>
              <w:jc w:val="center"/>
              <w:rPr>
                <w:rFonts w:cs="Tahoma"/>
                <w:color w:val="auto"/>
                <w:sz w:val="18"/>
                <w:szCs w:val="18"/>
              </w:rPr>
            </w:pPr>
          </w:p>
        </w:tc>
        <w:tc>
          <w:tcPr>
            <w:tcW w:w="1114" w:type="dxa"/>
            <w:vMerge/>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19D8FE7D" w14:textId="77777777" w:rsidR="00742EBE" w:rsidRPr="00744C45" w:rsidRDefault="00742EBE" w:rsidP="00742EBE">
            <w:pPr>
              <w:keepLines/>
              <w:spacing w:before="0" w:after="0" w:line="240" w:lineRule="auto"/>
              <w:jc w:val="center"/>
              <w:rPr>
                <w:rFonts w:cs="Tahoma"/>
                <w:color w:val="auto"/>
                <w:sz w:val="18"/>
                <w:szCs w:val="18"/>
              </w:rPr>
            </w:pPr>
          </w:p>
        </w:tc>
        <w:tc>
          <w:tcPr>
            <w:tcW w:w="948" w:type="dxa"/>
            <w:vMerge/>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34A7B317" w14:textId="77777777" w:rsidR="00742EBE" w:rsidRPr="00744C45" w:rsidRDefault="00742EBE" w:rsidP="00742EBE">
            <w:pPr>
              <w:keepLines/>
              <w:spacing w:before="0" w:after="0" w:line="240" w:lineRule="auto"/>
              <w:jc w:val="center"/>
              <w:rPr>
                <w:rFonts w:cs="Tahoma"/>
                <w:color w:val="auto"/>
                <w:sz w:val="18"/>
                <w:szCs w:val="18"/>
              </w:rPr>
            </w:pPr>
          </w:p>
        </w:tc>
        <w:tc>
          <w:tcPr>
            <w:tcW w:w="926" w:type="dxa"/>
            <w:vMerge/>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208E3D3E" w14:textId="77777777" w:rsidR="00742EBE" w:rsidRPr="00744C45" w:rsidRDefault="00742EBE" w:rsidP="00742EBE">
            <w:pPr>
              <w:keepLines/>
              <w:spacing w:before="0" w:after="0" w:line="240" w:lineRule="auto"/>
              <w:jc w:val="center"/>
              <w:rPr>
                <w:rFonts w:cs="Tahoma"/>
                <w:color w:val="auto"/>
                <w:sz w:val="18"/>
                <w:szCs w:val="18"/>
              </w:rPr>
            </w:pPr>
          </w:p>
        </w:tc>
        <w:tc>
          <w:tcPr>
            <w:tcW w:w="3513" w:type="dxa"/>
            <w:vMerge/>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0BD03CBB" w14:textId="77777777" w:rsidR="00742EBE" w:rsidRPr="00744C45" w:rsidRDefault="00742EBE" w:rsidP="00742EBE">
            <w:pPr>
              <w:keepLines/>
              <w:spacing w:before="0" w:after="0" w:line="240" w:lineRule="auto"/>
              <w:jc w:val="center"/>
              <w:rPr>
                <w:rFonts w:cs="Tahoma"/>
                <w:color w:val="auto"/>
                <w:sz w:val="18"/>
                <w:szCs w:val="18"/>
              </w:rPr>
            </w:pPr>
          </w:p>
        </w:tc>
        <w:tc>
          <w:tcPr>
            <w:tcW w:w="326" w:type="dxa"/>
            <w:tcBorders>
              <w:top w:val="double" w:sz="4" w:space="0" w:color="auto"/>
              <w:left w:val="double" w:sz="4" w:space="0" w:color="auto"/>
              <w:bottom w:val="double" w:sz="4" w:space="0" w:color="auto"/>
              <w:right w:val="double" w:sz="4" w:space="0" w:color="auto"/>
            </w:tcBorders>
            <w:shd w:val="clear" w:color="auto" w:fill="B4C6E7" w:themeFill="accent1" w:themeFillTint="66"/>
            <w:tcMar>
              <w:left w:w="28" w:type="dxa"/>
              <w:right w:w="28" w:type="dxa"/>
            </w:tcMar>
          </w:tcPr>
          <w:p w14:paraId="4EB6972B" w14:textId="77777777" w:rsidR="00742EBE" w:rsidRPr="00744C45" w:rsidRDefault="00742EBE" w:rsidP="00742EBE">
            <w:pPr>
              <w:keepLines/>
              <w:spacing w:before="0" w:after="0" w:line="240" w:lineRule="auto"/>
              <w:jc w:val="center"/>
              <w:rPr>
                <w:rFonts w:cs="Tahoma"/>
                <w:color w:val="auto"/>
                <w:sz w:val="18"/>
                <w:szCs w:val="18"/>
              </w:rPr>
            </w:pPr>
            <w:r w:rsidRPr="00744C45">
              <w:rPr>
                <w:rFonts w:cs="Tahoma"/>
                <w:color w:val="auto"/>
                <w:sz w:val="18"/>
                <w:szCs w:val="18"/>
              </w:rPr>
              <w:t>1a</w:t>
            </w:r>
          </w:p>
        </w:tc>
        <w:tc>
          <w:tcPr>
            <w:tcW w:w="329" w:type="dxa"/>
            <w:tcBorders>
              <w:top w:val="double" w:sz="4" w:space="0" w:color="auto"/>
              <w:left w:val="double" w:sz="4" w:space="0" w:color="auto"/>
              <w:bottom w:val="double" w:sz="4" w:space="0" w:color="auto"/>
              <w:right w:val="double" w:sz="4" w:space="0" w:color="auto"/>
            </w:tcBorders>
            <w:shd w:val="clear" w:color="auto" w:fill="B4C6E7" w:themeFill="accent1" w:themeFillTint="66"/>
            <w:tcMar>
              <w:left w:w="28" w:type="dxa"/>
              <w:right w:w="28" w:type="dxa"/>
            </w:tcMar>
          </w:tcPr>
          <w:p w14:paraId="4DD2202A" w14:textId="77777777" w:rsidR="00742EBE" w:rsidRPr="00744C45" w:rsidRDefault="00742EBE" w:rsidP="00742EBE">
            <w:pPr>
              <w:keepLines/>
              <w:spacing w:before="0" w:after="0" w:line="240" w:lineRule="auto"/>
              <w:jc w:val="center"/>
              <w:rPr>
                <w:rFonts w:cs="Tahoma"/>
                <w:color w:val="auto"/>
                <w:sz w:val="18"/>
                <w:szCs w:val="18"/>
              </w:rPr>
            </w:pPr>
            <w:r w:rsidRPr="00744C45">
              <w:rPr>
                <w:rFonts w:cs="Tahoma"/>
                <w:color w:val="auto"/>
                <w:sz w:val="18"/>
                <w:szCs w:val="18"/>
              </w:rPr>
              <w:t>1b</w:t>
            </w:r>
          </w:p>
        </w:tc>
        <w:tc>
          <w:tcPr>
            <w:tcW w:w="314" w:type="dxa"/>
            <w:tcBorders>
              <w:top w:val="double" w:sz="4" w:space="0" w:color="auto"/>
              <w:left w:val="double" w:sz="4" w:space="0" w:color="auto"/>
              <w:bottom w:val="double" w:sz="4" w:space="0" w:color="auto"/>
              <w:right w:val="double" w:sz="4" w:space="0" w:color="auto"/>
            </w:tcBorders>
            <w:shd w:val="clear" w:color="auto" w:fill="B4C6E7" w:themeFill="accent1" w:themeFillTint="66"/>
            <w:tcMar>
              <w:left w:w="28" w:type="dxa"/>
              <w:right w:w="28" w:type="dxa"/>
            </w:tcMar>
          </w:tcPr>
          <w:p w14:paraId="1128D968" w14:textId="77777777" w:rsidR="00742EBE" w:rsidRPr="00744C45" w:rsidRDefault="00742EBE" w:rsidP="00742EBE">
            <w:pPr>
              <w:keepLines/>
              <w:spacing w:before="0" w:after="0" w:line="240" w:lineRule="auto"/>
              <w:jc w:val="center"/>
              <w:rPr>
                <w:rFonts w:cs="Tahoma"/>
                <w:color w:val="auto"/>
                <w:sz w:val="18"/>
                <w:szCs w:val="18"/>
              </w:rPr>
            </w:pPr>
            <w:r w:rsidRPr="00744C45">
              <w:rPr>
                <w:rFonts w:cs="Tahoma"/>
                <w:color w:val="auto"/>
                <w:sz w:val="18"/>
                <w:szCs w:val="18"/>
              </w:rPr>
              <w:t>1c</w:t>
            </w:r>
          </w:p>
        </w:tc>
      </w:tr>
      <w:tr w:rsidR="005D2480" w:rsidRPr="0068236B" w14:paraId="5522CAAF" w14:textId="77777777" w:rsidTr="005D2480">
        <w:trPr>
          <w:gridAfter w:val="1"/>
          <w:wAfter w:w="6" w:type="dxa"/>
          <w:trHeight w:val="227"/>
        </w:trPr>
        <w:tc>
          <w:tcPr>
            <w:tcW w:w="1785" w:type="dxa"/>
            <w:tcBorders>
              <w:top w:val="single" w:sz="8" w:space="0" w:color="auto"/>
              <w:bottom w:val="single" w:sz="8" w:space="0" w:color="auto"/>
            </w:tcBorders>
            <w:noWrap/>
            <w:tcMar>
              <w:left w:w="28" w:type="dxa"/>
              <w:right w:w="28" w:type="dxa"/>
            </w:tcMar>
            <w:hideMark/>
          </w:tcPr>
          <w:p w14:paraId="2F8BDAE0" w14:textId="77777777" w:rsidR="00742EBE" w:rsidRPr="0068236B" w:rsidRDefault="00742EBE" w:rsidP="00742EBE">
            <w:pPr>
              <w:spacing w:before="0" w:after="0" w:line="240" w:lineRule="auto"/>
              <w:rPr>
                <w:rFonts w:cs="Tahoma"/>
                <w:i/>
                <w:iCs/>
                <w:noProof/>
                <w:sz w:val="18"/>
                <w:szCs w:val="18"/>
              </w:rPr>
            </w:pPr>
            <w:r w:rsidRPr="0068236B">
              <w:rPr>
                <w:rFonts w:cs="Tahoma"/>
                <w:i/>
                <w:iCs/>
                <w:noProof/>
                <w:sz w:val="18"/>
                <w:szCs w:val="18"/>
              </w:rPr>
              <w:t>Alcedo atthis</w:t>
            </w:r>
          </w:p>
          <w:p w14:paraId="2358840A" w14:textId="77777777" w:rsidR="00742EBE" w:rsidRPr="0068236B" w:rsidRDefault="00742EBE" w:rsidP="00742EBE">
            <w:pPr>
              <w:spacing w:before="0" w:after="0" w:line="240" w:lineRule="auto"/>
              <w:rPr>
                <w:rFonts w:cs="Tahoma"/>
                <w:iCs/>
                <w:noProof/>
                <w:sz w:val="18"/>
                <w:szCs w:val="18"/>
              </w:rPr>
            </w:pPr>
            <w:r w:rsidRPr="0068236B">
              <w:rPr>
                <w:rFonts w:cs="Tahoma"/>
                <w:i/>
                <w:iCs/>
                <w:noProof/>
                <w:sz w:val="18"/>
                <w:szCs w:val="18"/>
              </w:rPr>
              <w:t>Kingfisher</w:t>
            </w:r>
          </w:p>
        </w:tc>
        <w:tc>
          <w:tcPr>
            <w:tcW w:w="531" w:type="dxa"/>
            <w:tcBorders>
              <w:top w:val="single" w:sz="8" w:space="0" w:color="auto"/>
              <w:bottom w:val="single" w:sz="8" w:space="0" w:color="auto"/>
            </w:tcBorders>
          </w:tcPr>
          <w:p w14:paraId="15CE441C"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PBF</w:t>
            </w:r>
          </w:p>
        </w:tc>
        <w:tc>
          <w:tcPr>
            <w:tcW w:w="1114" w:type="dxa"/>
            <w:tcBorders>
              <w:top w:val="single" w:sz="8" w:space="0" w:color="auto"/>
              <w:bottom w:val="single" w:sz="8" w:space="0" w:color="auto"/>
            </w:tcBorders>
          </w:tcPr>
          <w:p w14:paraId="25179CCC"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ERL: VU</w:t>
            </w:r>
          </w:p>
        </w:tc>
        <w:tc>
          <w:tcPr>
            <w:tcW w:w="948" w:type="dxa"/>
            <w:tcBorders>
              <w:top w:val="single" w:sz="8" w:space="0" w:color="auto"/>
              <w:bottom w:val="single" w:sz="8" w:space="0" w:color="auto"/>
            </w:tcBorders>
          </w:tcPr>
          <w:p w14:paraId="15E7018C"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 xml:space="preserve">Resident </w:t>
            </w:r>
          </w:p>
        </w:tc>
        <w:tc>
          <w:tcPr>
            <w:tcW w:w="926" w:type="dxa"/>
            <w:tcBorders>
              <w:top w:val="single" w:sz="8" w:space="0" w:color="auto"/>
              <w:bottom w:val="single" w:sz="8" w:space="0" w:color="auto"/>
            </w:tcBorders>
          </w:tcPr>
          <w:p w14:paraId="5A331D9E" w14:textId="77777777" w:rsidR="00742EBE" w:rsidRPr="0068236B" w:rsidRDefault="00742EBE" w:rsidP="00742EBE">
            <w:pPr>
              <w:spacing w:before="0" w:after="0" w:line="240" w:lineRule="auto"/>
              <w:jc w:val="left"/>
              <w:rPr>
                <w:rFonts w:cs="Tahoma"/>
                <w:sz w:val="18"/>
                <w:szCs w:val="18"/>
                <w:lang w:val="en-US" w:eastAsia="mk-MK"/>
              </w:rPr>
            </w:pPr>
            <w:r w:rsidRPr="0068236B">
              <w:rPr>
                <w:rFonts w:cs="Tahoma"/>
                <w:sz w:val="18"/>
                <w:szCs w:val="18"/>
                <w:lang w:val="en-US" w:eastAsia="mk-MK"/>
              </w:rPr>
              <w:t>Yes</w:t>
            </w:r>
          </w:p>
        </w:tc>
        <w:tc>
          <w:tcPr>
            <w:tcW w:w="3513" w:type="dxa"/>
            <w:tcBorders>
              <w:top w:val="single" w:sz="8" w:space="0" w:color="auto"/>
              <w:bottom w:val="single" w:sz="8" w:space="0" w:color="auto"/>
            </w:tcBorders>
          </w:tcPr>
          <w:p w14:paraId="7604145B"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lang w:val="en-US" w:eastAsia="mk-MK"/>
              </w:rPr>
              <w:t>A few pairs possibly breed along the Va</w:t>
            </w:r>
            <w:r w:rsidRPr="0068236B">
              <w:rPr>
                <w:rFonts w:cs="Tahoma"/>
                <w:sz w:val="18"/>
                <w:szCs w:val="18"/>
                <w:lang w:val="en-US" w:eastAsia="mk-MK"/>
              </w:rPr>
              <w:t>r</w:t>
            </w:r>
            <w:r w:rsidRPr="0068236B">
              <w:rPr>
                <w:rFonts w:cs="Tahoma"/>
                <w:sz w:val="18"/>
                <w:szCs w:val="18"/>
                <w:lang w:val="en-US" w:eastAsia="mk-MK"/>
              </w:rPr>
              <w:t xml:space="preserve">dar river in Valandovo-Gevgelija region. They nest on the steep banks along the river. </w:t>
            </w:r>
          </w:p>
        </w:tc>
        <w:tc>
          <w:tcPr>
            <w:tcW w:w="326" w:type="dxa"/>
            <w:tcBorders>
              <w:top w:val="single" w:sz="8" w:space="0" w:color="auto"/>
              <w:bottom w:val="single" w:sz="8" w:space="0" w:color="auto"/>
            </w:tcBorders>
            <w:tcMar>
              <w:left w:w="28" w:type="dxa"/>
              <w:right w:w="28" w:type="dxa"/>
            </w:tcMar>
          </w:tcPr>
          <w:p w14:paraId="158DDEB9"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c>
          <w:tcPr>
            <w:tcW w:w="329" w:type="dxa"/>
            <w:tcBorders>
              <w:top w:val="single" w:sz="8" w:space="0" w:color="auto"/>
              <w:bottom w:val="single" w:sz="8" w:space="0" w:color="auto"/>
            </w:tcBorders>
            <w:tcMar>
              <w:left w:w="28" w:type="dxa"/>
              <w:right w:w="28" w:type="dxa"/>
            </w:tcMar>
          </w:tcPr>
          <w:p w14:paraId="7EA615D4"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c>
          <w:tcPr>
            <w:tcW w:w="314" w:type="dxa"/>
            <w:tcBorders>
              <w:top w:val="single" w:sz="8" w:space="0" w:color="auto"/>
              <w:bottom w:val="single" w:sz="8" w:space="0" w:color="auto"/>
            </w:tcBorders>
            <w:tcMar>
              <w:left w:w="28" w:type="dxa"/>
              <w:right w:w="28" w:type="dxa"/>
            </w:tcMar>
          </w:tcPr>
          <w:p w14:paraId="44A04FD0"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r>
      <w:tr w:rsidR="005D2480" w:rsidRPr="0068236B" w14:paraId="1457A012" w14:textId="77777777" w:rsidTr="005D2480">
        <w:trPr>
          <w:gridAfter w:val="1"/>
          <w:wAfter w:w="6" w:type="dxa"/>
          <w:trHeight w:val="227"/>
        </w:trPr>
        <w:tc>
          <w:tcPr>
            <w:tcW w:w="1785" w:type="dxa"/>
            <w:tcBorders>
              <w:top w:val="single" w:sz="8" w:space="0" w:color="auto"/>
              <w:bottom w:val="single" w:sz="8" w:space="0" w:color="auto"/>
            </w:tcBorders>
            <w:noWrap/>
            <w:tcMar>
              <w:left w:w="28" w:type="dxa"/>
              <w:right w:w="28" w:type="dxa"/>
            </w:tcMar>
            <w:hideMark/>
          </w:tcPr>
          <w:p w14:paraId="32C67989" w14:textId="77777777" w:rsidR="00742EBE" w:rsidRPr="0068236B" w:rsidRDefault="00742EBE" w:rsidP="00742EBE">
            <w:pPr>
              <w:spacing w:before="0" w:after="0" w:line="240" w:lineRule="auto"/>
              <w:rPr>
                <w:rFonts w:cs="Tahoma"/>
                <w:i/>
                <w:iCs/>
                <w:noProof/>
                <w:sz w:val="18"/>
                <w:szCs w:val="18"/>
              </w:rPr>
            </w:pPr>
            <w:r w:rsidRPr="0068236B">
              <w:rPr>
                <w:rFonts w:cs="Tahoma"/>
                <w:i/>
                <w:iCs/>
                <w:noProof/>
                <w:sz w:val="18"/>
                <w:szCs w:val="18"/>
              </w:rPr>
              <w:t>Ardea alba</w:t>
            </w:r>
          </w:p>
          <w:p w14:paraId="03314E12" w14:textId="77777777" w:rsidR="00742EBE" w:rsidRPr="0068236B" w:rsidRDefault="00742EBE" w:rsidP="00742EBE">
            <w:pPr>
              <w:spacing w:before="0" w:after="0" w:line="240" w:lineRule="auto"/>
              <w:rPr>
                <w:rFonts w:cs="Tahoma"/>
                <w:i/>
                <w:iCs/>
                <w:noProof/>
                <w:sz w:val="18"/>
                <w:szCs w:val="18"/>
              </w:rPr>
            </w:pPr>
            <w:r w:rsidRPr="0068236B">
              <w:rPr>
                <w:rFonts w:cs="Tahoma"/>
                <w:i/>
                <w:iCs/>
                <w:noProof/>
                <w:sz w:val="18"/>
                <w:szCs w:val="18"/>
              </w:rPr>
              <w:t>Great egrett</w:t>
            </w:r>
          </w:p>
        </w:tc>
        <w:tc>
          <w:tcPr>
            <w:tcW w:w="531" w:type="dxa"/>
            <w:tcBorders>
              <w:top w:val="single" w:sz="8" w:space="0" w:color="auto"/>
              <w:bottom w:val="single" w:sz="8" w:space="0" w:color="auto"/>
            </w:tcBorders>
          </w:tcPr>
          <w:p w14:paraId="158CBF17"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PBF</w:t>
            </w:r>
          </w:p>
        </w:tc>
        <w:tc>
          <w:tcPr>
            <w:tcW w:w="1114" w:type="dxa"/>
            <w:tcBorders>
              <w:top w:val="single" w:sz="8" w:space="0" w:color="auto"/>
              <w:bottom w:val="single" w:sz="8" w:space="0" w:color="auto"/>
            </w:tcBorders>
          </w:tcPr>
          <w:p w14:paraId="538B91D3"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BD: I</w:t>
            </w:r>
          </w:p>
        </w:tc>
        <w:tc>
          <w:tcPr>
            <w:tcW w:w="948" w:type="dxa"/>
            <w:tcBorders>
              <w:top w:val="single" w:sz="8" w:space="0" w:color="auto"/>
              <w:bottom w:val="single" w:sz="8" w:space="0" w:color="auto"/>
            </w:tcBorders>
          </w:tcPr>
          <w:p w14:paraId="2C662C89"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Wintering</w:t>
            </w:r>
          </w:p>
        </w:tc>
        <w:tc>
          <w:tcPr>
            <w:tcW w:w="926" w:type="dxa"/>
            <w:tcBorders>
              <w:top w:val="single" w:sz="8" w:space="0" w:color="auto"/>
              <w:bottom w:val="single" w:sz="8" w:space="0" w:color="auto"/>
            </w:tcBorders>
          </w:tcPr>
          <w:p w14:paraId="66C75849"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No</w:t>
            </w:r>
          </w:p>
        </w:tc>
        <w:tc>
          <w:tcPr>
            <w:tcW w:w="3513" w:type="dxa"/>
            <w:tcBorders>
              <w:top w:val="single" w:sz="8" w:space="0" w:color="auto"/>
              <w:bottom w:val="single" w:sz="8" w:space="0" w:color="auto"/>
            </w:tcBorders>
          </w:tcPr>
          <w:p w14:paraId="0892E488"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There are no known colonies in the area. Only one record near river Vardar, away from the OHL.</w:t>
            </w:r>
          </w:p>
        </w:tc>
        <w:tc>
          <w:tcPr>
            <w:tcW w:w="326" w:type="dxa"/>
            <w:tcBorders>
              <w:top w:val="single" w:sz="8" w:space="0" w:color="auto"/>
              <w:bottom w:val="single" w:sz="8" w:space="0" w:color="auto"/>
            </w:tcBorders>
            <w:tcMar>
              <w:left w:w="28" w:type="dxa"/>
              <w:right w:w="28" w:type="dxa"/>
            </w:tcMar>
          </w:tcPr>
          <w:p w14:paraId="0655DA20" w14:textId="77777777" w:rsidR="00742EBE" w:rsidRPr="0068236B" w:rsidRDefault="00742EBE" w:rsidP="00742EBE">
            <w:pPr>
              <w:spacing w:before="0" w:after="0" w:line="240" w:lineRule="auto"/>
              <w:jc w:val="center"/>
              <w:rPr>
                <w:rFonts w:cs="Tahoma"/>
                <w:sz w:val="18"/>
                <w:szCs w:val="18"/>
              </w:rPr>
            </w:pPr>
          </w:p>
        </w:tc>
        <w:tc>
          <w:tcPr>
            <w:tcW w:w="329" w:type="dxa"/>
            <w:tcBorders>
              <w:top w:val="single" w:sz="8" w:space="0" w:color="auto"/>
              <w:bottom w:val="single" w:sz="8" w:space="0" w:color="auto"/>
            </w:tcBorders>
            <w:tcMar>
              <w:left w:w="28" w:type="dxa"/>
              <w:right w:w="28" w:type="dxa"/>
            </w:tcMar>
          </w:tcPr>
          <w:p w14:paraId="269DB141"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c>
          <w:tcPr>
            <w:tcW w:w="314" w:type="dxa"/>
            <w:tcBorders>
              <w:top w:val="single" w:sz="8" w:space="0" w:color="auto"/>
              <w:bottom w:val="single" w:sz="8" w:space="0" w:color="auto"/>
            </w:tcBorders>
            <w:tcMar>
              <w:left w:w="28" w:type="dxa"/>
              <w:right w:w="28" w:type="dxa"/>
            </w:tcMar>
          </w:tcPr>
          <w:p w14:paraId="0AA5C3DD" w14:textId="77777777" w:rsidR="00742EBE" w:rsidRPr="0068236B" w:rsidRDefault="00742EBE" w:rsidP="00742EBE">
            <w:pPr>
              <w:spacing w:before="0" w:after="0" w:line="240" w:lineRule="auto"/>
              <w:jc w:val="center"/>
              <w:rPr>
                <w:rFonts w:cs="Tahoma"/>
                <w:sz w:val="18"/>
                <w:szCs w:val="18"/>
              </w:rPr>
            </w:pPr>
          </w:p>
        </w:tc>
      </w:tr>
      <w:tr w:rsidR="005D2480" w:rsidRPr="0068236B" w14:paraId="4EB31EBC" w14:textId="77777777" w:rsidTr="005D2480">
        <w:trPr>
          <w:gridAfter w:val="1"/>
          <w:wAfter w:w="6" w:type="dxa"/>
          <w:trHeight w:val="227"/>
        </w:trPr>
        <w:tc>
          <w:tcPr>
            <w:tcW w:w="1785" w:type="dxa"/>
            <w:tcBorders>
              <w:top w:val="single" w:sz="8" w:space="0" w:color="auto"/>
              <w:bottom w:val="single" w:sz="8" w:space="0" w:color="auto"/>
            </w:tcBorders>
            <w:noWrap/>
            <w:tcMar>
              <w:left w:w="28" w:type="dxa"/>
              <w:right w:w="28" w:type="dxa"/>
            </w:tcMar>
            <w:hideMark/>
          </w:tcPr>
          <w:p w14:paraId="00A4A185" w14:textId="77777777" w:rsidR="00742EBE" w:rsidRPr="0068236B" w:rsidRDefault="00742EBE" w:rsidP="00742EBE">
            <w:pPr>
              <w:spacing w:before="0" w:after="0" w:line="240" w:lineRule="auto"/>
              <w:rPr>
                <w:rFonts w:cs="Tahoma"/>
                <w:i/>
                <w:iCs/>
                <w:noProof/>
                <w:sz w:val="18"/>
                <w:szCs w:val="18"/>
              </w:rPr>
            </w:pPr>
            <w:r w:rsidRPr="0068236B">
              <w:rPr>
                <w:rFonts w:cs="Tahoma"/>
                <w:i/>
                <w:iCs/>
                <w:noProof/>
                <w:sz w:val="18"/>
                <w:szCs w:val="18"/>
              </w:rPr>
              <w:t>Egretta garzetta</w:t>
            </w:r>
          </w:p>
        </w:tc>
        <w:tc>
          <w:tcPr>
            <w:tcW w:w="531" w:type="dxa"/>
            <w:tcBorders>
              <w:top w:val="single" w:sz="8" w:space="0" w:color="auto"/>
              <w:bottom w:val="single" w:sz="8" w:space="0" w:color="auto"/>
            </w:tcBorders>
          </w:tcPr>
          <w:p w14:paraId="46D509AA" w14:textId="77777777" w:rsidR="00742EBE" w:rsidRPr="0068236B" w:rsidRDefault="00742EBE" w:rsidP="00742EBE">
            <w:pPr>
              <w:jc w:val="center"/>
              <w:rPr>
                <w:rFonts w:cs="Tahoma"/>
                <w:sz w:val="18"/>
                <w:szCs w:val="18"/>
              </w:rPr>
            </w:pPr>
            <w:r w:rsidRPr="0068236B">
              <w:rPr>
                <w:rFonts w:cs="Tahoma"/>
                <w:sz w:val="18"/>
                <w:szCs w:val="18"/>
              </w:rPr>
              <w:t>PBF</w:t>
            </w:r>
          </w:p>
        </w:tc>
        <w:tc>
          <w:tcPr>
            <w:tcW w:w="1114" w:type="dxa"/>
            <w:tcBorders>
              <w:top w:val="single" w:sz="8" w:space="0" w:color="auto"/>
              <w:bottom w:val="single" w:sz="8" w:space="0" w:color="auto"/>
            </w:tcBorders>
          </w:tcPr>
          <w:p w14:paraId="75E087E3"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BD: I</w:t>
            </w:r>
          </w:p>
        </w:tc>
        <w:tc>
          <w:tcPr>
            <w:tcW w:w="948" w:type="dxa"/>
            <w:tcBorders>
              <w:top w:val="single" w:sz="8" w:space="0" w:color="auto"/>
              <w:bottom w:val="single" w:sz="8" w:space="0" w:color="auto"/>
            </w:tcBorders>
          </w:tcPr>
          <w:p w14:paraId="41C9FF8F" w14:textId="77777777" w:rsidR="00742EBE" w:rsidRPr="0068236B" w:rsidRDefault="00742EBE" w:rsidP="00742EBE">
            <w:pPr>
              <w:rPr>
                <w:rFonts w:cs="Tahoma"/>
                <w:sz w:val="18"/>
                <w:szCs w:val="18"/>
              </w:rPr>
            </w:pPr>
            <w:r w:rsidRPr="0068236B">
              <w:rPr>
                <w:rFonts w:cs="Tahoma"/>
                <w:sz w:val="18"/>
                <w:szCs w:val="18"/>
              </w:rPr>
              <w:t>Migratory</w:t>
            </w:r>
          </w:p>
        </w:tc>
        <w:tc>
          <w:tcPr>
            <w:tcW w:w="926" w:type="dxa"/>
            <w:tcBorders>
              <w:top w:val="single" w:sz="8" w:space="0" w:color="auto"/>
              <w:bottom w:val="single" w:sz="8" w:space="0" w:color="auto"/>
            </w:tcBorders>
          </w:tcPr>
          <w:p w14:paraId="7D5DE098"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No</w:t>
            </w:r>
          </w:p>
        </w:tc>
        <w:tc>
          <w:tcPr>
            <w:tcW w:w="3513" w:type="dxa"/>
            <w:tcBorders>
              <w:top w:val="single" w:sz="8" w:space="0" w:color="auto"/>
              <w:bottom w:val="single" w:sz="8" w:space="0" w:color="auto"/>
            </w:tcBorders>
          </w:tcPr>
          <w:p w14:paraId="157E2AA5"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The species is not breeding in the area. Only one record near river Vardar, away from the OHL.</w:t>
            </w:r>
          </w:p>
        </w:tc>
        <w:tc>
          <w:tcPr>
            <w:tcW w:w="326" w:type="dxa"/>
            <w:tcBorders>
              <w:top w:val="single" w:sz="8" w:space="0" w:color="auto"/>
              <w:bottom w:val="single" w:sz="8" w:space="0" w:color="auto"/>
            </w:tcBorders>
            <w:tcMar>
              <w:left w:w="28" w:type="dxa"/>
              <w:right w:w="28" w:type="dxa"/>
            </w:tcMar>
          </w:tcPr>
          <w:p w14:paraId="2436C659" w14:textId="77777777" w:rsidR="00742EBE" w:rsidRPr="0068236B" w:rsidRDefault="00742EBE" w:rsidP="00742EBE">
            <w:pPr>
              <w:spacing w:before="0" w:after="0" w:line="240" w:lineRule="auto"/>
              <w:jc w:val="center"/>
              <w:rPr>
                <w:rFonts w:cs="Tahoma"/>
                <w:sz w:val="18"/>
                <w:szCs w:val="18"/>
              </w:rPr>
            </w:pPr>
          </w:p>
        </w:tc>
        <w:tc>
          <w:tcPr>
            <w:tcW w:w="329" w:type="dxa"/>
            <w:tcBorders>
              <w:top w:val="single" w:sz="8" w:space="0" w:color="auto"/>
              <w:bottom w:val="single" w:sz="8" w:space="0" w:color="auto"/>
            </w:tcBorders>
            <w:tcMar>
              <w:left w:w="28" w:type="dxa"/>
              <w:right w:w="28" w:type="dxa"/>
            </w:tcMar>
          </w:tcPr>
          <w:p w14:paraId="646405F8"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c>
          <w:tcPr>
            <w:tcW w:w="314" w:type="dxa"/>
            <w:tcBorders>
              <w:top w:val="single" w:sz="8" w:space="0" w:color="auto"/>
              <w:bottom w:val="single" w:sz="8" w:space="0" w:color="auto"/>
            </w:tcBorders>
            <w:tcMar>
              <w:left w:w="28" w:type="dxa"/>
              <w:right w:w="28" w:type="dxa"/>
            </w:tcMar>
          </w:tcPr>
          <w:p w14:paraId="6C45D96D" w14:textId="77777777" w:rsidR="00742EBE" w:rsidRPr="0068236B" w:rsidRDefault="00742EBE" w:rsidP="00742EBE">
            <w:pPr>
              <w:spacing w:before="0" w:after="0" w:line="240" w:lineRule="auto"/>
              <w:jc w:val="center"/>
              <w:rPr>
                <w:rFonts w:cs="Tahoma"/>
                <w:sz w:val="18"/>
                <w:szCs w:val="18"/>
              </w:rPr>
            </w:pPr>
          </w:p>
        </w:tc>
      </w:tr>
      <w:tr w:rsidR="005D2480" w:rsidRPr="0068236B" w14:paraId="228DDDB3" w14:textId="77777777" w:rsidTr="005D2480">
        <w:trPr>
          <w:gridAfter w:val="1"/>
          <w:wAfter w:w="6" w:type="dxa"/>
          <w:trHeight w:val="227"/>
        </w:trPr>
        <w:tc>
          <w:tcPr>
            <w:tcW w:w="1785" w:type="dxa"/>
            <w:tcBorders>
              <w:top w:val="single" w:sz="8" w:space="0" w:color="auto"/>
              <w:bottom w:val="single" w:sz="8" w:space="0" w:color="auto"/>
            </w:tcBorders>
            <w:noWrap/>
            <w:tcMar>
              <w:left w:w="28" w:type="dxa"/>
              <w:right w:w="28" w:type="dxa"/>
            </w:tcMar>
            <w:hideMark/>
          </w:tcPr>
          <w:p w14:paraId="48AF00F7" w14:textId="77777777" w:rsidR="00742EBE" w:rsidRPr="0068236B" w:rsidRDefault="00742EBE" w:rsidP="00742EBE">
            <w:pPr>
              <w:spacing w:before="0" w:after="0" w:line="240" w:lineRule="auto"/>
              <w:rPr>
                <w:rFonts w:cs="Tahoma"/>
                <w:i/>
                <w:iCs/>
                <w:noProof/>
                <w:sz w:val="18"/>
                <w:szCs w:val="18"/>
              </w:rPr>
            </w:pPr>
            <w:r w:rsidRPr="0068236B">
              <w:rPr>
                <w:rFonts w:cs="Tahoma"/>
                <w:i/>
                <w:iCs/>
                <w:noProof/>
                <w:sz w:val="18"/>
                <w:szCs w:val="18"/>
              </w:rPr>
              <w:t>Fulica atra</w:t>
            </w:r>
          </w:p>
          <w:p w14:paraId="7CC4E86E" w14:textId="77777777" w:rsidR="00742EBE" w:rsidRPr="0068236B" w:rsidRDefault="00742EBE" w:rsidP="00742EBE">
            <w:pPr>
              <w:spacing w:before="0" w:after="0" w:line="240" w:lineRule="auto"/>
              <w:rPr>
                <w:rFonts w:cs="Tahoma"/>
                <w:i/>
                <w:iCs/>
                <w:noProof/>
                <w:sz w:val="18"/>
                <w:szCs w:val="18"/>
              </w:rPr>
            </w:pPr>
            <w:r w:rsidRPr="0068236B">
              <w:rPr>
                <w:rFonts w:cs="Tahoma"/>
                <w:i/>
                <w:iCs/>
                <w:noProof/>
                <w:sz w:val="18"/>
                <w:szCs w:val="18"/>
              </w:rPr>
              <w:t>Coot</w:t>
            </w:r>
          </w:p>
          <w:p w14:paraId="2915C8F6" w14:textId="77777777" w:rsidR="00742EBE" w:rsidRPr="0068236B" w:rsidRDefault="00742EBE" w:rsidP="00742EBE">
            <w:pPr>
              <w:spacing w:before="0" w:after="0" w:line="240" w:lineRule="auto"/>
              <w:rPr>
                <w:rFonts w:cs="Tahoma"/>
                <w:i/>
                <w:iCs/>
                <w:noProof/>
                <w:sz w:val="18"/>
                <w:szCs w:val="18"/>
              </w:rPr>
            </w:pPr>
          </w:p>
        </w:tc>
        <w:tc>
          <w:tcPr>
            <w:tcW w:w="531" w:type="dxa"/>
            <w:tcBorders>
              <w:top w:val="single" w:sz="8" w:space="0" w:color="auto"/>
              <w:bottom w:val="single" w:sz="8" w:space="0" w:color="auto"/>
            </w:tcBorders>
          </w:tcPr>
          <w:p w14:paraId="43CB48BA" w14:textId="77777777" w:rsidR="00742EBE" w:rsidRPr="0068236B" w:rsidRDefault="00742EBE" w:rsidP="00742EBE">
            <w:pPr>
              <w:jc w:val="center"/>
              <w:rPr>
                <w:rFonts w:cs="Tahoma"/>
                <w:sz w:val="18"/>
                <w:szCs w:val="18"/>
              </w:rPr>
            </w:pPr>
            <w:r w:rsidRPr="0068236B">
              <w:rPr>
                <w:rFonts w:cs="Tahoma"/>
                <w:sz w:val="18"/>
                <w:szCs w:val="18"/>
              </w:rPr>
              <w:t>PBF</w:t>
            </w:r>
          </w:p>
        </w:tc>
        <w:tc>
          <w:tcPr>
            <w:tcW w:w="1114" w:type="dxa"/>
            <w:tcBorders>
              <w:top w:val="single" w:sz="8" w:space="0" w:color="auto"/>
              <w:bottom w:val="single" w:sz="8" w:space="0" w:color="auto"/>
            </w:tcBorders>
          </w:tcPr>
          <w:p w14:paraId="68B1ECB9"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ERL: NT</w:t>
            </w:r>
          </w:p>
        </w:tc>
        <w:tc>
          <w:tcPr>
            <w:tcW w:w="948" w:type="dxa"/>
            <w:tcBorders>
              <w:top w:val="single" w:sz="8" w:space="0" w:color="auto"/>
              <w:bottom w:val="single" w:sz="8" w:space="0" w:color="auto"/>
            </w:tcBorders>
          </w:tcPr>
          <w:p w14:paraId="0CD3574B" w14:textId="77777777" w:rsidR="00742EBE" w:rsidRPr="0068236B" w:rsidRDefault="00742EBE" w:rsidP="00742EBE">
            <w:pPr>
              <w:rPr>
                <w:rFonts w:cs="Tahoma"/>
                <w:sz w:val="18"/>
                <w:szCs w:val="18"/>
              </w:rPr>
            </w:pPr>
            <w:r w:rsidRPr="0068236B">
              <w:rPr>
                <w:rFonts w:cs="Tahoma"/>
                <w:sz w:val="18"/>
                <w:szCs w:val="18"/>
              </w:rPr>
              <w:t>Wintering</w:t>
            </w:r>
          </w:p>
        </w:tc>
        <w:tc>
          <w:tcPr>
            <w:tcW w:w="926" w:type="dxa"/>
            <w:tcBorders>
              <w:top w:val="single" w:sz="8" w:space="0" w:color="auto"/>
              <w:bottom w:val="single" w:sz="8" w:space="0" w:color="auto"/>
            </w:tcBorders>
          </w:tcPr>
          <w:p w14:paraId="22C882CF"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No</w:t>
            </w:r>
          </w:p>
        </w:tc>
        <w:tc>
          <w:tcPr>
            <w:tcW w:w="3513" w:type="dxa"/>
            <w:tcBorders>
              <w:top w:val="single" w:sz="8" w:space="0" w:color="auto"/>
              <w:bottom w:val="single" w:sz="8" w:space="0" w:color="auto"/>
            </w:tcBorders>
          </w:tcPr>
          <w:p w14:paraId="014EF946"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The species is not breeding in the area. Only one accidental record near river Vardar, away from the OHL.</w:t>
            </w:r>
          </w:p>
        </w:tc>
        <w:tc>
          <w:tcPr>
            <w:tcW w:w="326" w:type="dxa"/>
            <w:tcBorders>
              <w:top w:val="single" w:sz="8" w:space="0" w:color="auto"/>
              <w:bottom w:val="single" w:sz="8" w:space="0" w:color="auto"/>
            </w:tcBorders>
            <w:tcMar>
              <w:left w:w="28" w:type="dxa"/>
              <w:right w:w="28" w:type="dxa"/>
            </w:tcMar>
          </w:tcPr>
          <w:p w14:paraId="4DBD9D23" w14:textId="77777777" w:rsidR="00742EBE" w:rsidRPr="0068236B" w:rsidRDefault="00742EBE" w:rsidP="00742EBE">
            <w:pPr>
              <w:spacing w:before="0" w:after="0" w:line="240" w:lineRule="auto"/>
              <w:jc w:val="center"/>
              <w:rPr>
                <w:rFonts w:cs="Tahoma"/>
                <w:sz w:val="18"/>
                <w:szCs w:val="18"/>
              </w:rPr>
            </w:pPr>
          </w:p>
        </w:tc>
        <w:tc>
          <w:tcPr>
            <w:tcW w:w="329" w:type="dxa"/>
            <w:tcBorders>
              <w:top w:val="single" w:sz="8" w:space="0" w:color="auto"/>
              <w:bottom w:val="single" w:sz="8" w:space="0" w:color="auto"/>
            </w:tcBorders>
            <w:tcMar>
              <w:left w:w="28" w:type="dxa"/>
              <w:right w:w="28" w:type="dxa"/>
            </w:tcMar>
          </w:tcPr>
          <w:p w14:paraId="7E423615"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c>
          <w:tcPr>
            <w:tcW w:w="314" w:type="dxa"/>
            <w:tcBorders>
              <w:top w:val="single" w:sz="8" w:space="0" w:color="auto"/>
              <w:bottom w:val="single" w:sz="8" w:space="0" w:color="auto"/>
            </w:tcBorders>
            <w:tcMar>
              <w:left w:w="28" w:type="dxa"/>
              <w:right w:w="28" w:type="dxa"/>
            </w:tcMar>
          </w:tcPr>
          <w:p w14:paraId="4D21BE49" w14:textId="77777777" w:rsidR="00742EBE" w:rsidRPr="0068236B" w:rsidRDefault="00742EBE" w:rsidP="00742EBE">
            <w:pPr>
              <w:spacing w:before="0" w:after="0" w:line="240" w:lineRule="auto"/>
              <w:jc w:val="center"/>
              <w:rPr>
                <w:rFonts w:cs="Tahoma"/>
                <w:sz w:val="18"/>
                <w:szCs w:val="18"/>
              </w:rPr>
            </w:pPr>
          </w:p>
        </w:tc>
      </w:tr>
      <w:tr w:rsidR="005D2480" w:rsidRPr="0068236B" w14:paraId="41720F1F" w14:textId="77777777" w:rsidTr="005D2480">
        <w:trPr>
          <w:gridAfter w:val="1"/>
          <w:wAfter w:w="6" w:type="dxa"/>
          <w:trHeight w:val="227"/>
        </w:trPr>
        <w:tc>
          <w:tcPr>
            <w:tcW w:w="1785" w:type="dxa"/>
            <w:tcBorders>
              <w:top w:val="single" w:sz="8" w:space="0" w:color="auto"/>
              <w:bottom w:val="single" w:sz="8" w:space="0" w:color="auto"/>
            </w:tcBorders>
            <w:noWrap/>
            <w:tcMar>
              <w:left w:w="28" w:type="dxa"/>
              <w:right w:w="28" w:type="dxa"/>
            </w:tcMar>
            <w:hideMark/>
          </w:tcPr>
          <w:p w14:paraId="377ED413" w14:textId="77777777" w:rsidR="00742EBE" w:rsidRPr="0068236B" w:rsidRDefault="00742EBE" w:rsidP="00742EBE">
            <w:pPr>
              <w:spacing w:before="0" w:after="0" w:line="240" w:lineRule="auto"/>
              <w:rPr>
                <w:rFonts w:cs="Tahoma"/>
                <w:i/>
                <w:iCs/>
                <w:noProof/>
                <w:sz w:val="18"/>
                <w:szCs w:val="18"/>
              </w:rPr>
            </w:pPr>
            <w:r w:rsidRPr="0068236B">
              <w:rPr>
                <w:rFonts w:cs="Tahoma"/>
                <w:i/>
                <w:iCs/>
                <w:noProof/>
                <w:sz w:val="18"/>
                <w:szCs w:val="18"/>
              </w:rPr>
              <w:t>Lanius collurio</w:t>
            </w:r>
          </w:p>
          <w:p w14:paraId="179AB1A6" w14:textId="77777777" w:rsidR="00742EBE" w:rsidRPr="0068236B" w:rsidRDefault="00742EBE" w:rsidP="00742EBE">
            <w:pPr>
              <w:spacing w:before="0" w:after="0" w:line="240" w:lineRule="auto"/>
              <w:rPr>
                <w:rFonts w:cs="Tahoma"/>
                <w:i/>
                <w:iCs/>
                <w:noProof/>
                <w:sz w:val="18"/>
                <w:szCs w:val="18"/>
              </w:rPr>
            </w:pPr>
            <w:r w:rsidRPr="0068236B">
              <w:rPr>
                <w:rFonts w:cs="Tahoma"/>
                <w:i/>
                <w:sz w:val="18"/>
                <w:szCs w:val="18"/>
                <w:lang w:val="en-US" w:eastAsia="mk-MK"/>
              </w:rPr>
              <w:t>Red-backed shrike</w:t>
            </w:r>
          </w:p>
        </w:tc>
        <w:tc>
          <w:tcPr>
            <w:tcW w:w="531" w:type="dxa"/>
            <w:tcBorders>
              <w:top w:val="single" w:sz="8" w:space="0" w:color="auto"/>
              <w:bottom w:val="single" w:sz="8" w:space="0" w:color="auto"/>
            </w:tcBorders>
          </w:tcPr>
          <w:p w14:paraId="249DF17E" w14:textId="77777777" w:rsidR="00742EBE" w:rsidRPr="0068236B" w:rsidRDefault="00742EBE" w:rsidP="00742EBE">
            <w:pPr>
              <w:jc w:val="center"/>
              <w:rPr>
                <w:rFonts w:cs="Tahoma"/>
                <w:sz w:val="18"/>
                <w:szCs w:val="18"/>
              </w:rPr>
            </w:pPr>
            <w:r w:rsidRPr="0068236B">
              <w:rPr>
                <w:rFonts w:cs="Tahoma"/>
                <w:sz w:val="18"/>
                <w:szCs w:val="18"/>
              </w:rPr>
              <w:t>PBF</w:t>
            </w:r>
          </w:p>
        </w:tc>
        <w:tc>
          <w:tcPr>
            <w:tcW w:w="1114" w:type="dxa"/>
            <w:tcBorders>
              <w:top w:val="single" w:sz="8" w:space="0" w:color="auto"/>
              <w:bottom w:val="single" w:sz="8" w:space="0" w:color="auto"/>
            </w:tcBorders>
          </w:tcPr>
          <w:p w14:paraId="5A462D7D"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BD: I</w:t>
            </w:r>
          </w:p>
        </w:tc>
        <w:tc>
          <w:tcPr>
            <w:tcW w:w="948" w:type="dxa"/>
            <w:tcBorders>
              <w:top w:val="single" w:sz="8" w:space="0" w:color="auto"/>
              <w:bottom w:val="single" w:sz="8" w:space="0" w:color="auto"/>
            </w:tcBorders>
          </w:tcPr>
          <w:p w14:paraId="514BEF86" w14:textId="77777777" w:rsidR="00742EBE" w:rsidRPr="0068236B" w:rsidRDefault="00742EBE" w:rsidP="00742EBE">
            <w:pPr>
              <w:rPr>
                <w:rFonts w:cs="Tahoma"/>
                <w:sz w:val="18"/>
                <w:szCs w:val="18"/>
              </w:rPr>
            </w:pPr>
            <w:r w:rsidRPr="0068236B">
              <w:rPr>
                <w:rFonts w:cs="Tahoma"/>
                <w:sz w:val="18"/>
                <w:szCs w:val="18"/>
              </w:rPr>
              <w:t>migratory breeder</w:t>
            </w:r>
          </w:p>
        </w:tc>
        <w:tc>
          <w:tcPr>
            <w:tcW w:w="926" w:type="dxa"/>
            <w:tcBorders>
              <w:top w:val="single" w:sz="8" w:space="0" w:color="auto"/>
              <w:bottom w:val="single" w:sz="8" w:space="0" w:color="auto"/>
            </w:tcBorders>
          </w:tcPr>
          <w:p w14:paraId="6930BCB9"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No</w:t>
            </w:r>
          </w:p>
        </w:tc>
        <w:tc>
          <w:tcPr>
            <w:tcW w:w="3513" w:type="dxa"/>
            <w:tcBorders>
              <w:top w:val="single" w:sz="8" w:space="0" w:color="auto"/>
              <w:bottom w:val="single" w:sz="8" w:space="0" w:color="auto"/>
            </w:tcBorders>
          </w:tcPr>
          <w:p w14:paraId="0DC4E545"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Possibly breeds in the degraded pseud</w:t>
            </w:r>
            <w:r w:rsidRPr="0068236B">
              <w:rPr>
                <w:rFonts w:cs="Tahoma"/>
                <w:sz w:val="18"/>
                <w:szCs w:val="18"/>
              </w:rPr>
              <w:t>o</w:t>
            </w:r>
            <w:r w:rsidRPr="0068236B">
              <w:rPr>
                <w:rFonts w:cs="Tahoma"/>
                <w:sz w:val="18"/>
                <w:szCs w:val="18"/>
              </w:rPr>
              <w:t>maquis and agricultural area. However, no reproduction was observed. Few records, but far away from the OHL.</w:t>
            </w:r>
          </w:p>
        </w:tc>
        <w:tc>
          <w:tcPr>
            <w:tcW w:w="326" w:type="dxa"/>
            <w:tcBorders>
              <w:top w:val="single" w:sz="8" w:space="0" w:color="auto"/>
              <w:bottom w:val="single" w:sz="8" w:space="0" w:color="auto"/>
            </w:tcBorders>
            <w:tcMar>
              <w:left w:w="28" w:type="dxa"/>
              <w:right w:w="28" w:type="dxa"/>
            </w:tcMar>
          </w:tcPr>
          <w:p w14:paraId="559C364C"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c>
          <w:tcPr>
            <w:tcW w:w="329" w:type="dxa"/>
            <w:tcBorders>
              <w:top w:val="single" w:sz="8" w:space="0" w:color="auto"/>
              <w:bottom w:val="single" w:sz="8" w:space="0" w:color="auto"/>
            </w:tcBorders>
            <w:tcMar>
              <w:left w:w="28" w:type="dxa"/>
              <w:right w:w="28" w:type="dxa"/>
            </w:tcMar>
          </w:tcPr>
          <w:p w14:paraId="64DBDE38" w14:textId="77777777" w:rsidR="00742EBE" w:rsidRPr="0068236B" w:rsidRDefault="00742EBE" w:rsidP="00742EBE">
            <w:pPr>
              <w:spacing w:before="0" w:after="0" w:line="240" w:lineRule="auto"/>
              <w:jc w:val="center"/>
              <w:rPr>
                <w:rFonts w:cs="Tahoma"/>
                <w:sz w:val="18"/>
                <w:szCs w:val="18"/>
              </w:rPr>
            </w:pPr>
          </w:p>
        </w:tc>
        <w:tc>
          <w:tcPr>
            <w:tcW w:w="314" w:type="dxa"/>
            <w:tcBorders>
              <w:top w:val="single" w:sz="8" w:space="0" w:color="auto"/>
              <w:bottom w:val="single" w:sz="8" w:space="0" w:color="auto"/>
            </w:tcBorders>
            <w:tcMar>
              <w:left w:w="28" w:type="dxa"/>
              <w:right w:w="28" w:type="dxa"/>
            </w:tcMar>
          </w:tcPr>
          <w:p w14:paraId="61E8F7AA"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r>
      <w:tr w:rsidR="005D2480" w:rsidRPr="0068236B" w14:paraId="7193B3AF" w14:textId="77777777" w:rsidTr="005D2480">
        <w:trPr>
          <w:gridAfter w:val="1"/>
          <w:wAfter w:w="6" w:type="dxa"/>
          <w:trHeight w:val="227"/>
        </w:trPr>
        <w:tc>
          <w:tcPr>
            <w:tcW w:w="1785" w:type="dxa"/>
            <w:tcBorders>
              <w:top w:val="single" w:sz="8" w:space="0" w:color="auto"/>
              <w:bottom w:val="single" w:sz="8" w:space="0" w:color="auto"/>
            </w:tcBorders>
            <w:noWrap/>
            <w:tcMar>
              <w:left w:w="28" w:type="dxa"/>
              <w:right w:w="28" w:type="dxa"/>
            </w:tcMar>
            <w:hideMark/>
          </w:tcPr>
          <w:p w14:paraId="4FBAF459" w14:textId="77777777" w:rsidR="00742EBE" w:rsidRPr="0068236B" w:rsidRDefault="00742EBE" w:rsidP="00742EBE">
            <w:pPr>
              <w:spacing w:before="0" w:after="0" w:line="240" w:lineRule="auto"/>
              <w:rPr>
                <w:rFonts w:cs="Tahoma"/>
                <w:i/>
                <w:iCs/>
                <w:noProof/>
                <w:sz w:val="18"/>
                <w:szCs w:val="18"/>
              </w:rPr>
            </w:pPr>
            <w:r w:rsidRPr="0068236B">
              <w:rPr>
                <w:rFonts w:cs="Tahoma"/>
                <w:i/>
                <w:iCs/>
                <w:noProof/>
                <w:sz w:val="18"/>
                <w:szCs w:val="18"/>
              </w:rPr>
              <w:t>Lanius minor</w:t>
            </w:r>
          </w:p>
          <w:p w14:paraId="523CDD3D" w14:textId="77777777" w:rsidR="00742EBE" w:rsidRPr="0068236B" w:rsidRDefault="00742EBE" w:rsidP="00742EBE">
            <w:pPr>
              <w:spacing w:before="0" w:after="0" w:line="240" w:lineRule="auto"/>
              <w:jc w:val="left"/>
              <w:rPr>
                <w:rFonts w:cs="Tahoma"/>
                <w:i/>
                <w:iCs/>
                <w:noProof/>
                <w:sz w:val="18"/>
                <w:szCs w:val="18"/>
              </w:rPr>
            </w:pPr>
            <w:r w:rsidRPr="0068236B">
              <w:rPr>
                <w:rFonts w:cs="Tahoma"/>
                <w:i/>
                <w:sz w:val="18"/>
                <w:szCs w:val="18"/>
                <w:lang w:val="en-US" w:eastAsia="mk-MK"/>
              </w:rPr>
              <w:t>Lesser grey shrike</w:t>
            </w:r>
          </w:p>
        </w:tc>
        <w:tc>
          <w:tcPr>
            <w:tcW w:w="531" w:type="dxa"/>
            <w:tcBorders>
              <w:top w:val="single" w:sz="8" w:space="0" w:color="auto"/>
              <w:bottom w:val="single" w:sz="8" w:space="0" w:color="auto"/>
            </w:tcBorders>
          </w:tcPr>
          <w:p w14:paraId="04003E03" w14:textId="77777777" w:rsidR="00742EBE" w:rsidRPr="0068236B" w:rsidRDefault="00742EBE" w:rsidP="00742EBE">
            <w:pPr>
              <w:jc w:val="center"/>
              <w:rPr>
                <w:rFonts w:cs="Tahoma"/>
                <w:sz w:val="18"/>
                <w:szCs w:val="18"/>
              </w:rPr>
            </w:pPr>
            <w:r w:rsidRPr="0068236B">
              <w:rPr>
                <w:rFonts w:cs="Tahoma"/>
                <w:sz w:val="18"/>
                <w:szCs w:val="18"/>
              </w:rPr>
              <w:t>PBF</w:t>
            </w:r>
          </w:p>
        </w:tc>
        <w:tc>
          <w:tcPr>
            <w:tcW w:w="1114" w:type="dxa"/>
            <w:tcBorders>
              <w:top w:val="single" w:sz="8" w:space="0" w:color="auto"/>
              <w:bottom w:val="single" w:sz="8" w:space="0" w:color="auto"/>
            </w:tcBorders>
          </w:tcPr>
          <w:p w14:paraId="1857AC32"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BD: I</w:t>
            </w:r>
          </w:p>
        </w:tc>
        <w:tc>
          <w:tcPr>
            <w:tcW w:w="948" w:type="dxa"/>
            <w:tcBorders>
              <w:top w:val="single" w:sz="8" w:space="0" w:color="auto"/>
              <w:bottom w:val="single" w:sz="8" w:space="0" w:color="auto"/>
            </w:tcBorders>
          </w:tcPr>
          <w:p w14:paraId="7675A8FE" w14:textId="77777777" w:rsidR="00742EBE" w:rsidRPr="0068236B" w:rsidRDefault="00742EBE" w:rsidP="00742EBE">
            <w:pPr>
              <w:rPr>
                <w:rFonts w:cs="Tahoma"/>
                <w:sz w:val="18"/>
                <w:szCs w:val="18"/>
              </w:rPr>
            </w:pPr>
            <w:r w:rsidRPr="0068236B">
              <w:rPr>
                <w:rFonts w:cs="Tahoma"/>
                <w:sz w:val="18"/>
                <w:szCs w:val="18"/>
              </w:rPr>
              <w:t>migratory breeder</w:t>
            </w:r>
          </w:p>
        </w:tc>
        <w:tc>
          <w:tcPr>
            <w:tcW w:w="926" w:type="dxa"/>
            <w:tcBorders>
              <w:top w:val="single" w:sz="8" w:space="0" w:color="auto"/>
              <w:bottom w:val="single" w:sz="8" w:space="0" w:color="auto"/>
            </w:tcBorders>
          </w:tcPr>
          <w:p w14:paraId="1AE10645"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No</w:t>
            </w:r>
          </w:p>
        </w:tc>
        <w:tc>
          <w:tcPr>
            <w:tcW w:w="3513" w:type="dxa"/>
            <w:tcBorders>
              <w:top w:val="single" w:sz="8" w:space="0" w:color="auto"/>
              <w:bottom w:val="single" w:sz="8" w:space="0" w:color="auto"/>
            </w:tcBorders>
          </w:tcPr>
          <w:p w14:paraId="45BA516B"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Possibly breeds in the orchards and other woodlands. However, no reproduction was observed. Only one record near village Marvinci, away from the OHL.</w:t>
            </w:r>
          </w:p>
        </w:tc>
        <w:tc>
          <w:tcPr>
            <w:tcW w:w="326" w:type="dxa"/>
            <w:tcBorders>
              <w:top w:val="single" w:sz="8" w:space="0" w:color="auto"/>
              <w:bottom w:val="single" w:sz="8" w:space="0" w:color="auto"/>
            </w:tcBorders>
            <w:tcMar>
              <w:left w:w="28" w:type="dxa"/>
              <w:right w:w="28" w:type="dxa"/>
            </w:tcMar>
          </w:tcPr>
          <w:p w14:paraId="17D2533C"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c>
          <w:tcPr>
            <w:tcW w:w="329" w:type="dxa"/>
            <w:tcBorders>
              <w:top w:val="single" w:sz="8" w:space="0" w:color="auto"/>
              <w:bottom w:val="single" w:sz="8" w:space="0" w:color="auto"/>
            </w:tcBorders>
            <w:tcMar>
              <w:left w:w="28" w:type="dxa"/>
              <w:right w:w="28" w:type="dxa"/>
            </w:tcMar>
          </w:tcPr>
          <w:p w14:paraId="7ACFE4B5"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c>
          <w:tcPr>
            <w:tcW w:w="314" w:type="dxa"/>
            <w:tcBorders>
              <w:top w:val="single" w:sz="8" w:space="0" w:color="auto"/>
              <w:bottom w:val="single" w:sz="8" w:space="0" w:color="auto"/>
            </w:tcBorders>
            <w:tcMar>
              <w:left w:w="28" w:type="dxa"/>
              <w:right w:w="28" w:type="dxa"/>
            </w:tcMar>
          </w:tcPr>
          <w:p w14:paraId="1485F1A3"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r>
      <w:tr w:rsidR="005D2480" w:rsidRPr="0068236B" w14:paraId="752B6A50" w14:textId="77777777" w:rsidTr="005D2480">
        <w:trPr>
          <w:gridAfter w:val="1"/>
          <w:wAfter w:w="6" w:type="dxa"/>
          <w:trHeight w:val="227"/>
        </w:trPr>
        <w:tc>
          <w:tcPr>
            <w:tcW w:w="1785" w:type="dxa"/>
            <w:tcBorders>
              <w:top w:val="single" w:sz="8" w:space="0" w:color="auto"/>
              <w:bottom w:val="single" w:sz="8" w:space="0" w:color="auto"/>
            </w:tcBorders>
            <w:noWrap/>
            <w:tcMar>
              <w:left w:w="28" w:type="dxa"/>
              <w:right w:w="28" w:type="dxa"/>
            </w:tcMar>
            <w:hideMark/>
          </w:tcPr>
          <w:p w14:paraId="4A6126A0" w14:textId="77777777" w:rsidR="00742EBE" w:rsidRPr="0068236B" w:rsidRDefault="00742EBE" w:rsidP="00742EBE">
            <w:pPr>
              <w:spacing w:before="0" w:after="0" w:line="240" w:lineRule="auto"/>
              <w:rPr>
                <w:rFonts w:cs="Tahoma"/>
                <w:i/>
                <w:iCs/>
                <w:noProof/>
                <w:sz w:val="18"/>
                <w:szCs w:val="18"/>
              </w:rPr>
            </w:pPr>
            <w:r w:rsidRPr="0068236B">
              <w:rPr>
                <w:rFonts w:cs="Tahoma"/>
                <w:i/>
                <w:iCs/>
                <w:noProof/>
                <w:sz w:val="18"/>
                <w:szCs w:val="18"/>
              </w:rPr>
              <w:t>Pernis apivorus</w:t>
            </w:r>
          </w:p>
          <w:p w14:paraId="0C13B11A" w14:textId="77777777" w:rsidR="00742EBE" w:rsidRPr="0068236B" w:rsidRDefault="00742EBE" w:rsidP="00742EBE">
            <w:pPr>
              <w:spacing w:before="0" w:after="0" w:line="240" w:lineRule="auto"/>
              <w:jc w:val="left"/>
              <w:rPr>
                <w:rFonts w:cs="Tahoma"/>
                <w:i/>
                <w:iCs/>
                <w:noProof/>
                <w:sz w:val="18"/>
                <w:szCs w:val="18"/>
              </w:rPr>
            </w:pPr>
            <w:r w:rsidRPr="0068236B">
              <w:rPr>
                <w:rFonts w:cs="Tahoma"/>
                <w:i/>
                <w:iCs/>
                <w:noProof/>
                <w:sz w:val="18"/>
                <w:szCs w:val="18"/>
              </w:rPr>
              <w:t>European honey buzzard</w:t>
            </w:r>
          </w:p>
        </w:tc>
        <w:tc>
          <w:tcPr>
            <w:tcW w:w="531" w:type="dxa"/>
            <w:tcBorders>
              <w:top w:val="single" w:sz="8" w:space="0" w:color="auto"/>
              <w:bottom w:val="single" w:sz="8" w:space="0" w:color="auto"/>
            </w:tcBorders>
          </w:tcPr>
          <w:p w14:paraId="6A7DF847" w14:textId="77777777" w:rsidR="00742EBE" w:rsidRPr="0068236B" w:rsidRDefault="00742EBE" w:rsidP="00742EBE">
            <w:pPr>
              <w:jc w:val="center"/>
              <w:rPr>
                <w:rFonts w:cs="Tahoma"/>
                <w:sz w:val="18"/>
                <w:szCs w:val="18"/>
              </w:rPr>
            </w:pPr>
            <w:r w:rsidRPr="0068236B">
              <w:rPr>
                <w:rFonts w:cs="Tahoma"/>
                <w:sz w:val="18"/>
                <w:szCs w:val="18"/>
              </w:rPr>
              <w:t>PBF</w:t>
            </w:r>
          </w:p>
        </w:tc>
        <w:tc>
          <w:tcPr>
            <w:tcW w:w="1114" w:type="dxa"/>
            <w:tcBorders>
              <w:top w:val="single" w:sz="8" w:space="0" w:color="auto"/>
              <w:bottom w:val="single" w:sz="8" w:space="0" w:color="auto"/>
            </w:tcBorders>
          </w:tcPr>
          <w:p w14:paraId="7DAAA0B8"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BD: I</w:t>
            </w:r>
          </w:p>
        </w:tc>
        <w:tc>
          <w:tcPr>
            <w:tcW w:w="948" w:type="dxa"/>
            <w:tcBorders>
              <w:top w:val="single" w:sz="8" w:space="0" w:color="auto"/>
              <w:bottom w:val="single" w:sz="8" w:space="0" w:color="auto"/>
            </w:tcBorders>
          </w:tcPr>
          <w:p w14:paraId="15E4A663" w14:textId="77777777" w:rsidR="00742EBE" w:rsidRPr="0068236B" w:rsidRDefault="00742EBE" w:rsidP="00742EBE">
            <w:pPr>
              <w:rPr>
                <w:rFonts w:cs="Tahoma"/>
                <w:sz w:val="18"/>
                <w:szCs w:val="18"/>
              </w:rPr>
            </w:pPr>
            <w:r w:rsidRPr="0068236B">
              <w:rPr>
                <w:rFonts w:cs="Tahoma"/>
                <w:sz w:val="18"/>
                <w:szCs w:val="18"/>
              </w:rPr>
              <w:t>migratory breeder</w:t>
            </w:r>
          </w:p>
        </w:tc>
        <w:tc>
          <w:tcPr>
            <w:tcW w:w="926" w:type="dxa"/>
            <w:tcBorders>
              <w:top w:val="single" w:sz="8" w:space="0" w:color="auto"/>
              <w:bottom w:val="single" w:sz="8" w:space="0" w:color="auto"/>
            </w:tcBorders>
          </w:tcPr>
          <w:p w14:paraId="7FCFDAE2"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No</w:t>
            </w:r>
          </w:p>
        </w:tc>
        <w:tc>
          <w:tcPr>
            <w:tcW w:w="3513" w:type="dxa"/>
            <w:tcBorders>
              <w:top w:val="single" w:sz="8" w:space="0" w:color="auto"/>
              <w:bottom w:val="single" w:sz="8" w:space="0" w:color="auto"/>
            </w:tcBorders>
          </w:tcPr>
          <w:p w14:paraId="640D15C6"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The species is not breeding in the area. Only one record far away from the OHL.</w:t>
            </w:r>
          </w:p>
        </w:tc>
        <w:tc>
          <w:tcPr>
            <w:tcW w:w="326" w:type="dxa"/>
            <w:tcBorders>
              <w:top w:val="single" w:sz="8" w:space="0" w:color="auto"/>
              <w:bottom w:val="single" w:sz="8" w:space="0" w:color="auto"/>
            </w:tcBorders>
            <w:tcMar>
              <w:left w:w="28" w:type="dxa"/>
              <w:right w:w="28" w:type="dxa"/>
            </w:tcMar>
          </w:tcPr>
          <w:p w14:paraId="65092891"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c>
          <w:tcPr>
            <w:tcW w:w="329" w:type="dxa"/>
            <w:tcBorders>
              <w:top w:val="single" w:sz="8" w:space="0" w:color="auto"/>
              <w:bottom w:val="single" w:sz="8" w:space="0" w:color="auto"/>
            </w:tcBorders>
            <w:tcMar>
              <w:left w:w="28" w:type="dxa"/>
              <w:right w:w="28" w:type="dxa"/>
            </w:tcMar>
          </w:tcPr>
          <w:p w14:paraId="2B662223"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c>
          <w:tcPr>
            <w:tcW w:w="314" w:type="dxa"/>
            <w:tcBorders>
              <w:top w:val="single" w:sz="8" w:space="0" w:color="auto"/>
              <w:bottom w:val="single" w:sz="8" w:space="0" w:color="auto"/>
            </w:tcBorders>
            <w:tcMar>
              <w:left w:w="28" w:type="dxa"/>
              <w:right w:w="28" w:type="dxa"/>
            </w:tcMar>
          </w:tcPr>
          <w:p w14:paraId="08385BEE"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r>
      <w:tr w:rsidR="005D2480" w:rsidRPr="0068236B" w14:paraId="41795069" w14:textId="77777777" w:rsidTr="005D2480">
        <w:trPr>
          <w:gridAfter w:val="1"/>
          <w:wAfter w:w="6" w:type="dxa"/>
          <w:trHeight w:val="227"/>
        </w:trPr>
        <w:tc>
          <w:tcPr>
            <w:tcW w:w="1785" w:type="dxa"/>
            <w:tcBorders>
              <w:top w:val="single" w:sz="8" w:space="0" w:color="auto"/>
              <w:bottom w:val="single" w:sz="8" w:space="0" w:color="auto"/>
            </w:tcBorders>
            <w:noWrap/>
            <w:tcMar>
              <w:left w:w="28" w:type="dxa"/>
              <w:right w:w="28" w:type="dxa"/>
            </w:tcMar>
            <w:hideMark/>
          </w:tcPr>
          <w:p w14:paraId="1D9A6963" w14:textId="77777777" w:rsidR="00742EBE" w:rsidRPr="0068236B" w:rsidRDefault="00742EBE" w:rsidP="00742EBE">
            <w:pPr>
              <w:spacing w:before="0" w:after="0" w:line="240" w:lineRule="auto"/>
              <w:rPr>
                <w:rFonts w:cs="Tahoma"/>
                <w:i/>
                <w:iCs/>
                <w:noProof/>
                <w:sz w:val="18"/>
                <w:szCs w:val="18"/>
              </w:rPr>
            </w:pPr>
            <w:r w:rsidRPr="0068236B">
              <w:rPr>
                <w:rFonts w:cs="Tahoma"/>
                <w:i/>
                <w:iCs/>
                <w:noProof/>
                <w:sz w:val="18"/>
                <w:szCs w:val="18"/>
              </w:rPr>
              <w:t xml:space="preserve">Streptopelia turtur </w:t>
            </w:r>
          </w:p>
          <w:p w14:paraId="47C9CB37" w14:textId="77777777" w:rsidR="00742EBE" w:rsidRPr="0068236B" w:rsidRDefault="00742EBE" w:rsidP="00742EBE">
            <w:pPr>
              <w:spacing w:before="0" w:after="0" w:line="240" w:lineRule="auto"/>
              <w:rPr>
                <w:rFonts w:cs="Tahoma"/>
                <w:i/>
                <w:iCs/>
                <w:noProof/>
                <w:sz w:val="18"/>
                <w:szCs w:val="18"/>
              </w:rPr>
            </w:pPr>
            <w:r w:rsidRPr="0068236B">
              <w:rPr>
                <w:rFonts w:cs="Tahoma"/>
                <w:i/>
                <w:iCs/>
                <w:noProof/>
                <w:sz w:val="18"/>
                <w:szCs w:val="18"/>
              </w:rPr>
              <w:t>Turtle dove</w:t>
            </w:r>
          </w:p>
        </w:tc>
        <w:tc>
          <w:tcPr>
            <w:tcW w:w="531" w:type="dxa"/>
            <w:tcBorders>
              <w:top w:val="single" w:sz="8" w:space="0" w:color="auto"/>
              <w:bottom w:val="single" w:sz="8" w:space="0" w:color="auto"/>
            </w:tcBorders>
          </w:tcPr>
          <w:p w14:paraId="2385C510" w14:textId="77777777" w:rsidR="00742EBE" w:rsidRPr="0068236B" w:rsidRDefault="00742EBE" w:rsidP="00742EBE">
            <w:pPr>
              <w:jc w:val="center"/>
              <w:rPr>
                <w:rFonts w:cs="Tahoma"/>
                <w:sz w:val="18"/>
                <w:szCs w:val="18"/>
              </w:rPr>
            </w:pPr>
            <w:r w:rsidRPr="0068236B">
              <w:rPr>
                <w:rFonts w:cs="Tahoma"/>
                <w:sz w:val="18"/>
                <w:szCs w:val="18"/>
              </w:rPr>
              <w:t>PBF</w:t>
            </w:r>
          </w:p>
        </w:tc>
        <w:tc>
          <w:tcPr>
            <w:tcW w:w="1114" w:type="dxa"/>
            <w:tcBorders>
              <w:top w:val="single" w:sz="8" w:space="0" w:color="auto"/>
              <w:bottom w:val="single" w:sz="8" w:space="0" w:color="auto"/>
            </w:tcBorders>
          </w:tcPr>
          <w:p w14:paraId="5DE5C69C"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GRL: VU; ERL: VU</w:t>
            </w:r>
          </w:p>
        </w:tc>
        <w:tc>
          <w:tcPr>
            <w:tcW w:w="948" w:type="dxa"/>
            <w:tcBorders>
              <w:top w:val="single" w:sz="8" w:space="0" w:color="auto"/>
              <w:bottom w:val="single" w:sz="8" w:space="0" w:color="auto"/>
            </w:tcBorders>
          </w:tcPr>
          <w:p w14:paraId="530139AB" w14:textId="77777777" w:rsidR="00742EBE" w:rsidRPr="0068236B" w:rsidRDefault="00742EBE" w:rsidP="00742EBE">
            <w:pPr>
              <w:rPr>
                <w:rFonts w:cs="Tahoma"/>
                <w:sz w:val="18"/>
                <w:szCs w:val="18"/>
              </w:rPr>
            </w:pPr>
            <w:r w:rsidRPr="0068236B">
              <w:rPr>
                <w:rFonts w:cs="Tahoma"/>
                <w:sz w:val="18"/>
                <w:szCs w:val="18"/>
              </w:rPr>
              <w:t>migratory breeder</w:t>
            </w:r>
          </w:p>
        </w:tc>
        <w:tc>
          <w:tcPr>
            <w:tcW w:w="926" w:type="dxa"/>
            <w:tcBorders>
              <w:top w:val="single" w:sz="8" w:space="0" w:color="auto"/>
              <w:bottom w:val="single" w:sz="8" w:space="0" w:color="auto"/>
            </w:tcBorders>
          </w:tcPr>
          <w:p w14:paraId="710E3DA5"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lang w:val="en-US" w:eastAsia="mk-MK"/>
              </w:rPr>
              <w:t>Yes</w:t>
            </w:r>
          </w:p>
        </w:tc>
        <w:tc>
          <w:tcPr>
            <w:tcW w:w="3513" w:type="dxa"/>
            <w:tcBorders>
              <w:top w:val="single" w:sz="8" w:space="0" w:color="auto"/>
              <w:bottom w:val="single" w:sz="8" w:space="0" w:color="auto"/>
            </w:tcBorders>
          </w:tcPr>
          <w:p w14:paraId="4A5FCBB1"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The turtle dove is a common breeding bird species in the area of interest. Although the European population is in steep d</w:t>
            </w:r>
            <w:r w:rsidRPr="0068236B">
              <w:rPr>
                <w:rFonts w:cs="Tahoma"/>
                <w:sz w:val="18"/>
                <w:szCs w:val="18"/>
              </w:rPr>
              <w:t>e</w:t>
            </w:r>
            <w:r w:rsidRPr="0068236B">
              <w:rPr>
                <w:rFonts w:cs="Tahoma"/>
                <w:sz w:val="18"/>
                <w:szCs w:val="18"/>
              </w:rPr>
              <w:t xml:space="preserve">cline, the Macedonian breeding population is stable </w:t>
            </w:r>
          </w:p>
        </w:tc>
        <w:tc>
          <w:tcPr>
            <w:tcW w:w="326" w:type="dxa"/>
            <w:tcBorders>
              <w:top w:val="single" w:sz="8" w:space="0" w:color="auto"/>
              <w:bottom w:val="single" w:sz="8" w:space="0" w:color="auto"/>
            </w:tcBorders>
            <w:tcMar>
              <w:left w:w="28" w:type="dxa"/>
              <w:right w:w="28" w:type="dxa"/>
            </w:tcMar>
          </w:tcPr>
          <w:p w14:paraId="58161C97"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c>
          <w:tcPr>
            <w:tcW w:w="329" w:type="dxa"/>
            <w:tcBorders>
              <w:top w:val="single" w:sz="8" w:space="0" w:color="auto"/>
              <w:bottom w:val="single" w:sz="8" w:space="0" w:color="auto"/>
            </w:tcBorders>
            <w:tcMar>
              <w:left w:w="28" w:type="dxa"/>
              <w:right w:w="28" w:type="dxa"/>
            </w:tcMar>
          </w:tcPr>
          <w:p w14:paraId="6353BE25"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c>
          <w:tcPr>
            <w:tcW w:w="314" w:type="dxa"/>
            <w:tcBorders>
              <w:top w:val="single" w:sz="8" w:space="0" w:color="auto"/>
              <w:bottom w:val="single" w:sz="8" w:space="0" w:color="auto"/>
            </w:tcBorders>
            <w:tcMar>
              <w:left w:w="28" w:type="dxa"/>
              <w:right w:w="28" w:type="dxa"/>
            </w:tcMar>
          </w:tcPr>
          <w:p w14:paraId="1EB283DC"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r>
      <w:tr w:rsidR="005D2480" w:rsidRPr="0068236B" w14:paraId="46263B3B" w14:textId="77777777" w:rsidTr="005D2480">
        <w:trPr>
          <w:gridAfter w:val="1"/>
          <w:wAfter w:w="6" w:type="dxa"/>
          <w:trHeight w:val="227"/>
        </w:trPr>
        <w:tc>
          <w:tcPr>
            <w:tcW w:w="1785" w:type="dxa"/>
            <w:tcBorders>
              <w:top w:val="single" w:sz="8" w:space="0" w:color="auto"/>
              <w:bottom w:val="single" w:sz="8" w:space="0" w:color="auto"/>
            </w:tcBorders>
            <w:noWrap/>
            <w:tcMar>
              <w:left w:w="28" w:type="dxa"/>
              <w:right w:w="28" w:type="dxa"/>
            </w:tcMar>
          </w:tcPr>
          <w:p w14:paraId="660E9C8A" w14:textId="77777777" w:rsidR="00742EBE" w:rsidRPr="0068236B" w:rsidRDefault="00742EBE" w:rsidP="00742EBE">
            <w:pPr>
              <w:spacing w:before="0" w:after="0" w:line="240" w:lineRule="auto"/>
              <w:rPr>
                <w:rFonts w:cs="Tahoma"/>
                <w:i/>
                <w:iCs/>
                <w:sz w:val="18"/>
                <w:szCs w:val="18"/>
              </w:rPr>
            </w:pPr>
            <w:r w:rsidRPr="0068236B">
              <w:rPr>
                <w:rFonts w:cs="Tahoma"/>
                <w:i/>
                <w:iCs/>
                <w:sz w:val="18"/>
                <w:szCs w:val="18"/>
              </w:rPr>
              <w:t>Lutra lutra</w:t>
            </w:r>
          </w:p>
          <w:p w14:paraId="59985683" w14:textId="77777777" w:rsidR="00742EBE" w:rsidRPr="0068236B" w:rsidRDefault="00742EBE" w:rsidP="00742EBE">
            <w:pPr>
              <w:spacing w:before="0" w:after="0" w:line="240" w:lineRule="auto"/>
              <w:rPr>
                <w:rFonts w:cs="Tahoma"/>
                <w:i/>
                <w:iCs/>
                <w:sz w:val="18"/>
                <w:szCs w:val="18"/>
              </w:rPr>
            </w:pPr>
            <w:r w:rsidRPr="0068236B">
              <w:rPr>
                <w:rFonts w:cs="Tahoma"/>
                <w:i/>
                <w:iCs/>
                <w:sz w:val="18"/>
                <w:szCs w:val="18"/>
              </w:rPr>
              <w:t>Otter</w:t>
            </w:r>
          </w:p>
          <w:p w14:paraId="443BCD82" w14:textId="77777777" w:rsidR="00742EBE" w:rsidRPr="0068236B" w:rsidRDefault="00742EBE" w:rsidP="00742EBE">
            <w:pPr>
              <w:spacing w:before="0" w:after="0" w:line="240" w:lineRule="auto"/>
              <w:rPr>
                <w:rFonts w:cs="Tahoma"/>
                <w:i/>
                <w:iCs/>
                <w:noProof/>
                <w:sz w:val="18"/>
                <w:szCs w:val="18"/>
              </w:rPr>
            </w:pPr>
          </w:p>
        </w:tc>
        <w:tc>
          <w:tcPr>
            <w:tcW w:w="531" w:type="dxa"/>
            <w:tcBorders>
              <w:top w:val="single" w:sz="8" w:space="0" w:color="auto"/>
              <w:bottom w:val="single" w:sz="8" w:space="0" w:color="auto"/>
            </w:tcBorders>
          </w:tcPr>
          <w:p w14:paraId="4547DFF9" w14:textId="77777777" w:rsidR="00742EBE" w:rsidRPr="0068236B" w:rsidRDefault="00742EBE" w:rsidP="00742EBE">
            <w:pPr>
              <w:jc w:val="center"/>
              <w:rPr>
                <w:rFonts w:cs="Tahoma"/>
                <w:sz w:val="18"/>
                <w:szCs w:val="18"/>
              </w:rPr>
            </w:pPr>
            <w:r w:rsidRPr="0068236B">
              <w:rPr>
                <w:rFonts w:cs="Tahoma"/>
                <w:sz w:val="18"/>
                <w:szCs w:val="18"/>
              </w:rPr>
              <w:t>CH</w:t>
            </w:r>
          </w:p>
        </w:tc>
        <w:tc>
          <w:tcPr>
            <w:tcW w:w="1114" w:type="dxa"/>
            <w:tcBorders>
              <w:top w:val="single" w:sz="8" w:space="0" w:color="auto"/>
              <w:bottom w:val="single" w:sz="8" w:space="0" w:color="auto"/>
            </w:tcBorders>
          </w:tcPr>
          <w:p w14:paraId="716834F0" w14:textId="77777777" w:rsidR="00742EBE" w:rsidRPr="0068236B" w:rsidRDefault="00742EBE" w:rsidP="00742EBE">
            <w:pPr>
              <w:spacing w:before="0" w:after="0" w:line="240" w:lineRule="auto"/>
              <w:jc w:val="left"/>
              <w:rPr>
                <w:rFonts w:cs="Tahoma"/>
                <w:sz w:val="18"/>
                <w:szCs w:val="18"/>
                <w:lang w:val="de-DE"/>
              </w:rPr>
            </w:pPr>
            <w:r w:rsidRPr="0068236B">
              <w:rPr>
                <w:rFonts w:cs="Tahoma"/>
                <w:sz w:val="18"/>
                <w:szCs w:val="18"/>
                <w:lang w:val="de-DE"/>
              </w:rPr>
              <w:t>NR: VU; ERL &amp; GRL: NT; HD: II/IV</w:t>
            </w:r>
          </w:p>
        </w:tc>
        <w:tc>
          <w:tcPr>
            <w:tcW w:w="948" w:type="dxa"/>
            <w:tcBorders>
              <w:top w:val="single" w:sz="8" w:space="0" w:color="auto"/>
              <w:bottom w:val="single" w:sz="8" w:space="0" w:color="auto"/>
            </w:tcBorders>
          </w:tcPr>
          <w:p w14:paraId="45C3C117" w14:textId="77777777" w:rsidR="00742EBE" w:rsidRPr="0068236B" w:rsidRDefault="00742EBE" w:rsidP="00742EBE">
            <w:pPr>
              <w:rPr>
                <w:rFonts w:cs="Tahoma"/>
                <w:sz w:val="18"/>
                <w:szCs w:val="18"/>
              </w:rPr>
            </w:pPr>
            <w:r w:rsidRPr="0068236B">
              <w:rPr>
                <w:rFonts w:cs="Tahoma"/>
                <w:sz w:val="18"/>
                <w:szCs w:val="18"/>
              </w:rPr>
              <w:t>Resident</w:t>
            </w:r>
          </w:p>
        </w:tc>
        <w:tc>
          <w:tcPr>
            <w:tcW w:w="926" w:type="dxa"/>
            <w:tcBorders>
              <w:top w:val="single" w:sz="8" w:space="0" w:color="auto"/>
              <w:bottom w:val="single" w:sz="8" w:space="0" w:color="auto"/>
            </w:tcBorders>
          </w:tcPr>
          <w:p w14:paraId="01D36A66" w14:textId="77777777" w:rsidR="00742EBE" w:rsidRPr="0068236B" w:rsidRDefault="00742EBE" w:rsidP="00742EBE">
            <w:pPr>
              <w:spacing w:before="0" w:after="0" w:line="240" w:lineRule="auto"/>
              <w:jc w:val="left"/>
              <w:rPr>
                <w:rFonts w:cs="Tahoma"/>
                <w:sz w:val="18"/>
                <w:szCs w:val="18"/>
                <w:lang w:val="en-US" w:eastAsia="mk-MK"/>
              </w:rPr>
            </w:pPr>
            <w:r w:rsidRPr="0068236B">
              <w:rPr>
                <w:rFonts w:cs="Tahoma"/>
                <w:sz w:val="18"/>
                <w:szCs w:val="18"/>
                <w:lang w:val="en-US" w:eastAsia="mk-MK"/>
              </w:rPr>
              <w:t>No</w:t>
            </w:r>
          </w:p>
        </w:tc>
        <w:tc>
          <w:tcPr>
            <w:tcW w:w="3513" w:type="dxa"/>
            <w:tcBorders>
              <w:top w:val="single" w:sz="8" w:space="0" w:color="auto"/>
              <w:bottom w:val="single" w:sz="8" w:space="0" w:color="auto"/>
            </w:tcBorders>
          </w:tcPr>
          <w:p w14:paraId="26A572C5"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Possible Otter footprints were recorded along river Vardar, cca 2km downstream of the OHL crossing. Away from the OHL.</w:t>
            </w:r>
          </w:p>
        </w:tc>
        <w:tc>
          <w:tcPr>
            <w:tcW w:w="326" w:type="dxa"/>
            <w:tcBorders>
              <w:top w:val="single" w:sz="8" w:space="0" w:color="auto"/>
              <w:bottom w:val="single" w:sz="8" w:space="0" w:color="auto"/>
            </w:tcBorders>
            <w:tcMar>
              <w:left w:w="28" w:type="dxa"/>
              <w:right w:w="28" w:type="dxa"/>
            </w:tcMar>
          </w:tcPr>
          <w:p w14:paraId="3430AD63" w14:textId="77777777" w:rsidR="00742EBE" w:rsidRPr="0068236B" w:rsidRDefault="00742EBE" w:rsidP="00742EBE">
            <w:pPr>
              <w:spacing w:before="0" w:after="0" w:line="240" w:lineRule="auto"/>
              <w:jc w:val="center"/>
              <w:rPr>
                <w:rFonts w:cs="Tahoma"/>
                <w:sz w:val="18"/>
                <w:szCs w:val="18"/>
              </w:rPr>
            </w:pPr>
          </w:p>
        </w:tc>
        <w:tc>
          <w:tcPr>
            <w:tcW w:w="329" w:type="dxa"/>
            <w:tcBorders>
              <w:top w:val="single" w:sz="8" w:space="0" w:color="auto"/>
              <w:bottom w:val="single" w:sz="8" w:space="0" w:color="auto"/>
            </w:tcBorders>
            <w:tcMar>
              <w:left w:w="28" w:type="dxa"/>
              <w:right w:w="28" w:type="dxa"/>
            </w:tcMar>
          </w:tcPr>
          <w:p w14:paraId="4A7873D3"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c>
          <w:tcPr>
            <w:tcW w:w="314" w:type="dxa"/>
            <w:tcBorders>
              <w:top w:val="single" w:sz="8" w:space="0" w:color="auto"/>
              <w:bottom w:val="single" w:sz="8" w:space="0" w:color="auto"/>
            </w:tcBorders>
            <w:tcMar>
              <w:left w:w="28" w:type="dxa"/>
              <w:right w:w="28" w:type="dxa"/>
            </w:tcMar>
          </w:tcPr>
          <w:p w14:paraId="0A003CB9" w14:textId="77777777" w:rsidR="00742EBE" w:rsidRPr="0068236B" w:rsidRDefault="00742EBE" w:rsidP="00742EBE">
            <w:pPr>
              <w:spacing w:before="0" w:after="0" w:line="240" w:lineRule="auto"/>
              <w:jc w:val="center"/>
              <w:rPr>
                <w:rFonts w:cs="Tahoma"/>
                <w:sz w:val="18"/>
                <w:szCs w:val="18"/>
              </w:rPr>
            </w:pPr>
          </w:p>
        </w:tc>
      </w:tr>
      <w:tr w:rsidR="005D2480" w:rsidRPr="0068236B" w14:paraId="58E238DC" w14:textId="77777777" w:rsidTr="005D2480">
        <w:trPr>
          <w:gridAfter w:val="1"/>
          <w:wAfter w:w="6" w:type="dxa"/>
          <w:trHeight w:val="227"/>
        </w:trPr>
        <w:tc>
          <w:tcPr>
            <w:tcW w:w="1785" w:type="dxa"/>
            <w:tcBorders>
              <w:top w:val="single" w:sz="8" w:space="0" w:color="auto"/>
              <w:bottom w:val="single" w:sz="8" w:space="0" w:color="auto"/>
            </w:tcBorders>
            <w:noWrap/>
            <w:tcMar>
              <w:left w:w="28" w:type="dxa"/>
              <w:right w:w="28" w:type="dxa"/>
            </w:tcMar>
            <w:vAlign w:val="center"/>
          </w:tcPr>
          <w:p w14:paraId="43BB1ED9" w14:textId="77777777" w:rsidR="00742EBE" w:rsidRPr="0068236B" w:rsidRDefault="00742EBE" w:rsidP="00742EBE">
            <w:pPr>
              <w:spacing w:before="0" w:after="0" w:line="240" w:lineRule="auto"/>
              <w:rPr>
                <w:rFonts w:cs="Tahoma"/>
                <w:i/>
                <w:sz w:val="18"/>
                <w:szCs w:val="18"/>
              </w:rPr>
            </w:pPr>
            <w:r w:rsidRPr="0068236B">
              <w:rPr>
                <w:rFonts w:cs="Tahoma"/>
                <w:i/>
                <w:sz w:val="18"/>
                <w:szCs w:val="18"/>
              </w:rPr>
              <w:t>Podarcis muralis</w:t>
            </w:r>
          </w:p>
          <w:p w14:paraId="7C9B518E" w14:textId="77777777" w:rsidR="00742EBE" w:rsidRPr="0068236B" w:rsidRDefault="00742EBE" w:rsidP="00742EBE">
            <w:pPr>
              <w:spacing w:before="0" w:after="0" w:line="240" w:lineRule="auto"/>
              <w:rPr>
                <w:rFonts w:cs="Tahoma"/>
                <w:i/>
                <w:iCs/>
                <w:noProof/>
                <w:sz w:val="18"/>
                <w:szCs w:val="18"/>
              </w:rPr>
            </w:pPr>
            <w:r w:rsidRPr="0068236B">
              <w:rPr>
                <w:rFonts w:cs="Tahoma"/>
                <w:i/>
                <w:sz w:val="18"/>
                <w:szCs w:val="18"/>
              </w:rPr>
              <w:t>Wall lizard</w:t>
            </w:r>
          </w:p>
        </w:tc>
        <w:tc>
          <w:tcPr>
            <w:tcW w:w="531" w:type="dxa"/>
            <w:tcBorders>
              <w:top w:val="single" w:sz="8" w:space="0" w:color="auto"/>
              <w:bottom w:val="single" w:sz="8" w:space="0" w:color="auto"/>
            </w:tcBorders>
          </w:tcPr>
          <w:p w14:paraId="6D94B5E9" w14:textId="77777777" w:rsidR="00742EBE" w:rsidRPr="0068236B" w:rsidRDefault="00742EBE" w:rsidP="00742EBE">
            <w:pPr>
              <w:jc w:val="center"/>
              <w:rPr>
                <w:rFonts w:cs="Tahoma"/>
                <w:sz w:val="18"/>
                <w:szCs w:val="18"/>
              </w:rPr>
            </w:pPr>
            <w:r w:rsidRPr="0068236B">
              <w:rPr>
                <w:rFonts w:cs="Tahoma"/>
                <w:sz w:val="18"/>
                <w:szCs w:val="18"/>
              </w:rPr>
              <w:t>CH</w:t>
            </w:r>
          </w:p>
        </w:tc>
        <w:tc>
          <w:tcPr>
            <w:tcW w:w="1114" w:type="dxa"/>
            <w:tcBorders>
              <w:top w:val="single" w:sz="8" w:space="0" w:color="auto"/>
              <w:bottom w:val="single" w:sz="8" w:space="0" w:color="auto"/>
            </w:tcBorders>
          </w:tcPr>
          <w:p w14:paraId="7D13991D"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HD: IV</w:t>
            </w:r>
          </w:p>
        </w:tc>
        <w:tc>
          <w:tcPr>
            <w:tcW w:w="948" w:type="dxa"/>
            <w:tcBorders>
              <w:top w:val="single" w:sz="8" w:space="0" w:color="auto"/>
              <w:bottom w:val="single" w:sz="8" w:space="0" w:color="auto"/>
            </w:tcBorders>
          </w:tcPr>
          <w:p w14:paraId="73E5D5E8" w14:textId="77777777" w:rsidR="00742EBE" w:rsidRPr="0068236B" w:rsidRDefault="00742EBE" w:rsidP="00742EBE">
            <w:pPr>
              <w:rPr>
                <w:rFonts w:cs="Tahoma"/>
                <w:sz w:val="18"/>
                <w:szCs w:val="18"/>
              </w:rPr>
            </w:pPr>
            <w:r w:rsidRPr="0068236B">
              <w:rPr>
                <w:rFonts w:cs="Tahoma"/>
                <w:sz w:val="18"/>
                <w:szCs w:val="18"/>
              </w:rPr>
              <w:t>Resident</w:t>
            </w:r>
          </w:p>
        </w:tc>
        <w:tc>
          <w:tcPr>
            <w:tcW w:w="926" w:type="dxa"/>
            <w:tcBorders>
              <w:top w:val="single" w:sz="8" w:space="0" w:color="auto"/>
              <w:bottom w:val="single" w:sz="8" w:space="0" w:color="auto"/>
            </w:tcBorders>
          </w:tcPr>
          <w:p w14:paraId="534C2688" w14:textId="77777777" w:rsidR="00742EBE" w:rsidRPr="0068236B" w:rsidRDefault="00742EBE" w:rsidP="00742EBE">
            <w:pPr>
              <w:spacing w:before="0" w:after="0" w:line="240" w:lineRule="auto"/>
              <w:jc w:val="left"/>
              <w:rPr>
                <w:rFonts w:cs="Tahoma"/>
                <w:sz w:val="18"/>
                <w:szCs w:val="18"/>
                <w:lang w:val="en-US" w:eastAsia="mk-MK"/>
              </w:rPr>
            </w:pPr>
            <w:r w:rsidRPr="0068236B">
              <w:rPr>
                <w:rFonts w:cs="Tahoma"/>
                <w:sz w:val="18"/>
                <w:szCs w:val="18"/>
                <w:lang w:val="en-US" w:eastAsia="mk-MK"/>
              </w:rPr>
              <w:t>Yes</w:t>
            </w:r>
          </w:p>
        </w:tc>
        <w:tc>
          <w:tcPr>
            <w:tcW w:w="3513" w:type="dxa"/>
            <w:tcBorders>
              <w:top w:val="single" w:sz="8" w:space="0" w:color="auto"/>
              <w:bottom w:val="single" w:sz="8" w:space="0" w:color="auto"/>
            </w:tcBorders>
          </w:tcPr>
          <w:p w14:paraId="2B6F15FC"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The species was recorded in the area, especially in the villages.</w:t>
            </w:r>
          </w:p>
        </w:tc>
        <w:tc>
          <w:tcPr>
            <w:tcW w:w="326" w:type="dxa"/>
            <w:tcBorders>
              <w:top w:val="single" w:sz="8" w:space="0" w:color="auto"/>
              <w:bottom w:val="single" w:sz="8" w:space="0" w:color="auto"/>
            </w:tcBorders>
            <w:tcMar>
              <w:left w:w="28" w:type="dxa"/>
              <w:right w:w="28" w:type="dxa"/>
            </w:tcMar>
          </w:tcPr>
          <w:p w14:paraId="5FAB3192"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c>
          <w:tcPr>
            <w:tcW w:w="329" w:type="dxa"/>
            <w:tcBorders>
              <w:top w:val="single" w:sz="8" w:space="0" w:color="auto"/>
              <w:bottom w:val="single" w:sz="8" w:space="0" w:color="auto"/>
            </w:tcBorders>
            <w:tcMar>
              <w:left w:w="28" w:type="dxa"/>
              <w:right w:w="28" w:type="dxa"/>
            </w:tcMar>
          </w:tcPr>
          <w:p w14:paraId="4599A3C0"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c>
          <w:tcPr>
            <w:tcW w:w="314" w:type="dxa"/>
            <w:tcBorders>
              <w:top w:val="single" w:sz="8" w:space="0" w:color="auto"/>
              <w:bottom w:val="single" w:sz="8" w:space="0" w:color="auto"/>
            </w:tcBorders>
            <w:tcMar>
              <w:left w:w="28" w:type="dxa"/>
              <w:right w:w="28" w:type="dxa"/>
            </w:tcMar>
          </w:tcPr>
          <w:p w14:paraId="322BE44D"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r>
      <w:tr w:rsidR="005D2480" w:rsidRPr="0068236B" w14:paraId="28F646EE" w14:textId="77777777" w:rsidTr="005D2480">
        <w:trPr>
          <w:gridAfter w:val="1"/>
          <w:wAfter w:w="6" w:type="dxa"/>
          <w:trHeight w:val="227"/>
        </w:trPr>
        <w:tc>
          <w:tcPr>
            <w:tcW w:w="1785" w:type="dxa"/>
            <w:tcBorders>
              <w:top w:val="single" w:sz="8" w:space="0" w:color="auto"/>
              <w:bottom w:val="single" w:sz="8" w:space="0" w:color="auto"/>
            </w:tcBorders>
            <w:noWrap/>
            <w:tcMar>
              <w:left w:w="28" w:type="dxa"/>
              <w:right w:w="28" w:type="dxa"/>
            </w:tcMar>
            <w:vAlign w:val="center"/>
          </w:tcPr>
          <w:p w14:paraId="79AC366C" w14:textId="77777777" w:rsidR="00742EBE" w:rsidRPr="0068236B" w:rsidRDefault="00742EBE" w:rsidP="00742EBE">
            <w:pPr>
              <w:spacing w:before="0" w:after="0" w:line="240" w:lineRule="auto"/>
              <w:rPr>
                <w:rFonts w:cs="Tahoma"/>
                <w:i/>
                <w:sz w:val="18"/>
                <w:szCs w:val="18"/>
              </w:rPr>
            </w:pPr>
            <w:r w:rsidRPr="0068236B">
              <w:rPr>
                <w:rFonts w:cs="Tahoma"/>
                <w:i/>
                <w:sz w:val="18"/>
                <w:szCs w:val="18"/>
              </w:rPr>
              <w:t>Lacerta trilineata</w:t>
            </w:r>
          </w:p>
          <w:p w14:paraId="5EB0B9A7" w14:textId="77777777" w:rsidR="00742EBE" w:rsidRPr="0068236B" w:rsidRDefault="00742EBE" w:rsidP="00742EBE">
            <w:pPr>
              <w:spacing w:before="0" w:after="0" w:line="240" w:lineRule="auto"/>
              <w:rPr>
                <w:rFonts w:cs="Tahoma"/>
                <w:i/>
                <w:iCs/>
                <w:noProof/>
                <w:sz w:val="18"/>
                <w:szCs w:val="18"/>
              </w:rPr>
            </w:pPr>
            <w:r w:rsidRPr="0068236B">
              <w:rPr>
                <w:rFonts w:cs="Tahoma"/>
                <w:i/>
                <w:sz w:val="18"/>
                <w:szCs w:val="18"/>
              </w:rPr>
              <w:t>Balkna Green lizard</w:t>
            </w:r>
          </w:p>
        </w:tc>
        <w:tc>
          <w:tcPr>
            <w:tcW w:w="531" w:type="dxa"/>
            <w:tcBorders>
              <w:top w:val="single" w:sz="8" w:space="0" w:color="auto"/>
              <w:bottom w:val="single" w:sz="8" w:space="0" w:color="auto"/>
            </w:tcBorders>
          </w:tcPr>
          <w:p w14:paraId="3CCF3594" w14:textId="77777777" w:rsidR="00742EBE" w:rsidRPr="0068236B" w:rsidRDefault="00742EBE" w:rsidP="00742EBE">
            <w:pPr>
              <w:jc w:val="center"/>
              <w:rPr>
                <w:rFonts w:cs="Tahoma"/>
                <w:sz w:val="18"/>
                <w:szCs w:val="18"/>
              </w:rPr>
            </w:pPr>
            <w:r w:rsidRPr="0068236B">
              <w:rPr>
                <w:rFonts w:cs="Tahoma"/>
                <w:sz w:val="18"/>
                <w:szCs w:val="18"/>
              </w:rPr>
              <w:t>CH</w:t>
            </w:r>
          </w:p>
        </w:tc>
        <w:tc>
          <w:tcPr>
            <w:tcW w:w="1114" w:type="dxa"/>
            <w:tcBorders>
              <w:top w:val="single" w:sz="8" w:space="0" w:color="auto"/>
              <w:bottom w:val="single" w:sz="8" w:space="0" w:color="auto"/>
            </w:tcBorders>
          </w:tcPr>
          <w:p w14:paraId="7447368B"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HD: IV</w:t>
            </w:r>
          </w:p>
        </w:tc>
        <w:tc>
          <w:tcPr>
            <w:tcW w:w="948" w:type="dxa"/>
            <w:tcBorders>
              <w:top w:val="single" w:sz="8" w:space="0" w:color="auto"/>
              <w:bottom w:val="single" w:sz="8" w:space="0" w:color="auto"/>
            </w:tcBorders>
          </w:tcPr>
          <w:p w14:paraId="6B047325" w14:textId="77777777" w:rsidR="00742EBE" w:rsidRPr="0068236B" w:rsidRDefault="00742EBE" w:rsidP="00742EBE">
            <w:pPr>
              <w:rPr>
                <w:rFonts w:cs="Tahoma"/>
                <w:sz w:val="18"/>
                <w:szCs w:val="18"/>
              </w:rPr>
            </w:pPr>
            <w:r w:rsidRPr="0068236B">
              <w:rPr>
                <w:rFonts w:cs="Tahoma"/>
                <w:sz w:val="18"/>
                <w:szCs w:val="18"/>
              </w:rPr>
              <w:t>Resident</w:t>
            </w:r>
          </w:p>
        </w:tc>
        <w:tc>
          <w:tcPr>
            <w:tcW w:w="926" w:type="dxa"/>
            <w:tcBorders>
              <w:top w:val="single" w:sz="8" w:space="0" w:color="auto"/>
              <w:bottom w:val="single" w:sz="8" w:space="0" w:color="auto"/>
            </w:tcBorders>
          </w:tcPr>
          <w:p w14:paraId="24C24E00" w14:textId="77777777" w:rsidR="00742EBE" w:rsidRPr="0068236B" w:rsidRDefault="00742EBE" w:rsidP="00742EBE">
            <w:pPr>
              <w:spacing w:before="0" w:after="0" w:line="240" w:lineRule="auto"/>
              <w:jc w:val="left"/>
              <w:rPr>
                <w:rFonts w:cs="Tahoma"/>
                <w:sz w:val="18"/>
                <w:szCs w:val="18"/>
                <w:lang w:val="en-US" w:eastAsia="mk-MK"/>
              </w:rPr>
            </w:pPr>
            <w:r w:rsidRPr="0068236B">
              <w:rPr>
                <w:rFonts w:cs="Tahoma"/>
                <w:sz w:val="18"/>
                <w:szCs w:val="18"/>
                <w:lang w:val="en-US" w:eastAsia="mk-MK"/>
              </w:rPr>
              <w:t>Yes</w:t>
            </w:r>
          </w:p>
        </w:tc>
        <w:tc>
          <w:tcPr>
            <w:tcW w:w="3513" w:type="dxa"/>
            <w:tcBorders>
              <w:top w:val="single" w:sz="8" w:space="0" w:color="auto"/>
              <w:bottom w:val="single" w:sz="8" w:space="0" w:color="auto"/>
            </w:tcBorders>
          </w:tcPr>
          <w:p w14:paraId="4D371DB5"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Common in the agricultural area and d</w:t>
            </w:r>
            <w:r w:rsidRPr="0068236B">
              <w:rPr>
                <w:rFonts w:cs="Tahoma"/>
                <w:sz w:val="18"/>
                <w:szCs w:val="18"/>
              </w:rPr>
              <w:t>e</w:t>
            </w:r>
            <w:r w:rsidRPr="0068236B">
              <w:rPr>
                <w:rFonts w:cs="Tahoma"/>
                <w:sz w:val="18"/>
                <w:szCs w:val="18"/>
              </w:rPr>
              <w:t>graded woodlands.</w:t>
            </w:r>
          </w:p>
        </w:tc>
        <w:tc>
          <w:tcPr>
            <w:tcW w:w="326" w:type="dxa"/>
            <w:tcBorders>
              <w:top w:val="single" w:sz="8" w:space="0" w:color="auto"/>
              <w:bottom w:val="single" w:sz="8" w:space="0" w:color="auto"/>
            </w:tcBorders>
            <w:tcMar>
              <w:left w:w="28" w:type="dxa"/>
              <w:right w:w="28" w:type="dxa"/>
            </w:tcMar>
          </w:tcPr>
          <w:p w14:paraId="567B7C13"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c>
          <w:tcPr>
            <w:tcW w:w="329" w:type="dxa"/>
            <w:tcBorders>
              <w:top w:val="single" w:sz="8" w:space="0" w:color="auto"/>
              <w:bottom w:val="single" w:sz="8" w:space="0" w:color="auto"/>
            </w:tcBorders>
            <w:tcMar>
              <w:left w:w="28" w:type="dxa"/>
              <w:right w:w="28" w:type="dxa"/>
            </w:tcMar>
          </w:tcPr>
          <w:p w14:paraId="5A53BE24"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c>
          <w:tcPr>
            <w:tcW w:w="314" w:type="dxa"/>
            <w:tcBorders>
              <w:top w:val="single" w:sz="8" w:space="0" w:color="auto"/>
              <w:bottom w:val="single" w:sz="8" w:space="0" w:color="auto"/>
            </w:tcBorders>
            <w:tcMar>
              <w:left w:w="28" w:type="dxa"/>
              <w:right w:w="28" w:type="dxa"/>
            </w:tcMar>
          </w:tcPr>
          <w:p w14:paraId="59B251BB"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r>
      <w:tr w:rsidR="005D2480" w:rsidRPr="0068236B" w14:paraId="366A611D" w14:textId="77777777" w:rsidTr="005D2480">
        <w:trPr>
          <w:gridAfter w:val="1"/>
          <w:wAfter w:w="6" w:type="dxa"/>
          <w:trHeight w:val="227"/>
        </w:trPr>
        <w:tc>
          <w:tcPr>
            <w:tcW w:w="1785" w:type="dxa"/>
            <w:tcBorders>
              <w:top w:val="single" w:sz="8" w:space="0" w:color="auto"/>
              <w:bottom w:val="single" w:sz="8" w:space="0" w:color="auto"/>
            </w:tcBorders>
            <w:noWrap/>
            <w:tcMar>
              <w:left w:w="28" w:type="dxa"/>
              <w:right w:w="28" w:type="dxa"/>
            </w:tcMar>
            <w:vAlign w:val="center"/>
          </w:tcPr>
          <w:p w14:paraId="0B0BE3B1" w14:textId="77777777" w:rsidR="00742EBE" w:rsidRPr="0068236B" w:rsidRDefault="00742EBE" w:rsidP="00742EBE">
            <w:pPr>
              <w:spacing w:before="0" w:after="0" w:line="240" w:lineRule="auto"/>
              <w:rPr>
                <w:rFonts w:cs="Tahoma"/>
                <w:i/>
                <w:sz w:val="18"/>
                <w:szCs w:val="18"/>
              </w:rPr>
            </w:pPr>
            <w:r w:rsidRPr="0068236B">
              <w:rPr>
                <w:rFonts w:cs="Tahoma"/>
                <w:i/>
                <w:sz w:val="18"/>
                <w:szCs w:val="18"/>
              </w:rPr>
              <w:t>Testudo graeca</w:t>
            </w:r>
          </w:p>
          <w:p w14:paraId="622ABEDC" w14:textId="77777777" w:rsidR="00742EBE" w:rsidRPr="0068236B" w:rsidRDefault="00742EBE" w:rsidP="00742EBE">
            <w:pPr>
              <w:spacing w:before="0" w:after="0" w:line="240" w:lineRule="auto"/>
              <w:rPr>
                <w:rFonts w:cs="Tahoma"/>
                <w:i/>
                <w:sz w:val="18"/>
                <w:szCs w:val="18"/>
              </w:rPr>
            </w:pPr>
            <w:r w:rsidRPr="0068236B">
              <w:rPr>
                <w:rFonts w:cs="Tahoma"/>
                <w:i/>
                <w:sz w:val="18"/>
                <w:szCs w:val="18"/>
              </w:rPr>
              <w:t>Greek tortoise</w:t>
            </w:r>
          </w:p>
        </w:tc>
        <w:tc>
          <w:tcPr>
            <w:tcW w:w="531" w:type="dxa"/>
            <w:tcBorders>
              <w:top w:val="single" w:sz="8" w:space="0" w:color="auto"/>
              <w:bottom w:val="single" w:sz="8" w:space="0" w:color="auto"/>
            </w:tcBorders>
          </w:tcPr>
          <w:p w14:paraId="1CE8FBA7" w14:textId="77777777" w:rsidR="00742EBE" w:rsidRPr="0068236B" w:rsidRDefault="00742EBE" w:rsidP="00742EBE">
            <w:pPr>
              <w:jc w:val="center"/>
              <w:rPr>
                <w:rFonts w:cs="Tahoma"/>
                <w:sz w:val="18"/>
                <w:szCs w:val="18"/>
              </w:rPr>
            </w:pPr>
            <w:r w:rsidRPr="0068236B">
              <w:rPr>
                <w:rFonts w:cs="Tahoma"/>
                <w:sz w:val="18"/>
                <w:szCs w:val="18"/>
              </w:rPr>
              <w:t>CH</w:t>
            </w:r>
          </w:p>
        </w:tc>
        <w:tc>
          <w:tcPr>
            <w:tcW w:w="1114" w:type="dxa"/>
            <w:tcBorders>
              <w:top w:val="single" w:sz="8" w:space="0" w:color="auto"/>
              <w:bottom w:val="single" w:sz="8" w:space="0" w:color="auto"/>
            </w:tcBorders>
          </w:tcPr>
          <w:p w14:paraId="310B0791"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ERL, GRL &amp; NRL: VU; HD: II/IV</w:t>
            </w:r>
          </w:p>
        </w:tc>
        <w:tc>
          <w:tcPr>
            <w:tcW w:w="948" w:type="dxa"/>
            <w:tcBorders>
              <w:top w:val="single" w:sz="8" w:space="0" w:color="auto"/>
              <w:bottom w:val="single" w:sz="8" w:space="0" w:color="auto"/>
            </w:tcBorders>
          </w:tcPr>
          <w:p w14:paraId="0F2E0D9C" w14:textId="77777777" w:rsidR="00742EBE" w:rsidRPr="0068236B" w:rsidRDefault="00742EBE" w:rsidP="00742EBE">
            <w:pPr>
              <w:rPr>
                <w:rFonts w:cs="Tahoma"/>
                <w:sz w:val="18"/>
                <w:szCs w:val="18"/>
              </w:rPr>
            </w:pPr>
            <w:r w:rsidRPr="0068236B">
              <w:rPr>
                <w:rFonts w:cs="Tahoma"/>
                <w:sz w:val="18"/>
                <w:szCs w:val="18"/>
              </w:rPr>
              <w:t>Resident</w:t>
            </w:r>
          </w:p>
        </w:tc>
        <w:tc>
          <w:tcPr>
            <w:tcW w:w="926" w:type="dxa"/>
            <w:tcBorders>
              <w:top w:val="single" w:sz="8" w:space="0" w:color="auto"/>
              <w:bottom w:val="single" w:sz="8" w:space="0" w:color="auto"/>
            </w:tcBorders>
          </w:tcPr>
          <w:p w14:paraId="74CCDB88" w14:textId="77777777" w:rsidR="00742EBE" w:rsidRPr="0068236B" w:rsidRDefault="00742EBE" w:rsidP="00742EBE">
            <w:pPr>
              <w:spacing w:before="0" w:after="0" w:line="240" w:lineRule="auto"/>
              <w:jc w:val="left"/>
              <w:rPr>
                <w:rFonts w:cs="Tahoma"/>
                <w:sz w:val="18"/>
                <w:szCs w:val="18"/>
                <w:lang w:val="en-US" w:eastAsia="mk-MK"/>
              </w:rPr>
            </w:pPr>
            <w:r w:rsidRPr="0068236B">
              <w:rPr>
                <w:rFonts w:cs="Tahoma"/>
                <w:sz w:val="18"/>
                <w:szCs w:val="18"/>
                <w:lang w:val="en-US" w:eastAsia="mk-MK"/>
              </w:rPr>
              <w:t>Yes</w:t>
            </w:r>
          </w:p>
        </w:tc>
        <w:tc>
          <w:tcPr>
            <w:tcW w:w="3513" w:type="dxa"/>
            <w:tcBorders>
              <w:top w:val="single" w:sz="8" w:space="0" w:color="auto"/>
              <w:bottom w:val="single" w:sz="8" w:space="0" w:color="auto"/>
            </w:tcBorders>
          </w:tcPr>
          <w:p w14:paraId="720EE3A5"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Probably common in the area.</w:t>
            </w:r>
          </w:p>
        </w:tc>
        <w:tc>
          <w:tcPr>
            <w:tcW w:w="326" w:type="dxa"/>
            <w:tcBorders>
              <w:top w:val="single" w:sz="8" w:space="0" w:color="auto"/>
              <w:bottom w:val="single" w:sz="8" w:space="0" w:color="auto"/>
            </w:tcBorders>
            <w:tcMar>
              <w:left w:w="28" w:type="dxa"/>
              <w:right w:w="28" w:type="dxa"/>
            </w:tcMar>
          </w:tcPr>
          <w:p w14:paraId="404018B8"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c>
          <w:tcPr>
            <w:tcW w:w="329" w:type="dxa"/>
            <w:tcBorders>
              <w:top w:val="single" w:sz="8" w:space="0" w:color="auto"/>
              <w:bottom w:val="single" w:sz="8" w:space="0" w:color="auto"/>
            </w:tcBorders>
            <w:tcMar>
              <w:left w:w="28" w:type="dxa"/>
              <w:right w:w="28" w:type="dxa"/>
            </w:tcMar>
          </w:tcPr>
          <w:p w14:paraId="76011458"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c>
          <w:tcPr>
            <w:tcW w:w="314" w:type="dxa"/>
            <w:tcBorders>
              <w:top w:val="single" w:sz="8" w:space="0" w:color="auto"/>
              <w:bottom w:val="single" w:sz="8" w:space="0" w:color="auto"/>
            </w:tcBorders>
            <w:tcMar>
              <w:left w:w="28" w:type="dxa"/>
              <w:right w:w="28" w:type="dxa"/>
            </w:tcMar>
          </w:tcPr>
          <w:p w14:paraId="22767B71"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r>
      <w:tr w:rsidR="005D2480" w:rsidRPr="0068236B" w14:paraId="77F7ACBE" w14:textId="77777777" w:rsidTr="005D2480">
        <w:trPr>
          <w:gridAfter w:val="1"/>
          <w:wAfter w:w="6" w:type="dxa"/>
          <w:trHeight w:val="227"/>
        </w:trPr>
        <w:tc>
          <w:tcPr>
            <w:tcW w:w="1785" w:type="dxa"/>
            <w:tcBorders>
              <w:top w:val="single" w:sz="8" w:space="0" w:color="auto"/>
              <w:bottom w:val="single" w:sz="8" w:space="0" w:color="auto"/>
            </w:tcBorders>
            <w:noWrap/>
            <w:tcMar>
              <w:left w:w="28" w:type="dxa"/>
              <w:right w:w="28" w:type="dxa"/>
            </w:tcMar>
            <w:vAlign w:val="center"/>
          </w:tcPr>
          <w:p w14:paraId="2A1C5ED1" w14:textId="77777777" w:rsidR="00742EBE" w:rsidRPr="0068236B" w:rsidRDefault="00742EBE" w:rsidP="00742EBE">
            <w:pPr>
              <w:spacing w:before="0" w:after="0" w:line="240" w:lineRule="auto"/>
              <w:rPr>
                <w:rFonts w:cs="Tahoma"/>
                <w:i/>
                <w:sz w:val="18"/>
                <w:szCs w:val="18"/>
              </w:rPr>
            </w:pPr>
            <w:r w:rsidRPr="0068236B">
              <w:rPr>
                <w:rFonts w:cs="Tahoma"/>
                <w:i/>
                <w:sz w:val="18"/>
                <w:szCs w:val="18"/>
              </w:rPr>
              <w:t>Bufo viridis</w:t>
            </w:r>
          </w:p>
          <w:p w14:paraId="1D6E4421" w14:textId="77777777" w:rsidR="00742EBE" w:rsidRPr="0068236B" w:rsidRDefault="00742EBE" w:rsidP="00742EBE">
            <w:pPr>
              <w:spacing w:before="0" w:after="0" w:line="240" w:lineRule="auto"/>
              <w:rPr>
                <w:rFonts w:cs="Tahoma"/>
                <w:i/>
                <w:iCs/>
                <w:noProof/>
                <w:sz w:val="18"/>
                <w:szCs w:val="18"/>
              </w:rPr>
            </w:pPr>
            <w:r w:rsidRPr="0068236B">
              <w:rPr>
                <w:rFonts w:cs="Tahoma"/>
                <w:i/>
                <w:sz w:val="18"/>
                <w:szCs w:val="18"/>
              </w:rPr>
              <w:t>Green toad</w:t>
            </w:r>
          </w:p>
        </w:tc>
        <w:tc>
          <w:tcPr>
            <w:tcW w:w="531" w:type="dxa"/>
            <w:tcBorders>
              <w:top w:val="single" w:sz="8" w:space="0" w:color="auto"/>
              <w:bottom w:val="single" w:sz="8" w:space="0" w:color="auto"/>
            </w:tcBorders>
          </w:tcPr>
          <w:p w14:paraId="2A38756A" w14:textId="77777777" w:rsidR="00742EBE" w:rsidRPr="0068236B" w:rsidRDefault="00742EBE" w:rsidP="00742EBE">
            <w:pPr>
              <w:jc w:val="center"/>
              <w:rPr>
                <w:rFonts w:cs="Tahoma"/>
                <w:sz w:val="18"/>
                <w:szCs w:val="18"/>
              </w:rPr>
            </w:pPr>
            <w:r w:rsidRPr="0068236B">
              <w:rPr>
                <w:rFonts w:cs="Tahoma"/>
                <w:sz w:val="18"/>
                <w:szCs w:val="18"/>
              </w:rPr>
              <w:t>CH</w:t>
            </w:r>
          </w:p>
        </w:tc>
        <w:tc>
          <w:tcPr>
            <w:tcW w:w="1114" w:type="dxa"/>
            <w:tcBorders>
              <w:top w:val="single" w:sz="8" w:space="0" w:color="auto"/>
              <w:bottom w:val="single" w:sz="8" w:space="0" w:color="auto"/>
            </w:tcBorders>
          </w:tcPr>
          <w:p w14:paraId="52FD2BAA"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HD: IV</w:t>
            </w:r>
          </w:p>
        </w:tc>
        <w:tc>
          <w:tcPr>
            <w:tcW w:w="948" w:type="dxa"/>
            <w:tcBorders>
              <w:top w:val="single" w:sz="8" w:space="0" w:color="auto"/>
              <w:bottom w:val="single" w:sz="8" w:space="0" w:color="auto"/>
            </w:tcBorders>
          </w:tcPr>
          <w:p w14:paraId="5580EF86" w14:textId="77777777" w:rsidR="00742EBE" w:rsidRPr="0068236B" w:rsidRDefault="00742EBE" w:rsidP="00742EBE">
            <w:pPr>
              <w:rPr>
                <w:rFonts w:cs="Tahoma"/>
                <w:sz w:val="18"/>
                <w:szCs w:val="18"/>
              </w:rPr>
            </w:pPr>
            <w:r w:rsidRPr="0068236B">
              <w:rPr>
                <w:rFonts w:cs="Tahoma"/>
                <w:sz w:val="18"/>
                <w:szCs w:val="18"/>
              </w:rPr>
              <w:t>Resident</w:t>
            </w:r>
          </w:p>
        </w:tc>
        <w:tc>
          <w:tcPr>
            <w:tcW w:w="926" w:type="dxa"/>
            <w:tcBorders>
              <w:top w:val="single" w:sz="8" w:space="0" w:color="auto"/>
              <w:bottom w:val="single" w:sz="8" w:space="0" w:color="auto"/>
            </w:tcBorders>
          </w:tcPr>
          <w:p w14:paraId="4E71CE8E" w14:textId="77777777" w:rsidR="00742EBE" w:rsidRPr="0068236B" w:rsidRDefault="00742EBE" w:rsidP="00742EBE">
            <w:pPr>
              <w:spacing w:before="0" w:after="0" w:line="240" w:lineRule="auto"/>
              <w:jc w:val="left"/>
              <w:rPr>
                <w:rFonts w:cs="Tahoma"/>
                <w:sz w:val="18"/>
                <w:szCs w:val="18"/>
                <w:lang w:val="en-US" w:eastAsia="mk-MK"/>
              </w:rPr>
            </w:pPr>
            <w:r w:rsidRPr="0068236B">
              <w:rPr>
                <w:rFonts w:cs="Tahoma"/>
                <w:sz w:val="18"/>
                <w:szCs w:val="18"/>
                <w:lang w:val="en-US" w:eastAsia="mk-MK"/>
              </w:rPr>
              <w:t>Yes</w:t>
            </w:r>
          </w:p>
        </w:tc>
        <w:tc>
          <w:tcPr>
            <w:tcW w:w="3513" w:type="dxa"/>
            <w:tcBorders>
              <w:top w:val="single" w:sz="8" w:space="0" w:color="auto"/>
              <w:bottom w:val="single" w:sz="8" w:space="0" w:color="auto"/>
            </w:tcBorders>
          </w:tcPr>
          <w:p w14:paraId="7F0E067B"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Only recorded along river Vardar and Anska Reka.</w:t>
            </w:r>
          </w:p>
        </w:tc>
        <w:tc>
          <w:tcPr>
            <w:tcW w:w="326" w:type="dxa"/>
            <w:tcBorders>
              <w:top w:val="single" w:sz="8" w:space="0" w:color="auto"/>
              <w:bottom w:val="single" w:sz="8" w:space="0" w:color="auto"/>
            </w:tcBorders>
            <w:tcMar>
              <w:left w:w="28" w:type="dxa"/>
              <w:right w:w="28" w:type="dxa"/>
            </w:tcMar>
          </w:tcPr>
          <w:p w14:paraId="581BA846"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c>
          <w:tcPr>
            <w:tcW w:w="329" w:type="dxa"/>
            <w:tcBorders>
              <w:top w:val="single" w:sz="8" w:space="0" w:color="auto"/>
              <w:bottom w:val="single" w:sz="8" w:space="0" w:color="auto"/>
            </w:tcBorders>
            <w:tcMar>
              <w:left w:w="28" w:type="dxa"/>
              <w:right w:w="28" w:type="dxa"/>
            </w:tcMar>
          </w:tcPr>
          <w:p w14:paraId="38136E8E"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c>
          <w:tcPr>
            <w:tcW w:w="314" w:type="dxa"/>
            <w:tcBorders>
              <w:top w:val="single" w:sz="8" w:space="0" w:color="auto"/>
              <w:bottom w:val="single" w:sz="8" w:space="0" w:color="auto"/>
            </w:tcBorders>
            <w:tcMar>
              <w:left w:w="28" w:type="dxa"/>
              <w:right w:w="28" w:type="dxa"/>
            </w:tcMar>
          </w:tcPr>
          <w:p w14:paraId="5C85115B"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r>
      <w:tr w:rsidR="005D2480" w:rsidRPr="0068236B" w14:paraId="72FB3B6E" w14:textId="77777777" w:rsidTr="005D2480">
        <w:trPr>
          <w:gridAfter w:val="1"/>
          <w:wAfter w:w="6" w:type="dxa"/>
          <w:trHeight w:val="227"/>
        </w:trPr>
        <w:tc>
          <w:tcPr>
            <w:tcW w:w="1785" w:type="dxa"/>
            <w:tcBorders>
              <w:top w:val="single" w:sz="8" w:space="0" w:color="auto"/>
              <w:bottom w:val="double" w:sz="4" w:space="0" w:color="auto"/>
            </w:tcBorders>
            <w:noWrap/>
            <w:tcMar>
              <w:left w:w="28" w:type="dxa"/>
              <w:right w:w="28" w:type="dxa"/>
            </w:tcMar>
            <w:vAlign w:val="center"/>
          </w:tcPr>
          <w:p w14:paraId="73AAE94F" w14:textId="77777777" w:rsidR="00742EBE" w:rsidRPr="0068236B" w:rsidRDefault="00742EBE" w:rsidP="00742EBE">
            <w:pPr>
              <w:spacing w:before="0" w:after="0" w:line="240" w:lineRule="auto"/>
              <w:rPr>
                <w:rFonts w:cs="Tahoma"/>
                <w:i/>
                <w:sz w:val="18"/>
                <w:szCs w:val="18"/>
              </w:rPr>
            </w:pPr>
            <w:r w:rsidRPr="0068236B">
              <w:rPr>
                <w:rFonts w:cs="Tahoma"/>
                <w:i/>
                <w:sz w:val="18"/>
                <w:szCs w:val="18"/>
              </w:rPr>
              <w:t>Rana graeca</w:t>
            </w:r>
          </w:p>
          <w:p w14:paraId="7EC5784D" w14:textId="77777777" w:rsidR="00742EBE" w:rsidRPr="0068236B" w:rsidRDefault="00742EBE" w:rsidP="00742EBE">
            <w:pPr>
              <w:spacing w:before="0" w:after="0" w:line="240" w:lineRule="auto"/>
              <w:jc w:val="left"/>
              <w:rPr>
                <w:rFonts w:cs="Tahoma"/>
                <w:i/>
                <w:iCs/>
                <w:noProof/>
                <w:sz w:val="18"/>
                <w:szCs w:val="18"/>
              </w:rPr>
            </w:pPr>
            <w:r w:rsidRPr="0068236B">
              <w:rPr>
                <w:rFonts w:cs="Tahoma"/>
                <w:i/>
                <w:sz w:val="18"/>
                <w:szCs w:val="18"/>
              </w:rPr>
              <w:t>Greek stream frog</w:t>
            </w:r>
          </w:p>
        </w:tc>
        <w:tc>
          <w:tcPr>
            <w:tcW w:w="531" w:type="dxa"/>
            <w:tcBorders>
              <w:top w:val="single" w:sz="8" w:space="0" w:color="auto"/>
              <w:bottom w:val="double" w:sz="4" w:space="0" w:color="auto"/>
            </w:tcBorders>
          </w:tcPr>
          <w:p w14:paraId="78A524DF" w14:textId="77777777" w:rsidR="00742EBE" w:rsidRPr="0068236B" w:rsidRDefault="00742EBE" w:rsidP="00742EBE">
            <w:pPr>
              <w:jc w:val="center"/>
              <w:rPr>
                <w:rFonts w:cs="Tahoma"/>
                <w:sz w:val="18"/>
                <w:szCs w:val="18"/>
              </w:rPr>
            </w:pPr>
            <w:r w:rsidRPr="0068236B">
              <w:rPr>
                <w:rFonts w:cs="Tahoma"/>
                <w:sz w:val="18"/>
                <w:szCs w:val="18"/>
              </w:rPr>
              <w:t>CH</w:t>
            </w:r>
          </w:p>
        </w:tc>
        <w:tc>
          <w:tcPr>
            <w:tcW w:w="1114" w:type="dxa"/>
            <w:tcBorders>
              <w:top w:val="single" w:sz="8" w:space="0" w:color="auto"/>
              <w:bottom w:val="double" w:sz="4" w:space="0" w:color="auto"/>
            </w:tcBorders>
          </w:tcPr>
          <w:p w14:paraId="72846570"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HD: IV; NRL: Nt</w:t>
            </w:r>
          </w:p>
        </w:tc>
        <w:tc>
          <w:tcPr>
            <w:tcW w:w="948" w:type="dxa"/>
            <w:tcBorders>
              <w:top w:val="single" w:sz="8" w:space="0" w:color="auto"/>
              <w:bottom w:val="double" w:sz="4" w:space="0" w:color="auto"/>
            </w:tcBorders>
          </w:tcPr>
          <w:p w14:paraId="5C345F37" w14:textId="77777777" w:rsidR="00742EBE" w:rsidRPr="0068236B" w:rsidRDefault="00742EBE" w:rsidP="00742EBE">
            <w:pPr>
              <w:rPr>
                <w:rFonts w:cs="Tahoma"/>
                <w:sz w:val="18"/>
                <w:szCs w:val="18"/>
              </w:rPr>
            </w:pPr>
            <w:r w:rsidRPr="0068236B">
              <w:rPr>
                <w:rFonts w:cs="Tahoma"/>
                <w:sz w:val="18"/>
                <w:szCs w:val="18"/>
              </w:rPr>
              <w:t>Resident</w:t>
            </w:r>
          </w:p>
        </w:tc>
        <w:tc>
          <w:tcPr>
            <w:tcW w:w="926" w:type="dxa"/>
            <w:tcBorders>
              <w:top w:val="single" w:sz="8" w:space="0" w:color="auto"/>
              <w:bottom w:val="double" w:sz="4" w:space="0" w:color="auto"/>
            </w:tcBorders>
          </w:tcPr>
          <w:p w14:paraId="60359F9D" w14:textId="77777777" w:rsidR="00742EBE" w:rsidRPr="0068236B" w:rsidRDefault="00742EBE" w:rsidP="00742EBE">
            <w:pPr>
              <w:spacing w:before="0" w:after="0" w:line="240" w:lineRule="auto"/>
              <w:jc w:val="left"/>
              <w:rPr>
                <w:rFonts w:cs="Tahoma"/>
                <w:sz w:val="18"/>
                <w:szCs w:val="18"/>
                <w:lang w:val="en-US" w:eastAsia="mk-MK"/>
              </w:rPr>
            </w:pPr>
            <w:r w:rsidRPr="0068236B">
              <w:rPr>
                <w:rFonts w:cs="Tahoma"/>
                <w:sz w:val="18"/>
                <w:szCs w:val="18"/>
                <w:lang w:val="en-US" w:eastAsia="mk-MK"/>
              </w:rPr>
              <w:t>Yes</w:t>
            </w:r>
          </w:p>
        </w:tc>
        <w:tc>
          <w:tcPr>
            <w:tcW w:w="3513" w:type="dxa"/>
            <w:tcBorders>
              <w:top w:val="single" w:sz="8" w:space="0" w:color="auto"/>
              <w:bottom w:val="double" w:sz="4" w:space="0" w:color="auto"/>
            </w:tcBorders>
          </w:tcPr>
          <w:p w14:paraId="043933B0"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Observed along river Vardar and Anska Reka.</w:t>
            </w:r>
          </w:p>
        </w:tc>
        <w:tc>
          <w:tcPr>
            <w:tcW w:w="326" w:type="dxa"/>
            <w:tcBorders>
              <w:top w:val="single" w:sz="8" w:space="0" w:color="auto"/>
              <w:bottom w:val="double" w:sz="4" w:space="0" w:color="auto"/>
            </w:tcBorders>
            <w:tcMar>
              <w:left w:w="28" w:type="dxa"/>
              <w:right w:w="28" w:type="dxa"/>
            </w:tcMar>
          </w:tcPr>
          <w:p w14:paraId="21809EC3" w14:textId="77777777" w:rsidR="00742EBE" w:rsidRPr="0068236B" w:rsidRDefault="00742EBE" w:rsidP="00742EBE">
            <w:pPr>
              <w:spacing w:before="0" w:after="0" w:line="240" w:lineRule="auto"/>
              <w:jc w:val="center"/>
              <w:rPr>
                <w:rFonts w:cs="Tahoma"/>
                <w:sz w:val="18"/>
                <w:szCs w:val="18"/>
              </w:rPr>
            </w:pPr>
          </w:p>
        </w:tc>
        <w:tc>
          <w:tcPr>
            <w:tcW w:w="329" w:type="dxa"/>
            <w:tcBorders>
              <w:top w:val="single" w:sz="8" w:space="0" w:color="auto"/>
              <w:bottom w:val="double" w:sz="4" w:space="0" w:color="auto"/>
            </w:tcBorders>
            <w:tcMar>
              <w:left w:w="28" w:type="dxa"/>
              <w:right w:w="28" w:type="dxa"/>
            </w:tcMar>
          </w:tcPr>
          <w:p w14:paraId="5E575EAD"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c>
          <w:tcPr>
            <w:tcW w:w="314" w:type="dxa"/>
            <w:tcBorders>
              <w:top w:val="single" w:sz="8" w:space="0" w:color="auto"/>
              <w:bottom w:val="double" w:sz="4" w:space="0" w:color="auto"/>
            </w:tcBorders>
            <w:tcMar>
              <w:left w:w="28" w:type="dxa"/>
              <w:right w:w="28" w:type="dxa"/>
            </w:tcMar>
          </w:tcPr>
          <w:p w14:paraId="58D809C2" w14:textId="77777777" w:rsidR="00742EBE" w:rsidRPr="0068236B" w:rsidRDefault="00742EBE" w:rsidP="00742EBE">
            <w:pPr>
              <w:spacing w:before="0" w:after="0" w:line="240" w:lineRule="auto"/>
              <w:jc w:val="center"/>
              <w:rPr>
                <w:rFonts w:cs="Tahoma"/>
                <w:sz w:val="18"/>
                <w:szCs w:val="18"/>
              </w:rPr>
            </w:pPr>
            <w:r w:rsidRPr="0068236B">
              <w:rPr>
                <w:rFonts w:cs="Tahoma"/>
                <w:sz w:val="18"/>
                <w:szCs w:val="18"/>
              </w:rPr>
              <w:t>√</w:t>
            </w:r>
          </w:p>
        </w:tc>
      </w:tr>
    </w:tbl>
    <w:p w14:paraId="1807E9CA" w14:textId="06856FB9" w:rsidR="00742EBE" w:rsidRPr="0068236B" w:rsidRDefault="00742EBE" w:rsidP="005D2480">
      <w:pPr>
        <w:pStyle w:val="Default"/>
        <w:spacing w:before="60" w:after="240"/>
        <w:rPr>
          <w:rFonts w:ascii="Tahoma" w:hAnsi="Tahoma" w:cs="Tahoma"/>
          <w:sz w:val="18"/>
          <w:szCs w:val="18"/>
        </w:rPr>
      </w:pPr>
      <w:bookmarkStart w:id="271" w:name="_Toc113018184"/>
      <w:r w:rsidRPr="0068236B">
        <w:rPr>
          <w:rFonts w:ascii="Tahoma" w:hAnsi="Tahoma" w:cs="Tahoma"/>
          <w:sz w:val="18"/>
          <w:szCs w:val="18"/>
        </w:rPr>
        <w:t xml:space="preserve">Table </w:t>
      </w:r>
      <w:r w:rsidRPr="0068236B">
        <w:rPr>
          <w:rFonts w:ascii="Tahoma" w:hAnsi="Tahoma" w:cs="Tahoma"/>
          <w:sz w:val="18"/>
          <w:szCs w:val="18"/>
        </w:rPr>
        <w:fldChar w:fldCharType="begin"/>
      </w:r>
      <w:r w:rsidRPr="0068236B">
        <w:rPr>
          <w:rFonts w:ascii="Tahoma" w:hAnsi="Tahoma" w:cs="Tahoma"/>
          <w:sz w:val="18"/>
          <w:szCs w:val="18"/>
        </w:rPr>
        <w:instrText xml:space="preserve"> STYLEREF 1 \s </w:instrText>
      </w:r>
      <w:r w:rsidRPr="0068236B">
        <w:rPr>
          <w:rFonts w:ascii="Tahoma" w:hAnsi="Tahoma" w:cs="Tahoma"/>
          <w:sz w:val="18"/>
          <w:szCs w:val="18"/>
        </w:rPr>
        <w:fldChar w:fldCharType="separate"/>
      </w:r>
      <w:r w:rsidR="00FD57E6">
        <w:rPr>
          <w:rFonts w:ascii="Tahoma" w:hAnsi="Tahoma" w:cs="Tahoma"/>
          <w:noProof/>
          <w:sz w:val="18"/>
          <w:szCs w:val="18"/>
        </w:rPr>
        <w:t>7</w:t>
      </w:r>
      <w:r w:rsidRPr="0068236B">
        <w:rPr>
          <w:rFonts w:ascii="Tahoma" w:hAnsi="Tahoma" w:cs="Tahoma"/>
          <w:sz w:val="18"/>
          <w:szCs w:val="18"/>
        </w:rPr>
        <w:fldChar w:fldCharType="end"/>
      </w:r>
      <w:r w:rsidRPr="0068236B">
        <w:rPr>
          <w:rFonts w:ascii="Tahoma" w:hAnsi="Tahoma" w:cs="Tahoma"/>
          <w:sz w:val="18"/>
          <w:szCs w:val="18"/>
        </w:rPr>
        <w:t>.</w:t>
      </w:r>
      <w:r w:rsidRPr="0068236B">
        <w:rPr>
          <w:rFonts w:ascii="Tahoma" w:hAnsi="Tahoma" w:cs="Tahoma"/>
          <w:sz w:val="18"/>
          <w:szCs w:val="18"/>
        </w:rPr>
        <w:fldChar w:fldCharType="begin"/>
      </w:r>
      <w:r w:rsidRPr="0068236B">
        <w:rPr>
          <w:rFonts w:ascii="Tahoma" w:hAnsi="Tahoma" w:cs="Tahoma"/>
          <w:sz w:val="18"/>
          <w:szCs w:val="18"/>
        </w:rPr>
        <w:instrText xml:space="preserve"> SEQ Table \* ARABIC \s 1 </w:instrText>
      </w:r>
      <w:r w:rsidRPr="0068236B">
        <w:rPr>
          <w:rFonts w:ascii="Tahoma" w:hAnsi="Tahoma" w:cs="Tahoma"/>
          <w:sz w:val="18"/>
          <w:szCs w:val="18"/>
        </w:rPr>
        <w:fldChar w:fldCharType="separate"/>
      </w:r>
      <w:r w:rsidR="00FD57E6">
        <w:rPr>
          <w:rFonts w:ascii="Tahoma" w:hAnsi="Tahoma" w:cs="Tahoma"/>
          <w:noProof/>
          <w:sz w:val="18"/>
          <w:szCs w:val="18"/>
        </w:rPr>
        <w:t>13</w:t>
      </w:r>
      <w:r w:rsidRPr="0068236B">
        <w:rPr>
          <w:rFonts w:ascii="Tahoma" w:hAnsi="Tahoma" w:cs="Tahoma"/>
          <w:sz w:val="18"/>
          <w:szCs w:val="18"/>
        </w:rPr>
        <w:fldChar w:fldCharType="end"/>
      </w:r>
      <w:r w:rsidRPr="0068236B">
        <w:rPr>
          <w:rFonts w:ascii="Tahoma" w:hAnsi="Tahoma" w:cs="Tahoma"/>
          <w:sz w:val="18"/>
          <w:szCs w:val="18"/>
        </w:rPr>
        <w:t>:</w:t>
      </w:r>
      <w:r w:rsidRPr="0068236B">
        <w:rPr>
          <w:rFonts w:ascii="Tahoma" w:hAnsi="Tahoma" w:cs="Tahoma"/>
          <w:b/>
          <w:sz w:val="18"/>
          <w:szCs w:val="18"/>
        </w:rPr>
        <w:t xml:space="preserve"> </w:t>
      </w:r>
      <w:r w:rsidRPr="0068236B">
        <w:rPr>
          <w:rFonts w:ascii="Tahoma" w:hAnsi="Tahoma" w:cs="Tahoma"/>
          <w:sz w:val="18"/>
          <w:szCs w:val="18"/>
        </w:rPr>
        <w:t>Threatened species that qualify for C</w:t>
      </w:r>
      <w:r w:rsidR="005D2480" w:rsidRPr="0068236B">
        <w:rPr>
          <w:rFonts w:ascii="Tahoma" w:hAnsi="Tahoma" w:cs="Tahoma"/>
          <w:sz w:val="18"/>
          <w:szCs w:val="18"/>
        </w:rPr>
        <w:t xml:space="preserve">ritical </w:t>
      </w:r>
      <w:r w:rsidRPr="0068236B">
        <w:rPr>
          <w:rFonts w:ascii="Tahoma" w:hAnsi="Tahoma" w:cs="Tahoma"/>
          <w:sz w:val="18"/>
          <w:szCs w:val="18"/>
        </w:rPr>
        <w:t>H</w:t>
      </w:r>
      <w:r w:rsidR="005D2480" w:rsidRPr="0068236B">
        <w:rPr>
          <w:rFonts w:ascii="Tahoma" w:hAnsi="Tahoma" w:cs="Tahoma"/>
          <w:sz w:val="18"/>
          <w:szCs w:val="18"/>
        </w:rPr>
        <w:t>abitat</w:t>
      </w:r>
      <w:r w:rsidRPr="0068236B">
        <w:rPr>
          <w:rFonts w:ascii="Tahoma" w:hAnsi="Tahoma" w:cs="Tahoma"/>
          <w:sz w:val="18"/>
          <w:szCs w:val="18"/>
        </w:rPr>
        <w:t xml:space="preserve"> and P</w:t>
      </w:r>
      <w:r w:rsidR="005D2480" w:rsidRPr="0068236B">
        <w:rPr>
          <w:rFonts w:ascii="Tahoma" w:hAnsi="Tahoma" w:cs="Tahoma"/>
          <w:sz w:val="18"/>
          <w:szCs w:val="18"/>
        </w:rPr>
        <w:t xml:space="preserve">riority </w:t>
      </w:r>
      <w:r w:rsidRPr="0068236B">
        <w:rPr>
          <w:rFonts w:ascii="Tahoma" w:hAnsi="Tahoma" w:cs="Tahoma"/>
          <w:sz w:val="18"/>
          <w:szCs w:val="18"/>
        </w:rPr>
        <w:t>B</w:t>
      </w:r>
      <w:r w:rsidR="005D2480" w:rsidRPr="0068236B">
        <w:rPr>
          <w:rFonts w:ascii="Tahoma" w:hAnsi="Tahoma" w:cs="Tahoma"/>
          <w:sz w:val="18"/>
          <w:szCs w:val="18"/>
        </w:rPr>
        <w:t xml:space="preserve">iodiversity </w:t>
      </w:r>
      <w:r w:rsidRPr="0068236B">
        <w:rPr>
          <w:rFonts w:ascii="Tahoma" w:hAnsi="Tahoma" w:cs="Tahoma"/>
          <w:sz w:val="18"/>
          <w:szCs w:val="18"/>
        </w:rPr>
        <w:t>F</w:t>
      </w:r>
      <w:r w:rsidR="005D2480" w:rsidRPr="0068236B">
        <w:rPr>
          <w:rFonts w:ascii="Tahoma" w:hAnsi="Tahoma" w:cs="Tahoma"/>
          <w:sz w:val="18"/>
          <w:szCs w:val="18"/>
        </w:rPr>
        <w:t>eatures</w:t>
      </w:r>
      <w:bookmarkEnd w:id="271"/>
    </w:p>
    <w:p w14:paraId="320B45CB" w14:textId="76BCB121" w:rsidR="005D2480" w:rsidRPr="0068236B" w:rsidRDefault="005D2480" w:rsidP="005D2480">
      <w:pPr>
        <w:pStyle w:val="Heading4"/>
        <w:numPr>
          <w:ilvl w:val="4"/>
          <w:numId w:val="60"/>
        </w:numPr>
        <w:rPr>
          <w:sz w:val="20"/>
          <w:szCs w:val="20"/>
        </w:rPr>
      </w:pPr>
      <w:r w:rsidRPr="0068236B">
        <w:rPr>
          <w:sz w:val="20"/>
          <w:szCs w:val="20"/>
        </w:rPr>
        <w:lastRenderedPageBreak/>
        <w:t xml:space="preserve">Appropriate Assessment </w:t>
      </w:r>
    </w:p>
    <w:p w14:paraId="1813EC62" w14:textId="77777777" w:rsidR="00742EBE" w:rsidRPr="0068236B" w:rsidRDefault="00742EBE" w:rsidP="00742EBE">
      <w:pPr>
        <w:rPr>
          <w:rFonts w:cs="Tahoma"/>
          <w:iCs/>
          <w:sz w:val="20"/>
        </w:rPr>
      </w:pPr>
      <w:r w:rsidRPr="0068236B">
        <w:rPr>
          <w:rFonts w:cs="Tahoma"/>
          <w:sz w:val="20"/>
        </w:rPr>
        <w:t>There is only one important habitat according to the EU Habitats Directive: 92A0 Salix alba and Populus alba galleries</w:t>
      </w:r>
      <w:r w:rsidRPr="0068236B">
        <w:rPr>
          <w:rFonts w:cs="Tahoma"/>
          <w:iCs/>
          <w:sz w:val="20"/>
        </w:rPr>
        <w:t>. Out of the species that may be affected by the project implementation there are five that qualify for CH and two for PBF. Both Streptopelia turtus and Alcedo atthis are PBH since they are VU species in the IUCN’s list of threatened species (both of them do not qualify for CH because EAAA does not support ≥ 0.5% of the global population of a globally significant population of VU species).</w:t>
      </w:r>
    </w:p>
    <w:tbl>
      <w:tblPr>
        <w:tblStyle w:val="Kokan"/>
        <w:tblW w:w="10553" w:type="dxa"/>
        <w:jc w:val="center"/>
        <w:tblLayout w:type="fixed"/>
        <w:tblLook w:val="04A0" w:firstRow="1" w:lastRow="0" w:firstColumn="1" w:lastColumn="0" w:noHBand="0" w:noVBand="1"/>
      </w:tblPr>
      <w:tblGrid>
        <w:gridCol w:w="2882"/>
        <w:gridCol w:w="3713"/>
        <w:gridCol w:w="3958"/>
      </w:tblGrid>
      <w:tr w:rsidR="00744C45" w:rsidRPr="00744C45" w14:paraId="3D542488" w14:textId="77777777" w:rsidTr="00744C45">
        <w:trPr>
          <w:cnfStyle w:val="100000000000" w:firstRow="1" w:lastRow="0" w:firstColumn="0" w:lastColumn="0" w:oddVBand="0" w:evenVBand="0" w:oddHBand="0" w:evenHBand="0" w:firstRowFirstColumn="0" w:firstRowLastColumn="0" w:lastRowFirstColumn="0" w:lastRowLastColumn="0"/>
          <w:trHeight w:val="437"/>
          <w:tblHeader/>
          <w:jc w:val="center"/>
        </w:trPr>
        <w:tc>
          <w:tcPr>
            <w:tcW w:w="2882" w:type="dxa"/>
            <w:tcBorders>
              <w:top w:val="double" w:sz="4" w:space="0" w:color="auto"/>
              <w:bottom w:val="double" w:sz="4" w:space="0" w:color="auto"/>
              <w:right w:val="double" w:sz="4" w:space="0" w:color="auto"/>
            </w:tcBorders>
            <w:shd w:val="clear" w:color="auto" w:fill="B4C6E7" w:themeFill="accent1" w:themeFillTint="66"/>
          </w:tcPr>
          <w:p w14:paraId="44C53094" w14:textId="5074725B" w:rsidR="00742EBE" w:rsidRPr="00744C45" w:rsidRDefault="005D2480" w:rsidP="00C66C49">
            <w:pPr>
              <w:autoSpaceDE w:val="0"/>
              <w:autoSpaceDN w:val="0"/>
              <w:adjustRightInd w:val="0"/>
              <w:spacing w:before="0" w:after="0" w:line="240" w:lineRule="auto"/>
              <w:jc w:val="center"/>
              <w:rPr>
                <w:rFonts w:cs="Tahoma"/>
                <w:bCs/>
                <w:color w:val="auto"/>
                <w:sz w:val="18"/>
                <w:szCs w:val="18"/>
              </w:rPr>
            </w:pPr>
            <w:r w:rsidRPr="00744C45">
              <w:rPr>
                <w:rFonts w:cs="Tahoma"/>
                <w:bCs/>
                <w:color w:val="auto"/>
                <w:sz w:val="18"/>
                <w:szCs w:val="18"/>
              </w:rPr>
              <w:t>Distribution and</w:t>
            </w:r>
            <w:r w:rsidR="00C66C49" w:rsidRPr="00744C45">
              <w:rPr>
                <w:rFonts w:cs="Tahoma"/>
                <w:bCs/>
                <w:color w:val="auto"/>
                <w:sz w:val="18"/>
                <w:szCs w:val="18"/>
              </w:rPr>
              <w:t xml:space="preserve"> </w:t>
            </w:r>
            <w:r w:rsidR="00742EBE" w:rsidRPr="00744C45">
              <w:rPr>
                <w:rFonts w:cs="Tahoma"/>
                <w:bCs/>
                <w:color w:val="auto"/>
                <w:sz w:val="18"/>
                <w:szCs w:val="18"/>
              </w:rPr>
              <w:t>estimates</w:t>
            </w:r>
          </w:p>
        </w:tc>
        <w:tc>
          <w:tcPr>
            <w:tcW w:w="3713"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5BE583F7" w14:textId="77777777" w:rsidR="00742EBE" w:rsidRPr="00744C45" w:rsidRDefault="00742EBE" w:rsidP="00C66C49">
            <w:pPr>
              <w:autoSpaceDE w:val="0"/>
              <w:autoSpaceDN w:val="0"/>
              <w:adjustRightInd w:val="0"/>
              <w:spacing w:before="0" w:after="0" w:line="240" w:lineRule="auto"/>
              <w:jc w:val="center"/>
              <w:rPr>
                <w:rFonts w:cs="Tahoma"/>
                <w:color w:val="auto"/>
                <w:sz w:val="18"/>
                <w:szCs w:val="18"/>
              </w:rPr>
            </w:pPr>
            <w:r w:rsidRPr="00744C45">
              <w:rPr>
                <w:rFonts w:cs="Tahoma"/>
                <w:bCs/>
                <w:color w:val="auto"/>
                <w:sz w:val="18"/>
                <w:szCs w:val="18"/>
              </w:rPr>
              <w:t>Threats and measures</w:t>
            </w:r>
          </w:p>
        </w:tc>
        <w:tc>
          <w:tcPr>
            <w:tcW w:w="3958" w:type="dxa"/>
            <w:tcBorders>
              <w:top w:val="double" w:sz="4" w:space="0" w:color="auto"/>
              <w:left w:val="double" w:sz="4" w:space="0" w:color="auto"/>
              <w:bottom w:val="double" w:sz="4" w:space="0" w:color="auto"/>
            </w:tcBorders>
            <w:shd w:val="clear" w:color="auto" w:fill="B4C6E7" w:themeFill="accent1" w:themeFillTint="66"/>
          </w:tcPr>
          <w:p w14:paraId="0F0491A5" w14:textId="77777777" w:rsidR="00742EBE" w:rsidRPr="00744C45" w:rsidRDefault="00742EBE" w:rsidP="00C66C49">
            <w:pPr>
              <w:autoSpaceDE w:val="0"/>
              <w:autoSpaceDN w:val="0"/>
              <w:adjustRightInd w:val="0"/>
              <w:spacing w:before="0" w:after="0" w:line="240" w:lineRule="auto"/>
              <w:rPr>
                <w:rFonts w:cs="Tahoma"/>
                <w:color w:val="auto"/>
                <w:sz w:val="18"/>
                <w:szCs w:val="18"/>
              </w:rPr>
            </w:pPr>
            <w:r w:rsidRPr="00744C45">
              <w:rPr>
                <w:rFonts w:cs="Tahoma"/>
                <w:color w:val="auto"/>
                <w:sz w:val="18"/>
                <w:szCs w:val="18"/>
              </w:rPr>
              <w:t>Distribution maps</w:t>
            </w:r>
            <w:r w:rsidRPr="00744C45">
              <w:rPr>
                <w:rStyle w:val="FootnoteReference"/>
                <w:rFonts w:cs="Tahoma"/>
                <w:color w:val="auto"/>
                <w:sz w:val="18"/>
                <w:szCs w:val="18"/>
              </w:rPr>
              <w:footnoteReference w:id="93"/>
            </w:r>
          </w:p>
        </w:tc>
      </w:tr>
      <w:tr w:rsidR="00742EBE" w:rsidRPr="0068236B" w14:paraId="44E4A310" w14:textId="77777777" w:rsidTr="00744C45">
        <w:trPr>
          <w:trHeight w:val="138"/>
          <w:jc w:val="center"/>
        </w:trPr>
        <w:tc>
          <w:tcPr>
            <w:tcW w:w="10553" w:type="dxa"/>
            <w:gridSpan w:val="3"/>
            <w:tcBorders>
              <w:top w:val="single" w:sz="8" w:space="0" w:color="auto"/>
              <w:bottom w:val="single" w:sz="8" w:space="0" w:color="auto"/>
            </w:tcBorders>
          </w:tcPr>
          <w:p w14:paraId="08552121" w14:textId="7B90C74A" w:rsidR="00742EBE" w:rsidRPr="0068236B" w:rsidRDefault="005D2480" w:rsidP="00C66C49">
            <w:pPr>
              <w:spacing w:before="0" w:after="0" w:line="240" w:lineRule="auto"/>
              <w:jc w:val="left"/>
              <w:rPr>
                <w:rFonts w:cs="Tahoma"/>
                <w:b/>
                <w:i/>
                <w:sz w:val="18"/>
                <w:szCs w:val="18"/>
              </w:rPr>
            </w:pPr>
            <w:r w:rsidRPr="0068236B">
              <w:rPr>
                <w:rFonts w:cs="Tahoma"/>
                <w:b/>
                <w:i/>
                <w:sz w:val="18"/>
                <w:szCs w:val="18"/>
              </w:rPr>
              <w:t>Greek tortoise (Testudo graeca)</w:t>
            </w:r>
          </w:p>
        </w:tc>
      </w:tr>
      <w:tr w:rsidR="00742EBE" w:rsidRPr="0068236B" w14:paraId="3EA0971A" w14:textId="77777777" w:rsidTr="00744C45">
        <w:trPr>
          <w:trHeight w:val="682"/>
          <w:jc w:val="center"/>
        </w:trPr>
        <w:tc>
          <w:tcPr>
            <w:tcW w:w="2882" w:type="dxa"/>
            <w:tcBorders>
              <w:top w:val="single" w:sz="8" w:space="0" w:color="auto"/>
              <w:bottom w:val="single" w:sz="8" w:space="0" w:color="auto"/>
            </w:tcBorders>
          </w:tcPr>
          <w:p w14:paraId="12507FDF" w14:textId="77777777" w:rsidR="00742EBE" w:rsidRPr="0068236B" w:rsidRDefault="00742EBE" w:rsidP="00C66C49">
            <w:pPr>
              <w:autoSpaceDE w:val="0"/>
              <w:autoSpaceDN w:val="0"/>
              <w:adjustRightInd w:val="0"/>
              <w:spacing w:before="0" w:after="0" w:line="240" w:lineRule="auto"/>
              <w:jc w:val="left"/>
              <w:rPr>
                <w:rFonts w:cs="Tahoma"/>
                <w:sz w:val="18"/>
                <w:szCs w:val="18"/>
              </w:rPr>
            </w:pPr>
            <w:r w:rsidRPr="0068236B">
              <w:rPr>
                <w:rFonts w:cs="Tahoma"/>
                <w:sz w:val="18"/>
                <w:szCs w:val="18"/>
              </w:rPr>
              <w:t>It has area of occupancy (AOO) of 1.140km</w:t>
            </w:r>
            <w:r w:rsidRPr="0068236B">
              <w:rPr>
                <w:rFonts w:cs="Tahoma"/>
                <w:sz w:val="18"/>
                <w:szCs w:val="18"/>
                <w:vertAlign w:val="superscript"/>
              </w:rPr>
              <w:t>2</w:t>
            </w:r>
            <w:r w:rsidRPr="0068236B">
              <w:rPr>
                <w:rFonts w:cs="Tahoma"/>
                <w:sz w:val="18"/>
                <w:szCs w:val="18"/>
              </w:rPr>
              <w:t xml:space="preserve"> in Macedonia. It is threatened by continuing d</w:t>
            </w:r>
            <w:r w:rsidRPr="0068236B">
              <w:rPr>
                <w:rFonts w:cs="Tahoma"/>
                <w:sz w:val="18"/>
                <w:szCs w:val="18"/>
              </w:rPr>
              <w:t>e</w:t>
            </w:r>
            <w:r w:rsidRPr="0068236B">
              <w:rPr>
                <w:rFonts w:cs="Tahoma"/>
                <w:sz w:val="18"/>
                <w:szCs w:val="18"/>
              </w:rPr>
              <w:t>clines in quality of habitat due to intense agriculture and infr</w:t>
            </w:r>
            <w:r w:rsidRPr="0068236B">
              <w:rPr>
                <w:rFonts w:cs="Tahoma"/>
                <w:sz w:val="18"/>
                <w:szCs w:val="18"/>
              </w:rPr>
              <w:t>a</w:t>
            </w:r>
            <w:r w:rsidRPr="0068236B">
              <w:rPr>
                <w:rFonts w:cs="Tahoma"/>
                <w:sz w:val="18"/>
                <w:szCs w:val="18"/>
              </w:rPr>
              <w:t>structural development and e</w:t>
            </w:r>
            <w:r w:rsidRPr="0068236B">
              <w:rPr>
                <w:rFonts w:cs="Tahoma"/>
                <w:sz w:val="18"/>
                <w:szCs w:val="18"/>
              </w:rPr>
              <w:t>x</w:t>
            </w:r>
            <w:r w:rsidRPr="0068236B">
              <w:rPr>
                <w:rFonts w:cs="Tahoma"/>
                <w:sz w:val="18"/>
                <w:szCs w:val="18"/>
              </w:rPr>
              <w:t xml:space="preserve">isting trade. </w:t>
            </w:r>
          </w:p>
          <w:p w14:paraId="3546466F" w14:textId="77777777" w:rsidR="00742EBE" w:rsidRPr="0068236B" w:rsidRDefault="00742EBE" w:rsidP="00C66C49">
            <w:pPr>
              <w:spacing w:before="0" w:after="0" w:line="240" w:lineRule="auto"/>
              <w:jc w:val="left"/>
              <w:rPr>
                <w:rFonts w:cs="Tahoma"/>
                <w:i/>
                <w:sz w:val="18"/>
                <w:szCs w:val="18"/>
              </w:rPr>
            </w:pPr>
          </w:p>
        </w:tc>
        <w:tc>
          <w:tcPr>
            <w:tcW w:w="3713" w:type="dxa"/>
            <w:tcBorders>
              <w:top w:val="single" w:sz="8" w:space="0" w:color="auto"/>
              <w:bottom w:val="single" w:sz="8" w:space="0" w:color="auto"/>
            </w:tcBorders>
          </w:tcPr>
          <w:p w14:paraId="6408E18B" w14:textId="77777777" w:rsidR="00742EBE" w:rsidRPr="0068236B" w:rsidRDefault="00742EBE" w:rsidP="00C66C49">
            <w:pPr>
              <w:autoSpaceDE w:val="0"/>
              <w:autoSpaceDN w:val="0"/>
              <w:adjustRightInd w:val="0"/>
              <w:spacing w:before="0" w:after="0" w:line="240" w:lineRule="auto"/>
              <w:jc w:val="left"/>
              <w:rPr>
                <w:rFonts w:cs="Tahoma"/>
                <w:color w:val="000000"/>
                <w:sz w:val="18"/>
                <w:szCs w:val="18"/>
              </w:rPr>
            </w:pPr>
            <w:r w:rsidRPr="0068236B">
              <w:rPr>
                <w:rFonts w:cs="Tahoma"/>
                <w:color w:val="000000"/>
                <w:sz w:val="18"/>
                <w:szCs w:val="18"/>
              </w:rPr>
              <w:t>No measurable direct impact (mortality) is expected during the construction works in the whole area. Negligible indirect impact (habitats loss) may occur.</w:t>
            </w:r>
          </w:p>
          <w:p w14:paraId="43C18DCD" w14:textId="77777777" w:rsidR="00742EBE" w:rsidRPr="0068236B" w:rsidRDefault="00742EBE" w:rsidP="00C66C49">
            <w:pPr>
              <w:autoSpaceDE w:val="0"/>
              <w:autoSpaceDN w:val="0"/>
              <w:adjustRightInd w:val="0"/>
              <w:spacing w:before="0" w:after="0" w:line="240" w:lineRule="auto"/>
              <w:jc w:val="left"/>
              <w:rPr>
                <w:rFonts w:cs="Tahoma"/>
                <w:sz w:val="18"/>
                <w:szCs w:val="18"/>
              </w:rPr>
            </w:pPr>
            <w:r w:rsidRPr="0068236B">
              <w:rPr>
                <w:rFonts w:cs="Tahoma"/>
                <w:color w:val="000000"/>
                <w:sz w:val="18"/>
                <w:szCs w:val="18"/>
              </w:rPr>
              <w:t>In order to secure net-gain the following measure is proposed: Fire protection measures on system level as legally r</w:t>
            </w:r>
            <w:r w:rsidRPr="0068236B">
              <w:rPr>
                <w:rFonts w:cs="Tahoma"/>
                <w:color w:val="000000"/>
                <w:sz w:val="18"/>
                <w:szCs w:val="18"/>
              </w:rPr>
              <w:t>e</w:t>
            </w:r>
            <w:r w:rsidRPr="0068236B">
              <w:rPr>
                <w:rFonts w:cs="Tahoma"/>
                <w:color w:val="000000"/>
                <w:sz w:val="18"/>
                <w:szCs w:val="18"/>
              </w:rPr>
              <w:t>quired and therefore incorporated in the MEPSO’s management system / grid rules.</w:t>
            </w:r>
          </w:p>
        </w:tc>
        <w:tc>
          <w:tcPr>
            <w:tcW w:w="3958" w:type="dxa"/>
            <w:tcBorders>
              <w:top w:val="single" w:sz="8" w:space="0" w:color="auto"/>
              <w:bottom w:val="single" w:sz="8" w:space="0" w:color="auto"/>
            </w:tcBorders>
          </w:tcPr>
          <w:p w14:paraId="7369D86C" w14:textId="77777777" w:rsidR="00742EBE" w:rsidRPr="0068236B" w:rsidRDefault="00742EBE" w:rsidP="00C66C49">
            <w:pPr>
              <w:autoSpaceDE w:val="0"/>
              <w:autoSpaceDN w:val="0"/>
              <w:adjustRightInd w:val="0"/>
              <w:spacing w:before="0" w:after="0" w:line="240" w:lineRule="auto"/>
              <w:rPr>
                <w:rFonts w:cs="Tahoma"/>
                <w:sz w:val="18"/>
                <w:szCs w:val="18"/>
              </w:rPr>
            </w:pPr>
            <w:r w:rsidRPr="0068236B">
              <w:rPr>
                <w:rFonts w:cs="Tahoma"/>
                <w:noProof/>
                <w:sz w:val="18"/>
                <w:szCs w:val="18"/>
                <w:lang w:val="mk-MK" w:eastAsia="mk-MK"/>
              </w:rPr>
              <w:drawing>
                <wp:inline distT="0" distB="0" distL="0" distR="0" wp14:anchorId="1EC1DA1B" wp14:editId="0DD8F170">
                  <wp:extent cx="2343150" cy="1524000"/>
                  <wp:effectExtent l="19050" t="0" r="0" b="0"/>
                  <wp:docPr id="9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343150" cy="1524000"/>
                          </a:xfrm>
                          <a:prstGeom prst="rect">
                            <a:avLst/>
                          </a:prstGeom>
                          <a:noFill/>
                          <a:ln w="9525">
                            <a:noFill/>
                            <a:miter lim="800000"/>
                            <a:headEnd/>
                            <a:tailEnd/>
                          </a:ln>
                        </pic:spPr>
                      </pic:pic>
                    </a:graphicData>
                  </a:graphic>
                </wp:inline>
              </w:drawing>
            </w:r>
          </w:p>
        </w:tc>
      </w:tr>
      <w:tr w:rsidR="00742EBE" w:rsidRPr="0068236B" w14:paraId="52326784" w14:textId="77777777" w:rsidTr="00744C45">
        <w:trPr>
          <w:trHeight w:val="277"/>
          <w:jc w:val="center"/>
        </w:trPr>
        <w:tc>
          <w:tcPr>
            <w:tcW w:w="10553" w:type="dxa"/>
            <w:gridSpan w:val="3"/>
            <w:tcBorders>
              <w:top w:val="single" w:sz="8" w:space="0" w:color="auto"/>
              <w:bottom w:val="single" w:sz="8" w:space="0" w:color="auto"/>
            </w:tcBorders>
          </w:tcPr>
          <w:p w14:paraId="31D1A1A1" w14:textId="77777777" w:rsidR="00742EBE" w:rsidRPr="0068236B" w:rsidRDefault="00742EBE" w:rsidP="00C66C49">
            <w:pPr>
              <w:autoSpaceDE w:val="0"/>
              <w:autoSpaceDN w:val="0"/>
              <w:adjustRightInd w:val="0"/>
              <w:spacing w:before="0" w:after="0" w:line="240" w:lineRule="auto"/>
              <w:rPr>
                <w:rFonts w:cs="Tahoma"/>
                <w:noProof/>
                <w:sz w:val="18"/>
                <w:szCs w:val="18"/>
                <w:lang w:val="mk-MK" w:eastAsia="mk-MK"/>
              </w:rPr>
            </w:pPr>
            <w:r w:rsidRPr="0068236B">
              <w:rPr>
                <w:rFonts w:cs="Tahoma"/>
                <w:b/>
                <w:i/>
                <w:sz w:val="18"/>
                <w:szCs w:val="18"/>
              </w:rPr>
              <w:t xml:space="preserve">Common wall lizard </w:t>
            </w:r>
            <w:r w:rsidRPr="0068236B">
              <w:rPr>
                <w:rFonts w:cs="Tahoma"/>
                <w:b/>
                <w:sz w:val="18"/>
                <w:szCs w:val="18"/>
              </w:rPr>
              <w:t>(</w:t>
            </w:r>
            <w:r w:rsidRPr="0068236B">
              <w:rPr>
                <w:rFonts w:cs="Tahoma"/>
                <w:b/>
                <w:i/>
                <w:sz w:val="18"/>
                <w:szCs w:val="18"/>
              </w:rPr>
              <w:t>Podarcis muralis</w:t>
            </w:r>
            <w:r w:rsidRPr="0068236B">
              <w:rPr>
                <w:rFonts w:cs="Tahoma"/>
                <w:b/>
                <w:sz w:val="18"/>
                <w:szCs w:val="18"/>
              </w:rPr>
              <w:t>)</w:t>
            </w:r>
          </w:p>
        </w:tc>
      </w:tr>
      <w:tr w:rsidR="00742EBE" w:rsidRPr="0068236B" w14:paraId="303E8EDC" w14:textId="77777777" w:rsidTr="00744C45">
        <w:trPr>
          <w:trHeight w:val="682"/>
          <w:jc w:val="center"/>
        </w:trPr>
        <w:tc>
          <w:tcPr>
            <w:tcW w:w="2882" w:type="dxa"/>
            <w:tcBorders>
              <w:top w:val="single" w:sz="8" w:space="0" w:color="auto"/>
              <w:bottom w:val="single" w:sz="8" w:space="0" w:color="auto"/>
            </w:tcBorders>
          </w:tcPr>
          <w:p w14:paraId="72BA1E79" w14:textId="77777777" w:rsidR="00742EBE" w:rsidRPr="0068236B" w:rsidRDefault="00742EBE" w:rsidP="00C66C49">
            <w:pPr>
              <w:autoSpaceDE w:val="0"/>
              <w:autoSpaceDN w:val="0"/>
              <w:adjustRightInd w:val="0"/>
              <w:spacing w:before="0" w:after="0" w:line="240" w:lineRule="auto"/>
              <w:jc w:val="left"/>
              <w:rPr>
                <w:rFonts w:cs="Tahoma"/>
                <w:sz w:val="18"/>
                <w:szCs w:val="18"/>
              </w:rPr>
            </w:pPr>
            <w:r w:rsidRPr="0068236B">
              <w:rPr>
                <w:rFonts w:cs="Tahoma"/>
                <w:sz w:val="18"/>
                <w:szCs w:val="18"/>
              </w:rPr>
              <w:t>An ubiquitous species in Mac</w:t>
            </w:r>
            <w:r w:rsidRPr="0068236B">
              <w:rPr>
                <w:rFonts w:cs="Tahoma"/>
                <w:sz w:val="18"/>
                <w:szCs w:val="18"/>
              </w:rPr>
              <w:t>e</w:t>
            </w:r>
            <w:r w:rsidRPr="0068236B">
              <w:rPr>
                <w:rFonts w:cs="Tahoma"/>
                <w:sz w:val="18"/>
                <w:szCs w:val="18"/>
              </w:rPr>
              <w:t>donia, present in many habitats and localities, and is one of the most successful species in man-made habitats, therefore a</w:t>
            </w:r>
            <w:r w:rsidRPr="0068236B">
              <w:rPr>
                <w:rFonts w:cs="Tahoma"/>
                <w:sz w:val="18"/>
                <w:szCs w:val="18"/>
              </w:rPr>
              <w:t>s</w:t>
            </w:r>
            <w:r w:rsidRPr="0068236B">
              <w:rPr>
                <w:rFonts w:cs="Tahoma"/>
                <w:sz w:val="18"/>
                <w:szCs w:val="18"/>
              </w:rPr>
              <w:t>sessed as Least Concern.</w:t>
            </w:r>
          </w:p>
          <w:p w14:paraId="692FFAE5" w14:textId="77777777" w:rsidR="00742EBE" w:rsidRPr="0068236B" w:rsidRDefault="00742EBE" w:rsidP="00C66C49">
            <w:pPr>
              <w:spacing w:before="0" w:after="0" w:line="240" w:lineRule="auto"/>
              <w:jc w:val="left"/>
              <w:rPr>
                <w:rFonts w:cs="Tahoma"/>
                <w:sz w:val="18"/>
                <w:szCs w:val="18"/>
              </w:rPr>
            </w:pPr>
          </w:p>
        </w:tc>
        <w:tc>
          <w:tcPr>
            <w:tcW w:w="3713" w:type="dxa"/>
            <w:tcBorders>
              <w:top w:val="single" w:sz="8" w:space="0" w:color="auto"/>
              <w:bottom w:val="single" w:sz="8" w:space="0" w:color="auto"/>
            </w:tcBorders>
          </w:tcPr>
          <w:p w14:paraId="70B91574" w14:textId="77777777" w:rsidR="00742EBE" w:rsidRPr="0068236B" w:rsidRDefault="00742EBE" w:rsidP="00C66C49">
            <w:pPr>
              <w:autoSpaceDE w:val="0"/>
              <w:autoSpaceDN w:val="0"/>
              <w:adjustRightInd w:val="0"/>
              <w:spacing w:before="0" w:after="0" w:line="240" w:lineRule="auto"/>
              <w:jc w:val="left"/>
              <w:rPr>
                <w:rFonts w:cs="Tahoma"/>
                <w:color w:val="000000"/>
                <w:sz w:val="18"/>
                <w:szCs w:val="18"/>
              </w:rPr>
            </w:pPr>
            <w:r w:rsidRPr="0068236B">
              <w:rPr>
                <w:rFonts w:cs="Tahoma"/>
                <w:color w:val="000000"/>
                <w:sz w:val="18"/>
                <w:szCs w:val="18"/>
              </w:rPr>
              <w:t>Same impacts and measures as in the case of Greek toroise.</w:t>
            </w:r>
          </w:p>
          <w:p w14:paraId="0779036C" w14:textId="77777777" w:rsidR="00742EBE" w:rsidRPr="0068236B" w:rsidRDefault="00742EBE" w:rsidP="00C66C49">
            <w:pPr>
              <w:autoSpaceDE w:val="0"/>
              <w:autoSpaceDN w:val="0"/>
              <w:adjustRightInd w:val="0"/>
              <w:spacing w:before="0" w:after="0" w:line="240" w:lineRule="auto"/>
              <w:jc w:val="left"/>
              <w:rPr>
                <w:rFonts w:cs="Tahoma"/>
                <w:sz w:val="18"/>
                <w:szCs w:val="18"/>
              </w:rPr>
            </w:pPr>
          </w:p>
        </w:tc>
        <w:tc>
          <w:tcPr>
            <w:tcW w:w="3958" w:type="dxa"/>
            <w:tcBorders>
              <w:top w:val="single" w:sz="8" w:space="0" w:color="auto"/>
              <w:bottom w:val="single" w:sz="8" w:space="0" w:color="auto"/>
            </w:tcBorders>
          </w:tcPr>
          <w:p w14:paraId="4884F883" w14:textId="77777777" w:rsidR="00742EBE" w:rsidRPr="0068236B" w:rsidRDefault="00742EBE" w:rsidP="00C66C49">
            <w:pPr>
              <w:autoSpaceDE w:val="0"/>
              <w:autoSpaceDN w:val="0"/>
              <w:adjustRightInd w:val="0"/>
              <w:spacing w:before="0" w:after="0" w:line="240" w:lineRule="auto"/>
              <w:rPr>
                <w:rFonts w:cs="Tahoma"/>
                <w:sz w:val="18"/>
                <w:szCs w:val="18"/>
              </w:rPr>
            </w:pPr>
            <w:r w:rsidRPr="0068236B">
              <w:rPr>
                <w:rFonts w:cs="Tahoma"/>
                <w:noProof/>
                <w:sz w:val="18"/>
                <w:szCs w:val="18"/>
                <w:lang w:val="mk-MK" w:eastAsia="mk-MK"/>
              </w:rPr>
              <w:drawing>
                <wp:inline distT="0" distB="0" distL="0" distR="0" wp14:anchorId="56B31A6F" wp14:editId="3009F41F">
                  <wp:extent cx="2343150" cy="1524000"/>
                  <wp:effectExtent l="19050" t="0" r="0" b="0"/>
                  <wp:docPr id="9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343150" cy="1524000"/>
                          </a:xfrm>
                          <a:prstGeom prst="rect">
                            <a:avLst/>
                          </a:prstGeom>
                          <a:noFill/>
                          <a:ln w="9525">
                            <a:noFill/>
                            <a:miter lim="800000"/>
                            <a:headEnd/>
                            <a:tailEnd/>
                          </a:ln>
                        </pic:spPr>
                      </pic:pic>
                    </a:graphicData>
                  </a:graphic>
                </wp:inline>
              </w:drawing>
            </w:r>
          </w:p>
        </w:tc>
      </w:tr>
      <w:tr w:rsidR="00742EBE" w:rsidRPr="0068236B" w14:paraId="0D0EF062" w14:textId="77777777" w:rsidTr="00744C45">
        <w:trPr>
          <w:trHeight w:val="245"/>
          <w:jc w:val="center"/>
        </w:trPr>
        <w:tc>
          <w:tcPr>
            <w:tcW w:w="10553" w:type="dxa"/>
            <w:gridSpan w:val="3"/>
            <w:tcBorders>
              <w:top w:val="single" w:sz="8" w:space="0" w:color="auto"/>
              <w:bottom w:val="single" w:sz="8" w:space="0" w:color="auto"/>
            </w:tcBorders>
          </w:tcPr>
          <w:p w14:paraId="481948E9" w14:textId="6A6B23E4" w:rsidR="00742EBE" w:rsidRPr="0068236B" w:rsidRDefault="00742EBE" w:rsidP="00C66C49">
            <w:pPr>
              <w:spacing w:before="0" w:after="0" w:line="240" w:lineRule="auto"/>
              <w:jc w:val="left"/>
              <w:rPr>
                <w:rFonts w:cs="Tahoma"/>
                <w:b/>
                <w:sz w:val="18"/>
                <w:szCs w:val="18"/>
              </w:rPr>
            </w:pPr>
            <w:r w:rsidRPr="0068236B">
              <w:rPr>
                <w:rFonts w:cs="Tahoma"/>
                <w:b/>
                <w:i/>
                <w:sz w:val="18"/>
                <w:szCs w:val="18"/>
              </w:rPr>
              <w:t xml:space="preserve">Balkan green lizard </w:t>
            </w:r>
            <w:r w:rsidRPr="0068236B">
              <w:rPr>
                <w:rFonts w:cs="Tahoma"/>
                <w:b/>
                <w:sz w:val="18"/>
                <w:szCs w:val="18"/>
              </w:rPr>
              <w:t>(</w:t>
            </w:r>
            <w:r w:rsidRPr="0068236B">
              <w:rPr>
                <w:rFonts w:cs="Tahoma"/>
                <w:b/>
                <w:i/>
                <w:sz w:val="18"/>
                <w:szCs w:val="18"/>
              </w:rPr>
              <w:t>Lacerta trilineata</w:t>
            </w:r>
            <w:r w:rsidR="00C66C49" w:rsidRPr="0068236B">
              <w:rPr>
                <w:rFonts w:cs="Tahoma"/>
                <w:b/>
                <w:sz w:val="18"/>
                <w:szCs w:val="18"/>
              </w:rPr>
              <w:t>)</w:t>
            </w:r>
          </w:p>
        </w:tc>
      </w:tr>
      <w:tr w:rsidR="00742EBE" w:rsidRPr="0068236B" w14:paraId="56E58AEF" w14:textId="77777777" w:rsidTr="00744C45">
        <w:trPr>
          <w:trHeight w:val="682"/>
          <w:jc w:val="center"/>
        </w:trPr>
        <w:tc>
          <w:tcPr>
            <w:tcW w:w="2882" w:type="dxa"/>
            <w:tcBorders>
              <w:top w:val="single" w:sz="8" w:space="0" w:color="auto"/>
              <w:bottom w:val="single" w:sz="8" w:space="0" w:color="auto"/>
            </w:tcBorders>
          </w:tcPr>
          <w:p w14:paraId="11289BFF" w14:textId="77777777" w:rsidR="00742EBE" w:rsidRPr="0068236B" w:rsidRDefault="00742EBE" w:rsidP="00C66C49">
            <w:pPr>
              <w:spacing w:before="0" w:after="0" w:line="240" w:lineRule="auto"/>
              <w:jc w:val="left"/>
              <w:rPr>
                <w:rFonts w:cs="Tahoma"/>
                <w:sz w:val="18"/>
                <w:szCs w:val="18"/>
              </w:rPr>
            </w:pPr>
            <w:r w:rsidRPr="0068236B">
              <w:rPr>
                <w:rFonts w:cs="Tahoma"/>
                <w:sz w:val="18"/>
                <w:szCs w:val="18"/>
              </w:rPr>
              <w:t xml:space="preserve">Ubiquitous species in Macedonia also present in all neighbouring countries, occurring in many habitats and localities, even around man-made ones and is therefore Least Concern. </w:t>
            </w:r>
          </w:p>
        </w:tc>
        <w:tc>
          <w:tcPr>
            <w:tcW w:w="3713" w:type="dxa"/>
            <w:tcBorders>
              <w:top w:val="single" w:sz="8" w:space="0" w:color="auto"/>
              <w:bottom w:val="single" w:sz="8" w:space="0" w:color="auto"/>
            </w:tcBorders>
          </w:tcPr>
          <w:p w14:paraId="5DF5488C" w14:textId="77777777" w:rsidR="00742EBE" w:rsidRPr="0068236B" w:rsidRDefault="00742EBE" w:rsidP="00C66C49">
            <w:pPr>
              <w:autoSpaceDE w:val="0"/>
              <w:autoSpaceDN w:val="0"/>
              <w:adjustRightInd w:val="0"/>
              <w:spacing w:before="0" w:after="0" w:line="240" w:lineRule="auto"/>
              <w:jc w:val="left"/>
              <w:rPr>
                <w:rFonts w:cs="Tahoma"/>
                <w:color w:val="000000"/>
                <w:sz w:val="18"/>
                <w:szCs w:val="18"/>
              </w:rPr>
            </w:pPr>
            <w:r w:rsidRPr="0068236B">
              <w:rPr>
                <w:rFonts w:cs="Tahoma"/>
                <w:color w:val="000000"/>
                <w:sz w:val="18"/>
                <w:szCs w:val="18"/>
              </w:rPr>
              <w:t>Same impacts and measures as in the case of Greek toroise.</w:t>
            </w:r>
          </w:p>
          <w:p w14:paraId="25ED0491" w14:textId="77777777" w:rsidR="00742EBE" w:rsidRPr="0068236B" w:rsidRDefault="00742EBE" w:rsidP="00C66C49">
            <w:pPr>
              <w:autoSpaceDE w:val="0"/>
              <w:autoSpaceDN w:val="0"/>
              <w:adjustRightInd w:val="0"/>
              <w:spacing w:before="0" w:after="0" w:line="240" w:lineRule="auto"/>
              <w:jc w:val="left"/>
              <w:rPr>
                <w:rFonts w:cs="Tahoma"/>
                <w:sz w:val="18"/>
                <w:szCs w:val="18"/>
              </w:rPr>
            </w:pPr>
          </w:p>
        </w:tc>
        <w:tc>
          <w:tcPr>
            <w:tcW w:w="3958" w:type="dxa"/>
            <w:tcBorders>
              <w:top w:val="single" w:sz="8" w:space="0" w:color="auto"/>
              <w:bottom w:val="single" w:sz="8" w:space="0" w:color="auto"/>
            </w:tcBorders>
          </w:tcPr>
          <w:p w14:paraId="10D50320" w14:textId="77777777" w:rsidR="00742EBE" w:rsidRPr="0068236B" w:rsidRDefault="00742EBE" w:rsidP="00C66C49">
            <w:pPr>
              <w:autoSpaceDE w:val="0"/>
              <w:autoSpaceDN w:val="0"/>
              <w:adjustRightInd w:val="0"/>
              <w:spacing w:before="0" w:after="0" w:line="240" w:lineRule="auto"/>
              <w:rPr>
                <w:rFonts w:cs="Tahoma"/>
                <w:sz w:val="18"/>
                <w:szCs w:val="18"/>
              </w:rPr>
            </w:pPr>
            <w:r w:rsidRPr="0068236B">
              <w:rPr>
                <w:rFonts w:cs="Tahoma"/>
                <w:noProof/>
                <w:sz w:val="18"/>
                <w:szCs w:val="18"/>
                <w:lang w:val="mk-MK" w:eastAsia="mk-MK"/>
              </w:rPr>
              <w:drawing>
                <wp:inline distT="0" distB="0" distL="0" distR="0" wp14:anchorId="08E718B0" wp14:editId="24AAE018">
                  <wp:extent cx="2336800" cy="1517650"/>
                  <wp:effectExtent l="19050" t="0" r="6350" b="0"/>
                  <wp:docPr id="9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336800" cy="1517650"/>
                          </a:xfrm>
                          <a:prstGeom prst="rect">
                            <a:avLst/>
                          </a:prstGeom>
                          <a:noFill/>
                          <a:ln w="9525">
                            <a:noFill/>
                            <a:miter lim="800000"/>
                            <a:headEnd/>
                            <a:tailEnd/>
                          </a:ln>
                        </pic:spPr>
                      </pic:pic>
                    </a:graphicData>
                  </a:graphic>
                </wp:inline>
              </w:drawing>
            </w:r>
          </w:p>
        </w:tc>
      </w:tr>
      <w:tr w:rsidR="00742EBE" w:rsidRPr="0068236B" w14:paraId="69F0CBE5" w14:textId="77777777" w:rsidTr="00744C45">
        <w:trPr>
          <w:trHeight w:val="327"/>
          <w:jc w:val="center"/>
        </w:trPr>
        <w:tc>
          <w:tcPr>
            <w:tcW w:w="10553" w:type="dxa"/>
            <w:gridSpan w:val="3"/>
            <w:tcBorders>
              <w:top w:val="single" w:sz="8" w:space="0" w:color="auto"/>
              <w:bottom w:val="single" w:sz="8" w:space="0" w:color="auto"/>
            </w:tcBorders>
          </w:tcPr>
          <w:p w14:paraId="6052F794" w14:textId="3A64CBF8" w:rsidR="00742EBE" w:rsidRPr="0068236B" w:rsidRDefault="00742EBE" w:rsidP="00C66C49">
            <w:pPr>
              <w:spacing w:before="0" w:after="0" w:line="240" w:lineRule="auto"/>
              <w:jc w:val="left"/>
              <w:rPr>
                <w:rFonts w:cs="Tahoma"/>
                <w:b/>
                <w:sz w:val="18"/>
                <w:szCs w:val="18"/>
              </w:rPr>
            </w:pPr>
            <w:r w:rsidRPr="0068236B">
              <w:rPr>
                <w:rFonts w:cs="Tahoma"/>
                <w:b/>
                <w:i/>
                <w:sz w:val="18"/>
                <w:szCs w:val="18"/>
              </w:rPr>
              <w:t xml:space="preserve">European green toad </w:t>
            </w:r>
            <w:r w:rsidRPr="0068236B">
              <w:rPr>
                <w:rFonts w:cs="Tahoma"/>
                <w:b/>
                <w:sz w:val="18"/>
                <w:szCs w:val="18"/>
              </w:rPr>
              <w:t>(</w:t>
            </w:r>
            <w:r w:rsidRPr="0068236B">
              <w:rPr>
                <w:rFonts w:cs="Tahoma"/>
                <w:b/>
                <w:i/>
                <w:sz w:val="18"/>
                <w:szCs w:val="18"/>
              </w:rPr>
              <w:t>Bufo viridis</w:t>
            </w:r>
            <w:r w:rsidR="00C66C49" w:rsidRPr="0068236B">
              <w:rPr>
                <w:rFonts w:cs="Tahoma"/>
                <w:b/>
                <w:sz w:val="18"/>
                <w:szCs w:val="18"/>
              </w:rPr>
              <w:t>)</w:t>
            </w:r>
          </w:p>
        </w:tc>
      </w:tr>
      <w:tr w:rsidR="00742EBE" w:rsidRPr="0068236B" w14:paraId="720C5AE6" w14:textId="77777777" w:rsidTr="00744C45">
        <w:trPr>
          <w:trHeight w:val="682"/>
          <w:jc w:val="center"/>
        </w:trPr>
        <w:tc>
          <w:tcPr>
            <w:tcW w:w="2882" w:type="dxa"/>
            <w:tcBorders>
              <w:top w:val="single" w:sz="8" w:space="0" w:color="auto"/>
              <w:bottom w:val="single" w:sz="8" w:space="0" w:color="auto"/>
            </w:tcBorders>
          </w:tcPr>
          <w:p w14:paraId="55CAF5F1" w14:textId="77777777" w:rsidR="00742EBE" w:rsidRPr="0068236B" w:rsidRDefault="00742EBE" w:rsidP="00C66C49">
            <w:pPr>
              <w:spacing w:before="0" w:after="0" w:line="240" w:lineRule="auto"/>
              <w:jc w:val="left"/>
              <w:rPr>
                <w:rFonts w:cs="Tahoma"/>
                <w:sz w:val="18"/>
                <w:szCs w:val="18"/>
              </w:rPr>
            </w:pPr>
            <w:r w:rsidRPr="0068236B">
              <w:rPr>
                <w:rFonts w:cs="Tahoma"/>
                <w:sz w:val="18"/>
                <w:szCs w:val="18"/>
              </w:rPr>
              <w:lastRenderedPageBreak/>
              <w:t>This species is listed as Least Concern in the national red list. It has wide distribution, tole</w:t>
            </w:r>
            <w:r w:rsidRPr="0068236B">
              <w:rPr>
                <w:rFonts w:cs="Tahoma"/>
                <w:sz w:val="18"/>
                <w:szCs w:val="18"/>
              </w:rPr>
              <w:t>r</w:t>
            </w:r>
            <w:r w:rsidRPr="0068236B">
              <w:rPr>
                <w:rFonts w:cs="Tahoma"/>
                <w:sz w:val="18"/>
                <w:szCs w:val="18"/>
              </w:rPr>
              <w:t>ance of a broad range of hab</w:t>
            </w:r>
            <w:r w:rsidRPr="0068236B">
              <w:rPr>
                <w:rFonts w:cs="Tahoma"/>
                <w:sz w:val="18"/>
                <w:szCs w:val="18"/>
              </w:rPr>
              <w:t>i</w:t>
            </w:r>
            <w:r w:rsidRPr="0068236B">
              <w:rPr>
                <w:rFonts w:cs="Tahoma"/>
                <w:sz w:val="18"/>
                <w:szCs w:val="18"/>
              </w:rPr>
              <w:t xml:space="preserve">tats, presumed large population, and because it is unlikely to be declining fast enough to qualify for listing in a more threatened category. </w:t>
            </w:r>
          </w:p>
        </w:tc>
        <w:tc>
          <w:tcPr>
            <w:tcW w:w="3713" w:type="dxa"/>
            <w:tcBorders>
              <w:top w:val="single" w:sz="8" w:space="0" w:color="auto"/>
              <w:bottom w:val="single" w:sz="8" w:space="0" w:color="auto"/>
            </w:tcBorders>
          </w:tcPr>
          <w:p w14:paraId="664A1203" w14:textId="77777777" w:rsidR="00742EBE" w:rsidRPr="0068236B" w:rsidRDefault="00742EBE" w:rsidP="00C66C49">
            <w:pPr>
              <w:autoSpaceDE w:val="0"/>
              <w:autoSpaceDN w:val="0"/>
              <w:adjustRightInd w:val="0"/>
              <w:spacing w:before="0" w:after="0" w:line="240" w:lineRule="auto"/>
              <w:jc w:val="left"/>
              <w:rPr>
                <w:rFonts w:cs="Tahoma"/>
                <w:color w:val="000000"/>
                <w:sz w:val="18"/>
                <w:szCs w:val="18"/>
              </w:rPr>
            </w:pPr>
            <w:r w:rsidRPr="0068236B">
              <w:rPr>
                <w:rFonts w:cs="Tahoma"/>
                <w:color w:val="000000"/>
                <w:sz w:val="18"/>
                <w:szCs w:val="18"/>
              </w:rPr>
              <w:t>No measurable direct impact (mortality) is expected during the construction works in the vicinity of rivers Vardar and Anska Reka. Negligible indirect impact (habitats loss) may occur.</w:t>
            </w:r>
          </w:p>
          <w:p w14:paraId="42A1F9C5" w14:textId="77777777" w:rsidR="00742EBE" w:rsidRPr="0068236B" w:rsidRDefault="00742EBE" w:rsidP="00C66C49">
            <w:pPr>
              <w:autoSpaceDE w:val="0"/>
              <w:autoSpaceDN w:val="0"/>
              <w:adjustRightInd w:val="0"/>
              <w:spacing w:before="0" w:after="0" w:line="240" w:lineRule="auto"/>
              <w:jc w:val="left"/>
              <w:rPr>
                <w:rFonts w:cs="Tahoma"/>
                <w:sz w:val="18"/>
                <w:szCs w:val="18"/>
              </w:rPr>
            </w:pPr>
            <w:r w:rsidRPr="0068236B">
              <w:rPr>
                <w:rFonts w:cs="Tahoma"/>
                <w:color w:val="000000"/>
                <w:sz w:val="18"/>
                <w:szCs w:val="18"/>
              </w:rPr>
              <w:t xml:space="preserve">In order to secure net-gain for this species the following measure is proposed: </w:t>
            </w:r>
            <w:r w:rsidRPr="0068236B">
              <w:rPr>
                <w:rFonts w:cs="Tahoma"/>
                <w:sz w:val="18"/>
                <w:szCs w:val="18"/>
              </w:rPr>
              <w:t>control and eradication of invasive plant species and planting on native plant species in the riparian belt.</w:t>
            </w:r>
          </w:p>
        </w:tc>
        <w:tc>
          <w:tcPr>
            <w:tcW w:w="3958" w:type="dxa"/>
            <w:tcBorders>
              <w:top w:val="single" w:sz="8" w:space="0" w:color="auto"/>
              <w:bottom w:val="single" w:sz="8" w:space="0" w:color="auto"/>
            </w:tcBorders>
          </w:tcPr>
          <w:p w14:paraId="5AF7DDFF" w14:textId="77777777" w:rsidR="00742EBE" w:rsidRPr="0068236B" w:rsidRDefault="00742EBE" w:rsidP="00C66C49">
            <w:pPr>
              <w:autoSpaceDE w:val="0"/>
              <w:autoSpaceDN w:val="0"/>
              <w:adjustRightInd w:val="0"/>
              <w:spacing w:before="0" w:after="0" w:line="240" w:lineRule="auto"/>
              <w:rPr>
                <w:rFonts w:cs="Tahoma"/>
                <w:sz w:val="18"/>
                <w:szCs w:val="18"/>
              </w:rPr>
            </w:pPr>
            <w:r w:rsidRPr="0068236B">
              <w:rPr>
                <w:rFonts w:cs="Tahoma"/>
                <w:noProof/>
                <w:sz w:val="18"/>
                <w:szCs w:val="18"/>
                <w:lang w:val="mk-MK" w:eastAsia="mk-MK"/>
              </w:rPr>
              <w:drawing>
                <wp:inline distT="0" distB="0" distL="0" distR="0" wp14:anchorId="4A63CF7C" wp14:editId="721BAEEC">
                  <wp:extent cx="2343150" cy="1504950"/>
                  <wp:effectExtent l="19050" t="0" r="0" b="0"/>
                  <wp:docPr id="9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343150" cy="1504950"/>
                          </a:xfrm>
                          <a:prstGeom prst="rect">
                            <a:avLst/>
                          </a:prstGeom>
                          <a:noFill/>
                          <a:ln w="9525">
                            <a:noFill/>
                            <a:miter lim="800000"/>
                            <a:headEnd/>
                            <a:tailEnd/>
                          </a:ln>
                        </pic:spPr>
                      </pic:pic>
                    </a:graphicData>
                  </a:graphic>
                </wp:inline>
              </w:drawing>
            </w:r>
          </w:p>
        </w:tc>
      </w:tr>
      <w:tr w:rsidR="00742EBE" w:rsidRPr="0068236B" w14:paraId="6C8D1EB4" w14:textId="77777777" w:rsidTr="00744C45">
        <w:trPr>
          <w:trHeight w:val="253"/>
          <w:jc w:val="center"/>
        </w:trPr>
        <w:tc>
          <w:tcPr>
            <w:tcW w:w="10553" w:type="dxa"/>
            <w:gridSpan w:val="3"/>
            <w:tcBorders>
              <w:top w:val="single" w:sz="8" w:space="0" w:color="auto"/>
              <w:bottom w:val="single" w:sz="8" w:space="0" w:color="auto"/>
            </w:tcBorders>
          </w:tcPr>
          <w:p w14:paraId="52D5BBA9" w14:textId="1F6E97DF" w:rsidR="00742EBE" w:rsidRPr="0068236B" w:rsidRDefault="00742EBE" w:rsidP="00C66C49">
            <w:pPr>
              <w:spacing w:before="0" w:after="0" w:line="240" w:lineRule="auto"/>
              <w:jc w:val="left"/>
              <w:rPr>
                <w:rFonts w:cs="Tahoma"/>
                <w:b/>
                <w:sz w:val="18"/>
                <w:szCs w:val="18"/>
              </w:rPr>
            </w:pPr>
            <w:r w:rsidRPr="0068236B">
              <w:rPr>
                <w:rFonts w:cs="Tahoma"/>
                <w:b/>
                <w:i/>
                <w:sz w:val="18"/>
                <w:szCs w:val="18"/>
              </w:rPr>
              <w:t xml:space="preserve">Greek frog </w:t>
            </w:r>
            <w:r w:rsidRPr="0068236B">
              <w:rPr>
                <w:rFonts w:cs="Tahoma"/>
                <w:b/>
                <w:sz w:val="18"/>
                <w:szCs w:val="18"/>
              </w:rPr>
              <w:t>(</w:t>
            </w:r>
            <w:r w:rsidRPr="0068236B">
              <w:rPr>
                <w:rFonts w:cs="Tahoma"/>
                <w:b/>
                <w:i/>
                <w:sz w:val="18"/>
                <w:szCs w:val="18"/>
              </w:rPr>
              <w:t>Rana graeca</w:t>
            </w:r>
            <w:r w:rsidR="00C66C49" w:rsidRPr="0068236B">
              <w:rPr>
                <w:rFonts w:cs="Tahoma"/>
                <w:b/>
                <w:sz w:val="18"/>
                <w:szCs w:val="18"/>
              </w:rPr>
              <w:t>)</w:t>
            </w:r>
          </w:p>
        </w:tc>
      </w:tr>
      <w:tr w:rsidR="00742EBE" w:rsidRPr="0068236B" w14:paraId="3044828F" w14:textId="77777777" w:rsidTr="00744C45">
        <w:trPr>
          <w:trHeight w:val="682"/>
          <w:jc w:val="center"/>
        </w:trPr>
        <w:tc>
          <w:tcPr>
            <w:tcW w:w="2882" w:type="dxa"/>
            <w:tcBorders>
              <w:top w:val="single" w:sz="8" w:space="0" w:color="auto"/>
              <w:bottom w:val="single" w:sz="8" w:space="0" w:color="auto"/>
            </w:tcBorders>
          </w:tcPr>
          <w:p w14:paraId="7CDFD733" w14:textId="77777777" w:rsidR="00742EBE" w:rsidRPr="0068236B" w:rsidRDefault="00742EBE" w:rsidP="00C66C49">
            <w:pPr>
              <w:spacing w:before="0" w:after="0" w:line="240" w:lineRule="auto"/>
              <w:jc w:val="left"/>
              <w:rPr>
                <w:rFonts w:cs="Tahoma"/>
                <w:sz w:val="18"/>
                <w:szCs w:val="18"/>
              </w:rPr>
            </w:pPr>
            <w:r w:rsidRPr="0068236B">
              <w:rPr>
                <w:rFonts w:cs="Tahoma"/>
                <w:sz w:val="18"/>
                <w:szCs w:val="18"/>
              </w:rPr>
              <w:t>The Greek Stream Frog is wid</w:t>
            </w:r>
            <w:r w:rsidRPr="0068236B">
              <w:rPr>
                <w:rFonts w:cs="Tahoma"/>
                <w:sz w:val="18"/>
                <w:szCs w:val="18"/>
              </w:rPr>
              <w:t>e</w:t>
            </w:r>
            <w:r w:rsidRPr="0068236B">
              <w:rPr>
                <w:rFonts w:cs="Tahoma"/>
                <w:sz w:val="18"/>
                <w:szCs w:val="18"/>
              </w:rPr>
              <w:t xml:space="preserve">spread in Macedonia, but limited to suitable habitats (forest and high-mountain streams and rivers). Its populations are threatened by fragmentation and the construction and operation of small hydro-electric power plants. </w:t>
            </w:r>
          </w:p>
        </w:tc>
        <w:tc>
          <w:tcPr>
            <w:tcW w:w="3713" w:type="dxa"/>
            <w:tcBorders>
              <w:top w:val="single" w:sz="8" w:space="0" w:color="auto"/>
              <w:bottom w:val="single" w:sz="8" w:space="0" w:color="auto"/>
            </w:tcBorders>
          </w:tcPr>
          <w:p w14:paraId="324FAA74" w14:textId="77777777" w:rsidR="00742EBE" w:rsidRPr="0068236B" w:rsidRDefault="00742EBE" w:rsidP="00C66C49">
            <w:pPr>
              <w:autoSpaceDE w:val="0"/>
              <w:autoSpaceDN w:val="0"/>
              <w:adjustRightInd w:val="0"/>
              <w:spacing w:before="0" w:after="0" w:line="240" w:lineRule="auto"/>
              <w:jc w:val="left"/>
              <w:rPr>
                <w:rFonts w:cs="Tahoma"/>
                <w:color w:val="000000"/>
                <w:sz w:val="18"/>
                <w:szCs w:val="18"/>
              </w:rPr>
            </w:pPr>
            <w:r w:rsidRPr="0068236B">
              <w:rPr>
                <w:rFonts w:cs="Tahoma"/>
                <w:color w:val="000000"/>
                <w:sz w:val="18"/>
                <w:szCs w:val="18"/>
              </w:rPr>
              <w:t>Same impacts and measures as in the case of Green toad.</w:t>
            </w:r>
          </w:p>
          <w:p w14:paraId="354ADF69" w14:textId="77777777" w:rsidR="00742EBE" w:rsidRPr="0068236B" w:rsidRDefault="00742EBE" w:rsidP="00C66C49">
            <w:pPr>
              <w:autoSpaceDE w:val="0"/>
              <w:autoSpaceDN w:val="0"/>
              <w:adjustRightInd w:val="0"/>
              <w:spacing w:before="0" w:after="0" w:line="240" w:lineRule="auto"/>
              <w:jc w:val="left"/>
              <w:rPr>
                <w:rFonts w:cs="Tahoma"/>
                <w:sz w:val="18"/>
                <w:szCs w:val="18"/>
              </w:rPr>
            </w:pPr>
          </w:p>
        </w:tc>
        <w:tc>
          <w:tcPr>
            <w:tcW w:w="3958" w:type="dxa"/>
            <w:tcBorders>
              <w:top w:val="single" w:sz="8" w:space="0" w:color="auto"/>
              <w:bottom w:val="single" w:sz="8" w:space="0" w:color="auto"/>
            </w:tcBorders>
          </w:tcPr>
          <w:p w14:paraId="14698CA0" w14:textId="77777777" w:rsidR="00742EBE" w:rsidRPr="0068236B" w:rsidRDefault="00742EBE" w:rsidP="00C66C49">
            <w:pPr>
              <w:autoSpaceDE w:val="0"/>
              <w:autoSpaceDN w:val="0"/>
              <w:adjustRightInd w:val="0"/>
              <w:spacing w:before="0" w:after="0" w:line="240" w:lineRule="auto"/>
              <w:rPr>
                <w:rFonts w:cs="Tahoma"/>
                <w:sz w:val="18"/>
                <w:szCs w:val="18"/>
              </w:rPr>
            </w:pPr>
            <w:r w:rsidRPr="0068236B">
              <w:rPr>
                <w:rFonts w:cs="Tahoma"/>
                <w:noProof/>
                <w:sz w:val="18"/>
                <w:szCs w:val="18"/>
                <w:lang w:val="mk-MK" w:eastAsia="mk-MK"/>
              </w:rPr>
              <w:drawing>
                <wp:inline distT="0" distB="0" distL="0" distR="0" wp14:anchorId="2B127CA3" wp14:editId="7F443813">
                  <wp:extent cx="2343150" cy="1495425"/>
                  <wp:effectExtent l="19050" t="0" r="0" b="0"/>
                  <wp:docPr id="9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343150" cy="1495425"/>
                          </a:xfrm>
                          <a:prstGeom prst="rect">
                            <a:avLst/>
                          </a:prstGeom>
                          <a:noFill/>
                          <a:ln w="9525">
                            <a:noFill/>
                            <a:miter lim="800000"/>
                            <a:headEnd/>
                            <a:tailEnd/>
                          </a:ln>
                        </pic:spPr>
                      </pic:pic>
                    </a:graphicData>
                  </a:graphic>
                </wp:inline>
              </w:drawing>
            </w:r>
          </w:p>
        </w:tc>
      </w:tr>
    </w:tbl>
    <w:p w14:paraId="4F5176C6" w14:textId="194BAE1B" w:rsidR="00742EBE" w:rsidRPr="0068236B" w:rsidRDefault="00742EBE" w:rsidP="00742EBE">
      <w:pPr>
        <w:spacing w:before="60" w:after="240"/>
        <w:rPr>
          <w:rFonts w:cs="Tahoma"/>
          <w:sz w:val="18"/>
          <w:szCs w:val="20"/>
        </w:rPr>
      </w:pPr>
      <w:bookmarkStart w:id="272" w:name="_Toc113018185"/>
      <w:r w:rsidRPr="0068236B">
        <w:rPr>
          <w:rFonts w:cs="Tahoma"/>
          <w:sz w:val="18"/>
          <w:szCs w:val="20"/>
        </w:rPr>
        <w:t xml:space="preserve">Table </w:t>
      </w:r>
      <w:r w:rsidRPr="0068236B">
        <w:rPr>
          <w:rFonts w:cs="Tahoma"/>
          <w:sz w:val="18"/>
          <w:szCs w:val="20"/>
        </w:rPr>
        <w:fldChar w:fldCharType="begin"/>
      </w:r>
      <w:r w:rsidRPr="0068236B">
        <w:rPr>
          <w:rFonts w:cs="Tahoma"/>
          <w:sz w:val="18"/>
          <w:szCs w:val="20"/>
        </w:rPr>
        <w:instrText xml:space="preserve"> STYLEREF 1 \s </w:instrText>
      </w:r>
      <w:r w:rsidRPr="0068236B">
        <w:rPr>
          <w:rFonts w:cs="Tahoma"/>
          <w:sz w:val="18"/>
          <w:szCs w:val="20"/>
        </w:rPr>
        <w:fldChar w:fldCharType="separate"/>
      </w:r>
      <w:r w:rsidR="00FD57E6">
        <w:rPr>
          <w:rFonts w:cs="Tahoma"/>
          <w:noProof/>
          <w:sz w:val="18"/>
          <w:szCs w:val="20"/>
        </w:rPr>
        <w:t>7</w:t>
      </w:r>
      <w:r w:rsidRPr="0068236B">
        <w:rPr>
          <w:rFonts w:cs="Tahoma"/>
          <w:sz w:val="18"/>
          <w:szCs w:val="20"/>
        </w:rPr>
        <w:fldChar w:fldCharType="end"/>
      </w:r>
      <w:r w:rsidRPr="0068236B">
        <w:rPr>
          <w:rFonts w:cs="Tahoma"/>
          <w:sz w:val="18"/>
          <w:szCs w:val="20"/>
        </w:rPr>
        <w:t>.</w:t>
      </w:r>
      <w:r w:rsidRPr="0068236B">
        <w:rPr>
          <w:rFonts w:cs="Tahoma"/>
          <w:sz w:val="18"/>
          <w:szCs w:val="20"/>
        </w:rPr>
        <w:fldChar w:fldCharType="begin"/>
      </w:r>
      <w:r w:rsidRPr="0068236B">
        <w:rPr>
          <w:rFonts w:cs="Tahoma"/>
          <w:sz w:val="18"/>
          <w:szCs w:val="20"/>
        </w:rPr>
        <w:instrText xml:space="preserve"> SEQ Table \* ARABIC \s 1 </w:instrText>
      </w:r>
      <w:r w:rsidRPr="0068236B">
        <w:rPr>
          <w:rFonts w:cs="Tahoma"/>
          <w:sz w:val="18"/>
          <w:szCs w:val="20"/>
        </w:rPr>
        <w:fldChar w:fldCharType="separate"/>
      </w:r>
      <w:r w:rsidR="00FD57E6">
        <w:rPr>
          <w:rFonts w:cs="Tahoma"/>
          <w:noProof/>
          <w:sz w:val="18"/>
          <w:szCs w:val="20"/>
        </w:rPr>
        <w:t>14</w:t>
      </w:r>
      <w:r w:rsidRPr="0068236B">
        <w:rPr>
          <w:rFonts w:cs="Tahoma"/>
          <w:sz w:val="18"/>
          <w:szCs w:val="20"/>
        </w:rPr>
        <w:fldChar w:fldCharType="end"/>
      </w:r>
      <w:r w:rsidRPr="0068236B">
        <w:rPr>
          <w:rFonts w:cs="Tahoma"/>
          <w:sz w:val="18"/>
          <w:szCs w:val="20"/>
        </w:rPr>
        <w:t>:</w:t>
      </w:r>
      <w:r w:rsidRPr="0068236B">
        <w:rPr>
          <w:rFonts w:cs="Tahoma"/>
          <w:b/>
          <w:sz w:val="18"/>
          <w:szCs w:val="20"/>
        </w:rPr>
        <w:t xml:space="preserve"> </w:t>
      </w:r>
      <w:r w:rsidR="00C66C49" w:rsidRPr="0068236B">
        <w:rPr>
          <w:rFonts w:cs="Tahoma"/>
          <w:iCs/>
          <w:sz w:val="18"/>
          <w:szCs w:val="20"/>
        </w:rPr>
        <w:t>Species that trigger Critical Habitat</w:t>
      </w:r>
      <w:bookmarkEnd w:id="272"/>
    </w:p>
    <w:tbl>
      <w:tblPr>
        <w:tblStyle w:val="Kokan"/>
        <w:tblW w:w="10553" w:type="dxa"/>
        <w:jc w:val="center"/>
        <w:tblLayout w:type="fixed"/>
        <w:tblLook w:val="04A0" w:firstRow="1" w:lastRow="0" w:firstColumn="1" w:lastColumn="0" w:noHBand="0" w:noVBand="1"/>
      </w:tblPr>
      <w:tblGrid>
        <w:gridCol w:w="2882"/>
        <w:gridCol w:w="3713"/>
        <w:gridCol w:w="3958"/>
      </w:tblGrid>
      <w:tr w:rsidR="00744C45" w:rsidRPr="00744C45" w14:paraId="19278211" w14:textId="77777777" w:rsidTr="00744C45">
        <w:trPr>
          <w:cnfStyle w:val="100000000000" w:firstRow="1" w:lastRow="0" w:firstColumn="0" w:lastColumn="0" w:oddVBand="0" w:evenVBand="0" w:oddHBand="0" w:evenHBand="0" w:firstRowFirstColumn="0" w:firstRowLastColumn="0" w:lastRowFirstColumn="0" w:lastRowLastColumn="0"/>
          <w:trHeight w:val="437"/>
          <w:tblHeader/>
          <w:jc w:val="center"/>
        </w:trPr>
        <w:tc>
          <w:tcPr>
            <w:tcW w:w="2882" w:type="dxa"/>
            <w:tcBorders>
              <w:top w:val="double" w:sz="4" w:space="0" w:color="auto"/>
              <w:bottom w:val="double" w:sz="4" w:space="0" w:color="auto"/>
              <w:right w:val="double" w:sz="4" w:space="0" w:color="auto"/>
            </w:tcBorders>
            <w:shd w:val="clear" w:color="auto" w:fill="B4C6E7" w:themeFill="accent1" w:themeFillTint="66"/>
          </w:tcPr>
          <w:p w14:paraId="3EECC88C" w14:textId="77777777" w:rsidR="00742EBE" w:rsidRPr="00744C45" w:rsidRDefault="00742EBE" w:rsidP="00742EBE">
            <w:pPr>
              <w:autoSpaceDE w:val="0"/>
              <w:autoSpaceDN w:val="0"/>
              <w:adjustRightInd w:val="0"/>
              <w:spacing w:before="0" w:after="0" w:line="240" w:lineRule="auto"/>
              <w:jc w:val="center"/>
              <w:rPr>
                <w:rFonts w:cs="Tahoma"/>
                <w:bCs/>
                <w:color w:val="auto"/>
                <w:sz w:val="18"/>
                <w:szCs w:val="18"/>
              </w:rPr>
            </w:pPr>
            <w:r w:rsidRPr="00744C45">
              <w:rPr>
                <w:rFonts w:cs="Tahoma"/>
                <w:bCs/>
                <w:color w:val="auto"/>
                <w:sz w:val="18"/>
                <w:szCs w:val="18"/>
              </w:rPr>
              <w:t>Distribution and estimates</w:t>
            </w:r>
          </w:p>
        </w:tc>
        <w:tc>
          <w:tcPr>
            <w:tcW w:w="3713"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1CD686BE" w14:textId="77777777" w:rsidR="00742EBE" w:rsidRPr="00744C45" w:rsidRDefault="00742EBE" w:rsidP="00742EBE">
            <w:pPr>
              <w:autoSpaceDE w:val="0"/>
              <w:autoSpaceDN w:val="0"/>
              <w:adjustRightInd w:val="0"/>
              <w:spacing w:before="0" w:after="0" w:line="240" w:lineRule="auto"/>
              <w:jc w:val="center"/>
              <w:rPr>
                <w:rFonts w:cs="Tahoma"/>
                <w:color w:val="auto"/>
                <w:sz w:val="18"/>
                <w:szCs w:val="18"/>
              </w:rPr>
            </w:pPr>
            <w:r w:rsidRPr="00744C45">
              <w:rPr>
                <w:rFonts w:cs="Tahoma"/>
                <w:bCs/>
                <w:color w:val="auto"/>
                <w:sz w:val="18"/>
                <w:szCs w:val="18"/>
              </w:rPr>
              <w:t>Threats and measures</w:t>
            </w:r>
          </w:p>
        </w:tc>
        <w:tc>
          <w:tcPr>
            <w:tcW w:w="3958" w:type="dxa"/>
            <w:tcBorders>
              <w:top w:val="double" w:sz="4" w:space="0" w:color="auto"/>
              <w:left w:val="double" w:sz="4" w:space="0" w:color="auto"/>
              <w:bottom w:val="double" w:sz="4" w:space="0" w:color="auto"/>
            </w:tcBorders>
            <w:shd w:val="clear" w:color="auto" w:fill="B4C6E7" w:themeFill="accent1" w:themeFillTint="66"/>
          </w:tcPr>
          <w:p w14:paraId="6CFBF65F" w14:textId="77777777" w:rsidR="00742EBE" w:rsidRPr="00744C45" w:rsidRDefault="00742EBE" w:rsidP="00742EBE">
            <w:pPr>
              <w:autoSpaceDE w:val="0"/>
              <w:autoSpaceDN w:val="0"/>
              <w:adjustRightInd w:val="0"/>
              <w:spacing w:before="0" w:after="0" w:line="240" w:lineRule="auto"/>
              <w:rPr>
                <w:rFonts w:cs="Tahoma"/>
                <w:color w:val="auto"/>
                <w:sz w:val="18"/>
                <w:szCs w:val="18"/>
              </w:rPr>
            </w:pPr>
            <w:r w:rsidRPr="00744C45">
              <w:rPr>
                <w:rFonts w:cs="Tahoma"/>
                <w:color w:val="auto"/>
                <w:sz w:val="18"/>
                <w:szCs w:val="18"/>
              </w:rPr>
              <w:t>Distribution maps</w:t>
            </w:r>
            <w:r w:rsidRPr="00744C45">
              <w:rPr>
                <w:rStyle w:val="FootnoteReference"/>
                <w:rFonts w:cs="Tahoma"/>
                <w:color w:val="auto"/>
                <w:sz w:val="18"/>
                <w:szCs w:val="18"/>
              </w:rPr>
              <w:footnoteReference w:id="94"/>
            </w:r>
          </w:p>
        </w:tc>
      </w:tr>
      <w:tr w:rsidR="00742EBE" w:rsidRPr="0068236B" w14:paraId="1C310B88" w14:textId="77777777" w:rsidTr="00C66C49">
        <w:trPr>
          <w:trHeight w:val="212"/>
          <w:jc w:val="center"/>
        </w:trPr>
        <w:tc>
          <w:tcPr>
            <w:tcW w:w="10553" w:type="dxa"/>
            <w:gridSpan w:val="3"/>
            <w:tcBorders>
              <w:top w:val="double" w:sz="4" w:space="0" w:color="auto"/>
              <w:bottom w:val="double" w:sz="4" w:space="0" w:color="auto"/>
            </w:tcBorders>
          </w:tcPr>
          <w:p w14:paraId="1BB57AB4" w14:textId="77777777" w:rsidR="00742EBE" w:rsidRPr="0068236B" w:rsidRDefault="00742EBE" w:rsidP="00742EBE">
            <w:pPr>
              <w:kinsoku w:val="0"/>
              <w:overflowPunct w:val="0"/>
              <w:autoSpaceDE w:val="0"/>
              <w:autoSpaceDN w:val="0"/>
              <w:adjustRightInd w:val="0"/>
              <w:spacing w:before="0" w:after="0" w:line="240" w:lineRule="auto"/>
              <w:rPr>
                <w:rFonts w:cs="Tahoma"/>
                <w:noProof/>
                <w:sz w:val="18"/>
                <w:szCs w:val="18"/>
                <w:lang w:val="mk-MK" w:eastAsia="mk-MK"/>
              </w:rPr>
            </w:pPr>
            <w:r w:rsidRPr="0068236B">
              <w:rPr>
                <w:rFonts w:cs="Tahoma"/>
                <w:b/>
                <w:sz w:val="18"/>
                <w:szCs w:val="18"/>
              </w:rPr>
              <w:t xml:space="preserve">92A0 </w:t>
            </w:r>
            <w:r w:rsidRPr="0068236B">
              <w:rPr>
                <w:rFonts w:cs="Tahoma"/>
                <w:b/>
                <w:i/>
                <w:sz w:val="18"/>
                <w:szCs w:val="18"/>
              </w:rPr>
              <w:t>Salix alba</w:t>
            </w:r>
            <w:r w:rsidRPr="0068236B">
              <w:rPr>
                <w:rFonts w:cs="Tahoma"/>
                <w:b/>
                <w:sz w:val="18"/>
                <w:szCs w:val="18"/>
              </w:rPr>
              <w:t xml:space="preserve"> and </w:t>
            </w:r>
            <w:r w:rsidRPr="0068236B">
              <w:rPr>
                <w:rFonts w:cs="Tahoma"/>
                <w:b/>
                <w:i/>
                <w:sz w:val="18"/>
                <w:szCs w:val="18"/>
              </w:rPr>
              <w:t>Populus alba galleries</w:t>
            </w:r>
          </w:p>
        </w:tc>
      </w:tr>
      <w:tr w:rsidR="00742EBE" w:rsidRPr="0068236B" w14:paraId="3BFF8FEB" w14:textId="77777777" w:rsidTr="00C66C49">
        <w:trPr>
          <w:trHeight w:val="682"/>
          <w:jc w:val="center"/>
        </w:trPr>
        <w:tc>
          <w:tcPr>
            <w:tcW w:w="2882" w:type="dxa"/>
            <w:tcBorders>
              <w:top w:val="double" w:sz="4" w:space="0" w:color="auto"/>
              <w:bottom w:val="double" w:sz="4" w:space="0" w:color="auto"/>
            </w:tcBorders>
          </w:tcPr>
          <w:p w14:paraId="20942677" w14:textId="77777777" w:rsidR="00742EBE" w:rsidRPr="0068236B" w:rsidRDefault="00742EBE" w:rsidP="00742EBE">
            <w:pPr>
              <w:autoSpaceDE w:val="0"/>
              <w:autoSpaceDN w:val="0"/>
              <w:adjustRightInd w:val="0"/>
              <w:spacing w:before="0" w:after="0" w:line="240" w:lineRule="auto"/>
              <w:jc w:val="left"/>
              <w:rPr>
                <w:rFonts w:cs="Tahoma"/>
                <w:sz w:val="18"/>
                <w:szCs w:val="18"/>
              </w:rPr>
            </w:pPr>
            <w:r w:rsidRPr="0068236B">
              <w:rPr>
                <w:rFonts w:cs="Tahoma"/>
                <w:sz w:val="18"/>
                <w:szCs w:val="18"/>
              </w:rPr>
              <w:t>This habitat is very common along the lowland rivers in the Republic of Macedonia. It is also widespread riparian habitat on the European continent, especia</w:t>
            </w:r>
            <w:r w:rsidRPr="0068236B">
              <w:rPr>
                <w:rFonts w:cs="Tahoma"/>
                <w:sz w:val="18"/>
                <w:szCs w:val="18"/>
              </w:rPr>
              <w:t>l</w:t>
            </w:r>
            <w:r w:rsidRPr="0068236B">
              <w:rPr>
                <w:rFonts w:cs="Tahoma"/>
                <w:sz w:val="18"/>
                <w:szCs w:val="18"/>
              </w:rPr>
              <w:t>ly in the Mediterranean and Submedirranean area. In the area of interest it was recorded along the Vardar River.</w:t>
            </w:r>
          </w:p>
          <w:p w14:paraId="6E9476B3" w14:textId="77777777" w:rsidR="00742EBE" w:rsidRPr="0068236B" w:rsidRDefault="00742EBE" w:rsidP="00742EBE">
            <w:pPr>
              <w:autoSpaceDE w:val="0"/>
              <w:autoSpaceDN w:val="0"/>
              <w:adjustRightInd w:val="0"/>
              <w:spacing w:before="0" w:after="0" w:line="240" w:lineRule="auto"/>
              <w:jc w:val="left"/>
              <w:rPr>
                <w:rFonts w:cs="Tahoma"/>
                <w:sz w:val="18"/>
                <w:szCs w:val="18"/>
              </w:rPr>
            </w:pPr>
          </w:p>
        </w:tc>
        <w:tc>
          <w:tcPr>
            <w:tcW w:w="3713" w:type="dxa"/>
            <w:tcBorders>
              <w:top w:val="double" w:sz="4" w:space="0" w:color="auto"/>
              <w:bottom w:val="double" w:sz="4" w:space="0" w:color="auto"/>
            </w:tcBorders>
          </w:tcPr>
          <w:p w14:paraId="509A9834" w14:textId="77777777" w:rsidR="00742EBE" w:rsidRPr="0068236B" w:rsidRDefault="00742EBE" w:rsidP="00742EBE">
            <w:pPr>
              <w:autoSpaceDE w:val="0"/>
              <w:autoSpaceDN w:val="0"/>
              <w:adjustRightInd w:val="0"/>
              <w:spacing w:before="0" w:after="0" w:line="240" w:lineRule="auto"/>
              <w:jc w:val="left"/>
              <w:rPr>
                <w:rFonts w:cs="Tahoma"/>
                <w:sz w:val="18"/>
                <w:szCs w:val="18"/>
              </w:rPr>
            </w:pPr>
            <w:r w:rsidRPr="0068236B">
              <w:rPr>
                <w:rFonts w:cs="Tahoma"/>
                <w:sz w:val="18"/>
                <w:szCs w:val="18"/>
              </w:rPr>
              <w:t>This habitat will not be damaged physically. Only wires will overarch this riparian co</w:t>
            </w:r>
            <w:r w:rsidRPr="0068236B">
              <w:rPr>
                <w:rFonts w:cs="Tahoma"/>
                <w:sz w:val="18"/>
                <w:szCs w:val="18"/>
              </w:rPr>
              <w:t>m</w:t>
            </w:r>
            <w:r w:rsidRPr="0068236B">
              <w:rPr>
                <w:rFonts w:cs="Tahoma"/>
                <w:sz w:val="18"/>
                <w:szCs w:val="18"/>
              </w:rPr>
              <w:t>munity. Nevertheless, a possible fragme</w:t>
            </w:r>
            <w:r w:rsidRPr="0068236B">
              <w:rPr>
                <w:rFonts w:cs="Tahoma"/>
                <w:sz w:val="18"/>
                <w:szCs w:val="18"/>
              </w:rPr>
              <w:t>n</w:t>
            </w:r>
            <w:r w:rsidRPr="0068236B">
              <w:rPr>
                <w:rFonts w:cs="Tahoma"/>
                <w:sz w:val="18"/>
                <w:szCs w:val="18"/>
              </w:rPr>
              <w:t xml:space="preserve">tation impact is expected in regards to the movement of bird species. </w:t>
            </w:r>
          </w:p>
          <w:p w14:paraId="55CDE160" w14:textId="77777777" w:rsidR="00742EBE" w:rsidRPr="0068236B" w:rsidRDefault="00742EBE" w:rsidP="00742EBE">
            <w:pPr>
              <w:autoSpaceDE w:val="0"/>
              <w:autoSpaceDN w:val="0"/>
              <w:adjustRightInd w:val="0"/>
              <w:spacing w:before="0" w:after="0" w:line="240" w:lineRule="auto"/>
              <w:jc w:val="left"/>
              <w:rPr>
                <w:rFonts w:cs="Tahoma"/>
                <w:sz w:val="18"/>
                <w:szCs w:val="18"/>
              </w:rPr>
            </w:pPr>
            <w:r w:rsidRPr="0068236B">
              <w:rPr>
                <w:rFonts w:cs="Tahoma"/>
                <w:sz w:val="18"/>
                <w:szCs w:val="18"/>
              </w:rPr>
              <w:t>In order to avoid collisions with the wires, a flight diverters are proposed. At the m</w:t>
            </w:r>
            <w:r w:rsidRPr="0068236B">
              <w:rPr>
                <w:rFonts w:cs="Tahoma"/>
                <w:sz w:val="18"/>
                <w:szCs w:val="18"/>
              </w:rPr>
              <w:t>o</w:t>
            </w:r>
            <w:r w:rsidRPr="0068236B">
              <w:rPr>
                <w:rFonts w:cs="Tahoma"/>
                <w:sz w:val="18"/>
                <w:szCs w:val="18"/>
              </w:rPr>
              <w:t>ment, the composition of this riparian community is altered due to the presence of alien species. In order to secure net gain for the community as well as for the CH/PBF species a control and eradication of invasive plant species and planting on n</w:t>
            </w:r>
            <w:r w:rsidRPr="0068236B">
              <w:rPr>
                <w:rFonts w:cs="Tahoma"/>
                <w:sz w:val="18"/>
                <w:szCs w:val="18"/>
              </w:rPr>
              <w:t>a</w:t>
            </w:r>
            <w:r w:rsidRPr="0068236B">
              <w:rPr>
                <w:rFonts w:cs="Tahoma"/>
                <w:sz w:val="18"/>
                <w:szCs w:val="18"/>
              </w:rPr>
              <w:t>tive plant species in the riparian belt is also proposed.</w:t>
            </w:r>
          </w:p>
        </w:tc>
        <w:tc>
          <w:tcPr>
            <w:tcW w:w="3958" w:type="dxa"/>
            <w:tcBorders>
              <w:top w:val="double" w:sz="4" w:space="0" w:color="auto"/>
              <w:bottom w:val="double" w:sz="4" w:space="0" w:color="auto"/>
            </w:tcBorders>
            <w:vAlign w:val="center"/>
          </w:tcPr>
          <w:p w14:paraId="564BFB96" w14:textId="77777777" w:rsidR="00742EBE" w:rsidRPr="0068236B" w:rsidRDefault="00742EBE" w:rsidP="00742EBE">
            <w:pPr>
              <w:kinsoku w:val="0"/>
              <w:overflowPunct w:val="0"/>
              <w:autoSpaceDE w:val="0"/>
              <w:autoSpaceDN w:val="0"/>
              <w:adjustRightInd w:val="0"/>
              <w:spacing w:before="0" w:after="0" w:line="240" w:lineRule="auto"/>
              <w:rPr>
                <w:rFonts w:cs="Tahoma"/>
                <w:sz w:val="18"/>
                <w:szCs w:val="18"/>
              </w:rPr>
            </w:pPr>
            <w:bookmarkStart w:id="273" w:name="bookmark1"/>
            <w:bookmarkStart w:id="274" w:name="bookmark0"/>
            <w:bookmarkEnd w:id="273"/>
            <w:bookmarkEnd w:id="274"/>
            <w:r w:rsidRPr="0068236B">
              <w:rPr>
                <w:rFonts w:cs="Tahoma"/>
                <w:noProof/>
                <w:sz w:val="18"/>
                <w:szCs w:val="18"/>
                <w:lang w:val="mk-MK" w:eastAsia="mk-MK"/>
              </w:rPr>
              <w:drawing>
                <wp:inline distT="0" distB="0" distL="0" distR="0" wp14:anchorId="77284050" wp14:editId="5E38303A">
                  <wp:extent cx="2340610" cy="1847850"/>
                  <wp:effectExtent l="19050" t="0" r="2540" b="0"/>
                  <wp:docPr id="4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340610" cy="1847850"/>
                          </a:xfrm>
                          <a:prstGeom prst="rect">
                            <a:avLst/>
                          </a:prstGeom>
                          <a:noFill/>
                          <a:ln w="9525">
                            <a:noFill/>
                            <a:miter lim="800000"/>
                            <a:headEnd/>
                            <a:tailEnd/>
                          </a:ln>
                        </pic:spPr>
                      </pic:pic>
                    </a:graphicData>
                  </a:graphic>
                </wp:inline>
              </w:drawing>
            </w:r>
          </w:p>
        </w:tc>
      </w:tr>
      <w:tr w:rsidR="00742EBE" w:rsidRPr="0068236B" w14:paraId="05E8D654" w14:textId="77777777" w:rsidTr="00C66C49">
        <w:trPr>
          <w:trHeight w:val="171"/>
          <w:jc w:val="center"/>
        </w:trPr>
        <w:tc>
          <w:tcPr>
            <w:tcW w:w="10553" w:type="dxa"/>
            <w:gridSpan w:val="3"/>
            <w:tcBorders>
              <w:top w:val="single" w:sz="8" w:space="0" w:color="auto"/>
              <w:bottom w:val="single" w:sz="8" w:space="0" w:color="auto"/>
            </w:tcBorders>
          </w:tcPr>
          <w:p w14:paraId="1908E93F" w14:textId="5C997E0A" w:rsidR="00742EBE" w:rsidRPr="0068236B" w:rsidRDefault="00742EBE" w:rsidP="00C66C49">
            <w:pPr>
              <w:spacing w:before="0" w:after="0" w:line="240" w:lineRule="auto"/>
              <w:jc w:val="left"/>
              <w:rPr>
                <w:rFonts w:cs="Tahoma"/>
                <w:b/>
                <w:sz w:val="18"/>
                <w:szCs w:val="18"/>
              </w:rPr>
            </w:pPr>
            <w:r w:rsidRPr="0068236B">
              <w:rPr>
                <w:rFonts w:cs="Tahoma"/>
                <w:b/>
                <w:i/>
                <w:sz w:val="18"/>
                <w:szCs w:val="18"/>
              </w:rPr>
              <w:t xml:space="preserve">Common kingfisher </w:t>
            </w:r>
            <w:r w:rsidRPr="0068236B">
              <w:rPr>
                <w:rFonts w:cs="Tahoma"/>
                <w:b/>
                <w:sz w:val="18"/>
                <w:szCs w:val="18"/>
              </w:rPr>
              <w:t>(</w:t>
            </w:r>
            <w:r w:rsidRPr="0068236B">
              <w:rPr>
                <w:rFonts w:cs="Tahoma"/>
                <w:b/>
                <w:i/>
                <w:sz w:val="18"/>
                <w:szCs w:val="18"/>
              </w:rPr>
              <w:t>Alcedo atthis</w:t>
            </w:r>
            <w:r w:rsidR="00C66C49" w:rsidRPr="0068236B">
              <w:rPr>
                <w:rFonts w:cs="Tahoma"/>
                <w:b/>
                <w:sz w:val="18"/>
                <w:szCs w:val="18"/>
              </w:rPr>
              <w:t>)</w:t>
            </w:r>
          </w:p>
        </w:tc>
      </w:tr>
      <w:tr w:rsidR="00742EBE" w:rsidRPr="0068236B" w14:paraId="310FE2EB" w14:textId="77777777" w:rsidTr="00C66C49">
        <w:trPr>
          <w:trHeight w:val="682"/>
          <w:jc w:val="center"/>
        </w:trPr>
        <w:tc>
          <w:tcPr>
            <w:tcW w:w="2882" w:type="dxa"/>
            <w:tcBorders>
              <w:top w:val="single" w:sz="8" w:space="0" w:color="auto"/>
              <w:bottom w:val="single" w:sz="8" w:space="0" w:color="auto"/>
            </w:tcBorders>
          </w:tcPr>
          <w:p w14:paraId="50731015" w14:textId="77777777" w:rsidR="00742EBE" w:rsidRPr="0068236B" w:rsidRDefault="00742EBE" w:rsidP="00742EBE">
            <w:pPr>
              <w:spacing w:before="0" w:after="0" w:line="240" w:lineRule="auto"/>
              <w:jc w:val="left"/>
              <w:rPr>
                <w:rFonts w:cs="Tahoma"/>
                <w:sz w:val="18"/>
                <w:szCs w:val="18"/>
              </w:rPr>
            </w:pPr>
            <w:r w:rsidRPr="0068236B">
              <w:rPr>
                <w:rFonts w:cs="Tahoma"/>
                <w:sz w:val="18"/>
                <w:szCs w:val="18"/>
              </w:rPr>
              <w:t>The species is widespread along all rivers and lakes in Macedonia. It is used as a trigger species for designation of the following Important Bird Areas: River Br</w:t>
            </w:r>
            <w:r w:rsidRPr="0068236B">
              <w:rPr>
                <w:rFonts w:cs="Tahoma"/>
                <w:sz w:val="18"/>
                <w:szCs w:val="18"/>
              </w:rPr>
              <w:t>e</w:t>
            </w:r>
            <w:r w:rsidRPr="0068236B">
              <w:rPr>
                <w:rFonts w:cs="Tahoma"/>
                <w:sz w:val="18"/>
                <w:szCs w:val="18"/>
              </w:rPr>
              <w:t>galnica, Babuna gorge, Topolka gorge, and Crn Kamen River Radika catchment. National po</w:t>
            </w:r>
            <w:r w:rsidRPr="0068236B">
              <w:rPr>
                <w:rFonts w:cs="Tahoma"/>
                <w:sz w:val="18"/>
                <w:szCs w:val="18"/>
              </w:rPr>
              <w:t>p</w:t>
            </w:r>
            <w:r w:rsidRPr="0068236B">
              <w:rPr>
                <w:rFonts w:cs="Tahoma"/>
                <w:sz w:val="18"/>
                <w:szCs w:val="18"/>
              </w:rPr>
              <w:t xml:space="preserve">ulation is estimated at 20-100 </w:t>
            </w:r>
            <w:r w:rsidRPr="0068236B">
              <w:rPr>
                <w:rFonts w:cs="Tahoma"/>
                <w:sz w:val="18"/>
                <w:szCs w:val="18"/>
              </w:rPr>
              <w:lastRenderedPageBreak/>
              <w:t>pairs which is less than 0.1% of the European population</w:t>
            </w:r>
            <w:r w:rsidRPr="0068236B">
              <w:rPr>
                <w:rStyle w:val="FootnoteReference"/>
                <w:rFonts w:cs="Tahoma"/>
                <w:sz w:val="18"/>
                <w:szCs w:val="18"/>
              </w:rPr>
              <w:footnoteReference w:id="95"/>
            </w:r>
            <w:r w:rsidRPr="0068236B">
              <w:rPr>
                <w:rFonts w:cs="Tahoma"/>
                <w:sz w:val="18"/>
                <w:szCs w:val="18"/>
              </w:rPr>
              <w:t>.</w:t>
            </w:r>
          </w:p>
        </w:tc>
        <w:tc>
          <w:tcPr>
            <w:tcW w:w="3713" w:type="dxa"/>
            <w:tcBorders>
              <w:top w:val="single" w:sz="8" w:space="0" w:color="auto"/>
              <w:bottom w:val="single" w:sz="8" w:space="0" w:color="auto"/>
            </w:tcBorders>
          </w:tcPr>
          <w:p w14:paraId="693CDEFA" w14:textId="77777777" w:rsidR="00742EBE" w:rsidRPr="0068236B" w:rsidRDefault="00742EBE" w:rsidP="00742EBE">
            <w:pPr>
              <w:autoSpaceDE w:val="0"/>
              <w:autoSpaceDN w:val="0"/>
              <w:adjustRightInd w:val="0"/>
              <w:spacing w:before="0" w:after="0" w:line="240" w:lineRule="auto"/>
              <w:jc w:val="left"/>
              <w:rPr>
                <w:rFonts w:cs="Tahoma"/>
                <w:sz w:val="18"/>
                <w:szCs w:val="18"/>
              </w:rPr>
            </w:pPr>
            <w:r w:rsidRPr="0068236B">
              <w:rPr>
                <w:rFonts w:cs="Tahoma"/>
                <w:sz w:val="18"/>
                <w:szCs w:val="18"/>
              </w:rPr>
              <w:lastRenderedPageBreak/>
              <w:t>The main impact for the Kingfisher from the project implementation is disturbance, especially during the construction phase.</w:t>
            </w:r>
          </w:p>
          <w:p w14:paraId="5F43057E" w14:textId="77777777" w:rsidR="00742EBE" w:rsidRPr="0068236B" w:rsidRDefault="00742EBE" w:rsidP="00742EBE">
            <w:pPr>
              <w:autoSpaceDE w:val="0"/>
              <w:autoSpaceDN w:val="0"/>
              <w:adjustRightInd w:val="0"/>
              <w:spacing w:before="0" w:after="0" w:line="240" w:lineRule="auto"/>
              <w:jc w:val="left"/>
              <w:rPr>
                <w:rFonts w:cs="Tahoma"/>
                <w:sz w:val="18"/>
                <w:szCs w:val="18"/>
              </w:rPr>
            </w:pPr>
            <w:r w:rsidRPr="0068236B">
              <w:rPr>
                <w:rFonts w:cs="Tahoma"/>
                <w:sz w:val="18"/>
                <w:szCs w:val="18"/>
              </w:rPr>
              <w:t>In order to avoid disturbance a specific mitigation measure is introduced: Prohib</w:t>
            </w:r>
            <w:r w:rsidRPr="0068236B">
              <w:rPr>
                <w:rFonts w:cs="Tahoma"/>
                <w:sz w:val="18"/>
                <w:szCs w:val="18"/>
              </w:rPr>
              <w:t>i</w:t>
            </w:r>
            <w:r w:rsidRPr="0068236B">
              <w:rPr>
                <w:rFonts w:cs="Tahoma"/>
                <w:sz w:val="18"/>
                <w:szCs w:val="18"/>
              </w:rPr>
              <w:t>tion of fishing in a stretch of 250 m on both side of river Vardar. The control of invasive species in the riparian community will also be beneficial for this species.</w:t>
            </w:r>
          </w:p>
        </w:tc>
        <w:tc>
          <w:tcPr>
            <w:tcW w:w="3958" w:type="dxa"/>
            <w:tcBorders>
              <w:top w:val="single" w:sz="8" w:space="0" w:color="auto"/>
              <w:bottom w:val="single" w:sz="8" w:space="0" w:color="auto"/>
            </w:tcBorders>
          </w:tcPr>
          <w:p w14:paraId="2936A976" w14:textId="77777777" w:rsidR="00742EBE" w:rsidRPr="0068236B" w:rsidRDefault="00742EBE" w:rsidP="00742EBE">
            <w:pPr>
              <w:autoSpaceDE w:val="0"/>
              <w:autoSpaceDN w:val="0"/>
              <w:adjustRightInd w:val="0"/>
              <w:spacing w:before="0" w:after="0" w:line="240" w:lineRule="auto"/>
              <w:rPr>
                <w:rFonts w:cs="Tahoma"/>
                <w:noProof/>
                <w:sz w:val="18"/>
                <w:szCs w:val="18"/>
                <w:lang w:eastAsia="mk-MK"/>
              </w:rPr>
            </w:pPr>
            <w:r w:rsidRPr="0068236B">
              <w:rPr>
                <w:rFonts w:cs="Tahoma"/>
                <w:noProof/>
                <w:sz w:val="18"/>
                <w:szCs w:val="18"/>
                <w:lang w:val="mk-MK" w:eastAsia="mk-MK"/>
              </w:rPr>
              <w:drawing>
                <wp:inline distT="0" distB="0" distL="0" distR="0" wp14:anchorId="2C9F01F4" wp14:editId="6B1AC228">
                  <wp:extent cx="2393950" cy="1207189"/>
                  <wp:effectExtent l="19050" t="0" r="6350" b="0"/>
                  <wp:docPr id="4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396303" cy="1208376"/>
                          </a:xfrm>
                          <a:prstGeom prst="rect">
                            <a:avLst/>
                          </a:prstGeom>
                          <a:noFill/>
                          <a:ln w="9525">
                            <a:noFill/>
                            <a:miter lim="800000"/>
                            <a:headEnd/>
                            <a:tailEnd/>
                          </a:ln>
                        </pic:spPr>
                      </pic:pic>
                    </a:graphicData>
                  </a:graphic>
                </wp:inline>
              </w:drawing>
            </w:r>
          </w:p>
        </w:tc>
      </w:tr>
      <w:tr w:rsidR="00742EBE" w:rsidRPr="0068236B" w14:paraId="4A742AF0" w14:textId="77777777" w:rsidTr="00C66C49">
        <w:trPr>
          <w:trHeight w:val="223"/>
          <w:jc w:val="center"/>
        </w:trPr>
        <w:tc>
          <w:tcPr>
            <w:tcW w:w="10553" w:type="dxa"/>
            <w:gridSpan w:val="3"/>
            <w:tcBorders>
              <w:top w:val="single" w:sz="8" w:space="0" w:color="auto"/>
              <w:bottom w:val="double" w:sz="4" w:space="0" w:color="auto"/>
            </w:tcBorders>
          </w:tcPr>
          <w:p w14:paraId="794440BA" w14:textId="18857D19" w:rsidR="00742EBE" w:rsidRPr="0068236B" w:rsidRDefault="00742EBE" w:rsidP="00C66C49">
            <w:pPr>
              <w:autoSpaceDE w:val="0"/>
              <w:autoSpaceDN w:val="0"/>
              <w:adjustRightInd w:val="0"/>
              <w:spacing w:before="0" w:after="0" w:line="240" w:lineRule="auto"/>
              <w:jc w:val="left"/>
              <w:rPr>
                <w:rFonts w:cs="Tahoma"/>
                <w:b/>
                <w:sz w:val="18"/>
                <w:szCs w:val="18"/>
              </w:rPr>
            </w:pPr>
            <w:r w:rsidRPr="0068236B">
              <w:rPr>
                <w:rFonts w:cs="Tahoma"/>
                <w:b/>
                <w:sz w:val="18"/>
                <w:szCs w:val="18"/>
              </w:rPr>
              <w:lastRenderedPageBreak/>
              <w:t>European turtle dove (</w:t>
            </w:r>
            <w:r w:rsidRPr="0068236B">
              <w:rPr>
                <w:rFonts w:cs="Tahoma"/>
                <w:b/>
                <w:i/>
                <w:sz w:val="18"/>
                <w:szCs w:val="18"/>
              </w:rPr>
              <w:t>Streptopelia turtur</w:t>
            </w:r>
            <w:r w:rsidR="00C66C49" w:rsidRPr="0068236B">
              <w:rPr>
                <w:rFonts w:cs="Tahoma"/>
                <w:b/>
                <w:sz w:val="18"/>
                <w:szCs w:val="18"/>
              </w:rPr>
              <w:t>)</w:t>
            </w:r>
          </w:p>
        </w:tc>
      </w:tr>
      <w:tr w:rsidR="00742EBE" w:rsidRPr="0068236B" w14:paraId="14648832" w14:textId="77777777" w:rsidTr="00C66C49">
        <w:trPr>
          <w:trHeight w:val="682"/>
          <w:jc w:val="center"/>
        </w:trPr>
        <w:tc>
          <w:tcPr>
            <w:tcW w:w="2882" w:type="dxa"/>
            <w:tcBorders>
              <w:top w:val="single" w:sz="8" w:space="0" w:color="auto"/>
              <w:bottom w:val="double" w:sz="4" w:space="0" w:color="auto"/>
            </w:tcBorders>
          </w:tcPr>
          <w:p w14:paraId="65A00D54" w14:textId="77777777" w:rsidR="00742EBE" w:rsidRPr="0068236B" w:rsidRDefault="00742EBE" w:rsidP="00742EBE">
            <w:pPr>
              <w:autoSpaceDE w:val="0"/>
              <w:autoSpaceDN w:val="0"/>
              <w:adjustRightInd w:val="0"/>
              <w:spacing w:before="0" w:after="0" w:line="240" w:lineRule="auto"/>
              <w:jc w:val="left"/>
              <w:rPr>
                <w:rFonts w:cs="Tahoma"/>
                <w:sz w:val="18"/>
                <w:szCs w:val="18"/>
              </w:rPr>
            </w:pPr>
            <w:r w:rsidRPr="0068236B">
              <w:rPr>
                <w:rFonts w:cs="Tahoma"/>
                <w:sz w:val="18"/>
                <w:szCs w:val="18"/>
              </w:rPr>
              <w:t>European turtle dove is wid</w:t>
            </w:r>
            <w:r w:rsidRPr="0068236B">
              <w:rPr>
                <w:rFonts w:cs="Tahoma"/>
                <w:sz w:val="18"/>
                <w:szCs w:val="18"/>
              </w:rPr>
              <w:t>e</w:t>
            </w:r>
            <w:r w:rsidRPr="0068236B">
              <w:rPr>
                <w:rFonts w:cs="Tahoma"/>
                <w:sz w:val="18"/>
                <w:szCs w:val="18"/>
              </w:rPr>
              <w:t>spread in Macedonia in all of the valleys, plains and open forests and woodlands. National popul</w:t>
            </w:r>
            <w:r w:rsidRPr="0068236B">
              <w:rPr>
                <w:rFonts w:cs="Tahoma"/>
                <w:sz w:val="18"/>
                <w:szCs w:val="18"/>
              </w:rPr>
              <w:t>a</w:t>
            </w:r>
            <w:r w:rsidRPr="0068236B">
              <w:rPr>
                <w:rFonts w:cs="Tahoma"/>
                <w:sz w:val="18"/>
                <w:szCs w:val="18"/>
              </w:rPr>
              <w:t>tion is estimated at 25000-60000 pairs which is 0.8% of the Eur</w:t>
            </w:r>
            <w:r w:rsidRPr="0068236B">
              <w:rPr>
                <w:rFonts w:cs="Tahoma"/>
                <w:sz w:val="18"/>
                <w:szCs w:val="18"/>
              </w:rPr>
              <w:t>o</w:t>
            </w:r>
            <w:r w:rsidRPr="0068236B">
              <w:rPr>
                <w:rFonts w:cs="Tahoma"/>
                <w:sz w:val="18"/>
                <w:szCs w:val="18"/>
              </w:rPr>
              <w:t xml:space="preserve">pean population. </w:t>
            </w:r>
          </w:p>
        </w:tc>
        <w:tc>
          <w:tcPr>
            <w:tcW w:w="3713" w:type="dxa"/>
            <w:tcBorders>
              <w:top w:val="single" w:sz="8" w:space="0" w:color="auto"/>
              <w:bottom w:val="double" w:sz="4" w:space="0" w:color="auto"/>
            </w:tcBorders>
          </w:tcPr>
          <w:p w14:paraId="482C4F0B" w14:textId="77777777" w:rsidR="00742EBE" w:rsidRPr="0068236B" w:rsidRDefault="00742EBE" w:rsidP="00742EBE">
            <w:pPr>
              <w:autoSpaceDE w:val="0"/>
              <w:autoSpaceDN w:val="0"/>
              <w:adjustRightInd w:val="0"/>
              <w:spacing w:before="0" w:after="0" w:line="240" w:lineRule="auto"/>
              <w:jc w:val="left"/>
              <w:rPr>
                <w:rFonts w:cs="Tahoma"/>
                <w:color w:val="000000"/>
                <w:sz w:val="18"/>
                <w:szCs w:val="18"/>
              </w:rPr>
            </w:pPr>
            <w:r w:rsidRPr="0068236B">
              <w:rPr>
                <w:rFonts w:cs="Tahoma"/>
                <w:color w:val="000000"/>
                <w:sz w:val="18"/>
                <w:szCs w:val="18"/>
              </w:rPr>
              <w:t>Negligible direct impact (disturbance) may be expected during the construction works in the whole area.</w:t>
            </w:r>
          </w:p>
          <w:p w14:paraId="69484353" w14:textId="77777777" w:rsidR="00742EBE" w:rsidRPr="0068236B" w:rsidRDefault="00742EBE" w:rsidP="00742EBE">
            <w:pPr>
              <w:autoSpaceDE w:val="0"/>
              <w:autoSpaceDN w:val="0"/>
              <w:adjustRightInd w:val="0"/>
              <w:spacing w:before="0" w:after="0" w:line="240" w:lineRule="auto"/>
              <w:jc w:val="left"/>
              <w:rPr>
                <w:rFonts w:cs="Tahoma"/>
                <w:color w:val="000000"/>
                <w:sz w:val="18"/>
                <w:szCs w:val="18"/>
              </w:rPr>
            </w:pPr>
            <w:r w:rsidRPr="0068236B">
              <w:rPr>
                <w:rFonts w:cs="Tahoma"/>
                <w:color w:val="000000"/>
                <w:sz w:val="18"/>
                <w:szCs w:val="18"/>
              </w:rPr>
              <w:t>Avoidance of construction during the bree</w:t>
            </w:r>
            <w:r w:rsidRPr="0068236B">
              <w:rPr>
                <w:rFonts w:cs="Tahoma"/>
                <w:color w:val="000000"/>
                <w:sz w:val="18"/>
                <w:szCs w:val="18"/>
              </w:rPr>
              <w:t>d</w:t>
            </w:r>
            <w:r w:rsidRPr="0068236B">
              <w:rPr>
                <w:rFonts w:cs="Tahoma"/>
                <w:color w:val="000000"/>
                <w:sz w:val="18"/>
                <w:szCs w:val="18"/>
              </w:rPr>
              <w:t>ing period (April-May) will secure no-net loss.</w:t>
            </w:r>
          </w:p>
          <w:p w14:paraId="144BB85F" w14:textId="77777777" w:rsidR="00742EBE" w:rsidRPr="0068236B" w:rsidRDefault="00742EBE" w:rsidP="00742EBE">
            <w:pPr>
              <w:autoSpaceDE w:val="0"/>
              <w:autoSpaceDN w:val="0"/>
              <w:adjustRightInd w:val="0"/>
              <w:spacing w:before="0" w:after="0" w:line="240" w:lineRule="auto"/>
              <w:jc w:val="left"/>
              <w:rPr>
                <w:rFonts w:cs="Tahoma"/>
                <w:color w:val="000000"/>
                <w:sz w:val="18"/>
                <w:szCs w:val="18"/>
              </w:rPr>
            </w:pPr>
            <w:r w:rsidRPr="0068236B">
              <w:rPr>
                <w:rFonts w:cs="Tahoma"/>
                <w:sz w:val="18"/>
                <w:szCs w:val="18"/>
              </w:rPr>
              <w:t>The control of invasive species in the ripar</w:t>
            </w:r>
            <w:r w:rsidRPr="0068236B">
              <w:rPr>
                <w:rFonts w:cs="Tahoma"/>
                <w:sz w:val="18"/>
                <w:szCs w:val="18"/>
              </w:rPr>
              <w:t>i</w:t>
            </w:r>
            <w:r w:rsidRPr="0068236B">
              <w:rPr>
                <w:rFonts w:cs="Tahoma"/>
                <w:sz w:val="18"/>
                <w:szCs w:val="18"/>
              </w:rPr>
              <w:t>an community will also be beneficial for this species.</w:t>
            </w:r>
          </w:p>
        </w:tc>
        <w:tc>
          <w:tcPr>
            <w:tcW w:w="3958" w:type="dxa"/>
            <w:tcBorders>
              <w:top w:val="single" w:sz="8" w:space="0" w:color="auto"/>
              <w:bottom w:val="double" w:sz="4" w:space="0" w:color="auto"/>
            </w:tcBorders>
          </w:tcPr>
          <w:p w14:paraId="37ECD999" w14:textId="77777777" w:rsidR="00742EBE" w:rsidRPr="0068236B" w:rsidRDefault="00742EBE" w:rsidP="00742EBE">
            <w:pPr>
              <w:autoSpaceDE w:val="0"/>
              <w:autoSpaceDN w:val="0"/>
              <w:adjustRightInd w:val="0"/>
              <w:spacing w:before="0" w:after="0" w:line="240" w:lineRule="auto"/>
              <w:rPr>
                <w:rFonts w:cs="Tahoma"/>
                <w:noProof/>
                <w:sz w:val="18"/>
                <w:szCs w:val="18"/>
                <w:lang w:eastAsia="mk-MK"/>
              </w:rPr>
            </w:pPr>
            <w:r w:rsidRPr="0068236B">
              <w:rPr>
                <w:rFonts w:cs="Tahoma"/>
                <w:noProof/>
                <w:sz w:val="18"/>
                <w:szCs w:val="18"/>
                <w:lang w:val="mk-MK" w:eastAsia="mk-MK"/>
              </w:rPr>
              <w:drawing>
                <wp:inline distT="0" distB="0" distL="0" distR="0" wp14:anchorId="7C977489" wp14:editId="595E9D49">
                  <wp:extent cx="2383442" cy="1111250"/>
                  <wp:effectExtent l="19050" t="0" r="0" b="0"/>
                  <wp:docPr id="5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383442" cy="1111250"/>
                          </a:xfrm>
                          <a:prstGeom prst="rect">
                            <a:avLst/>
                          </a:prstGeom>
                          <a:noFill/>
                          <a:ln w="9525">
                            <a:noFill/>
                            <a:miter lim="800000"/>
                            <a:headEnd/>
                            <a:tailEnd/>
                          </a:ln>
                        </pic:spPr>
                      </pic:pic>
                    </a:graphicData>
                  </a:graphic>
                </wp:inline>
              </w:drawing>
            </w:r>
          </w:p>
        </w:tc>
      </w:tr>
    </w:tbl>
    <w:p w14:paraId="6FC98FD2" w14:textId="6F48BD11" w:rsidR="00742EBE" w:rsidRPr="0068236B" w:rsidRDefault="00742EBE" w:rsidP="00742EBE">
      <w:pPr>
        <w:spacing w:before="60" w:after="240"/>
        <w:rPr>
          <w:rFonts w:cs="Tahoma"/>
          <w:sz w:val="18"/>
          <w:szCs w:val="20"/>
        </w:rPr>
      </w:pPr>
      <w:bookmarkStart w:id="275" w:name="_Toc113018186"/>
      <w:r w:rsidRPr="0068236B">
        <w:rPr>
          <w:rFonts w:cs="Tahoma"/>
          <w:sz w:val="18"/>
          <w:szCs w:val="20"/>
        </w:rPr>
        <w:t xml:space="preserve">Table </w:t>
      </w:r>
      <w:r w:rsidRPr="0068236B">
        <w:rPr>
          <w:rFonts w:cs="Tahoma"/>
          <w:sz w:val="18"/>
          <w:szCs w:val="20"/>
        </w:rPr>
        <w:fldChar w:fldCharType="begin"/>
      </w:r>
      <w:r w:rsidRPr="0068236B">
        <w:rPr>
          <w:rFonts w:cs="Tahoma"/>
          <w:sz w:val="18"/>
          <w:szCs w:val="20"/>
        </w:rPr>
        <w:instrText xml:space="preserve"> STYLEREF 1 \s </w:instrText>
      </w:r>
      <w:r w:rsidRPr="0068236B">
        <w:rPr>
          <w:rFonts w:cs="Tahoma"/>
          <w:sz w:val="18"/>
          <w:szCs w:val="20"/>
        </w:rPr>
        <w:fldChar w:fldCharType="separate"/>
      </w:r>
      <w:r w:rsidR="00FD57E6">
        <w:rPr>
          <w:rFonts w:cs="Tahoma"/>
          <w:noProof/>
          <w:sz w:val="18"/>
          <w:szCs w:val="20"/>
        </w:rPr>
        <w:t>7</w:t>
      </w:r>
      <w:r w:rsidRPr="0068236B">
        <w:rPr>
          <w:rFonts w:cs="Tahoma"/>
          <w:sz w:val="18"/>
          <w:szCs w:val="20"/>
        </w:rPr>
        <w:fldChar w:fldCharType="end"/>
      </w:r>
      <w:r w:rsidRPr="0068236B">
        <w:rPr>
          <w:rFonts w:cs="Tahoma"/>
          <w:sz w:val="18"/>
          <w:szCs w:val="20"/>
        </w:rPr>
        <w:t>.</w:t>
      </w:r>
      <w:r w:rsidRPr="0068236B">
        <w:rPr>
          <w:rFonts w:cs="Tahoma"/>
          <w:sz w:val="18"/>
          <w:szCs w:val="20"/>
        </w:rPr>
        <w:fldChar w:fldCharType="begin"/>
      </w:r>
      <w:r w:rsidRPr="0068236B">
        <w:rPr>
          <w:rFonts w:cs="Tahoma"/>
          <w:sz w:val="18"/>
          <w:szCs w:val="20"/>
        </w:rPr>
        <w:instrText xml:space="preserve"> SEQ Table \* ARABIC \s 1 </w:instrText>
      </w:r>
      <w:r w:rsidRPr="0068236B">
        <w:rPr>
          <w:rFonts w:cs="Tahoma"/>
          <w:sz w:val="18"/>
          <w:szCs w:val="20"/>
        </w:rPr>
        <w:fldChar w:fldCharType="separate"/>
      </w:r>
      <w:r w:rsidR="00FD57E6">
        <w:rPr>
          <w:rFonts w:cs="Tahoma"/>
          <w:noProof/>
          <w:sz w:val="18"/>
          <w:szCs w:val="20"/>
        </w:rPr>
        <w:t>15</w:t>
      </w:r>
      <w:r w:rsidRPr="0068236B">
        <w:rPr>
          <w:rFonts w:cs="Tahoma"/>
          <w:sz w:val="18"/>
          <w:szCs w:val="20"/>
        </w:rPr>
        <w:fldChar w:fldCharType="end"/>
      </w:r>
      <w:r w:rsidRPr="0068236B">
        <w:rPr>
          <w:rFonts w:cs="Tahoma"/>
          <w:sz w:val="18"/>
          <w:szCs w:val="20"/>
        </w:rPr>
        <w:t>:</w:t>
      </w:r>
      <w:r w:rsidRPr="0068236B">
        <w:rPr>
          <w:rFonts w:cs="Tahoma"/>
          <w:b/>
          <w:sz w:val="18"/>
          <w:szCs w:val="20"/>
        </w:rPr>
        <w:t xml:space="preserve"> </w:t>
      </w:r>
      <w:r w:rsidRPr="0068236B">
        <w:rPr>
          <w:rFonts w:cs="Tahoma"/>
          <w:iCs/>
          <w:sz w:val="18"/>
          <w:szCs w:val="20"/>
        </w:rPr>
        <w:t xml:space="preserve">Habitats and species that trigger </w:t>
      </w:r>
      <w:r w:rsidR="00C66C49" w:rsidRPr="0068236B">
        <w:rPr>
          <w:rFonts w:cs="Tahoma"/>
          <w:iCs/>
          <w:sz w:val="18"/>
          <w:szCs w:val="20"/>
        </w:rPr>
        <w:t>P</w:t>
      </w:r>
      <w:r w:rsidRPr="0068236B">
        <w:rPr>
          <w:rFonts w:cs="Tahoma"/>
          <w:iCs/>
          <w:sz w:val="18"/>
          <w:szCs w:val="20"/>
        </w:rPr>
        <w:t xml:space="preserve">riority </w:t>
      </w:r>
      <w:r w:rsidR="00C66C49" w:rsidRPr="0068236B">
        <w:rPr>
          <w:rFonts w:cs="Tahoma"/>
          <w:iCs/>
          <w:sz w:val="18"/>
          <w:szCs w:val="20"/>
        </w:rPr>
        <w:t>B</w:t>
      </w:r>
      <w:r w:rsidRPr="0068236B">
        <w:rPr>
          <w:rFonts w:cs="Tahoma"/>
          <w:iCs/>
          <w:sz w:val="18"/>
          <w:szCs w:val="20"/>
        </w:rPr>
        <w:t xml:space="preserve">iodiversity </w:t>
      </w:r>
      <w:r w:rsidR="00C66C49" w:rsidRPr="0068236B">
        <w:rPr>
          <w:rFonts w:cs="Tahoma"/>
          <w:iCs/>
          <w:sz w:val="18"/>
          <w:szCs w:val="20"/>
        </w:rPr>
        <w:t>F</w:t>
      </w:r>
      <w:r w:rsidRPr="0068236B">
        <w:rPr>
          <w:rFonts w:cs="Tahoma"/>
          <w:iCs/>
          <w:sz w:val="18"/>
          <w:szCs w:val="20"/>
        </w:rPr>
        <w:t>eatures</w:t>
      </w:r>
      <w:bookmarkEnd w:id="275"/>
      <w:r w:rsidRPr="0068236B">
        <w:rPr>
          <w:rFonts w:cs="Tahoma"/>
          <w:sz w:val="18"/>
          <w:szCs w:val="20"/>
        </w:rPr>
        <w:t xml:space="preserve"> </w:t>
      </w:r>
    </w:p>
    <w:p w14:paraId="58E01309" w14:textId="4B24E31C" w:rsidR="00742EBE" w:rsidRPr="0068236B" w:rsidRDefault="00742EBE" w:rsidP="00C66C49">
      <w:pPr>
        <w:ind w:left="-284" w:right="-187"/>
        <w:rPr>
          <w:rFonts w:cs="Tahoma"/>
          <w:iCs/>
          <w:sz w:val="20"/>
        </w:rPr>
      </w:pPr>
      <w:r w:rsidRPr="0068236B">
        <w:rPr>
          <w:rFonts w:cs="Tahoma"/>
          <w:sz w:val="20"/>
          <w:szCs w:val="20"/>
        </w:rPr>
        <w:t xml:space="preserve">The </w:t>
      </w:r>
      <w:r w:rsidR="00C66C49" w:rsidRPr="0068236B">
        <w:rPr>
          <w:rFonts w:cs="Tahoma"/>
          <w:sz w:val="20"/>
          <w:szCs w:val="20"/>
        </w:rPr>
        <w:t>s</w:t>
      </w:r>
      <w:r w:rsidRPr="0068236B">
        <w:rPr>
          <w:rFonts w:cs="Tahoma"/>
          <w:sz w:val="20"/>
          <w:szCs w:val="20"/>
        </w:rPr>
        <w:t xml:space="preserve">tudy area is defined on the basis of the distribution of landscapes and relief in the area and in most part it overlaps with Valandovo plain with foothills of the surrounding mountains. EAAAs were designed for all of the species and habitats that qualify for CH and PBF. EAAAs were spatially defined on the basis of the distribution of species/habitats (field work results) as well as the distribution of suitable habitats within the landscapes. For species with patchy distribution in the landscape (e.g. </w:t>
      </w:r>
      <w:r w:rsidRPr="0068236B">
        <w:rPr>
          <w:rFonts w:cs="Tahoma"/>
          <w:i/>
          <w:sz w:val="20"/>
          <w:szCs w:val="20"/>
        </w:rPr>
        <w:t>Lacerta trilineata, Testudo graeca</w:t>
      </w:r>
      <w:r w:rsidRPr="0068236B">
        <w:rPr>
          <w:rFonts w:cs="Tahoma"/>
          <w:sz w:val="20"/>
          <w:szCs w:val="20"/>
        </w:rPr>
        <w:t>, etc.), the EAAA enco</w:t>
      </w:r>
      <w:r w:rsidRPr="0068236B">
        <w:rPr>
          <w:rFonts w:cs="Tahoma"/>
          <w:sz w:val="20"/>
          <w:szCs w:val="20"/>
        </w:rPr>
        <w:t>m</w:t>
      </w:r>
      <w:r w:rsidRPr="0068236B">
        <w:rPr>
          <w:rFonts w:cs="Tahoma"/>
          <w:sz w:val="20"/>
          <w:szCs w:val="20"/>
        </w:rPr>
        <w:t xml:space="preserve">passes these multiple disjunct areas. EAAAs take into account the distribution and connectivity of biodiversity features in the landscape and the ecological processes that support them. </w:t>
      </w:r>
      <w:r w:rsidRPr="0068236B">
        <w:rPr>
          <w:rFonts w:cs="Tahoma"/>
          <w:iCs/>
          <w:sz w:val="20"/>
        </w:rPr>
        <w:t>The distribution of species and their respect</w:t>
      </w:r>
      <w:r w:rsidR="00C66C49" w:rsidRPr="0068236B">
        <w:rPr>
          <w:rFonts w:cs="Tahoma"/>
          <w:iCs/>
          <w:sz w:val="20"/>
        </w:rPr>
        <w:t>ive EAAAs are presented in the F</w:t>
      </w:r>
      <w:r w:rsidRPr="0068236B">
        <w:rPr>
          <w:rFonts w:cs="Tahoma"/>
          <w:iCs/>
          <w:sz w:val="20"/>
        </w:rPr>
        <w:t>igures below.</w:t>
      </w:r>
    </w:p>
    <w:p w14:paraId="2747311D" w14:textId="77777777" w:rsidR="00742EBE" w:rsidRPr="0068236B" w:rsidRDefault="00742EBE" w:rsidP="00D24CEF">
      <w:pPr>
        <w:pStyle w:val="ListParagraph"/>
        <w:numPr>
          <w:ilvl w:val="0"/>
          <w:numId w:val="97"/>
        </w:numPr>
        <w:spacing w:after="60"/>
        <w:ind w:left="426" w:right="-187" w:hanging="284"/>
        <w:jc w:val="left"/>
        <w:rPr>
          <w:rFonts w:cs="Tahoma"/>
          <w:iCs/>
          <w:sz w:val="20"/>
        </w:rPr>
      </w:pPr>
      <w:r w:rsidRPr="0068236B">
        <w:rPr>
          <w:rFonts w:cs="Tahoma"/>
          <w:i/>
          <w:iCs/>
          <w:sz w:val="20"/>
        </w:rPr>
        <w:t>Testudo graeca</w:t>
      </w:r>
      <w:r w:rsidRPr="0068236B">
        <w:rPr>
          <w:rFonts w:cs="Tahoma"/>
          <w:iCs/>
          <w:sz w:val="20"/>
        </w:rPr>
        <w:t xml:space="preserve"> (4 records) was found at three localities (Mramorot, Bobovo and Rakovec). This species is associated with the degraded pseudomaquis i.e. habitats with dominance of </w:t>
      </w:r>
      <w:r w:rsidRPr="0068236B">
        <w:rPr>
          <w:rFonts w:cs="Tahoma"/>
          <w:i/>
          <w:iCs/>
          <w:sz w:val="20"/>
        </w:rPr>
        <w:t>Paliurus spina-christi</w:t>
      </w:r>
      <w:r w:rsidRPr="0068236B">
        <w:rPr>
          <w:rFonts w:cs="Tahoma"/>
          <w:iCs/>
          <w:sz w:val="20"/>
        </w:rPr>
        <w:t>. Ho</w:t>
      </w:r>
      <w:r w:rsidRPr="0068236B">
        <w:rPr>
          <w:rFonts w:cs="Tahoma"/>
          <w:iCs/>
          <w:sz w:val="20"/>
        </w:rPr>
        <w:t>w</w:t>
      </w:r>
      <w:r w:rsidRPr="0068236B">
        <w:rPr>
          <w:rFonts w:cs="Tahoma"/>
          <w:iCs/>
          <w:sz w:val="20"/>
        </w:rPr>
        <w:t>ever, having in mind that this species is frequent in such habitats in Vardar valley we can assume that it is distributed throughout the Study area (with the exception of agricultural land). Its EAAA covers surface of 5960 ha.</w:t>
      </w:r>
    </w:p>
    <w:p w14:paraId="7133EE23" w14:textId="77777777" w:rsidR="00742EBE" w:rsidRPr="0068236B" w:rsidRDefault="00742EBE" w:rsidP="00D24CEF">
      <w:pPr>
        <w:pStyle w:val="ListParagraph"/>
        <w:numPr>
          <w:ilvl w:val="0"/>
          <w:numId w:val="97"/>
        </w:numPr>
        <w:spacing w:after="60"/>
        <w:ind w:left="426" w:right="-187" w:hanging="284"/>
        <w:jc w:val="left"/>
        <w:rPr>
          <w:rFonts w:cs="Tahoma"/>
          <w:iCs/>
          <w:sz w:val="20"/>
        </w:rPr>
      </w:pPr>
      <w:r w:rsidRPr="0068236B">
        <w:rPr>
          <w:rFonts w:cs="Tahoma"/>
          <w:i/>
          <w:iCs/>
          <w:sz w:val="20"/>
        </w:rPr>
        <w:t>Lacerta trilineata</w:t>
      </w:r>
      <w:r w:rsidRPr="0068236B">
        <w:rPr>
          <w:rFonts w:cs="Tahoma"/>
          <w:iCs/>
          <w:sz w:val="20"/>
        </w:rPr>
        <w:t xml:space="preserve"> has similar distribution as </w:t>
      </w:r>
      <w:r w:rsidRPr="0068236B">
        <w:rPr>
          <w:rFonts w:cs="Tahoma"/>
          <w:i/>
          <w:iCs/>
          <w:sz w:val="20"/>
        </w:rPr>
        <w:t>Testudo graeca</w:t>
      </w:r>
      <w:r w:rsidRPr="0068236B">
        <w:rPr>
          <w:rFonts w:cs="Tahoma"/>
          <w:iCs/>
          <w:sz w:val="20"/>
        </w:rPr>
        <w:t>. This is very common species in the area with about 15 records. Its EAAA (5960 ha) overlaps with the Study area.</w:t>
      </w:r>
    </w:p>
    <w:p w14:paraId="7043B54A" w14:textId="77777777" w:rsidR="00742EBE" w:rsidRPr="0068236B" w:rsidRDefault="00742EBE" w:rsidP="00D24CEF">
      <w:pPr>
        <w:pStyle w:val="ListParagraph"/>
        <w:numPr>
          <w:ilvl w:val="0"/>
          <w:numId w:val="97"/>
        </w:numPr>
        <w:spacing w:after="60"/>
        <w:ind w:left="426" w:right="-187" w:hanging="284"/>
        <w:jc w:val="left"/>
        <w:rPr>
          <w:rFonts w:cs="Tahoma"/>
          <w:iCs/>
          <w:sz w:val="20"/>
        </w:rPr>
      </w:pPr>
      <w:r w:rsidRPr="0068236B">
        <w:rPr>
          <w:rFonts w:cs="Tahoma"/>
          <w:i/>
          <w:iCs/>
          <w:sz w:val="20"/>
        </w:rPr>
        <w:t xml:space="preserve">Podarcis muralis </w:t>
      </w:r>
      <w:r w:rsidRPr="0068236B">
        <w:rPr>
          <w:rFonts w:cs="Tahoma"/>
          <w:iCs/>
          <w:sz w:val="20"/>
        </w:rPr>
        <w:t>was found mostly in the vicinity of human settlements (Miletkovo and area of Brajkovci). This is also a frequent species with affinity towards higher altitudes. Its EAAA (5960 ha) also overlaps with the Stuy area having in mind the distribution of suitable habitats for this species as well as the lan</w:t>
      </w:r>
      <w:r w:rsidRPr="0068236B">
        <w:rPr>
          <w:rFonts w:cs="Tahoma"/>
          <w:iCs/>
          <w:sz w:val="20"/>
        </w:rPr>
        <w:t>d</w:t>
      </w:r>
      <w:r w:rsidRPr="0068236B">
        <w:rPr>
          <w:rFonts w:cs="Tahoma"/>
          <w:iCs/>
          <w:sz w:val="20"/>
        </w:rPr>
        <w:t>scape properties in the area.</w:t>
      </w:r>
    </w:p>
    <w:p w14:paraId="708ECC65" w14:textId="77777777" w:rsidR="00742EBE" w:rsidRPr="0068236B" w:rsidRDefault="00742EBE" w:rsidP="00D24CEF">
      <w:pPr>
        <w:pStyle w:val="ListParagraph"/>
        <w:numPr>
          <w:ilvl w:val="0"/>
          <w:numId w:val="97"/>
        </w:numPr>
        <w:spacing w:after="60"/>
        <w:ind w:left="426" w:right="-187" w:hanging="284"/>
        <w:jc w:val="left"/>
        <w:rPr>
          <w:rFonts w:cs="Tahoma"/>
          <w:iCs/>
          <w:sz w:val="20"/>
        </w:rPr>
      </w:pPr>
      <w:r w:rsidRPr="0068236B">
        <w:rPr>
          <w:rFonts w:cs="Tahoma"/>
          <w:i/>
          <w:iCs/>
          <w:sz w:val="20"/>
        </w:rPr>
        <w:t xml:space="preserve">Rana graeca </w:t>
      </w:r>
      <w:r w:rsidRPr="0068236B">
        <w:rPr>
          <w:rFonts w:cs="Tahoma"/>
          <w:iCs/>
          <w:sz w:val="20"/>
        </w:rPr>
        <w:t>is as species that is distributed along rivers and streams. It was found in rivers Vardar and Anska Reka. Its EAAA (929 ha) is defined along the major rivers in the area (including Petrushka Reka).</w:t>
      </w:r>
    </w:p>
    <w:p w14:paraId="1F08CD27" w14:textId="6818608D" w:rsidR="00742EBE" w:rsidRPr="0068236B" w:rsidRDefault="00742EBE" w:rsidP="00D24CEF">
      <w:pPr>
        <w:pStyle w:val="ListParagraph"/>
        <w:numPr>
          <w:ilvl w:val="0"/>
          <w:numId w:val="97"/>
        </w:numPr>
        <w:spacing w:after="60"/>
        <w:ind w:left="426" w:right="-187" w:hanging="284"/>
        <w:jc w:val="left"/>
        <w:rPr>
          <w:rFonts w:cs="Tahoma"/>
          <w:iCs/>
          <w:sz w:val="20"/>
        </w:rPr>
      </w:pPr>
      <w:r w:rsidRPr="0068236B">
        <w:rPr>
          <w:rFonts w:cs="Tahoma"/>
          <w:i/>
          <w:iCs/>
          <w:sz w:val="20"/>
        </w:rPr>
        <w:t xml:space="preserve">Bufo viridis </w:t>
      </w:r>
      <w:r w:rsidRPr="0068236B">
        <w:rPr>
          <w:rFonts w:cs="Tahoma"/>
          <w:iCs/>
          <w:sz w:val="20"/>
        </w:rPr>
        <w:t>has also preference for aquatic ecosystems, however its ecological prevalence is mush broa</w:t>
      </w:r>
      <w:r w:rsidRPr="0068236B">
        <w:rPr>
          <w:rFonts w:cs="Tahoma"/>
          <w:iCs/>
          <w:sz w:val="20"/>
        </w:rPr>
        <w:t>d</w:t>
      </w:r>
      <w:r w:rsidRPr="0068236B">
        <w:rPr>
          <w:rFonts w:cs="Tahoma"/>
          <w:iCs/>
          <w:sz w:val="20"/>
        </w:rPr>
        <w:t xml:space="preserve">er compared to </w:t>
      </w:r>
      <w:r w:rsidRPr="0068236B">
        <w:rPr>
          <w:rFonts w:cs="Tahoma"/>
          <w:i/>
          <w:iCs/>
          <w:sz w:val="20"/>
        </w:rPr>
        <w:t>Rana graeca</w:t>
      </w:r>
      <w:r w:rsidRPr="0068236B">
        <w:rPr>
          <w:rFonts w:cs="Tahoma"/>
          <w:iCs/>
          <w:sz w:val="20"/>
        </w:rPr>
        <w:t xml:space="preserve">. Most of the records for </w:t>
      </w:r>
      <w:r w:rsidRPr="0068236B">
        <w:rPr>
          <w:rFonts w:cs="Tahoma"/>
          <w:i/>
          <w:iCs/>
          <w:sz w:val="20"/>
        </w:rPr>
        <w:t xml:space="preserve">Bufo viridis </w:t>
      </w:r>
      <w:r w:rsidRPr="0068236B">
        <w:rPr>
          <w:rFonts w:cs="Tahoma"/>
          <w:iCs/>
          <w:sz w:val="20"/>
        </w:rPr>
        <w:t>are from the proximity of rivers Vardar and Anska Reka, although it was found in the other types oh habitats (including agricultural land), som</w:t>
      </w:r>
      <w:r w:rsidRPr="0068236B">
        <w:rPr>
          <w:rFonts w:cs="Tahoma"/>
          <w:iCs/>
          <w:sz w:val="20"/>
        </w:rPr>
        <w:t>e</w:t>
      </w:r>
      <w:r w:rsidRPr="0068236B">
        <w:rPr>
          <w:rFonts w:cs="Tahoma"/>
          <w:iCs/>
          <w:sz w:val="20"/>
        </w:rPr>
        <w:t>times away from waters (EAAA=4096 ha).</w:t>
      </w:r>
    </w:p>
    <w:p w14:paraId="2FB30E29" w14:textId="77777777" w:rsidR="00742EBE" w:rsidRPr="0068236B" w:rsidRDefault="00742EBE" w:rsidP="00742EBE">
      <w:pPr>
        <w:spacing w:after="60"/>
        <w:ind w:left="-284" w:right="-187"/>
        <w:jc w:val="left"/>
        <w:rPr>
          <w:rFonts w:cs="Tahoma"/>
          <w:iCs/>
          <w:sz w:val="20"/>
        </w:rPr>
      </w:pPr>
      <w:r w:rsidRPr="0068236B">
        <w:rPr>
          <w:rFonts w:cs="Tahoma"/>
          <w:iCs/>
          <w:noProof/>
          <w:sz w:val="20"/>
          <w:lang w:val="mk-MK" w:eastAsia="mk-MK"/>
        </w:rPr>
        <w:lastRenderedPageBreak/>
        <w:drawing>
          <wp:inline distT="0" distB="0" distL="0" distR="0" wp14:anchorId="1DC4DA8E" wp14:editId="16E9FB78">
            <wp:extent cx="4324056" cy="3028950"/>
            <wp:effectExtent l="0" t="0" r="635" b="0"/>
            <wp:docPr id="917" name="Picture 2" descr="D:\EIA\MK OHL Dubrovo-Valandovo-Strumica\ESIA\SP1\Testu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IA\MK OHL Dubrovo-Valandovo-Strumica\ESIA\SP1\Testudo.jpg"/>
                    <pic:cNvPicPr>
                      <a:picLocks noChangeAspect="1" noChangeArrowheads="1"/>
                    </pic:cNvPicPr>
                  </pic:nvPicPr>
                  <pic:blipFill rotWithShape="1">
                    <a:blip r:embed="rId122" cstate="print">
                      <a:extLst>
                        <a:ext uri="{28A0092B-C50C-407E-A947-70E740481C1C}">
                          <a14:useLocalDpi xmlns:a14="http://schemas.microsoft.com/office/drawing/2010/main" val="0"/>
                        </a:ext>
                      </a:extLst>
                    </a:blip>
                    <a:srcRect t="1548"/>
                    <a:stretch/>
                  </pic:blipFill>
                  <pic:spPr bwMode="auto">
                    <a:xfrm>
                      <a:off x="0" y="0"/>
                      <a:ext cx="4320000" cy="3026109"/>
                    </a:xfrm>
                    <a:prstGeom prst="rect">
                      <a:avLst/>
                    </a:prstGeom>
                    <a:noFill/>
                    <a:ln>
                      <a:noFill/>
                    </a:ln>
                    <a:extLst>
                      <a:ext uri="{53640926-AAD7-44D8-BBD7-CCE9431645EC}">
                        <a14:shadowObscured xmlns:a14="http://schemas.microsoft.com/office/drawing/2010/main"/>
                      </a:ext>
                    </a:extLst>
                  </pic:spPr>
                </pic:pic>
              </a:graphicData>
            </a:graphic>
          </wp:inline>
        </w:drawing>
      </w:r>
    </w:p>
    <w:p w14:paraId="03330F31" w14:textId="65C70E8E" w:rsidR="00742EBE" w:rsidRPr="0068236B" w:rsidRDefault="00C66C49" w:rsidP="00742EBE">
      <w:pPr>
        <w:spacing w:before="60" w:after="240"/>
        <w:rPr>
          <w:rFonts w:cs="Tahoma"/>
          <w:sz w:val="18"/>
          <w:szCs w:val="20"/>
        </w:rPr>
      </w:pPr>
      <w:bookmarkStart w:id="276" w:name="_Toc113018187"/>
      <w:r w:rsidRPr="0068236B">
        <w:rPr>
          <w:rFonts w:cs="Tahoma"/>
          <w:sz w:val="18"/>
          <w:szCs w:val="20"/>
        </w:rPr>
        <w:t>Figure</w:t>
      </w:r>
      <w:r w:rsidR="00742EBE" w:rsidRPr="0068236B">
        <w:rPr>
          <w:rFonts w:cs="Tahoma"/>
          <w:sz w:val="18"/>
          <w:szCs w:val="20"/>
        </w:rPr>
        <w:t xml:space="preserve"> </w:t>
      </w:r>
      <w:r w:rsidR="00742EBE" w:rsidRPr="0068236B">
        <w:rPr>
          <w:rFonts w:cs="Tahoma"/>
          <w:sz w:val="18"/>
          <w:szCs w:val="20"/>
        </w:rPr>
        <w:fldChar w:fldCharType="begin"/>
      </w:r>
      <w:r w:rsidR="00742EBE" w:rsidRPr="0068236B">
        <w:rPr>
          <w:rFonts w:cs="Tahoma"/>
          <w:sz w:val="18"/>
          <w:szCs w:val="20"/>
        </w:rPr>
        <w:instrText xml:space="preserve"> STYLEREF 1 \s </w:instrText>
      </w:r>
      <w:r w:rsidR="00742EBE" w:rsidRPr="0068236B">
        <w:rPr>
          <w:rFonts w:cs="Tahoma"/>
          <w:sz w:val="18"/>
          <w:szCs w:val="20"/>
        </w:rPr>
        <w:fldChar w:fldCharType="separate"/>
      </w:r>
      <w:r w:rsidR="00FD57E6">
        <w:rPr>
          <w:rFonts w:cs="Tahoma"/>
          <w:noProof/>
          <w:sz w:val="18"/>
          <w:szCs w:val="20"/>
        </w:rPr>
        <w:t>7</w:t>
      </w:r>
      <w:r w:rsidR="00742EBE" w:rsidRPr="0068236B">
        <w:rPr>
          <w:rFonts w:cs="Tahoma"/>
          <w:sz w:val="18"/>
          <w:szCs w:val="20"/>
        </w:rPr>
        <w:fldChar w:fldCharType="end"/>
      </w:r>
      <w:r w:rsidR="00742EBE" w:rsidRPr="0068236B">
        <w:rPr>
          <w:rFonts w:cs="Tahoma"/>
          <w:sz w:val="18"/>
          <w:szCs w:val="20"/>
        </w:rPr>
        <w:t>.</w:t>
      </w:r>
      <w:r w:rsidR="00742EBE" w:rsidRPr="0068236B">
        <w:rPr>
          <w:rFonts w:cs="Tahoma"/>
          <w:sz w:val="18"/>
          <w:szCs w:val="20"/>
        </w:rPr>
        <w:fldChar w:fldCharType="begin"/>
      </w:r>
      <w:r w:rsidR="00742EBE" w:rsidRPr="0068236B">
        <w:rPr>
          <w:rFonts w:cs="Tahoma"/>
          <w:sz w:val="18"/>
          <w:szCs w:val="20"/>
        </w:rPr>
        <w:instrText xml:space="preserve"> SEQ Table \* ARABIC \s 1 </w:instrText>
      </w:r>
      <w:r w:rsidR="00742EBE" w:rsidRPr="0068236B">
        <w:rPr>
          <w:rFonts w:cs="Tahoma"/>
          <w:sz w:val="18"/>
          <w:szCs w:val="20"/>
        </w:rPr>
        <w:fldChar w:fldCharType="separate"/>
      </w:r>
      <w:r w:rsidR="00FD57E6">
        <w:rPr>
          <w:rFonts w:cs="Tahoma"/>
          <w:noProof/>
          <w:sz w:val="18"/>
          <w:szCs w:val="20"/>
        </w:rPr>
        <w:t>16</w:t>
      </w:r>
      <w:r w:rsidR="00742EBE" w:rsidRPr="0068236B">
        <w:rPr>
          <w:rFonts w:cs="Tahoma"/>
          <w:sz w:val="18"/>
          <w:szCs w:val="20"/>
        </w:rPr>
        <w:fldChar w:fldCharType="end"/>
      </w:r>
      <w:r w:rsidR="00742EBE" w:rsidRPr="0068236B">
        <w:rPr>
          <w:rFonts w:cs="Tahoma"/>
          <w:sz w:val="18"/>
          <w:szCs w:val="20"/>
        </w:rPr>
        <w:t>:</w:t>
      </w:r>
      <w:r w:rsidR="00742EBE" w:rsidRPr="0068236B">
        <w:rPr>
          <w:rFonts w:cs="Tahoma"/>
          <w:b/>
          <w:sz w:val="18"/>
          <w:szCs w:val="20"/>
        </w:rPr>
        <w:t xml:space="preserve"> </w:t>
      </w:r>
      <w:r w:rsidR="00742EBE" w:rsidRPr="0068236B">
        <w:rPr>
          <w:rFonts w:cs="Tahoma"/>
          <w:iCs/>
          <w:sz w:val="18"/>
          <w:szCs w:val="20"/>
        </w:rPr>
        <w:t xml:space="preserve">Distribution and EAAA for </w:t>
      </w:r>
      <w:r w:rsidR="00742EBE" w:rsidRPr="0068236B">
        <w:rPr>
          <w:rFonts w:cs="Tahoma"/>
          <w:i/>
          <w:iCs/>
          <w:sz w:val="18"/>
          <w:szCs w:val="20"/>
        </w:rPr>
        <w:t>Testudo graeca</w:t>
      </w:r>
      <w:bookmarkEnd w:id="276"/>
      <w:r w:rsidR="00742EBE" w:rsidRPr="0068236B">
        <w:rPr>
          <w:rFonts w:cs="Tahoma"/>
          <w:sz w:val="18"/>
          <w:szCs w:val="20"/>
        </w:rPr>
        <w:t xml:space="preserve"> </w:t>
      </w:r>
    </w:p>
    <w:p w14:paraId="53280493" w14:textId="77777777" w:rsidR="00742EBE" w:rsidRPr="0068236B" w:rsidRDefault="00742EBE" w:rsidP="00742EBE">
      <w:pPr>
        <w:spacing w:after="60"/>
        <w:ind w:left="-284" w:right="-187"/>
        <w:jc w:val="left"/>
        <w:rPr>
          <w:rFonts w:cs="Tahoma"/>
          <w:iCs/>
          <w:sz w:val="20"/>
        </w:rPr>
      </w:pPr>
      <w:r w:rsidRPr="0068236B">
        <w:rPr>
          <w:rFonts w:cs="Tahoma"/>
          <w:iCs/>
          <w:noProof/>
          <w:sz w:val="20"/>
          <w:lang w:val="mk-MK" w:eastAsia="mk-MK"/>
        </w:rPr>
        <w:drawing>
          <wp:inline distT="0" distB="0" distL="0" distR="0" wp14:anchorId="5D75219C" wp14:editId="0B9129B3">
            <wp:extent cx="4315950" cy="3000375"/>
            <wp:effectExtent l="0" t="0" r="8890" b="0"/>
            <wp:docPr id="918" name="Picture 11" descr="D:\EIA\MK OHL Dubrovo-Valandovo-Strumica\ESIA\SP1\Lacer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IA\MK OHL Dubrovo-Valandovo-Strumica\ESIA\SP1\Lacerta.jpg"/>
                    <pic:cNvPicPr>
                      <a:picLocks noChangeAspect="1" noChangeArrowheads="1"/>
                    </pic:cNvPicPr>
                  </pic:nvPicPr>
                  <pic:blipFill rotWithShape="1">
                    <a:blip r:embed="rId123" cstate="print">
                      <a:extLst>
                        <a:ext uri="{28A0092B-C50C-407E-A947-70E740481C1C}">
                          <a14:useLocalDpi xmlns:a14="http://schemas.microsoft.com/office/drawing/2010/main" val="0"/>
                        </a:ext>
                      </a:extLst>
                    </a:blip>
                    <a:srcRect t="2174"/>
                    <a:stretch/>
                  </pic:blipFill>
                  <pic:spPr bwMode="auto">
                    <a:xfrm>
                      <a:off x="0" y="0"/>
                      <a:ext cx="4320000" cy="3003190"/>
                    </a:xfrm>
                    <a:prstGeom prst="rect">
                      <a:avLst/>
                    </a:prstGeom>
                    <a:noFill/>
                    <a:ln>
                      <a:noFill/>
                    </a:ln>
                    <a:extLst>
                      <a:ext uri="{53640926-AAD7-44D8-BBD7-CCE9431645EC}">
                        <a14:shadowObscured xmlns:a14="http://schemas.microsoft.com/office/drawing/2010/main"/>
                      </a:ext>
                    </a:extLst>
                  </pic:spPr>
                </pic:pic>
              </a:graphicData>
            </a:graphic>
          </wp:inline>
        </w:drawing>
      </w:r>
    </w:p>
    <w:p w14:paraId="41446B45" w14:textId="7DCAB8A4" w:rsidR="00742EBE" w:rsidRPr="0068236B" w:rsidRDefault="001D15F1" w:rsidP="00742EBE">
      <w:pPr>
        <w:spacing w:before="60" w:after="240"/>
        <w:rPr>
          <w:rFonts w:cs="Tahoma"/>
          <w:sz w:val="18"/>
          <w:szCs w:val="20"/>
        </w:rPr>
      </w:pPr>
      <w:bookmarkStart w:id="277" w:name="_Toc113018188"/>
      <w:r w:rsidRPr="0068236B">
        <w:rPr>
          <w:rFonts w:cs="Tahoma"/>
          <w:sz w:val="18"/>
          <w:szCs w:val="20"/>
        </w:rPr>
        <w:t xml:space="preserve">Figure </w:t>
      </w:r>
      <w:r w:rsidR="00742EBE" w:rsidRPr="0068236B">
        <w:rPr>
          <w:rFonts w:cs="Tahoma"/>
          <w:sz w:val="18"/>
          <w:szCs w:val="20"/>
        </w:rPr>
        <w:fldChar w:fldCharType="begin"/>
      </w:r>
      <w:r w:rsidR="00742EBE" w:rsidRPr="0068236B">
        <w:rPr>
          <w:rFonts w:cs="Tahoma"/>
          <w:sz w:val="18"/>
          <w:szCs w:val="20"/>
        </w:rPr>
        <w:instrText xml:space="preserve"> STYLEREF 1 \s </w:instrText>
      </w:r>
      <w:r w:rsidR="00742EBE" w:rsidRPr="0068236B">
        <w:rPr>
          <w:rFonts w:cs="Tahoma"/>
          <w:sz w:val="18"/>
          <w:szCs w:val="20"/>
        </w:rPr>
        <w:fldChar w:fldCharType="separate"/>
      </w:r>
      <w:r w:rsidR="00FD57E6">
        <w:rPr>
          <w:rFonts w:cs="Tahoma"/>
          <w:noProof/>
          <w:sz w:val="18"/>
          <w:szCs w:val="20"/>
        </w:rPr>
        <w:t>7</w:t>
      </w:r>
      <w:r w:rsidR="00742EBE" w:rsidRPr="0068236B">
        <w:rPr>
          <w:rFonts w:cs="Tahoma"/>
          <w:sz w:val="18"/>
          <w:szCs w:val="20"/>
        </w:rPr>
        <w:fldChar w:fldCharType="end"/>
      </w:r>
      <w:r w:rsidR="00742EBE" w:rsidRPr="0068236B">
        <w:rPr>
          <w:rFonts w:cs="Tahoma"/>
          <w:sz w:val="18"/>
          <w:szCs w:val="20"/>
        </w:rPr>
        <w:t>.</w:t>
      </w:r>
      <w:r w:rsidR="00742EBE" w:rsidRPr="0068236B">
        <w:rPr>
          <w:rFonts w:cs="Tahoma"/>
          <w:sz w:val="18"/>
          <w:szCs w:val="20"/>
        </w:rPr>
        <w:fldChar w:fldCharType="begin"/>
      </w:r>
      <w:r w:rsidR="00742EBE" w:rsidRPr="0068236B">
        <w:rPr>
          <w:rFonts w:cs="Tahoma"/>
          <w:sz w:val="18"/>
          <w:szCs w:val="20"/>
        </w:rPr>
        <w:instrText xml:space="preserve"> SEQ Table \* ARABIC \s 1 </w:instrText>
      </w:r>
      <w:r w:rsidR="00742EBE" w:rsidRPr="0068236B">
        <w:rPr>
          <w:rFonts w:cs="Tahoma"/>
          <w:sz w:val="18"/>
          <w:szCs w:val="20"/>
        </w:rPr>
        <w:fldChar w:fldCharType="separate"/>
      </w:r>
      <w:r w:rsidR="00FD57E6">
        <w:rPr>
          <w:rFonts w:cs="Tahoma"/>
          <w:noProof/>
          <w:sz w:val="18"/>
          <w:szCs w:val="20"/>
        </w:rPr>
        <w:t>17</w:t>
      </w:r>
      <w:r w:rsidR="00742EBE" w:rsidRPr="0068236B">
        <w:rPr>
          <w:rFonts w:cs="Tahoma"/>
          <w:sz w:val="18"/>
          <w:szCs w:val="20"/>
        </w:rPr>
        <w:fldChar w:fldCharType="end"/>
      </w:r>
      <w:r w:rsidR="00742EBE" w:rsidRPr="0068236B">
        <w:rPr>
          <w:rFonts w:cs="Tahoma"/>
          <w:sz w:val="18"/>
          <w:szCs w:val="20"/>
        </w:rPr>
        <w:t>:</w:t>
      </w:r>
      <w:r w:rsidR="00742EBE" w:rsidRPr="0068236B">
        <w:rPr>
          <w:rFonts w:cs="Tahoma"/>
          <w:b/>
          <w:sz w:val="18"/>
          <w:szCs w:val="20"/>
        </w:rPr>
        <w:t xml:space="preserve"> </w:t>
      </w:r>
      <w:r w:rsidR="00742EBE" w:rsidRPr="0068236B">
        <w:rPr>
          <w:rFonts w:cs="Tahoma"/>
          <w:iCs/>
          <w:sz w:val="18"/>
          <w:szCs w:val="20"/>
        </w:rPr>
        <w:t xml:space="preserve">Distribution and EAAA for </w:t>
      </w:r>
      <w:r w:rsidR="00742EBE" w:rsidRPr="0068236B">
        <w:rPr>
          <w:rFonts w:cs="Tahoma"/>
          <w:i/>
          <w:iCs/>
          <w:sz w:val="18"/>
          <w:szCs w:val="20"/>
        </w:rPr>
        <w:t>Lacerta trilineata</w:t>
      </w:r>
      <w:bookmarkEnd w:id="277"/>
      <w:r w:rsidR="00742EBE" w:rsidRPr="0068236B">
        <w:rPr>
          <w:rFonts w:cs="Tahoma"/>
          <w:sz w:val="18"/>
          <w:szCs w:val="20"/>
        </w:rPr>
        <w:t xml:space="preserve"> </w:t>
      </w:r>
    </w:p>
    <w:p w14:paraId="78D4172C" w14:textId="77777777" w:rsidR="00742EBE" w:rsidRPr="0068236B" w:rsidRDefault="00742EBE" w:rsidP="00742EBE">
      <w:pPr>
        <w:spacing w:after="60"/>
        <w:ind w:left="-284" w:right="-187"/>
        <w:jc w:val="left"/>
        <w:rPr>
          <w:rFonts w:cs="Tahoma"/>
          <w:iCs/>
          <w:sz w:val="20"/>
        </w:rPr>
      </w:pPr>
      <w:r w:rsidRPr="0068236B">
        <w:rPr>
          <w:rFonts w:cs="Tahoma"/>
          <w:iCs/>
          <w:noProof/>
          <w:sz w:val="20"/>
          <w:lang w:val="mk-MK" w:eastAsia="mk-MK"/>
        </w:rPr>
        <w:lastRenderedPageBreak/>
        <w:drawing>
          <wp:inline distT="0" distB="0" distL="0" distR="0" wp14:anchorId="54DFA43B" wp14:editId="3625E68C">
            <wp:extent cx="4324055" cy="2981325"/>
            <wp:effectExtent l="0" t="0" r="635" b="0"/>
            <wp:docPr id="919" name="Picture 4" descr="D:\EIA\MK OHL Dubrovo-Valandovo-Strumica\ESIA\SP1\Podarc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IA\MK OHL Dubrovo-Valandovo-Strumica\ESIA\SP1\Podarcis.jpg"/>
                    <pic:cNvPicPr>
                      <a:picLocks noChangeAspect="1" noChangeArrowheads="1"/>
                    </pic:cNvPicPr>
                  </pic:nvPicPr>
                  <pic:blipFill rotWithShape="1">
                    <a:blip r:embed="rId124" cstate="print">
                      <a:extLst>
                        <a:ext uri="{28A0092B-C50C-407E-A947-70E740481C1C}">
                          <a14:useLocalDpi xmlns:a14="http://schemas.microsoft.com/office/drawing/2010/main" val="0"/>
                        </a:ext>
                      </a:extLst>
                    </a:blip>
                    <a:srcRect t="3096"/>
                    <a:stretch/>
                  </pic:blipFill>
                  <pic:spPr bwMode="auto">
                    <a:xfrm>
                      <a:off x="0" y="0"/>
                      <a:ext cx="4320000" cy="2978529"/>
                    </a:xfrm>
                    <a:prstGeom prst="rect">
                      <a:avLst/>
                    </a:prstGeom>
                    <a:noFill/>
                    <a:ln>
                      <a:noFill/>
                    </a:ln>
                    <a:extLst>
                      <a:ext uri="{53640926-AAD7-44D8-BBD7-CCE9431645EC}">
                        <a14:shadowObscured xmlns:a14="http://schemas.microsoft.com/office/drawing/2010/main"/>
                      </a:ext>
                    </a:extLst>
                  </pic:spPr>
                </pic:pic>
              </a:graphicData>
            </a:graphic>
          </wp:inline>
        </w:drawing>
      </w:r>
    </w:p>
    <w:p w14:paraId="7B89DC68" w14:textId="3F66C345" w:rsidR="00742EBE" w:rsidRPr="0068236B" w:rsidRDefault="001D15F1" w:rsidP="00742EBE">
      <w:pPr>
        <w:spacing w:before="60" w:after="240"/>
        <w:rPr>
          <w:rFonts w:cs="Tahoma"/>
          <w:sz w:val="18"/>
          <w:szCs w:val="20"/>
        </w:rPr>
      </w:pPr>
      <w:bookmarkStart w:id="278" w:name="_Toc113018189"/>
      <w:r w:rsidRPr="0068236B">
        <w:rPr>
          <w:rFonts w:cs="Tahoma"/>
          <w:sz w:val="18"/>
          <w:szCs w:val="20"/>
        </w:rPr>
        <w:t xml:space="preserve">Figure </w:t>
      </w:r>
      <w:r w:rsidR="00742EBE" w:rsidRPr="0068236B">
        <w:rPr>
          <w:rFonts w:cs="Tahoma"/>
          <w:sz w:val="18"/>
          <w:szCs w:val="20"/>
        </w:rPr>
        <w:fldChar w:fldCharType="begin"/>
      </w:r>
      <w:r w:rsidR="00742EBE" w:rsidRPr="0068236B">
        <w:rPr>
          <w:rFonts w:cs="Tahoma"/>
          <w:sz w:val="18"/>
          <w:szCs w:val="20"/>
        </w:rPr>
        <w:instrText xml:space="preserve"> STYLEREF 1 \s </w:instrText>
      </w:r>
      <w:r w:rsidR="00742EBE" w:rsidRPr="0068236B">
        <w:rPr>
          <w:rFonts w:cs="Tahoma"/>
          <w:sz w:val="18"/>
          <w:szCs w:val="20"/>
        </w:rPr>
        <w:fldChar w:fldCharType="separate"/>
      </w:r>
      <w:r w:rsidR="00FD57E6">
        <w:rPr>
          <w:rFonts w:cs="Tahoma"/>
          <w:noProof/>
          <w:sz w:val="18"/>
          <w:szCs w:val="20"/>
        </w:rPr>
        <w:t>7</w:t>
      </w:r>
      <w:r w:rsidR="00742EBE" w:rsidRPr="0068236B">
        <w:rPr>
          <w:rFonts w:cs="Tahoma"/>
          <w:sz w:val="18"/>
          <w:szCs w:val="20"/>
        </w:rPr>
        <w:fldChar w:fldCharType="end"/>
      </w:r>
      <w:r w:rsidR="00742EBE" w:rsidRPr="0068236B">
        <w:rPr>
          <w:rFonts w:cs="Tahoma"/>
          <w:sz w:val="18"/>
          <w:szCs w:val="20"/>
        </w:rPr>
        <w:t>.</w:t>
      </w:r>
      <w:r w:rsidR="00742EBE" w:rsidRPr="0068236B">
        <w:rPr>
          <w:rFonts w:cs="Tahoma"/>
          <w:sz w:val="18"/>
          <w:szCs w:val="20"/>
        </w:rPr>
        <w:fldChar w:fldCharType="begin"/>
      </w:r>
      <w:r w:rsidR="00742EBE" w:rsidRPr="0068236B">
        <w:rPr>
          <w:rFonts w:cs="Tahoma"/>
          <w:sz w:val="18"/>
          <w:szCs w:val="20"/>
        </w:rPr>
        <w:instrText xml:space="preserve"> SEQ Table \* ARABIC \s 1 </w:instrText>
      </w:r>
      <w:r w:rsidR="00742EBE" w:rsidRPr="0068236B">
        <w:rPr>
          <w:rFonts w:cs="Tahoma"/>
          <w:sz w:val="18"/>
          <w:szCs w:val="20"/>
        </w:rPr>
        <w:fldChar w:fldCharType="separate"/>
      </w:r>
      <w:r w:rsidR="00FD57E6">
        <w:rPr>
          <w:rFonts w:cs="Tahoma"/>
          <w:noProof/>
          <w:sz w:val="18"/>
          <w:szCs w:val="20"/>
        </w:rPr>
        <w:t>18</w:t>
      </w:r>
      <w:r w:rsidR="00742EBE" w:rsidRPr="0068236B">
        <w:rPr>
          <w:rFonts w:cs="Tahoma"/>
          <w:sz w:val="18"/>
          <w:szCs w:val="20"/>
        </w:rPr>
        <w:fldChar w:fldCharType="end"/>
      </w:r>
      <w:r w:rsidR="00742EBE" w:rsidRPr="0068236B">
        <w:rPr>
          <w:rFonts w:cs="Tahoma"/>
          <w:sz w:val="18"/>
          <w:szCs w:val="20"/>
        </w:rPr>
        <w:t>:</w:t>
      </w:r>
      <w:r w:rsidR="00742EBE" w:rsidRPr="0068236B">
        <w:rPr>
          <w:rFonts w:cs="Tahoma"/>
          <w:b/>
          <w:sz w:val="18"/>
          <w:szCs w:val="20"/>
        </w:rPr>
        <w:t xml:space="preserve"> </w:t>
      </w:r>
      <w:r w:rsidR="00742EBE" w:rsidRPr="0068236B">
        <w:rPr>
          <w:rFonts w:cs="Tahoma"/>
          <w:iCs/>
          <w:sz w:val="18"/>
          <w:szCs w:val="20"/>
        </w:rPr>
        <w:t xml:space="preserve">Distribution and EAAA for </w:t>
      </w:r>
      <w:r w:rsidR="00742EBE" w:rsidRPr="0068236B">
        <w:rPr>
          <w:rFonts w:cs="Tahoma"/>
          <w:i/>
          <w:iCs/>
          <w:sz w:val="18"/>
          <w:szCs w:val="20"/>
        </w:rPr>
        <w:t>Podarcis muralis</w:t>
      </w:r>
      <w:bookmarkEnd w:id="278"/>
    </w:p>
    <w:p w14:paraId="3A1687BC" w14:textId="77777777" w:rsidR="00742EBE" w:rsidRPr="0068236B" w:rsidRDefault="00742EBE" w:rsidP="00742EBE">
      <w:pPr>
        <w:spacing w:after="60"/>
        <w:ind w:left="-284" w:right="-187"/>
        <w:jc w:val="left"/>
        <w:rPr>
          <w:rFonts w:cs="Tahoma"/>
          <w:iCs/>
          <w:sz w:val="20"/>
        </w:rPr>
      </w:pPr>
      <w:r w:rsidRPr="0068236B">
        <w:rPr>
          <w:rFonts w:cs="Tahoma"/>
          <w:iCs/>
          <w:noProof/>
          <w:sz w:val="20"/>
          <w:lang w:val="mk-MK" w:eastAsia="mk-MK"/>
        </w:rPr>
        <w:drawing>
          <wp:inline distT="0" distB="0" distL="0" distR="0" wp14:anchorId="465D5AEE" wp14:editId="5B95C16D">
            <wp:extent cx="4324055" cy="2914650"/>
            <wp:effectExtent l="0" t="0" r="635" b="0"/>
            <wp:docPr id="920" name="Picture 6" descr="D:\EIA\MK OHL Dubrovo-Valandovo-Strumica\ESIA\SP1\R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IA\MK OHL Dubrovo-Valandovo-Strumica\ESIA\SP1\Rana.jpg"/>
                    <pic:cNvPicPr>
                      <a:picLocks noChangeAspect="1" noChangeArrowheads="1"/>
                    </pic:cNvPicPr>
                  </pic:nvPicPr>
                  <pic:blipFill rotWithShape="1">
                    <a:blip r:embed="rId125" cstate="print">
                      <a:extLst>
                        <a:ext uri="{28A0092B-C50C-407E-A947-70E740481C1C}">
                          <a14:useLocalDpi xmlns:a14="http://schemas.microsoft.com/office/drawing/2010/main" val="0"/>
                        </a:ext>
                      </a:extLst>
                    </a:blip>
                    <a:srcRect l="-7" t="3406" r="7" b="1858"/>
                    <a:stretch/>
                  </pic:blipFill>
                  <pic:spPr bwMode="auto">
                    <a:xfrm>
                      <a:off x="0" y="0"/>
                      <a:ext cx="4320000" cy="2911917"/>
                    </a:xfrm>
                    <a:prstGeom prst="rect">
                      <a:avLst/>
                    </a:prstGeom>
                    <a:noFill/>
                    <a:ln>
                      <a:noFill/>
                    </a:ln>
                    <a:extLst>
                      <a:ext uri="{53640926-AAD7-44D8-BBD7-CCE9431645EC}">
                        <a14:shadowObscured xmlns:a14="http://schemas.microsoft.com/office/drawing/2010/main"/>
                      </a:ext>
                    </a:extLst>
                  </pic:spPr>
                </pic:pic>
              </a:graphicData>
            </a:graphic>
          </wp:inline>
        </w:drawing>
      </w:r>
    </w:p>
    <w:p w14:paraId="13820376" w14:textId="1DC359F0" w:rsidR="00742EBE" w:rsidRPr="00230397" w:rsidRDefault="001D15F1" w:rsidP="00230397">
      <w:pPr>
        <w:spacing w:before="60" w:after="240"/>
        <w:rPr>
          <w:rFonts w:cs="Tahoma"/>
          <w:sz w:val="18"/>
          <w:szCs w:val="20"/>
        </w:rPr>
      </w:pPr>
      <w:bookmarkStart w:id="279" w:name="_Toc113018190"/>
      <w:r w:rsidRPr="0068236B">
        <w:rPr>
          <w:rFonts w:cs="Tahoma"/>
          <w:sz w:val="18"/>
          <w:szCs w:val="20"/>
        </w:rPr>
        <w:t xml:space="preserve">Figure </w:t>
      </w:r>
      <w:r w:rsidR="00742EBE" w:rsidRPr="0068236B">
        <w:rPr>
          <w:rFonts w:cs="Tahoma"/>
          <w:sz w:val="18"/>
          <w:szCs w:val="20"/>
        </w:rPr>
        <w:fldChar w:fldCharType="begin"/>
      </w:r>
      <w:r w:rsidR="00742EBE" w:rsidRPr="0068236B">
        <w:rPr>
          <w:rFonts w:cs="Tahoma"/>
          <w:sz w:val="18"/>
          <w:szCs w:val="20"/>
        </w:rPr>
        <w:instrText xml:space="preserve"> STYLEREF 1 \s </w:instrText>
      </w:r>
      <w:r w:rsidR="00742EBE" w:rsidRPr="0068236B">
        <w:rPr>
          <w:rFonts w:cs="Tahoma"/>
          <w:sz w:val="18"/>
          <w:szCs w:val="20"/>
        </w:rPr>
        <w:fldChar w:fldCharType="separate"/>
      </w:r>
      <w:r w:rsidR="00FD57E6">
        <w:rPr>
          <w:rFonts w:cs="Tahoma"/>
          <w:noProof/>
          <w:sz w:val="18"/>
          <w:szCs w:val="20"/>
        </w:rPr>
        <w:t>7</w:t>
      </w:r>
      <w:r w:rsidR="00742EBE" w:rsidRPr="0068236B">
        <w:rPr>
          <w:rFonts w:cs="Tahoma"/>
          <w:sz w:val="18"/>
          <w:szCs w:val="20"/>
        </w:rPr>
        <w:fldChar w:fldCharType="end"/>
      </w:r>
      <w:r w:rsidR="00742EBE" w:rsidRPr="0068236B">
        <w:rPr>
          <w:rFonts w:cs="Tahoma"/>
          <w:sz w:val="18"/>
          <w:szCs w:val="20"/>
        </w:rPr>
        <w:t>.</w:t>
      </w:r>
      <w:r w:rsidR="00742EBE" w:rsidRPr="0068236B">
        <w:rPr>
          <w:rFonts w:cs="Tahoma"/>
          <w:sz w:val="18"/>
          <w:szCs w:val="20"/>
        </w:rPr>
        <w:fldChar w:fldCharType="begin"/>
      </w:r>
      <w:r w:rsidR="00742EBE" w:rsidRPr="0068236B">
        <w:rPr>
          <w:rFonts w:cs="Tahoma"/>
          <w:sz w:val="18"/>
          <w:szCs w:val="20"/>
        </w:rPr>
        <w:instrText xml:space="preserve"> SEQ Table \* ARABIC \s 1 </w:instrText>
      </w:r>
      <w:r w:rsidR="00742EBE" w:rsidRPr="0068236B">
        <w:rPr>
          <w:rFonts w:cs="Tahoma"/>
          <w:sz w:val="18"/>
          <w:szCs w:val="20"/>
        </w:rPr>
        <w:fldChar w:fldCharType="separate"/>
      </w:r>
      <w:r w:rsidR="00FD57E6">
        <w:rPr>
          <w:rFonts w:cs="Tahoma"/>
          <w:noProof/>
          <w:sz w:val="18"/>
          <w:szCs w:val="20"/>
        </w:rPr>
        <w:t>19</w:t>
      </w:r>
      <w:r w:rsidR="00742EBE" w:rsidRPr="0068236B">
        <w:rPr>
          <w:rFonts w:cs="Tahoma"/>
          <w:sz w:val="18"/>
          <w:szCs w:val="20"/>
        </w:rPr>
        <w:fldChar w:fldCharType="end"/>
      </w:r>
      <w:r w:rsidR="00742EBE" w:rsidRPr="0068236B">
        <w:rPr>
          <w:rFonts w:cs="Tahoma"/>
          <w:sz w:val="18"/>
          <w:szCs w:val="20"/>
        </w:rPr>
        <w:t>:</w:t>
      </w:r>
      <w:r w:rsidR="00742EBE" w:rsidRPr="0068236B">
        <w:rPr>
          <w:rFonts w:cs="Tahoma"/>
          <w:b/>
          <w:sz w:val="18"/>
          <w:szCs w:val="20"/>
        </w:rPr>
        <w:t xml:space="preserve"> </w:t>
      </w:r>
      <w:r w:rsidR="00742EBE" w:rsidRPr="0068236B">
        <w:rPr>
          <w:rFonts w:cs="Tahoma"/>
          <w:iCs/>
          <w:sz w:val="18"/>
          <w:szCs w:val="20"/>
        </w:rPr>
        <w:t xml:space="preserve">Distribution and EAAA for </w:t>
      </w:r>
      <w:r w:rsidR="00742EBE" w:rsidRPr="0068236B">
        <w:rPr>
          <w:rFonts w:cs="Tahoma"/>
          <w:i/>
          <w:iCs/>
          <w:sz w:val="18"/>
          <w:szCs w:val="20"/>
        </w:rPr>
        <w:t>Rana graeca</w:t>
      </w:r>
      <w:bookmarkEnd w:id="279"/>
      <w:r w:rsidR="00230397">
        <w:rPr>
          <w:rFonts w:cs="Tahoma"/>
          <w:sz w:val="18"/>
          <w:szCs w:val="20"/>
        </w:rPr>
        <w:t xml:space="preserve"> </w:t>
      </w:r>
    </w:p>
    <w:p w14:paraId="7DCB7225" w14:textId="77777777" w:rsidR="00742EBE" w:rsidRPr="0068236B" w:rsidRDefault="00742EBE" w:rsidP="00742EBE">
      <w:pPr>
        <w:spacing w:after="60"/>
        <w:ind w:left="-284" w:right="-187"/>
        <w:jc w:val="left"/>
        <w:rPr>
          <w:rFonts w:cs="Tahoma"/>
          <w:iCs/>
          <w:sz w:val="20"/>
        </w:rPr>
      </w:pPr>
      <w:r w:rsidRPr="0068236B">
        <w:rPr>
          <w:rFonts w:cs="Tahoma"/>
          <w:iCs/>
          <w:noProof/>
          <w:sz w:val="20"/>
          <w:lang w:val="mk-MK" w:eastAsia="mk-MK"/>
        </w:rPr>
        <w:lastRenderedPageBreak/>
        <w:drawing>
          <wp:inline distT="0" distB="0" distL="0" distR="0" wp14:anchorId="7E47CE13" wp14:editId="507B547F">
            <wp:extent cx="4324056" cy="2971800"/>
            <wp:effectExtent l="0" t="0" r="635" b="0"/>
            <wp:docPr id="921" name="Picture 7" descr="D:\EIA\MK OHL Dubrovo-Valandovo-Strumica\ESIA\SP1\Buf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IA\MK OHL Dubrovo-Valandovo-Strumica\ESIA\SP1\Bufo.jpg"/>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t="3406"/>
                    <a:stretch/>
                  </pic:blipFill>
                  <pic:spPr bwMode="auto">
                    <a:xfrm>
                      <a:off x="0" y="0"/>
                      <a:ext cx="4320000" cy="2969012"/>
                    </a:xfrm>
                    <a:prstGeom prst="rect">
                      <a:avLst/>
                    </a:prstGeom>
                    <a:noFill/>
                    <a:ln>
                      <a:noFill/>
                    </a:ln>
                    <a:extLst>
                      <a:ext uri="{53640926-AAD7-44D8-BBD7-CCE9431645EC}">
                        <a14:shadowObscured xmlns:a14="http://schemas.microsoft.com/office/drawing/2010/main"/>
                      </a:ext>
                    </a:extLst>
                  </pic:spPr>
                </pic:pic>
              </a:graphicData>
            </a:graphic>
          </wp:inline>
        </w:drawing>
      </w:r>
    </w:p>
    <w:p w14:paraId="00E7030F" w14:textId="5EA52F3D" w:rsidR="00742EBE" w:rsidRPr="0068236B" w:rsidRDefault="001D15F1" w:rsidP="00742EBE">
      <w:pPr>
        <w:spacing w:before="60" w:after="240"/>
        <w:rPr>
          <w:rFonts w:cs="Tahoma"/>
          <w:sz w:val="18"/>
          <w:szCs w:val="20"/>
        </w:rPr>
      </w:pPr>
      <w:bookmarkStart w:id="280" w:name="_Toc113018191"/>
      <w:r w:rsidRPr="0068236B">
        <w:rPr>
          <w:rFonts w:cs="Tahoma"/>
          <w:sz w:val="18"/>
          <w:szCs w:val="20"/>
        </w:rPr>
        <w:t xml:space="preserve">Figure </w:t>
      </w:r>
      <w:r w:rsidR="00742EBE" w:rsidRPr="0068236B">
        <w:rPr>
          <w:rFonts w:cs="Tahoma"/>
          <w:sz w:val="18"/>
          <w:szCs w:val="20"/>
        </w:rPr>
        <w:fldChar w:fldCharType="begin"/>
      </w:r>
      <w:r w:rsidR="00742EBE" w:rsidRPr="0068236B">
        <w:rPr>
          <w:rFonts w:cs="Tahoma"/>
          <w:sz w:val="18"/>
          <w:szCs w:val="20"/>
        </w:rPr>
        <w:instrText xml:space="preserve"> STYLEREF 1 \s </w:instrText>
      </w:r>
      <w:r w:rsidR="00742EBE" w:rsidRPr="0068236B">
        <w:rPr>
          <w:rFonts w:cs="Tahoma"/>
          <w:sz w:val="18"/>
          <w:szCs w:val="20"/>
        </w:rPr>
        <w:fldChar w:fldCharType="separate"/>
      </w:r>
      <w:r w:rsidR="00FD57E6">
        <w:rPr>
          <w:rFonts w:cs="Tahoma"/>
          <w:noProof/>
          <w:sz w:val="18"/>
          <w:szCs w:val="20"/>
        </w:rPr>
        <w:t>7</w:t>
      </w:r>
      <w:r w:rsidR="00742EBE" w:rsidRPr="0068236B">
        <w:rPr>
          <w:rFonts w:cs="Tahoma"/>
          <w:sz w:val="18"/>
          <w:szCs w:val="20"/>
        </w:rPr>
        <w:fldChar w:fldCharType="end"/>
      </w:r>
      <w:r w:rsidR="00742EBE" w:rsidRPr="0068236B">
        <w:rPr>
          <w:rFonts w:cs="Tahoma"/>
          <w:sz w:val="18"/>
          <w:szCs w:val="20"/>
        </w:rPr>
        <w:t>.</w:t>
      </w:r>
      <w:r w:rsidR="00742EBE" w:rsidRPr="0068236B">
        <w:rPr>
          <w:rFonts w:cs="Tahoma"/>
          <w:sz w:val="18"/>
          <w:szCs w:val="20"/>
        </w:rPr>
        <w:fldChar w:fldCharType="begin"/>
      </w:r>
      <w:r w:rsidR="00742EBE" w:rsidRPr="0068236B">
        <w:rPr>
          <w:rFonts w:cs="Tahoma"/>
          <w:sz w:val="18"/>
          <w:szCs w:val="20"/>
        </w:rPr>
        <w:instrText xml:space="preserve"> SEQ Table \* ARABIC \s 1 </w:instrText>
      </w:r>
      <w:r w:rsidR="00742EBE" w:rsidRPr="0068236B">
        <w:rPr>
          <w:rFonts w:cs="Tahoma"/>
          <w:sz w:val="18"/>
          <w:szCs w:val="20"/>
        </w:rPr>
        <w:fldChar w:fldCharType="separate"/>
      </w:r>
      <w:r w:rsidR="00FD57E6">
        <w:rPr>
          <w:rFonts w:cs="Tahoma"/>
          <w:noProof/>
          <w:sz w:val="18"/>
          <w:szCs w:val="20"/>
        </w:rPr>
        <w:t>20</w:t>
      </w:r>
      <w:r w:rsidR="00742EBE" w:rsidRPr="0068236B">
        <w:rPr>
          <w:rFonts w:cs="Tahoma"/>
          <w:sz w:val="18"/>
          <w:szCs w:val="20"/>
        </w:rPr>
        <w:fldChar w:fldCharType="end"/>
      </w:r>
      <w:r w:rsidR="00742EBE" w:rsidRPr="0068236B">
        <w:rPr>
          <w:rFonts w:cs="Tahoma"/>
          <w:sz w:val="18"/>
          <w:szCs w:val="20"/>
        </w:rPr>
        <w:t>:</w:t>
      </w:r>
      <w:r w:rsidR="00742EBE" w:rsidRPr="0068236B">
        <w:rPr>
          <w:rFonts w:cs="Tahoma"/>
          <w:b/>
          <w:sz w:val="18"/>
          <w:szCs w:val="20"/>
        </w:rPr>
        <w:t xml:space="preserve"> </w:t>
      </w:r>
      <w:r w:rsidR="00742EBE" w:rsidRPr="0068236B">
        <w:rPr>
          <w:rFonts w:cs="Tahoma"/>
          <w:iCs/>
          <w:sz w:val="18"/>
          <w:szCs w:val="20"/>
        </w:rPr>
        <w:t>Distribution and EAAA for</w:t>
      </w:r>
      <w:r w:rsidR="00742EBE" w:rsidRPr="0068236B">
        <w:rPr>
          <w:rFonts w:cs="Tahoma"/>
          <w:i/>
          <w:iCs/>
          <w:sz w:val="18"/>
          <w:szCs w:val="20"/>
        </w:rPr>
        <w:t xml:space="preserve"> Bufo viridis</w:t>
      </w:r>
      <w:bookmarkEnd w:id="280"/>
    </w:p>
    <w:p w14:paraId="28DD46DB" w14:textId="77777777" w:rsidR="00742EBE" w:rsidRPr="0068236B" w:rsidRDefault="00742EBE" w:rsidP="001D15F1">
      <w:pPr>
        <w:ind w:left="-284" w:right="-187"/>
        <w:rPr>
          <w:rFonts w:cs="Tahoma"/>
          <w:iCs/>
          <w:sz w:val="20"/>
          <w:szCs w:val="20"/>
        </w:rPr>
      </w:pPr>
      <w:r w:rsidRPr="0068236B">
        <w:rPr>
          <w:rFonts w:cs="Tahoma"/>
          <w:iCs/>
          <w:sz w:val="20"/>
          <w:szCs w:val="20"/>
        </w:rPr>
        <w:t>The habitat of 92A0 Salix alba and Populus alba galleries is exclusively distributed along river Vardar. The total coverage of this habitat is 221.01 ha. Its EAAA is defined around all of the mapped patches and includes some of the area with a natural potential for spread of this community (land converted to agriculture). This community is generally fragmented and represented by 50 patches. The structure of the community represents the dominance of the edifier species (</w:t>
      </w:r>
      <w:r w:rsidRPr="0068236B">
        <w:rPr>
          <w:rFonts w:cs="Tahoma"/>
          <w:i/>
          <w:iCs/>
          <w:sz w:val="20"/>
          <w:szCs w:val="20"/>
        </w:rPr>
        <w:t>Salix alba</w:t>
      </w:r>
      <w:r w:rsidRPr="0068236B">
        <w:rPr>
          <w:rFonts w:cs="Tahoma"/>
          <w:iCs/>
          <w:sz w:val="20"/>
          <w:szCs w:val="20"/>
        </w:rPr>
        <w:t xml:space="preserve"> and </w:t>
      </w:r>
      <w:r w:rsidRPr="0068236B">
        <w:rPr>
          <w:rFonts w:cs="Tahoma"/>
          <w:i/>
          <w:iCs/>
          <w:sz w:val="20"/>
          <w:szCs w:val="20"/>
        </w:rPr>
        <w:t>Salix fragilis</w:t>
      </w:r>
      <w:r w:rsidRPr="0068236B">
        <w:rPr>
          <w:rFonts w:cs="Tahoma"/>
          <w:iCs/>
          <w:sz w:val="20"/>
          <w:szCs w:val="20"/>
        </w:rPr>
        <w:t>) as well as other natural elements (</w:t>
      </w:r>
      <w:r w:rsidRPr="0068236B">
        <w:rPr>
          <w:rFonts w:cs="Tahoma"/>
          <w:i/>
          <w:iCs/>
          <w:sz w:val="20"/>
          <w:szCs w:val="20"/>
        </w:rPr>
        <w:t>Salix amplexicaulis, Cornus sanguinea, Evonymus europaea</w:t>
      </w:r>
      <w:r w:rsidRPr="0068236B">
        <w:rPr>
          <w:rFonts w:cs="Tahoma"/>
          <w:iCs/>
          <w:sz w:val="20"/>
          <w:szCs w:val="20"/>
        </w:rPr>
        <w:t xml:space="preserve">, etc.). As already discussed, many invasive species are also present in the community (especially </w:t>
      </w:r>
      <w:r w:rsidRPr="0068236B">
        <w:rPr>
          <w:rFonts w:cs="Tahoma"/>
          <w:i/>
          <w:iCs/>
          <w:sz w:val="20"/>
          <w:szCs w:val="20"/>
        </w:rPr>
        <w:t>Amorpha fruticosa, Acer negundo</w:t>
      </w:r>
      <w:r w:rsidRPr="0068236B">
        <w:rPr>
          <w:rFonts w:cs="Tahoma"/>
          <w:iCs/>
          <w:sz w:val="20"/>
          <w:szCs w:val="20"/>
        </w:rPr>
        <w:t>).</w:t>
      </w:r>
    </w:p>
    <w:p w14:paraId="4BF40F95" w14:textId="79762239" w:rsidR="00742EBE" w:rsidRPr="0068236B" w:rsidRDefault="00742EBE" w:rsidP="001D15F1">
      <w:pPr>
        <w:ind w:left="-284" w:right="-187"/>
        <w:rPr>
          <w:rFonts w:cs="Tahoma"/>
          <w:iCs/>
          <w:sz w:val="20"/>
          <w:szCs w:val="20"/>
        </w:rPr>
      </w:pPr>
      <w:r w:rsidRPr="0068236B">
        <w:rPr>
          <w:rFonts w:cs="Tahoma"/>
          <w:i/>
          <w:iCs/>
          <w:sz w:val="20"/>
          <w:szCs w:val="20"/>
        </w:rPr>
        <w:t>Streptopelia turtur</w:t>
      </w:r>
      <w:r w:rsidRPr="0068236B">
        <w:rPr>
          <w:rFonts w:cs="Tahoma"/>
          <w:iCs/>
          <w:sz w:val="20"/>
          <w:szCs w:val="20"/>
        </w:rPr>
        <w:t xml:space="preserve"> is a species with broad distribution in Macedonia. A strong decline is noticed on the European continent, although the population in Macedonia is rather stable. Two nesting territories were recorded along river Vardar as well as few other records (foraging) in the agricultural area.</w:t>
      </w:r>
    </w:p>
    <w:p w14:paraId="6D06A0AA" w14:textId="55D9610C" w:rsidR="00742EBE" w:rsidRPr="0068236B" w:rsidRDefault="00742EBE" w:rsidP="001D15F1">
      <w:pPr>
        <w:ind w:left="-284" w:right="-187"/>
        <w:rPr>
          <w:rFonts w:cs="Tahoma"/>
          <w:iCs/>
          <w:sz w:val="20"/>
          <w:szCs w:val="20"/>
        </w:rPr>
      </w:pPr>
      <w:r w:rsidRPr="0068236B">
        <w:rPr>
          <w:rFonts w:cs="Tahoma"/>
          <w:i/>
          <w:iCs/>
          <w:sz w:val="20"/>
          <w:szCs w:val="20"/>
        </w:rPr>
        <w:t xml:space="preserve">Alcedo atthis </w:t>
      </w:r>
      <w:r w:rsidRPr="0068236B">
        <w:rPr>
          <w:rFonts w:cs="Tahoma"/>
          <w:iCs/>
          <w:sz w:val="20"/>
          <w:szCs w:val="20"/>
        </w:rPr>
        <w:t xml:space="preserve">has a strong preference for aquatic ecosystems. It was recorded along </w:t>
      </w:r>
      <w:r w:rsidR="001D15F1" w:rsidRPr="0068236B">
        <w:rPr>
          <w:rFonts w:cs="Tahoma"/>
          <w:iCs/>
          <w:sz w:val="20"/>
          <w:szCs w:val="20"/>
        </w:rPr>
        <w:t>the</w:t>
      </w:r>
      <w:r w:rsidRPr="0068236B">
        <w:rPr>
          <w:rFonts w:cs="Tahoma"/>
          <w:iCs/>
          <w:sz w:val="20"/>
          <w:szCs w:val="20"/>
        </w:rPr>
        <w:t xml:space="preserve"> Vardar </w:t>
      </w:r>
      <w:r w:rsidR="001D15F1" w:rsidRPr="0068236B">
        <w:rPr>
          <w:rFonts w:cs="Tahoma"/>
          <w:iCs/>
          <w:sz w:val="20"/>
          <w:szCs w:val="20"/>
        </w:rPr>
        <w:t xml:space="preserve">River </w:t>
      </w:r>
      <w:r w:rsidRPr="0068236B">
        <w:rPr>
          <w:rFonts w:cs="Tahoma"/>
          <w:iCs/>
          <w:sz w:val="20"/>
          <w:szCs w:val="20"/>
        </w:rPr>
        <w:t xml:space="preserve">(crossing </w:t>
      </w:r>
      <w:r w:rsidR="001D15F1" w:rsidRPr="0068236B">
        <w:rPr>
          <w:rFonts w:cs="Tahoma"/>
          <w:iCs/>
          <w:sz w:val="20"/>
          <w:szCs w:val="20"/>
        </w:rPr>
        <w:t>section of the transmission line</w:t>
      </w:r>
      <w:r w:rsidRPr="0068236B">
        <w:rPr>
          <w:rFonts w:cs="Tahoma"/>
          <w:iCs/>
          <w:sz w:val="20"/>
          <w:szCs w:val="20"/>
        </w:rPr>
        <w:t>) and on Anska Reka. Both of th</w:t>
      </w:r>
      <w:r w:rsidR="001D15F1" w:rsidRPr="0068236B">
        <w:rPr>
          <w:rFonts w:cs="Tahoma"/>
          <w:iCs/>
          <w:sz w:val="20"/>
          <w:szCs w:val="20"/>
        </w:rPr>
        <w:t>ese</w:t>
      </w:r>
      <w:r w:rsidRPr="0068236B">
        <w:rPr>
          <w:rFonts w:cs="Tahoma"/>
          <w:iCs/>
          <w:sz w:val="20"/>
          <w:szCs w:val="20"/>
        </w:rPr>
        <w:t xml:space="preserve"> record</w:t>
      </w:r>
      <w:r w:rsidR="001D15F1" w:rsidRPr="0068236B">
        <w:rPr>
          <w:rFonts w:cs="Tahoma"/>
          <w:iCs/>
          <w:sz w:val="20"/>
          <w:szCs w:val="20"/>
        </w:rPr>
        <w:t>s</w:t>
      </w:r>
      <w:r w:rsidRPr="0068236B">
        <w:rPr>
          <w:rFonts w:cs="Tahoma"/>
          <w:iCs/>
          <w:sz w:val="20"/>
          <w:szCs w:val="20"/>
        </w:rPr>
        <w:t xml:space="preserve"> refer to foraging activities of the species. Possible nesting sites (sand cliffs) were notices downstream on river Vardar. </w:t>
      </w:r>
    </w:p>
    <w:p w14:paraId="324E9C49" w14:textId="77777777" w:rsidR="00742EBE" w:rsidRPr="0068236B" w:rsidRDefault="00742EBE" w:rsidP="00742EBE">
      <w:pPr>
        <w:spacing w:after="60"/>
        <w:ind w:left="-284" w:right="-187"/>
        <w:jc w:val="left"/>
        <w:rPr>
          <w:rFonts w:cs="Tahoma"/>
          <w:iCs/>
          <w:sz w:val="20"/>
        </w:rPr>
      </w:pPr>
      <w:r w:rsidRPr="0068236B">
        <w:rPr>
          <w:rFonts w:cs="Tahoma"/>
          <w:iCs/>
          <w:noProof/>
          <w:sz w:val="20"/>
          <w:lang w:val="mk-MK" w:eastAsia="mk-MK"/>
        </w:rPr>
        <w:drawing>
          <wp:inline distT="0" distB="0" distL="0" distR="0" wp14:anchorId="2545F325" wp14:editId="42B16BD6">
            <wp:extent cx="4324056" cy="2981325"/>
            <wp:effectExtent l="0" t="0" r="635" b="0"/>
            <wp:docPr id="922" name="Picture 1" descr="D:\EIA\MK OHL Dubrovo-Valandovo-Strumica\ESIA\SP1\Sali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IA\MK OHL Dubrovo-Valandovo-Strumica\ESIA\SP1\Salix.jpg"/>
                    <pic:cNvPicPr>
                      <a:picLocks noChangeAspect="1" noChangeArrowheads="1"/>
                    </pic:cNvPicPr>
                  </pic:nvPicPr>
                  <pic:blipFill rotWithShape="1">
                    <a:blip r:embed="rId127" cstate="print">
                      <a:extLst>
                        <a:ext uri="{28A0092B-C50C-407E-A947-70E740481C1C}">
                          <a14:useLocalDpi xmlns:a14="http://schemas.microsoft.com/office/drawing/2010/main" val="0"/>
                        </a:ext>
                      </a:extLst>
                    </a:blip>
                    <a:srcRect t="3096"/>
                    <a:stretch/>
                  </pic:blipFill>
                  <pic:spPr bwMode="auto">
                    <a:xfrm>
                      <a:off x="0" y="0"/>
                      <a:ext cx="4320000" cy="2978528"/>
                    </a:xfrm>
                    <a:prstGeom prst="rect">
                      <a:avLst/>
                    </a:prstGeom>
                    <a:noFill/>
                    <a:ln>
                      <a:noFill/>
                    </a:ln>
                    <a:extLst>
                      <a:ext uri="{53640926-AAD7-44D8-BBD7-CCE9431645EC}">
                        <a14:shadowObscured xmlns:a14="http://schemas.microsoft.com/office/drawing/2010/main"/>
                      </a:ext>
                    </a:extLst>
                  </pic:spPr>
                </pic:pic>
              </a:graphicData>
            </a:graphic>
          </wp:inline>
        </w:drawing>
      </w:r>
    </w:p>
    <w:p w14:paraId="0CCE6009" w14:textId="2241A5C2" w:rsidR="00742EBE" w:rsidRPr="0068236B" w:rsidRDefault="001D15F1" w:rsidP="00742EBE">
      <w:pPr>
        <w:spacing w:before="60" w:after="240"/>
        <w:rPr>
          <w:rFonts w:cs="Tahoma"/>
          <w:sz w:val="18"/>
          <w:szCs w:val="20"/>
        </w:rPr>
      </w:pPr>
      <w:bookmarkStart w:id="281" w:name="_Toc113018192"/>
      <w:r w:rsidRPr="0068236B">
        <w:rPr>
          <w:rFonts w:cs="Tahoma"/>
          <w:sz w:val="18"/>
          <w:szCs w:val="20"/>
        </w:rPr>
        <w:t>Figure</w:t>
      </w:r>
      <w:r w:rsidR="00742EBE" w:rsidRPr="0068236B">
        <w:rPr>
          <w:rFonts w:cs="Tahoma"/>
          <w:sz w:val="18"/>
          <w:szCs w:val="20"/>
        </w:rPr>
        <w:t xml:space="preserve"> </w:t>
      </w:r>
      <w:r w:rsidR="00742EBE" w:rsidRPr="0068236B">
        <w:rPr>
          <w:rFonts w:cs="Tahoma"/>
          <w:sz w:val="18"/>
          <w:szCs w:val="20"/>
        </w:rPr>
        <w:fldChar w:fldCharType="begin"/>
      </w:r>
      <w:r w:rsidR="00742EBE" w:rsidRPr="0068236B">
        <w:rPr>
          <w:rFonts w:cs="Tahoma"/>
          <w:sz w:val="18"/>
          <w:szCs w:val="20"/>
        </w:rPr>
        <w:instrText xml:space="preserve"> STYLEREF 1 \s </w:instrText>
      </w:r>
      <w:r w:rsidR="00742EBE" w:rsidRPr="0068236B">
        <w:rPr>
          <w:rFonts w:cs="Tahoma"/>
          <w:sz w:val="18"/>
          <w:szCs w:val="20"/>
        </w:rPr>
        <w:fldChar w:fldCharType="separate"/>
      </w:r>
      <w:r w:rsidR="00FD57E6">
        <w:rPr>
          <w:rFonts w:cs="Tahoma"/>
          <w:noProof/>
          <w:sz w:val="18"/>
          <w:szCs w:val="20"/>
        </w:rPr>
        <w:t>7</w:t>
      </w:r>
      <w:r w:rsidR="00742EBE" w:rsidRPr="0068236B">
        <w:rPr>
          <w:rFonts w:cs="Tahoma"/>
          <w:sz w:val="18"/>
          <w:szCs w:val="20"/>
        </w:rPr>
        <w:fldChar w:fldCharType="end"/>
      </w:r>
      <w:r w:rsidR="00742EBE" w:rsidRPr="0068236B">
        <w:rPr>
          <w:rFonts w:cs="Tahoma"/>
          <w:sz w:val="18"/>
          <w:szCs w:val="20"/>
        </w:rPr>
        <w:t>.</w:t>
      </w:r>
      <w:r w:rsidR="00742EBE" w:rsidRPr="0068236B">
        <w:rPr>
          <w:rFonts w:cs="Tahoma"/>
          <w:sz w:val="18"/>
          <w:szCs w:val="20"/>
        </w:rPr>
        <w:fldChar w:fldCharType="begin"/>
      </w:r>
      <w:r w:rsidR="00742EBE" w:rsidRPr="0068236B">
        <w:rPr>
          <w:rFonts w:cs="Tahoma"/>
          <w:sz w:val="18"/>
          <w:szCs w:val="20"/>
        </w:rPr>
        <w:instrText xml:space="preserve"> SEQ Table \* ARABIC \s 1 </w:instrText>
      </w:r>
      <w:r w:rsidR="00742EBE" w:rsidRPr="0068236B">
        <w:rPr>
          <w:rFonts w:cs="Tahoma"/>
          <w:sz w:val="18"/>
          <w:szCs w:val="20"/>
        </w:rPr>
        <w:fldChar w:fldCharType="separate"/>
      </w:r>
      <w:r w:rsidR="00FD57E6">
        <w:rPr>
          <w:rFonts w:cs="Tahoma"/>
          <w:noProof/>
          <w:sz w:val="18"/>
          <w:szCs w:val="20"/>
        </w:rPr>
        <w:t>21</w:t>
      </w:r>
      <w:r w:rsidR="00742EBE" w:rsidRPr="0068236B">
        <w:rPr>
          <w:rFonts w:cs="Tahoma"/>
          <w:sz w:val="18"/>
          <w:szCs w:val="20"/>
        </w:rPr>
        <w:fldChar w:fldCharType="end"/>
      </w:r>
      <w:r w:rsidR="00742EBE" w:rsidRPr="0068236B">
        <w:rPr>
          <w:rFonts w:cs="Tahoma"/>
          <w:sz w:val="18"/>
          <w:szCs w:val="20"/>
        </w:rPr>
        <w:t>:</w:t>
      </w:r>
      <w:r w:rsidR="00742EBE" w:rsidRPr="0068236B">
        <w:rPr>
          <w:rFonts w:cs="Tahoma"/>
          <w:b/>
          <w:sz w:val="18"/>
          <w:szCs w:val="20"/>
        </w:rPr>
        <w:t xml:space="preserve"> </w:t>
      </w:r>
      <w:r w:rsidR="00742EBE" w:rsidRPr="0068236B">
        <w:rPr>
          <w:rFonts w:cs="Tahoma"/>
          <w:iCs/>
          <w:sz w:val="18"/>
          <w:szCs w:val="20"/>
        </w:rPr>
        <w:t>Distribution and EAAA for 92A0 Salix alba and Populus alba galleries</w:t>
      </w:r>
      <w:bookmarkEnd w:id="281"/>
      <w:r w:rsidR="00742EBE" w:rsidRPr="0068236B">
        <w:rPr>
          <w:rFonts w:cs="Tahoma"/>
          <w:sz w:val="18"/>
          <w:szCs w:val="20"/>
        </w:rPr>
        <w:t xml:space="preserve"> </w:t>
      </w:r>
    </w:p>
    <w:p w14:paraId="0DFE23B2" w14:textId="77777777" w:rsidR="00742EBE" w:rsidRPr="0068236B" w:rsidRDefault="00742EBE" w:rsidP="001D15F1">
      <w:pPr>
        <w:spacing w:before="60" w:after="60"/>
        <w:rPr>
          <w:rFonts w:cs="Tahoma"/>
          <w:sz w:val="18"/>
          <w:szCs w:val="20"/>
        </w:rPr>
      </w:pPr>
      <w:r w:rsidRPr="0068236B">
        <w:rPr>
          <w:rFonts w:cs="Tahoma"/>
          <w:noProof/>
          <w:sz w:val="18"/>
          <w:szCs w:val="20"/>
          <w:lang w:val="mk-MK" w:eastAsia="mk-MK"/>
        </w:rPr>
        <w:lastRenderedPageBreak/>
        <w:drawing>
          <wp:inline distT="0" distB="0" distL="0" distR="0" wp14:anchorId="5D2BE4F6" wp14:editId="77FB9D90">
            <wp:extent cx="4320000" cy="3073690"/>
            <wp:effectExtent l="19050" t="0" r="4350" b="0"/>
            <wp:docPr id="923" name="Picture 8" descr="D:\EIA\MK OHL Dubrovo-Valandovo-Strumica\ESIA\SP1\Streptopel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IA\MK OHL Dubrovo-Valandovo-Strumica\ESIA\SP1\Streptopelia.jp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320000" cy="3073690"/>
                    </a:xfrm>
                    <a:prstGeom prst="rect">
                      <a:avLst/>
                    </a:prstGeom>
                    <a:noFill/>
                    <a:ln w="9525">
                      <a:noFill/>
                      <a:miter lim="800000"/>
                      <a:headEnd/>
                      <a:tailEnd/>
                    </a:ln>
                  </pic:spPr>
                </pic:pic>
              </a:graphicData>
            </a:graphic>
          </wp:inline>
        </w:drawing>
      </w:r>
    </w:p>
    <w:p w14:paraId="69AC0EF8" w14:textId="17B53C66" w:rsidR="00742EBE" w:rsidRPr="0068236B" w:rsidRDefault="001D15F1" w:rsidP="00742EBE">
      <w:pPr>
        <w:spacing w:before="60" w:after="240"/>
        <w:rPr>
          <w:rFonts w:cs="Tahoma"/>
          <w:sz w:val="18"/>
          <w:szCs w:val="20"/>
        </w:rPr>
      </w:pPr>
      <w:bookmarkStart w:id="282" w:name="_Toc113018193"/>
      <w:r w:rsidRPr="0068236B">
        <w:rPr>
          <w:rFonts w:cs="Tahoma"/>
          <w:sz w:val="18"/>
          <w:szCs w:val="20"/>
        </w:rPr>
        <w:t>Figure</w:t>
      </w:r>
      <w:r w:rsidR="00742EBE" w:rsidRPr="0068236B">
        <w:rPr>
          <w:rFonts w:cs="Tahoma"/>
          <w:sz w:val="18"/>
          <w:szCs w:val="20"/>
        </w:rPr>
        <w:t xml:space="preserve"> </w:t>
      </w:r>
      <w:r w:rsidR="00742EBE" w:rsidRPr="0068236B">
        <w:rPr>
          <w:rFonts w:cs="Tahoma"/>
          <w:sz w:val="18"/>
          <w:szCs w:val="20"/>
        </w:rPr>
        <w:fldChar w:fldCharType="begin"/>
      </w:r>
      <w:r w:rsidR="00742EBE" w:rsidRPr="0068236B">
        <w:rPr>
          <w:rFonts w:cs="Tahoma"/>
          <w:sz w:val="18"/>
          <w:szCs w:val="20"/>
        </w:rPr>
        <w:instrText xml:space="preserve"> STYLEREF 1 \s </w:instrText>
      </w:r>
      <w:r w:rsidR="00742EBE" w:rsidRPr="0068236B">
        <w:rPr>
          <w:rFonts w:cs="Tahoma"/>
          <w:sz w:val="18"/>
          <w:szCs w:val="20"/>
        </w:rPr>
        <w:fldChar w:fldCharType="separate"/>
      </w:r>
      <w:r w:rsidR="00FD57E6">
        <w:rPr>
          <w:rFonts w:cs="Tahoma"/>
          <w:noProof/>
          <w:sz w:val="18"/>
          <w:szCs w:val="20"/>
        </w:rPr>
        <w:t>7</w:t>
      </w:r>
      <w:r w:rsidR="00742EBE" w:rsidRPr="0068236B">
        <w:rPr>
          <w:rFonts w:cs="Tahoma"/>
          <w:sz w:val="18"/>
          <w:szCs w:val="20"/>
        </w:rPr>
        <w:fldChar w:fldCharType="end"/>
      </w:r>
      <w:r w:rsidR="00742EBE" w:rsidRPr="0068236B">
        <w:rPr>
          <w:rFonts w:cs="Tahoma"/>
          <w:sz w:val="18"/>
          <w:szCs w:val="20"/>
        </w:rPr>
        <w:t>.</w:t>
      </w:r>
      <w:r w:rsidR="00742EBE" w:rsidRPr="0068236B">
        <w:rPr>
          <w:rFonts w:cs="Tahoma"/>
          <w:sz w:val="18"/>
          <w:szCs w:val="20"/>
        </w:rPr>
        <w:fldChar w:fldCharType="begin"/>
      </w:r>
      <w:r w:rsidR="00742EBE" w:rsidRPr="0068236B">
        <w:rPr>
          <w:rFonts w:cs="Tahoma"/>
          <w:sz w:val="18"/>
          <w:szCs w:val="20"/>
        </w:rPr>
        <w:instrText xml:space="preserve"> SEQ Table \* ARABIC \s 1 </w:instrText>
      </w:r>
      <w:r w:rsidR="00742EBE" w:rsidRPr="0068236B">
        <w:rPr>
          <w:rFonts w:cs="Tahoma"/>
          <w:sz w:val="18"/>
          <w:szCs w:val="20"/>
        </w:rPr>
        <w:fldChar w:fldCharType="separate"/>
      </w:r>
      <w:r w:rsidR="00FD57E6">
        <w:rPr>
          <w:rFonts w:cs="Tahoma"/>
          <w:noProof/>
          <w:sz w:val="18"/>
          <w:szCs w:val="20"/>
        </w:rPr>
        <w:t>22</w:t>
      </w:r>
      <w:r w:rsidR="00742EBE" w:rsidRPr="0068236B">
        <w:rPr>
          <w:rFonts w:cs="Tahoma"/>
          <w:sz w:val="18"/>
          <w:szCs w:val="20"/>
        </w:rPr>
        <w:fldChar w:fldCharType="end"/>
      </w:r>
      <w:r w:rsidR="00742EBE" w:rsidRPr="0068236B">
        <w:rPr>
          <w:rFonts w:cs="Tahoma"/>
          <w:sz w:val="18"/>
          <w:szCs w:val="20"/>
        </w:rPr>
        <w:t>:</w:t>
      </w:r>
      <w:r w:rsidR="00742EBE" w:rsidRPr="0068236B">
        <w:rPr>
          <w:rFonts w:cs="Tahoma"/>
          <w:b/>
          <w:sz w:val="18"/>
          <w:szCs w:val="20"/>
        </w:rPr>
        <w:t xml:space="preserve"> </w:t>
      </w:r>
      <w:r w:rsidR="00742EBE" w:rsidRPr="0068236B">
        <w:rPr>
          <w:rFonts w:cs="Tahoma"/>
          <w:iCs/>
          <w:sz w:val="18"/>
          <w:szCs w:val="20"/>
        </w:rPr>
        <w:t xml:space="preserve">Distribution and EAAA for </w:t>
      </w:r>
      <w:r w:rsidR="00742EBE" w:rsidRPr="0068236B">
        <w:rPr>
          <w:rFonts w:cs="Tahoma"/>
          <w:i/>
          <w:iCs/>
          <w:sz w:val="18"/>
          <w:szCs w:val="20"/>
        </w:rPr>
        <w:t>Streptopelia turtur</w:t>
      </w:r>
      <w:bookmarkEnd w:id="282"/>
      <w:r w:rsidR="00742EBE" w:rsidRPr="0068236B">
        <w:rPr>
          <w:rFonts w:cs="Tahoma"/>
          <w:sz w:val="18"/>
          <w:szCs w:val="20"/>
        </w:rPr>
        <w:t xml:space="preserve"> </w:t>
      </w:r>
    </w:p>
    <w:p w14:paraId="5EE9360E" w14:textId="77777777" w:rsidR="00742EBE" w:rsidRPr="0068236B" w:rsidRDefault="00742EBE" w:rsidP="001D15F1">
      <w:pPr>
        <w:spacing w:before="60" w:after="60"/>
        <w:rPr>
          <w:rFonts w:cs="Tahoma"/>
          <w:sz w:val="18"/>
          <w:szCs w:val="20"/>
        </w:rPr>
      </w:pPr>
      <w:r w:rsidRPr="0068236B">
        <w:rPr>
          <w:rFonts w:cs="Tahoma"/>
          <w:noProof/>
          <w:sz w:val="18"/>
          <w:szCs w:val="20"/>
          <w:lang w:val="mk-MK" w:eastAsia="mk-MK"/>
        </w:rPr>
        <w:drawing>
          <wp:inline distT="0" distB="0" distL="0" distR="0" wp14:anchorId="0AD8823F" wp14:editId="2F0951C7">
            <wp:extent cx="4320000" cy="3073690"/>
            <wp:effectExtent l="19050" t="0" r="4350" b="0"/>
            <wp:docPr id="2051" name="Picture 9" descr="D:\EIA\MK OHL Dubrovo-Valandovo-Strumica\ESIA\SP1\Alce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IA\MK OHL Dubrovo-Valandovo-Strumica\ESIA\SP1\Alcedo.jp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320000" cy="3073690"/>
                    </a:xfrm>
                    <a:prstGeom prst="rect">
                      <a:avLst/>
                    </a:prstGeom>
                    <a:noFill/>
                    <a:ln w="9525">
                      <a:noFill/>
                      <a:miter lim="800000"/>
                      <a:headEnd/>
                      <a:tailEnd/>
                    </a:ln>
                  </pic:spPr>
                </pic:pic>
              </a:graphicData>
            </a:graphic>
          </wp:inline>
        </w:drawing>
      </w:r>
    </w:p>
    <w:p w14:paraId="33CBA934" w14:textId="30C676F1" w:rsidR="00742EBE" w:rsidRPr="0068236B" w:rsidRDefault="001D15F1" w:rsidP="00742EBE">
      <w:pPr>
        <w:spacing w:before="60" w:after="240"/>
        <w:rPr>
          <w:rFonts w:cs="Tahoma"/>
          <w:sz w:val="18"/>
          <w:szCs w:val="20"/>
        </w:rPr>
      </w:pPr>
      <w:bookmarkStart w:id="283" w:name="_Toc113018194"/>
      <w:r w:rsidRPr="0068236B">
        <w:rPr>
          <w:rFonts w:cs="Tahoma"/>
          <w:sz w:val="18"/>
          <w:szCs w:val="20"/>
        </w:rPr>
        <w:t>Figure</w:t>
      </w:r>
      <w:r w:rsidR="00742EBE" w:rsidRPr="0068236B">
        <w:rPr>
          <w:rFonts w:cs="Tahoma"/>
          <w:sz w:val="18"/>
          <w:szCs w:val="20"/>
        </w:rPr>
        <w:t xml:space="preserve"> </w:t>
      </w:r>
      <w:r w:rsidR="00742EBE" w:rsidRPr="0068236B">
        <w:rPr>
          <w:rFonts w:cs="Tahoma"/>
          <w:sz w:val="18"/>
          <w:szCs w:val="20"/>
        </w:rPr>
        <w:fldChar w:fldCharType="begin"/>
      </w:r>
      <w:r w:rsidR="00742EBE" w:rsidRPr="0068236B">
        <w:rPr>
          <w:rFonts w:cs="Tahoma"/>
          <w:sz w:val="18"/>
          <w:szCs w:val="20"/>
        </w:rPr>
        <w:instrText xml:space="preserve"> STYLEREF 1 \s </w:instrText>
      </w:r>
      <w:r w:rsidR="00742EBE" w:rsidRPr="0068236B">
        <w:rPr>
          <w:rFonts w:cs="Tahoma"/>
          <w:sz w:val="18"/>
          <w:szCs w:val="20"/>
        </w:rPr>
        <w:fldChar w:fldCharType="separate"/>
      </w:r>
      <w:r w:rsidR="00FD57E6">
        <w:rPr>
          <w:rFonts w:cs="Tahoma"/>
          <w:noProof/>
          <w:sz w:val="18"/>
          <w:szCs w:val="20"/>
        </w:rPr>
        <w:t>7</w:t>
      </w:r>
      <w:r w:rsidR="00742EBE" w:rsidRPr="0068236B">
        <w:rPr>
          <w:rFonts w:cs="Tahoma"/>
          <w:sz w:val="18"/>
          <w:szCs w:val="20"/>
        </w:rPr>
        <w:fldChar w:fldCharType="end"/>
      </w:r>
      <w:r w:rsidR="00742EBE" w:rsidRPr="0068236B">
        <w:rPr>
          <w:rFonts w:cs="Tahoma"/>
          <w:sz w:val="18"/>
          <w:szCs w:val="20"/>
        </w:rPr>
        <w:t>.</w:t>
      </w:r>
      <w:r w:rsidR="00742EBE" w:rsidRPr="0068236B">
        <w:rPr>
          <w:rFonts w:cs="Tahoma"/>
          <w:sz w:val="18"/>
          <w:szCs w:val="20"/>
        </w:rPr>
        <w:fldChar w:fldCharType="begin"/>
      </w:r>
      <w:r w:rsidR="00742EBE" w:rsidRPr="0068236B">
        <w:rPr>
          <w:rFonts w:cs="Tahoma"/>
          <w:sz w:val="18"/>
          <w:szCs w:val="20"/>
        </w:rPr>
        <w:instrText xml:space="preserve"> SEQ Table \* ARABIC \s 1 </w:instrText>
      </w:r>
      <w:r w:rsidR="00742EBE" w:rsidRPr="0068236B">
        <w:rPr>
          <w:rFonts w:cs="Tahoma"/>
          <w:sz w:val="18"/>
          <w:szCs w:val="20"/>
        </w:rPr>
        <w:fldChar w:fldCharType="separate"/>
      </w:r>
      <w:r w:rsidR="00FD57E6">
        <w:rPr>
          <w:rFonts w:cs="Tahoma"/>
          <w:noProof/>
          <w:sz w:val="18"/>
          <w:szCs w:val="20"/>
        </w:rPr>
        <w:t>23</w:t>
      </w:r>
      <w:r w:rsidR="00742EBE" w:rsidRPr="0068236B">
        <w:rPr>
          <w:rFonts w:cs="Tahoma"/>
          <w:sz w:val="18"/>
          <w:szCs w:val="20"/>
        </w:rPr>
        <w:fldChar w:fldCharType="end"/>
      </w:r>
      <w:r w:rsidR="00742EBE" w:rsidRPr="0068236B">
        <w:rPr>
          <w:rFonts w:cs="Tahoma"/>
          <w:sz w:val="18"/>
          <w:szCs w:val="20"/>
        </w:rPr>
        <w:t>:</w:t>
      </w:r>
      <w:r w:rsidR="00742EBE" w:rsidRPr="0068236B">
        <w:rPr>
          <w:rFonts w:cs="Tahoma"/>
          <w:b/>
          <w:sz w:val="18"/>
          <w:szCs w:val="20"/>
        </w:rPr>
        <w:t xml:space="preserve"> </w:t>
      </w:r>
      <w:r w:rsidR="00742EBE" w:rsidRPr="0068236B">
        <w:rPr>
          <w:rFonts w:cs="Tahoma"/>
          <w:iCs/>
          <w:sz w:val="18"/>
          <w:szCs w:val="20"/>
        </w:rPr>
        <w:t xml:space="preserve">Distribution and EAAA for </w:t>
      </w:r>
      <w:r w:rsidR="00742EBE" w:rsidRPr="0068236B">
        <w:rPr>
          <w:rFonts w:cs="Tahoma"/>
          <w:i/>
          <w:iCs/>
          <w:sz w:val="18"/>
          <w:szCs w:val="20"/>
        </w:rPr>
        <w:t>Alcedo atthis</w:t>
      </w:r>
      <w:bookmarkEnd w:id="283"/>
      <w:r w:rsidR="00742EBE" w:rsidRPr="0068236B">
        <w:rPr>
          <w:rFonts w:cs="Tahoma"/>
          <w:sz w:val="18"/>
          <w:szCs w:val="20"/>
        </w:rPr>
        <w:t xml:space="preserve"> </w:t>
      </w:r>
    </w:p>
    <w:p w14:paraId="50D517AD" w14:textId="28779FEA" w:rsidR="007D0580" w:rsidRPr="0068236B" w:rsidRDefault="007D0580" w:rsidP="007D0580">
      <w:pPr>
        <w:pStyle w:val="Heading4"/>
      </w:pPr>
      <w:r w:rsidRPr="0068236B">
        <w:rPr>
          <w:szCs w:val="22"/>
        </w:rPr>
        <w:t>Ecosystem Services</w:t>
      </w:r>
      <w:r w:rsidRPr="0068236B">
        <w:t xml:space="preserve"> </w:t>
      </w:r>
    </w:p>
    <w:p w14:paraId="07E59946" w14:textId="77777777" w:rsidR="00EC146D" w:rsidRPr="0068236B" w:rsidRDefault="00EC146D" w:rsidP="00EC146D">
      <w:pPr>
        <w:ind w:right="-1"/>
        <w:rPr>
          <w:rFonts w:cs="Tahoma"/>
          <w:sz w:val="20"/>
          <w:szCs w:val="20"/>
        </w:rPr>
      </w:pPr>
      <w:r w:rsidRPr="0068236B">
        <w:rPr>
          <w:rFonts w:cs="Tahoma"/>
          <w:sz w:val="20"/>
          <w:szCs w:val="20"/>
        </w:rPr>
        <w:t xml:space="preserve">Ecosystem services – the benefits that flow from nature to people, including provisioning (e.g. the supply of food, clean air and water and materials), regulating (e.g. hydrologic and local climate regulation, nutrient cycling), or cultural and recreation use. Services with potential to have both high importance to relevant stakeholders and limited substitutes should be identified. Scoping for ecosystem services should take place </w:t>
      </w:r>
      <w:r w:rsidRPr="0068236B">
        <w:rPr>
          <w:rFonts w:cs="Tahoma"/>
          <w:sz w:val="20"/>
          <w:szCs w:val="20"/>
        </w:rPr>
        <w:lastRenderedPageBreak/>
        <w:t>in coordination with the social assessment team in order to ascertain which stakeholders may rely on ecosy</w:t>
      </w:r>
      <w:r w:rsidRPr="0068236B">
        <w:rPr>
          <w:rFonts w:cs="Tahoma"/>
          <w:sz w:val="20"/>
          <w:szCs w:val="20"/>
        </w:rPr>
        <w:t>s</w:t>
      </w:r>
      <w:r w:rsidRPr="0068236B">
        <w:rPr>
          <w:rFonts w:cs="Tahoma"/>
          <w:sz w:val="20"/>
          <w:szCs w:val="20"/>
        </w:rPr>
        <w:t>tem services and their degree of dependence. Direct consultation with stakeholders is often required</w:t>
      </w:r>
      <w:r w:rsidRPr="0068236B">
        <w:rPr>
          <w:rStyle w:val="FootnoteReference"/>
          <w:rFonts w:cs="Tahoma"/>
          <w:sz w:val="20"/>
          <w:szCs w:val="20"/>
        </w:rPr>
        <w:footnoteReference w:id="96"/>
      </w:r>
      <w:r w:rsidRPr="0068236B">
        <w:rPr>
          <w:rFonts w:cs="Tahoma"/>
          <w:sz w:val="20"/>
          <w:szCs w:val="20"/>
        </w:rPr>
        <w:t>.</w:t>
      </w:r>
    </w:p>
    <w:p w14:paraId="0E35B679" w14:textId="4B5CC212" w:rsidR="00EC146D" w:rsidRPr="0068236B" w:rsidRDefault="00EC146D" w:rsidP="00EC146D">
      <w:pPr>
        <w:ind w:right="-1"/>
        <w:rPr>
          <w:rFonts w:cs="Tahoma"/>
          <w:sz w:val="20"/>
          <w:szCs w:val="20"/>
          <w:lang w:val="mk-MK"/>
        </w:rPr>
      </w:pPr>
      <w:r w:rsidRPr="0068236B">
        <w:rPr>
          <w:rFonts w:cs="Tahoma"/>
          <w:sz w:val="20"/>
          <w:szCs w:val="20"/>
        </w:rPr>
        <w:t>Ecosystem services were not assessed during the field work carried out for the purposes of the present a</w:t>
      </w:r>
      <w:r w:rsidRPr="0068236B">
        <w:rPr>
          <w:rFonts w:cs="Tahoma"/>
          <w:sz w:val="20"/>
          <w:szCs w:val="20"/>
        </w:rPr>
        <w:t>s</w:t>
      </w:r>
      <w:r w:rsidRPr="0068236B">
        <w:rPr>
          <w:rFonts w:cs="Tahoma"/>
          <w:sz w:val="20"/>
          <w:szCs w:val="20"/>
        </w:rPr>
        <w:t xml:space="preserve">sessment. Thus, they can be only assessed on the basis of the results from the </w:t>
      </w:r>
      <w:r w:rsidRPr="0068236B">
        <w:rPr>
          <w:rFonts w:cs="Tahoma"/>
          <w:sz w:val="20"/>
          <w:szCs w:val="20"/>
          <w:u w:val="single"/>
        </w:rPr>
        <w:t>Mapping and assessment the condition of ecosystems in North Macedonia as part of Output 1.1. Mechanism for Payment of Ecosystem Services (PES) as a priority measure of National Strategy for Nature Protection is elaborated and tested</w:t>
      </w:r>
      <w:r w:rsidRPr="0068236B">
        <w:rPr>
          <w:rStyle w:val="FootnoteReference"/>
          <w:rFonts w:cs="Tahoma"/>
          <w:sz w:val="20"/>
          <w:szCs w:val="20"/>
        </w:rPr>
        <w:footnoteReference w:id="97"/>
      </w:r>
      <w:r w:rsidRPr="0068236B">
        <w:rPr>
          <w:rFonts w:cs="Tahoma"/>
          <w:sz w:val="20"/>
          <w:szCs w:val="20"/>
        </w:rPr>
        <w:t>. During the present assessment, all the natural ecosystems were identified, mapped and had their condition assessed. Their condition was assessed based on a broad set of indicators (Ecosystem structure: Biotic d</w:t>
      </w:r>
      <w:r w:rsidRPr="0068236B">
        <w:rPr>
          <w:rFonts w:cs="Tahoma"/>
          <w:sz w:val="20"/>
          <w:szCs w:val="20"/>
        </w:rPr>
        <w:t>i</w:t>
      </w:r>
      <w:r w:rsidRPr="0068236B">
        <w:rPr>
          <w:rFonts w:cs="Tahoma"/>
          <w:sz w:val="20"/>
          <w:szCs w:val="20"/>
        </w:rPr>
        <w:t>versity, Abiotic heterogeneity; Ecosystem processes: Energy flow/Matter storage, biogeochemical cycle, W</w:t>
      </w:r>
      <w:r w:rsidRPr="0068236B">
        <w:rPr>
          <w:rFonts w:cs="Tahoma"/>
          <w:sz w:val="20"/>
          <w:szCs w:val="20"/>
        </w:rPr>
        <w:t>a</w:t>
      </w:r>
      <w:r w:rsidRPr="0068236B">
        <w:rPr>
          <w:rFonts w:cs="Tahoma"/>
          <w:sz w:val="20"/>
          <w:szCs w:val="20"/>
        </w:rPr>
        <w:t>ter balance). The assessment of the capacity for supply of selected ecosystem services (15) was based on expert judgement combined with scoring by stakeholders.</w:t>
      </w:r>
    </w:p>
    <w:p w14:paraId="3DA60198" w14:textId="77777777" w:rsidR="00EC146D" w:rsidRPr="0068236B" w:rsidRDefault="00EC146D" w:rsidP="00EC146D">
      <w:pPr>
        <w:spacing w:after="60"/>
        <w:rPr>
          <w:rFonts w:cs="Tahoma"/>
          <w:sz w:val="20"/>
          <w:szCs w:val="20"/>
        </w:rPr>
      </w:pPr>
      <w:r w:rsidRPr="0068236B">
        <w:rPr>
          <w:rFonts w:cs="Tahoma"/>
          <w:noProof/>
          <w:sz w:val="20"/>
          <w:szCs w:val="20"/>
          <w:lang w:val="mk-MK" w:eastAsia="mk-MK"/>
        </w:rPr>
        <w:drawing>
          <wp:inline distT="0" distB="0" distL="0" distR="0" wp14:anchorId="7951CB11" wp14:editId="34EE98F8">
            <wp:extent cx="4320000" cy="3740823"/>
            <wp:effectExtent l="19050" t="19050" r="23495" b="12065"/>
            <wp:docPr id="938" name="Picture 35" descr="D:\EIA\MK OHL Dubrovo-Valandovo-Strumica\ESIA\SP2\ESS - natio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EIA\MK OHL Dubrovo-Valandovo-Strumica\ESIA\SP2\ESS - national.jpg"/>
                    <pic:cNvPicPr>
                      <a:picLocks noChangeAspect="1" noChangeArrowheads="1"/>
                    </pic:cNvPicPr>
                  </pic:nvPicPr>
                  <pic:blipFill>
                    <a:blip r:embed="rId130" cstate="print"/>
                    <a:srcRect/>
                    <a:stretch>
                      <a:fillRect/>
                    </a:stretch>
                  </pic:blipFill>
                  <pic:spPr bwMode="auto">
                    <a:xfrm>
                      <a:off x="0" y="0"/>
                      <a:ext cx="4320000" cy="3740823"/>
                    </a:xfrm>
                    <a:prstGeom prst="rect">
                      <a:avLst/>
                    </a:prstGeom>
                    <a:noFill/>
                    <a:ln w="9525">
                      <a:solidFill>
                        <a:schemeClr val="tx1"/>
                      </a:solidFill>
                      <a:miter lim="800000"/>
                      <a:headEnd/>
                      <a:tailEnd/>
                    </a:ln>
                  </pic:spPr>
                </pic:pic>
              </a:graphicData>
            </a:graphic>
          </wp:inline>
        </w:drawing>
      </w:r>
    </w:p>
    <w:p w14:paraId="2498028E" w14:textId="77777777" w:rsidR="00EC146D" w:rsidRPr="0068236B" w:rsidRDefault="00EC146D" w:rsidP="00EC146D">
      <w:pPr>
        <w:spacing w:before="60" w:after="240"/>
        <w:rPr>
          <w:rFonts w:cs="Tahoma"/>
          <w:sz w:val="18"/>
          <w:szCs w:val="18"/>
        </w:rPr>
      </w:pPr>
      <w:bookmarkStart w:id="284" w:name="_Toc112928888"/>
      <w:r w:rsidRPr="0068236B">
        <w:rPr>
          <w:rFonts w:cs="Tahoma"/>
          <w:sz w:val="18"/>
          <w:szCs w:val="18"/>
        </w:rPr>
        <w:t xml:space="preserve">Figure </w:t>
      </w:r>
      <w:r w:rsidRPr="0068236B">
        <w:rPr>
          <w:rFonts w:cs="Tahoma"/>
          <w:sz w:val="18"/>
          <w:szCs w:val="18"/>
        </w:rPr>
        <w:fldChar w:fldCharType="begin"/>
      </w:r>
      <w:r w:rsidRPr="0068236B">
        <w:rPr>
          <w:rFonts w:cs="Tahoma"/>
          <w:sz w:val="18"/>
          <w:szCs w:val="18"/>
        </w:rPr>
        <w:instrText xml:space="preserve"> STYLEREF 1 \s </w:instrText>
      </w:r>
      <w:r w:rsidRPr="0068236B">
        <w:rPr>
          <w:rFonts w:cs="Tahoma"/>
          <w:sz w:val="18"/>
          <w:szCs w:val="18"/>
        </w:rPr>
        <w:fldChar w:fldCharType="separate"/>
      </w:r>
      <w:r w:rsidR="00FD57E6">
        <w:rPr>
          <w:rFonts w:cs="Tahoma"/>
          <w:noProof/>
          <w:sz w:val="18"/>
          <w:szCs w:val="18"/>
        </w:rPr>
        <w:t>7</w:t>
      </w:r>
      <w:r w:rsidRPr="0068236B">
        <w:rPr>
          <w:rFonts w:cs="Tahoma"/>
          <w:sz w:val="18"/>
          <w:szCs w:val="18"/>
        </w:rPr>
        <w:fldChar w:fldCharType="end"/>
      </w:r>
      <w:r w:rsidRPr="0068236B">
        <w:rPr>
          <w:rFonts w:cs="Tahoma"/>
          <w:sz w:val="18"/>
          <w:szCs w:val="18"/>
        </w:rPr>
        <w:t>.</w:t>
      </w:r>
      <w:r w:rsidRPr="0068236B">
        <w:rPr>
          <w:rFonts w:cs="Tahoma"/>
          <w:sz w:val="18"/>
          <w:szCs w:val="18"/>
        </w:rPr>
        <w:fldChar w:fldCharType="begin"/>
      </w:r>
      <w:r w:rsidRPr="0068236B">
        <w:rPr>
          <w:rFonts w:cs="Tahoma"/>
          <w:sz w:val="18"/>
          <w:szCs w:val="18"/>
        </w:rPr>
        <w:instrText xml:space="preserve"> SEQ Figure \* ARABIC \s 1 </w:instrText>
      </w:r>
      <w:r w:rsidRPr="0068236B">
        <w:rPr>
          <w:rFonts w:cs="Tahoma"/>
          <w:sz w:val="18"/>
          <w:szCs w:val="18"/>
        </w:rPr>
        <w:fldChar w:fldCharType="separate"/>
      </w:r>
      <w:r w:rsidR="00FD57E6">
        <w:rPr>
          <w:rFonts w:cs="Tahoma"/>
          <w:noProof/>
          <w:sz w:val="18"/>
          <w:szCs w:val="18"/>
        </w:rPr>
        <w:t>17</w:t>
      </w:r>
      <w:r w:rsidRPr="0068236B">
        <w:rPr>
          <w:rFonts w:cs="Tahoma"/>
          <w:sz w:val="18"/>
          <w:szCs w:val="18"/>
        </w:rPr>
        <w:fldChar w:fldCharType="end"/>
      </w:r>
      <w:r w:rsidRPr="0068236B">
        <w:rPr>
          <w:rFonts w:cs="Tahoma"/>
          <w:sz w:val="18"/>
          <w:szCs w:val="18"/>
        </w:rPr>
        <w:t>: Cummulative score of all ecosystem services on national level.</w:t>
      </w:r>
      <w:bookmarkEnd w:id="284"/>
    </w:p>
    <w:p w14:paraId="786DEB16" w14:textId="254E2156" w:rsidR="00EC146D" w:rsidRPr="0068236B" w:rsidRDefault="00EC146D" w:rsidP="00EC146D">
      <w:pPr>
        <w:ind w:right="-1"/>
        <w:rPr>
          <w:rFonts w:cs="Tahoma"/>
          <w:sz w:val="20"/>
          <w:szCs w:val="20"/>
        </w:rPr>
      </w:pPr>
      <w:r w:rsidRPr="0068236B">
        <w:rPr>
          <w:rFonts w:cs="Tahoma"/>
          <w:sz w:val="20"/>
          <w:szCs w:val="20"/>
        </w:rPr>
        <w:t>The following map presents the capacity for supply of natural and seminatural ecosystems in the study area (note that the anthropogenic ecosystems are not included in the assessment). It is obvious that only natural ecosystems of the Vardar River (riverflow and riparian ecosystems) have certain capacity for supply of ec</w:t>
      </w:r>
      <w:r w:rsidRPr="0068236B">
        <w:rPr>
          <w:rFonts w:cs="Tahoma"/>
          <w:sz w:val="20"/>
          <w:szCs w:val="20"/>
        </w:rPr>
        <w:t>o</w:t>
      </w:r>
      <w:r w:rsidRPr="0068236B">
        <w:rPr>
          <w:rFonts w:cs="Tahoma"/>
          <w:sz w:val="20"/>
          <w:szCs w:val="20"/>
        </w:rPr>
        <w:t xml:space="preserve">system services. </w:t>
      </w:r>
      <w:r w:rsidR="002B36D8" w:rsidRPr="0068236B">
        <w:rPr>
          <w:rFonts w:cs="Tahoma"/>
          <w:sz w:val="20"/>
          <w:szCs w:val="20"/>
        </w:rPr>
        <w:t>Having in mind the P</w:t>
      </w:r>
      <w:r w:rsidRPr="0068236B">
        <w:rPr>
          <w:rFonts w:cs="Tahoma"/>
          <w:sz w:val="20"/>
          <w:szCs w:val="20"/>
        </w:rPr>
        <w:t xml:space="preserve">roject characteristics </w:t>
      </w:r>
      <w:r w:rsidR="002B36D8" w:rsidRPr="0068236B">
        <w:rPr>
          <w:rFonts w:cs="Tahoma"/>
          <w:sz w:val="20"/>
          <w:szCs w:val="20"/>
        </w:rPr>
        <w:t xml:space="preserve">and its ‘brown-field’ nature </w:t>
      </w:r>
      <w:r w:rsidRPr="0068236B">
        <w:rPr>
          <w:rFonts w:cs="Tahoma"/>
          <w:sz w:val="20"/>
          <w:szCs w:val="20"/>
        </w:rPr>
        <w:t>(reconstruction</w:t>
      </w:r>
      <w:r w:rsidR="002B36D8" w:rsidRPr="0068236B">
        <w:rPr>
          <w:rFonts w:cs="Tahoma"/>
          <w:sz w:val="20"/>
          <w:szCs w:val="20"/>
        </w:rPr>
        <w:t xml:space="preserve"> of existing transmission infrastructure</w:t>
      </w:r>
      <w:r w:rsidRPr="0068236B">
        <w:rPr>
          <w:rFonts w:cs="Tahoma"/>
          <w:sz w:val="20"/>
          <w:szCs w:val="20"/>
        </w:rPr>
        <w:t>, construction of new</w:t>
      </w:r>
      <w:r w:rsidR="002B36D8" w:rsidRPr="0068236B">
        <w:rPr>
          <w:rFonts w:cs="Tahoma"/>
          <w:sz w:val="20"/>
          <w:szCs w:val="20"/>
        </w:rPr>
        <w:t xml:space="preserve"> short lines (approx. 2 km long alignments) </w:t>
      </w:r>
      <w:r w:rsidRPr="0068236B">
        <w:rPr>
          <w:rFonts w:cs="Tahoma"/>
          <w:sz w:val="20"/>
          <w:szCs w:val="20"/>
        </w:rPr>
        <w:t xml:space="preserve">and construction of </w:t>
      </w:r>
      <w:r w:rsidR="002B36D8" w:rsidRPr="0068236B">
        <w:rPr>
          <w:rFonts w:cs="Tahoma"/>
          <w:sz w:val="20"/>
          <w:szCs w:val="20"/>
        </w:rPr>
        <w:t xml:space="preserve">a </w:t>
      </w:r>
      <w:r w:rsidRPr="0068236B">
        <w:rPr>
          <w:rFonts w:cs="Tahoma"/>
          <w:sz w:val="20"/>
          <w:szCs w:val="20"/>
        </w:rPr>
        <w:t xml:space="preserve">new substation) </w:t>
      </w:r>
      <w:r w:rsidR="002B36D8" w:rsidRPr="0068236B">
        <w:rPr>
          <w:rFonts w:cs="Tahoma"/>
          <w:sz w:val="20"/>
          <w:szCs w:val="20"/>
        </w:rPr>
        <w:t xml:space="preserve">it </w:t>
      </w:r>
      <w:r w:rsidRPr="0068236B">
        <w:rPr>
          <w:rFonts w:cs="Tahoma"/>
          <w:sz w:val="20"/>
          <w:szCs w:val="20"/>
        </w:rPr>
        <w:t xml:space="preserve">can </w:t>
      </w:r>
      <w:r w:rsidR="002B36D8" w:rsidRPr="0068236B">
        <w:rPr>
          <w:rFonts w:cs="Tahoma"/>
          <w:sz w:val="20"/>
          <w:szCs w:val="20"/>
        </w:rPr>
        <w:t xml:space="preserve">be </w:t>
      </w:r>
      <w:r w:rsidRPr="0068236B">
        <w:rPr>
          <w:rFonts w:cs="Tahoma"/>
          <w:sz w:val="20"/>
          <w:szCs w:val="20"/>
        </w:rPr>
        <w:t>conclude</w:t>
      </w:r>
      <w:r w:rsidR="002B36D8" w:rsidRPr="0068236B">
        <w:rPr>
          <w:rFonts w:cs="Tahoma"/>
          <w:sz w:val="20"/>
          <w:szCs w:val="20"/>
        </w:rPr>
        <w:t>d</w:t>
      </w:r>
      <w:r w:rsidRPr="0068236B">
        <w:rPr>
          <w:rFonts w:cs="Tahoma"/>
          <w:sz w:val="20"/>
          <w:szCs w:val="20"/>
        </w:rPr>
        <w:t xml:space="preserve"> that the ecosystem services in the </w:t>
      </w:r>
      <w:r w:rsidR="002B36D8" w:rsidRPr="0068236B">
        <w:rPr>
          <w:rFonts w:cs="Tahoma"/>
          <w:sz w:val="20"/>
          <w:szCs w:val="20"/>
        </w:rPr>
        <w:t xml:space="preserve">study </w:t>
      </w:r>
      <w:r w:rsidRPr="0068236B">
        <w:rPr>
          <w:rFonts w:cs="Tahoma"/>
          <w:sz w:val="20"/>
          <w:szCs w:val="20"/>
        </w:rPr>
        <w:t>area will not be al</w:t>
      </w:r>
      <w:r w:rsidR="00B04E9C" w:rsidRPr="0068236B">
        <w:rPr>
          <w:rFonts w:cs="Tahoma"/>
          <w:sz w:val="20"/>
          <w:szCs w:val="20"/>
        </w:rPr>
        <w:t>tered, and therefore the respective impact is of negligible significance and scoped-out from further a</w:t>
      </w:r>
      <w:r w:rsidR="00B04E9C" w:rsidRPr="0068236B">
        <w:rPr>
          <w:rFonts w:cs="Tahoma"/>
          <w:sz w:val="20"/>
          <w:szCs w:val="20"/>
        </w:rPr>
        <w:t>s</w:t>
      </w:r>
      <w:r w:rsidR="00B04E9C" w:rsidRPr="0068236B">
        <w:rPr>
          <w:rFonts w:cs="Tahoma"/>
          <w:sz w:val="20"/>
          <w:szCs w:val="20"/>
        </w:rPr>
        <w:t xml:space="preserve">sessment. </w:t>
      </w:r>
      <w:r w:rsidRPr="0068236B">
        <w:rPr>
          <w:rFonts w:cs="Tahoma"/>
          <w:sz w:val="20"/>
          <w:szCs w:val="20"/>
        </w:rPr>
        <w:t>All of the possible impacts on the ecosystem services in the area are covered by the assessment of the living environment and social aspects. This especially concerns the</w:t>
      </w:r>
      <w:r w:rsidR="002B36D8" w:rsidRPr="0068236B">
        <w:rPr>
          <w:rFonts w:cs="Tahoma"/>
          <w:sz w:val="20"/>
          <w:szCs w:val="20"/>
        </w:rPr>
        <w:t xml:space="preserve"> OHL</w:t>
      </w:r>
      <w:r w:rsidRPr="0068236B">
        <w:rPr>
          <w:rFonts w:cs="Tahoma"/>
          <w:sz w:val="20"/>
          <w:szCs w:val="20"/>
        </w:rPr>
        <w:t xml:space="preserve"> crossing over </w:t>
      </w:r>
      <w:r w:rsidR="002B36D8" w:rsidRPr="0068236B">
        <w:rPr>
          <w:rFonts w:cs="Tahoma"/>
          <w:sz w:val="20"/>
          <w:szCs w:val="20"/>
        </w:rPr>
        <w:t xml:space="preserve">the </w:t>
      </w:r>
      <w:r w:rsidRPr="0068236B">
        <w:rPr>
          <w:rFonts w:cs="Tahoma"/>
          <w:sz w:val="20"/>
          <w:szCs w:val="20"/>
        </w:rPr>
        <w:t>Vardar</w:t>
      </w:r>
      <w:r w:rsidR="002B36D8" w:rsidRPr="0068236B">
        <w:rPr>
          <w:rFonts w:cs="Tahoma"/>
          <w:sz w:val="20"/>
          <w:szCs w:val="20"/>
        </w:rPr>
        <w:t xml:space="preserve"> River</w:t>
      </w:r>
      <w:r w:rsidRPr="0068236B">
        <w:rPr>
          <w:rFonts w:cs="Tahoma"/>
          <w:sz w:val="20"/>
          <w:szCs w:val="20"/>
        </w:rPr>
        <w:t xml:space="preserve"> </w:t>
      </w:r>
      <w:r w:rsidRPr="0068236B">
        <w:rPr>
          <w:rFonts w:cs="Tahoma"/>
          <w:sz w:val="20"/>
          <w:szCs w:val="20"/>
        </w:rPr>
        <w:lastRenderedPageBreak/>
        <w:t xml:space="preserve">which is thoroughly discussed in the </w:t>
      </w:r>
      <w:r w:rsidR="002B36D8" w:rsidRPr="0068236B">
        <w:rPr>
          <w:rFonts w:cs="Tahoma"/>
          <w:sz w:val="20"/>
          <w:szCs w:val="20"/>
        </w:rPr>
        <w:t>respective section on impa</w:t>
      </w:r>
      <w:r w:rsidRPr="0068236B">
        <w:rPr>
          <w:rFonts w:cs="Tahoma"/>
          <w:sz w:val="20"/>
          <w:szCs w:val="20"/>
        </w:rPr>
        <w:t>ct assessment</w:t>
      </w:r>
      <w:r w:rsidR="002B36D8" w:rsidRPr="0068236B">
        <w:rPr>
          <w:rFonts w:cs="Tahoma"/>
          <w:sz w:val="20"/>
          <w:szCs w:val="20"/>
        </w:rPr>
        <w:t xml:space="preserve"> </w:t>
      </w:r>
      <w:r w:rsidRPr="0068236B">
        <w:rPr>
          <w:rFonts w:cs="Tahoma"/>
          <w:sz w:val="20"/>
          <w:szCs w:val="20"/>
        </w:rPr>
        <w:t>and mitigation</w:t>
      </w:r>
      <w:r w:rsidR="002B36D8" w:rsidRPr="0068236B">
        <w:rPr>
          <w:rFonts w:cs="Tahoma"/>
          <w:sz w:val="20"/>
          <w:szCs w:val="20"/>
        </w:rPr>
        <w:t xml:space="preserve"> (see Section 8.6)</w:t>
      </w:r>
      <w:r w:rsidRPr="0068236B">
        <w:rPr>
          <w:rFonts w:cs="Tahoma"/>
          <w:sz w:val="20"/>
          <w:szCs w:val="20"/>
        </w:rPr>
        <w:t>.</w:t>
      </w:r>
    </w:p>
    <w:p w14:paraId="66B81C07" w14:textId="77777777" w:rsidR="00EC146D" w:rsidRPr="0068236B" w:rsidRDefault="00EC146D" w:rsidP="002B36D8">
      <w:pPr>
        <w:spacing w:before="60" w:after="60"/>
        <w:rPr>
          <w:rFonts w:cs="Tahoma"/>
          <w:sz w:val="18"/>
          <w:szCs w:val="20"/>
        </w:rPr>
      </w:pPr>
      <w:r w:rsidRPr="0068236B">
        <w:rPr>
          <w:rFonts w:cs="Tahoma"/>
          <w:noProof/>
          <w:sz w:val="18"/>
          <w:szCs w:val="20"/>
          <w:lang w:val="mk-MK" w:eastAsia="mk-MK"/>
        </w:rPr>
        <w:drawing>
          <wp:inline distT="0" distB="0" distL="0" distR="0" wp14:anchorId="59022A00" wp14:editId="43123996">
            <wp:extent cx="5762625" cy="5762625"/>
            <wp:effectExtent l="0" t="0" r="9525" b="9525"/>
            <wp:docPr id="939" name="Picture 939" descr="20220828 Ekosistemi SupplyCapacit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0220828 Ekosistemi SupplyCapacity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762625" cy="5762625"/>
                    </a:xfrm>
                    <a:prstGeom prst="rect">
                      <a:avLst/>
                    </a:prstGeom>
                    <a:noFill/>
                    <a:ln>
                      <a:noFill/>
                    </a:ln>
                  </pic:spPr>
                </pic:pic>
              </a:graphicData>
            </a:graphic>
          </wp:inline>
        </w:drawing>
      </w:r>
    </w:p>
    <w:p w14:paraId="4018250A" w14:textId="77777777" w:rsidR="00EC146D" w:rsidRPr="0068236B" w:rsidRDefault="00EC146D" w:rsidP="002B36D8">
      <w:pPr>
        <w:spacing w:before="60" w:after="240"/>
        <w:rPr>
          <w:rFonts w:cs="Tahoma"/>
          <w:sz w:val="18"/>
          <w:szCs w:val="18"/>
        </w:rPr>
      </w:pPr>
      <w:bookmarkStart w:id="285" w:name="_Toc112928889"/>
      <w:r w:rsidRPr="0068236B">
        <w:rPr>
          <w:rFonts w:cs="Tahoma"/>
          <w:sz w:val="18"/>
          <w:szCs w:val="18"/>
        </w:rPr>
        <w:t xml:space="preserve">Figure </w:t>
      </w:r>
      <w:r w:rsidRPr="0068236B">
        <w:rPr>
          <w:rFonts w:cs="Tahoma"/>
          <w:sz w:val="18"/>
          <w:szCs w:val="18"/>
        </w:rPr>
        <w:fldChar w:fldCharType="begin"/>
      </w:r>
      <w:r w:rsidRPr="0068236B">
        <w:rPr>
          <w:rFonts w:cs="Tahoma"/>
          <w:sz w:val="18"/>
          <w:szCs w:val="18"/>
        </w:rPr>
        <w:instrText xml:space="preserve"> STYLEREF 1 \s </w:instrText>
      </w:r>
      <w:r w:rsidRPr="0068236B">
        <w:rPr>
          <w:rFonts w:cs="Tahoma"/>
          <w:sz w:val="18"/>
          <w:szCs w:val="18"/>
        </w:rPr>
        <w:fldChar w:fldCharType="separate"/>
      </w:r>
      <w:r w:rsidR="00FD57E6">
        <w:rPr>
          <w:rFonts w:cs="Tahoma"/>
          <w:noProof/>
          <w:sz w:val="18"/>
          <w:szCs w:val="18"/>
        </w:rPr>
        <w:t>7</w:t>
      </w:r>
      <w:r w:rsidRPr="0068236B">
        <w:rPr>
          <w:rFonts w:cs="Tahoma"/>
          <w:sz w:val="18"/>
          <w:szCs w:val="18"/>
        </w:rPr>
        <w:fldChar w:fldCharType="end"/>
      </w:r>
      <w:r w:rsidRPr="0068236B">
        <w:rPr>
          <w:rFonts w:cs="Tahoma"/>
          <w:sz w:val="18"/>
          <w:szCs w:val="18"/>
        </w:rPr>
        <w:t>.</w:t>
      </w:r>
      <w:r w:rsidRPr="0068236B">
        <w:rPr>
          <w:rFonts w:cs="Tahoma"/>
          <w:sz w:val="18"/>
          <w:szCs w:val="18"/>
        </w:rPr>
        <w:fldChar w:fldCharType="begin"/>
      </w:r>
      <w:r w:rsidRPr="0068236B">
        <w:rPr>
          <w:rFonts w:cs="Tahoma"/>
          <w:sz w:val="18"/>
          <w:szCs w:val="18"/>
        </w:rPr>
        <w:instrText xml:space="preserve"> SEQ Figure \* ARABIC \s 1 </w:instrText>
      </w:r>
      <w:r w:rsidRPr="0068236B">
        <w:rPr>
          <w:rFonts w:cs="Tahoma"/>
          <w:sz w:val="18"/>
          <w:szCs w:val="18"/>
        </w:rPr>
        <w:fldChar w:fldCharType="separate"/>
      </w:r>
      <w:r w:rsidR="00FD57E6">
        <w:rPr>
          <w:rFonts w:cs="Tahoma"/>
          <w:noProof/>
          <w:sz w:val="18"/>
          <w:szCs w:val="18"/>
        </w:rPr>
        <w:t>18</w:t>
      </w:r>
      <w:r w:rsidRPr="0068236B">
        <w:rPr>
          <w:rFonts w:cs="Tahoma"/>
          <w:sz w:val="18"/>
          <w:szCs w:val="18"/>
        </w:rPr>
        <w:fldChar w:fldCharType="end"/>
      </w:r>
      <w:r w:rsidRPr="0068236B">
        <w:rPr>
          <w:rFonts w:cs="Tahoma"/>
          <w:sz w:val="18"/>
          <w:szCs w:val="18"/>
        </w:rPr>
        <w:t>: Capacity for supply of ecosystem services of natural and seminatural ecosystems in the study area.</w:t>
      </w:r>
      <w:bookmarkEnd w:id="285"/>
    </w:p>
    <w:p w14:paraId="7B001156" w14:textId="71718BF6" w:rsidR="00DB3C90" w:rsidRPr="0068236B" w:rsidRDefault="00DB3C90" w:rsidP="00DB3C90">
      <w:pPr>
        <w:pStyle w:val="Heading2"/>
        <w:spacing w:before="480" w:after="240"/>
        <w:ind w:left="576" w:hanging="576"/>
        <w:rPr>
          <w:rFonts w:cs="Tahoma"/>
          <w:szCs w:val="20"/>
        </w:rPr>
      </w:pPr>
      <w:bookmarkStart w:id="286" w:name="_Toc71559792"/>
      <w:bookmarkStart w:id="287" w:name="_Toc112852252"/>
      <w:bookmarkEnd w:id="262"/>
      <w:bookmarkEnd w:id="263"/>
      <w:r w:rsidRPr="0068236B">
        <w:rPr>
          <w:rFonts w:cs="Tahoma"/>
          <w:szCs w:val="20"/>
        </w:rPr>
        <w:t>Key Social Aspects</w:t>
      </w:r>
      <w:bookmarkEnd w:id="286"/>
      <w:bookmarkEnd w:id="287"/>
    </w:p>
    <w:p w14:paraId="1B2AA7A5" w14:textId="77777777" w:rsidR="00DB3C90" w:rsidRPr="0068236B" w:rsidRDefault="00DB3C90" w:rsidP="00C71F08">
      <w:pPr>
        <w:pStyle w:val="Heading3"/>
        <w:tabs>
          <w:tab w:val="left" w:pos="1134"/>
        </w:tabs>
        <w:ind w:left="1134" w:hanging="1134"/>
        <w:rPr>
          <w:rFonts w:cs="Arial"/>
        </w:rPr>
      </w:pPr>
      <w:bookmarkStart w:id="288" w:name="_Toc48829108"/>
      <w:bookmarkStart w:id="289" w:name="_Toc71559793"/>
      <w:bookmarkStart w:id="290" w:name="_Toc112852253"/>
      <w:r w:rsidRPr="0068236B">
        <w:rPr>
          <w:rFonts w:cs="Arial"/>
        </w:rPr>
        <w:t>Study Area</w:t>
      </w:r>
      <w:bookmarkEnd w:id="288"/>
      <w:bookmarkEnd w:id="289"/>
      <w:bookmarkEnd w:id="290"/>
    </w:p>
    <w:p w14:paraId="4E6E2322" w14:textId="77777777" w:rsidR="00DB3C90" w:rsidRPr="0068236B" w:rsidRDefault="00DB3C90" w:rsidP="00513BC9">
      <w:pPr>
        <w:rPr>
          <w:rFonts w:cs="Arial"/>
          <w:sz w:val="20"/>
        </w:rPr>
      </w:pPr>
      <w:r w:rsidRPr="0068236B">
        <w:rPr>
          <w:rFonts w:cs="Tahoma"/>
          <w:sz w:val="20"/>
        </w:rPr>
        <w:t xml:space="preserve">For the purposes of the </w:t>
      </w:r>
      <w:r w:rsidR="00E62257" w:rsidRPr="0068236B">
        <w:rPr>
          <w:rFonts w:cs="Tahoma"/>
          <w:sz w:val="20"/>
        </w:rPr>
        <w:t>assessment</w:t>
      </w:r>
      <w:r w:rsidRPr="0068236B">
        <w:rPr>
          <w:rFonts w:cs="Tahoma"/>
          <w:sz w:val="20"/>
        </w:rPr>
        <w:t xml:space="preserve">, the study area is extended </w:t>
      </w:r>
      <w:r w:rsidR="00513BC9" w:rsidRPr="0068236B">
        <w:rPr>
          <w:rFonts w:eastAsia="Calibri" w:cs="Tahoma"/>
          <w:sz w:val="20"/>
          <w:szCs w:val="20"/>
        </w:rPr>
        <w:t>to a distance of 1</w:t>
      </w:r>
      <w:r w:rsidRPr="0068236B">
        <w:rPr>
          <w:rFonts w:eastAsia="Calibri" w:cs="Tahoma"/>
          <w:sz w:val="20"/>
          <w:szCs w:val="20"/>
        </w:rPr>
        <w:t>,000 metres from the Pr</w:t>
      </w:r>
      <w:r w:rsidRPr="0068236B">
        <w:rPr>
          <w:rFonts w:eastAsia="Calibri" w:cs="Tahoma"/>
          <w:sz w:val="20"/>
          <w:szCs w:val="20"/>
        </w:rPr>
        <w:t>o</w:t>
      </w:r>
      <w:r w:rsidRPr="0068236B">
        <w:rPr>
          <w:rFonts w:eastAsia="Calibri" w:cs="Tahoma"/>
          <w:sz w:val="20"/>
          <w:szCs w:val="20"/>
        </w:rPr>
        <w:t xml:space="preserve">ject </w:t>
      </w:r>
      <w:r w:rsidR="00513BC9" w:rsidRPr="0068236B">
        <w:rPr>
          <w:rFonts w:eastAsia="Calibri" w:cs="Tahoma"/>
          <w:sz w:val="20"/>
          <w:szCs w:val="20"/>
        </w:rPr>
        <w:t xml:space="preserve">elements (the substation location and OHL corridors) </w:t>
      </w:r>
      <w:r w:rsidRPr="0068236B">
        <w:rPr>
          <w:rFonts w:cs="Tahoma"/>
          <w:sz w:val="20"/>
        </w:rPr>
        <w:t xml:space="preserve">to include communities </w:t>
      </w:r>
      <w:r w:rsidR="00513BC9" w:rsidRPr="0068236B">
        <w:rPr>
          <w:rFonts w:cs="Tahoma"/>
          <w:sz w:val="20"/>
        </w:rPr>
        <w:t>w</w:t>
      </w:r>
      <w:r w:rsidRPr="0068236B">
        <w:rPr>
          <w:rFonts w:cs="Tahoma"/>
          <w:sz w:val="20"/>
        </w:rPr>
        <w:t>here private assets (e.g. residential properties, facilities and businesses) or community facilities (e.g. schools, religious temples, ce</w:t>
      </w:r>
      <w:r w:rsidRPr="0068236B">
        <w:rPr>
          <w:rFonts w:cs="Tahoma"/>
          <w:sz w:val="20"/>
        </w:rPr>
        <w:t>m</w:t>
      </w:r>
      <w:r w:rsidRPr="0068236B">
        <w:rPr>
          <w:rFonts w:cs="Tahoma"/>
          <w:sz w:val="20"/>
        </w:rPr>
        <w:t>eteries) may potentially be affected during the Project implementation.</w:t>
      </w:r>
      <w:bookmarkStart w:id="291" w:name="_Toc48829109"/>
      <w:bookmarkStart w:id="292" w:name="_Toc71559794"/>
      <w:r w:rsidR="00513BC9" w:rsidRPr="0068236B">
        <w:rPr>
          <w:rFonts w:cs="Arial"/>
          <w:sz w:val="20"/>
        </w:rPr>
        <w:t xml:space="preserve"> </w:t>
      </w:r>
      <w:bookmarkEnd w:id="291"/>
      <w:bookmarkEnd w:id="292"/>
    </w:p>
    <w:p w14:paraId="3D5F826B" w14:textId="77777777" w:rsidR="00216695" w:rsidRPr="0068236B" w:rsidRDefault="00216695" w:rsidP="00216695">
      <w:pPr>
        <w:pStyle w:val="Heading3"/>
        <w:tabs>
          <w:tab w:val="left" w:pos="1134"/>
        </w:tabs>
        <w:ind w:left="1134" w:hanging="1134"/>
        <w:rPr>
          <w:rFonts w:cs="Arial"/>
        </w:rPr>
      </w:pPr>
      <w:bookmarkStart w:id="293" w:name="_Toc112852254"/>
      <w:r w:rsidRPr="0068236B">
        <w:rPr>
          <w:rFonts w:cs="Arial"/>
        </w:rPr>
        <w:lastRenderedPageBreak/>
        <w:t>Baseline Conditions</w:t>
      </w:r>
      <w:bookmarkEnd w:id="293"/>
    </w:p>
    <w:p w14:paraId="4A14C425" w14:textId="7A95A818" w:rsidR="00216695" w:rsidRPr="0068236B" w:rsidRDefault="00216695" w:rsidP="00216695">
      <w:pPr>
        <w:pStyle w:val="NumberedParagraph"/>
        <w:rPr>
          <w:sz w:val="20"/>
        </w:rPr>
      </w:pPr>
      <w:bookmarkStart w:id="294" w:name="_Hlk82549364"/>
      <w:r w:rsidRPr="0068236B">
        <w:rPr>
          <w:sz w:val="20"/>
        </w:rPr>
        <w:t>The</w:t>
      </w:r>
      <w:r w:rsidR="001F02D9" w:rsidRPr="0068236B">
        <w:rPr>
          <w:sz w:val="20"/>
        </w:rPr>
        <w:t xml:space="preserve"> Project</w:t>
      </w:r>
      <w:r w:rsidRPr="0068236B">
        <w:rPr>
          <w:sz w:val="20"/>
        </w:rPr>
        <w:t xml:space="preserve"> is located in municipalities of Gevgelija and Valandovo. </w:t>
      </w:r>
      <w:bookmarkEnd w:id="294"/>
      <w:r w:rsidR="003833F1" w:rsidRPr="0068236B">
        <w:rPr>
          <w:sz w:val="20"/>
        </w:rPr>
        <w:t xml:space="preserve">There are no settlements in proximity to the selected substation site. </w:t>
      </w:r>
      <w:r w:rsidRPr="0068236B">
        <w:rPr>
          <w:rFonts w:cs="Tahoma"/>
          <w:sz w:val="20"/>
        </w:rPr>
        <w:t>Settlements close to the identified OHL corridor, within the study area, are gi</w:t>
      </w:r>
      <w:r w:rsidRPr="0068236B">
        <w:rPr>
          <w:rFonts w:cs="Tahoma"/>
          <w:sz w:val="20"/>
        </w:rPr>
        <w:t>v</w:t>
      </w:r>
      <w:r w:rsidRPr="0068236B">
        <w:rPr>
          <w:rFonts w:cs="Tahoma"/>
          <w:sz w:val="20"/>
        </w:rPr>
        <w:t>en in the Table below.</w:t>
      </w:r>
    </w:p>
    <w:tbl>
      <w:tblPr>
        <w:tblW w:w="7965" w:type="dxa"/>
        <w:tblBorders>
          <w:top w:val="double" w:sz="4" w:space="0" w:color="auto"/>
          <w:left w:val="double" w:sz="6" w:space="0" w:color="auto"/>
          <w:bottom w:val="double" w:sz="6" w:space="0" w:color="auto"/>
          <w:right w:val="double" w:sz="6"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42"/>
        <w:gridCol w:w="2411"/>
        <w:gridCol w:w="2127"/>
        <w:gridCol w:w="1985"/>
      </w:tblGrid>
      <w:tr w:rsidR="00216695" w:rsidRPr="0068236B" w14:paraId="4C5A3F41" w14:textId="77777777" w:rsidTr="003833F1">
        <w:trPr>
          <w:trHeight w:val="20"/>
        </w:trPr>
        <w:tc>
          <w:tcPr>
            <w:tcW w:w="7965" w:type="dxa"/>
            <w:gridSpan w:val="4"/>
            <w:tcBorders>
              <w:top w:val="double" w:sz="4" w:space="0" w:color="auto"/>
              <w:left w:val="double" w:sz="6" w:space="0" w:color="auto"/>
              <w:bottom w:val="single" w:sz="4" w:space="0" w:color="auto"/>
              <w:right w:val="double" w:sz="6" w:space="0" w:color="auto"/>
            </w:tcBorders>
            <w:shd w:val="clear" w:color="auto" w:fill="B4C6E7" w:themeFill="accent1" w:themeFillTint="66"/>
            <w:vAlign w:val="center"/>
            <w:hideMark/>
          </w:tcPr>
          <w:p w14:paraId="19B5A0ED" w14:textId="1C67CF31" w:rsidR="00216695" w:rsidRPr="0068236B" w:rsidRDefault="00216695" w:rsidP="0033164D">
            <w:pPr>
              <w:widowControl w:val="0"/>
              <w:tabs>
                <w:tab w:val="left" w:pos="7600"/>
              </w:tabs>
              <w:spacing w:before="0" w:after="0" w:line="240" w:lineRule="auto"/>
              <w:ind w:left="101" w:right="-14"/>
              <w:jc w:val="center"/>
              <w:rPr>
                <w:rFonts w:cs="Tahoma"/>
                <w:bCs/>
                <w:sz w:val="20"/>
                <w:szCs w:val="20"/>
              </w:rPr>
            </w:pPr>
            <w:r w:rsidRPr="0068236B">
              <w:rPr>
                <w:rFonts w:cs="Tahoma"/>
                <w:bCs/>
                <w:sz w:val="20"/>
                <w:szCs w:val="20"/>
              </w:rPr>
              <w:t>Settlements – by LSG – clo</w:t>
            </w:r>
            <w:r w:rsidR="003833F1" w:rsidRPr="0068236B">
              <w:rPr>
                <w:rFonts w:cs="Tahoma"/>
                <w:bCs/>
                <w:sz w:val="20"/>
                <w:szCs w:val="20"/>
              </w:rPr>
              <w:t>se to the Project</w:t>
            </w:r>
          </w:p>
          <w:p w14:paraId="67EB63A2" w14:textId="54D6FDFD" w:rsidR="00216695" w:rsidRPr="0068236B" w:rsidRDefault="00216695" w:rsidP="003833F1">
            <w:pPr>
              <w:widowControl w:val="0"/>
              <w:tabs>
                <w:tab w:val="left" w:pos="7600"/>
              </w:tabs>
              <w:spacing w:before="0" w:after="0" w:line="240" w:lineRule="auto"/>
              <w:ind w:left="101" w:right="-14"/>
              <w:jc w:val="center"/>
              <w:rPr>
                <w:rFonts w:cs="Tahoma"/>
                <w:bCs/>
                <w:sz w:val="20"/>
                <w:szCs w:val="20"/>
              </w:rPr>
            </w:pPr>
            <w:r w:rsidRPr="0068236B">
              <w:rPr>
                <w:rFonts w:cs="Tahoma"/>
                <w:bCs/>
                <w:sz w:val="20"/>
                <w:szCs w:val="20"/>
              </w:rPr>
              <w:t xml:space="preserve">- New 400/110 kV SS and </w:t>
            </w:r>
            <w:r w:rsidR="003833F1" w:rsidRPr="0068236B">
              <w:rPr>
                <w:rFonts w:cs="Tahoma"/>
                <w:bCs/>
                <w:sz w:val="20"/>
                <w:szCs w:val="20"/>
              </w:rPr>
              <w:t>110 kV O</w:t>
            </w:r>
            <w:r w:rsidRPr="0068236B">
              <w:rPr>
                <w:rFonts w:cs="Tahoma"/>
                <w:bCs/>
                <w:sz w:val="20"/>
                <w:szCs w:val="20"/>
              </w:rPr>
              <w:t>HL connectors -</w:t>
            </w:r>
          </w:p>
        </w:tc>
      </w:tr>
      <w:tr w:rsidR="00216695" w:rsidRPr="0068236B" w14:paraId="09A07A16" w14:textId="77777777" w:rsidTr="003833F1">
        <w:trPr>
          <w:trHeight w:val="20"/>
        </w:trPr>
        <w:tc>
          <w:tcPr>
            <w:tcW w:w="1442" w:type="dxa"/>
            <w:tcBorders>
              <w:top w:val="single" w:sz="4" w:space="0" w:color="auto"/>
              <w:left w:val="double" w:sz="6" w:space="0" w:color="auto"/>
              <w:bottom w:val="single" w:sz="4" w:space="0" w:color="auto"/>
              <w:right w:val="single" w:sz="4" w:space="0" w:color="auto"/>
            </w:tcBorders>
            <w:shd w:val="clear" w:color="auto" w:fill="B4C6E7" w:themeFill="accent1" w:themeFillTint="66"/>
            <w:vAlign w:val="center"/>
            <w:hideMark/>
          </w:tcPr>
          <w:p w14:paraId="3D396EB0" w14:textId="77777777" w:rsidR="00216695" w:rsidRPr="0068236B" w:rsidRDefault="00216695" w:rsidP="0033164D">
            <w:pPr>
              <w:widowControl w:val="0"/>
              <w:tabs>
                <w:tab w:val="left" w:pos="7600"/>
              </w:tabs>
              <w:spacing w:before="0" w:after="0" w:line="240" w:lineRule="auto"/>
              <w:ind w:left="101" w:right="-14"/>
              <w:jc w:val="center"/>
              <w:rPr>
                <w:rFonts w:eastAsia="Calibri" w:cs="Tahoma"/>
                <w:sz w:val="20"/>
                <w:szCs w:val="20"/>
              </w:rPr>
            </w:pPr>
            <w:r w:rsidRPr="0068236B">
              <w:rPr>
                <w:rFonts w:eastAsia="Calibri" w:cs="Tahoma"/>
                <w:sz w:val="20"/>
                <w:szCs w:val="20"/>
              </w:rPr>
              <w:t>LSG Unit</w:t>
            </w:r>
          </w:p>
        </w:tc>
        <w:tc>
          <w:tcPr>
            <w:tcW w:w="2411"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5F583A1D" w14:textId="77777777" w:rsidR="00216695" w:rsidRPr="0068236B" w:rsidRDefault="00216695" w:rsidP="0033164D">
            <w:pPr>
              <w:widowControl w:val="0"/>
              <w:tabs>
                <w:tab w:val="left" w:pos="7600"/>
              </w:tabs>
              <w:spacing w:before="0" w:after="0" w:line="240" w:lineRule="auto"/>
              <w:ind w:left="101" w:right="-14"/>
              <w:jc w:val="center"/>
              <w:rPr>
                <w:rFonts w:eastAsia="Calibri" w:cs="Tahoma"/>
                <w:sz w:val="20"/>
                <w:szCs w:val="20"/>
              </w:rPr>
            </w:pPr>
            <w:r w:rsidRPr="0068236B">
              <w:rPr>
                <w:rFonts w:eastAsia="Calibri" w:cs="Tahoma"/>
                <w:sz w:val="20"/>
                <w:szCs w:val="20"/>
              </w:rPr>
              <w:t>Settlement</w:t>
            </w:r>
          </w:p>
        </w:tc>
        <w:tc>
          <w:tcPr>
            <w:tcW w:w="2127" w:type="dxa"/>
            <w:tcBorders>
              <w:top w:val="single" w:sz="4" w:space="0" w:color="auto"/>
              <w:left w:val="single" w:sz="4" w:space="0" w:color="auto"/>
              <w:bottom w:val="single" w:sz="4" w:space="0" w:color="auto"/>
              <w:right w:val="single" w:sz="4" w:space="0" w:color="auto"/>
            </w:tcBorders>
            <w:shd w:val="clear" w:color="auto" w:fill="B4C6E7" w:themeFill="accent1" w:themeFillTint="66"/>
            <w:vAlign w:val="center"/>
            <w:hideMark/>
          </w:tcPr>
          <w:p w14:paraId="56BA651E" w14:textId="77777777" w:rsidR="00216695" w:rsidRPr="0068236B" w:rsidRDefault="00216695" w:rsidP="0033164D">
            <w:pPr>
              <w:widowControl w:val="0"/>
              <w:tabs>
                <w:tab w:val="left" w:pos="7600"/>
              </w:tabs>
              <w:spacing w:before="0" w:after="0" w:line="240" w:lineRule="auto"/>
              <w:jc w:val="center"/>
              <w:rPr>
                <w:rFonts w:eastAsia="Calibri" w:cs="Tahoma"/>
                <w:sz w:val="20"/>
                <w:szCs w:val="20"/>
              </w:rPr>
            </w:pPr>
            <w:r w:rsidRPr="0068236B">
              <w:rPr>
                <w:rFonts w:eastAsia="Calibri" w:cs="Tahoma"/>
                <w:sz w:val="20"/>
                <w:szCs w:val="20"/>
              </w:rPr>
              <w:t>Population</w:t>
            </w:r>
          </w:p>
          <w:p w14:paraId="47C61008" w14:textId="77777777" w:rsidR="00216695" w:rsidRPr="0068236B" w:rsidRDefault="00216695" w:rsidP="0033164D">
            <w:pPr>
              <w:widowControl w:val="0"/>
              <w:tabs>
                <w:tab w:val="left" w:pos="7600"/>
              </w:tabs>
              <w:spacing w:before="0" w:after="0" w:line="240" w:lineRule="auto"/>
              <w:jc w:val="center"/>
              <w:rPr>
                <w:rFonts w:eastAsia="Calibri" w:cs="Tahoma"/>
                <w:sz w:val="20"/>
                <w:szCs w:val="20"/>
              </w:rPr>
            </w:pPr>
            <w:r w:rsidRPr="0068236B">
              <w:rPr>
                <w:rFonts w:eastAsia="Calibri" w:cs="Tahoma"/>
                <w:sz w:val="20"/>
                <w:szCs w:val="20"/>
              </w:rPr>
              <w:t>2002</w:t>
            </w:r>
            <w:r w:rsidRPr="0068236B">
              <w:rPr>
                <w:rFonts w:eastAsia="Calibri" w:cs="Tahoma"/>
                <w:sz w:val="20"/>
                <w:szCs w:val="20"/>
                <w:vertAlign w:val="superscript"/>
              </w:rPr>
              <w:t>*)</w:t>
            </w:r>
          </w:p>
        </w:tc>
        <w:tc>
          <w:tcPr>
            <w:tcW w:w="1985" w:type="dxa"/>
            <w:tcBorders>
              <w:top w:val="single" w:sz="4" w:space="0" w:color="auto"/>
              <w:left w:val="single" w:sz="4" w:space="0" w:color="auto"/>
              <w:bottom w:val="single" w:sz="4" w:space="0" w:color="auto"/>
              <w:right w:val="double" w:sz="6" w:space="0" w:color="auto"/>
            </w:tcBorders>
            <w:shd w:val="clear" w:color="auto" w:fill="B4C6E7" w:themeFill="accent1" w:themeFillTint="66"/>
            <w:vAlign w:val="center"/>
            <w:hideMark/>
          </w:tcPr>
          <w:p w14:paraId="1461DE79" w14:textId="77777777" w:rsidR="00216695" w:rsidRPr="0068236B" w:rsidRDefault="00216695" w:rsidP="0033164D">
            <w:pPr>
              <w:widowControl w:val="0"/>
              <w:tabs>
                <w:tab w:val="left" w:pos="7600"/>
              </w:tabs>
              <w:spacing w:before="0" w:after="0" w:line="240" w:lineRule="auto"/>
              <w:jc w:val="center"/>
              <w:rPr>
                <w:rFonts w:eastAsia="Calibri" w:cs="Tahoma"/>
                <w:sz w:val="20"/>
                <w:szCs w:val="20"/>
              </w:rPr>
            </w:pPr>
            <w:r w:rsidRPr="0068236B">
              <w:rPr>
                <w:rFonts w:eastAsia="Calibri" w:cs="Tahoma"/>
                <w:sz w:val="20"/>
                <w:szCs w:val="20"/>
              </w:rPr>
              <w:t>Relative distance to settlement</w:t>
            </w:r>
            <w:r w:rsidRPr="0068236B">
              <w:rPr>
                <w:rFonts w:eastAsia="Calibri" w:cs="Tahoma"/>
                <w:sz w:val="20"/>
                <w:szCs w:val="20"/>
                <w:vertAlign w:val="superscript"/>
              </w:rPr>
              <w:t xml:space="preserve">**) </w:t>
            </w:r>
            <w:r w:rsidRPr="0068236B">
              <w:rPr>
                <w:rFonts w:eastAsia="Calibri" w:cs="Tahoma"/>
                <w:sz w:val="20"/>
                <w:szCs w:val="20"/>
              </w:rPr>
              <w:t>[m]</w:t>
            </w:r>
          </w:p>
        </w:tc>
      </w:tr>
      <w:tr w:rsidR="00216695" w:rsidRPr="0068236B" w14:paraId="0D1B7458" w14:textId="77777777" w:rsidTr="0033164D">
        <w:trPr>
          <w:trHeight w:val="272"/>
        </w:trPr>
        <w:tc>
          <w:tcPr>
            <w:tcW w:w="1442" w:type="dxa"/>
            <w:tcBorders>
              <w:top w:val="single" w:sz="4" w:space="0" w:color="auto"/>
              <w:left w:val="double" w:sz="6" w:space="0" w:color="auto"/>
              <w:right w:val="single" w:sz="4" w:space="0" w:color="auto"/>
            </w:tcBorders>
            <w:vAlign w:val="center"/>
            <w:hideMark/>
          </w:tcPr>
          <w:p w14:paraId="6C786552" w14:textId="77777777" w:rsidR="00216695" w:rsidRPr="0068236B" w:rsidRDefault="00216695" w:rsidP="0033164D">
            <w:pPr>
              <w:spacing w:before="0" w:after="0" w:line="240" w:lineRule="auto"/>
              <w:rPr>
                <w:rFonts w:cs="Tahoma"/>
                <w:sz w:val="20"/>
                <w:szCs w:val="20"/>
              </w:rPr>
            </w:pPr>
            <w:r w:rsidRPr="0068236B">
              <w:rPr>
                <w:rFonts w:cs="Tahoma"/>
                <w:sz w:val="20"/>
                <w:szCs w:val="20"/>
              </w:rPr>
              <w:t>Gevgelija</w:t>
            </w:r>
          </w:p>
        </w:tc>
        <w:tc>
          <w:tcPr>
            <w:tcW w:w="2411" w:type="dxa"/>
            <w:tcBorders>
              <w:top w:val="single" w:sz="4" w:space="0" w:color="auto"/>
              <w:left w:val="single" w:sz="4" w:space="0" w:color="auto"/>
              <w:right w:val="single" w:sz="4" w:space="0" w:color="auto"/>
            </w:tcBorders>
            <w:vAlign w:val="center"/>
            <w:hideMark/>
          </w:tcPr>
          <w:p w14:paraId="61D3F7FE" w14:textId="77777777" w:rsidR="00216695" w:rsidRPr="0068236B" w:rsidRDefault="00216695" w:rsidP="0033164D">
            <w:pPr>
              <w:spacing w:before="0" w:after="0" w:line="240" w:lineRule="auto"/>
              <w:rPr>
                <w:rFonts w:cs="Tahoma"/>
                <w:sz w:val="20"/>
                <w:szCs w:val="20"/>
              </w:rPr>
            </w:pPr>
            <w:r w:rsidRPr="0068236B">
              <w:rPr>
                <w:rFonts w:cs="Tahoma"/>
                <w:sz w:val="20"/>
                <w:szCs w:val="20"/>
              </w:rPr>
              <w:t>Miletkovo</w:t>
            </w:r>
          </w:p>
        </w:tc>
        <w:tc>
          <w:tcPr>
            <w:tcW w:w="2127" w:type="dxa"/>
            <w:tcBorders>
              <w:top w:val="single" w:sz="4" w:space="0" w:color="auto"/>
              <w:left w:val="single" w:sz="4" w:space="0" w:color="auto"/>
              <w:right w:val="single" w:sz="4" w:space="0" w:color="auto"/>
            </w:tcBorders>
            <w:vAlign w:val="center"/>
            <w:hideMark/>
          </w:tcPr>
          <w:p w14:paraId="1BDDB932" w14:textId="77777777" w:rsidR="00216695" w:rsidRPr="0068236B" w:rsidRDefault="00216695" w:rsidP="0033164D">
            <w:pPr>
              <w:spacing w:before="0" w:after="0" w:line="240" w:lineRule="auto"/>
              <w:jc w:val="right"/>
              <w:rPr>
                <w:rFonts w:cs="Tahoma"/>
                <w:sz w:val="20"/>
                <w:szCs w:val="20"/>
              </w:rPr>
            </w:pPr>
            <w:r w:rsidRPr="0068236B">
              <w:rPr>
                <w:rFonts w:cs="Tahoma"/>
                <w:sz w:val="20"/>
                <w:szCs w:val="20"/>
              </w:rPr>
              <w:t>117</w:t>
            </w:r>
          </w:p>
        </w:tc>
        <w:tc>
          <w:tcPr>
            <w:tcW w:w="1985" w:type="dxa"/>
            <w:tcBorders>
              <w:top w:val="single" w:sz="4" w:space="0" w:color="auto"/>
              <w:left w:val="single" w:sz="4" w:space="0" w:color="auto"/>
              <w:right w:val="double" w:sz="6" w:space="0" w:color="auto"/>
            </w:tcBorders>
            <w:vAlign w:val="center"/>
            <w:hideMark/>
          </w:tcPr>
          <w:p w14:paraId="2416788D" w14:textId="77777777" w:rsidR="00216695" w:rsidRPr="0068236B" w:rsidRDefault="00216695" w:rsidP="0033164D">
            <w:pPr>
              <w:spacing w:before="0" w:after="0" w:line="240" w:lineRule="auto"/>
              <w:jc w:val="center"/>
              <w:rPr>
                <w:rFonts w:cs="Tahoma"/>
                <w:sz w:val="20"/>
                <w:szCs w:val="20"/>
              </w:rPr>
            </w:pPr>
            <w:r w:rsidRPr="0068236B">
              <w:rPr>
                <w:rFonts w:cs="Tahoma"/>
                <w:sz w:val="20"/>
                <w:szCs w:val="20"/>
              </w:rPr>
              <w:t>700</w:t>
            </w:r>
          </w:p>
        </w:tc>
      </w:tr>
      <w:tr w:rsidR="00216695" w:rsidRPr="0068236B" w14:paraId="3F421D11" w14:textId="77777777" w:rsidTr="0033164D">
        <w:trPr>
          <w:trHeight w:val="20"/>
        </w:trPr>
        <w:tc>
          <w:tcPr>
            <w:tcW w:w="1442" w:type="dxa"/>
            <w:vMerge w:val="restart"/>
            <w:tcBorders>
              <w:top w:val="single" w:sz="4" w:space="0" w:color="auto"/>
              <w:left w:val="double" w:sz="6" w:space="0" w:color="auto"/>
              <w:bottom w:val="single" w:sz="4" w:space="0" w:color="auto"/>
              <w:right w:val="single" w:sz="4" w:space="0" w:color="auto"/>
            </w:tcBorders>
            <w:hideMark/>
          </w:tcPr>
          <w:p w14:paraId="714B1381" w14:textId="77777777" w:rsidR="00216695" w:rsidRPr="0068236B" w:rsidRDefault="00216695" w:rsidP="0033164D">
            <w:pPr>
              <w:spacing w:before="0" w:after="0" w:line="240" w:lineRule="auto"/>
              <w:rPr>
                <w:rFonts w:cs="Tahoma"/>
                <w:sz w:val="20"/>
                <w:szCs w:val="20"/>
              </w:rPr>
            </w:pPr>
            <w:r w:rsidRPr="0068236B">
              <w:rPr>
                <w:rFonts w:cs="Tahoma"/>
                <w:sz w:val="20"/>
                <w:szCs w:val="20"/>
              </w:rPr>
              <w:t>Valandovo</w:t>
            </w:r>
          </w:p>
        </w:tc>
        <w:tc>
          <w:tcPr>
            <w:tcW w:w="2411" w:type="dxa"/>
            <w:tcBorders>
              <w:top w:val="single" w:sz="4" w:space="0" w:color="auto"/>
              <w:left w:val="single" w:sz="4" w:space="0" w:color="auto"/>
              <w:bottom w:val="single" w:sz="4" w:space="0" w:color="auto"/>
              <w:right w:val="single" w:sz="4" w:space="0" w:color="auto"/>
            </w:tcBorders>
            <w:vAlign w:val="center"/>
          </w:tcPr>
          <w:p w14:paraId="68383D43" w14:textId="77777777" w:rsidR="00216695" w:rsidRPr="0068236B" w:rsidRDefault="00216695" w:rsidP="0033164D">
            <w:pPr>
              <w:spacing w:before="0" w:after="0" w:line="240" w:lineRule="auto"/>
              <w:rPr>
                <w:rFonts w:cs="Tahoma"/>
                <w:sz w:val="20"/>
                <w:szCs w:val="20"/>
              </w:rPr>
            </w:pPr>
            <w:r w:rsidRPr="0068236B">
              <w:rPr>
                <w:rFonts w:cs="Tahoma"/>
                <w:sz w:val="20"/>
                <w:szCs w:val="20"/>
              </w:rPr>
              <w:t>Valandovo</w:t>
            </w:r>
          </w:p>
        </w:tc>
        <w:tc>
          <w:tcPr>
            <w:tcW w:w="2127" w:type="dxa"/>
            <w:tcBorders>
              <w:top w:val="single" w:sz="4" w:space="0" w:color="auto"/>
              <w:left w:val="single" w:sz="4" w:space="0" w:color="auto"/>
              <w:bottom w:val="single" w:sz="4" w:space="0" w:color="auto"/>
              <w:right w:val="single" w:sz="4" w:space="0" w:color="auto"/>
            </w:tcBorders>
            <w:vAlign w:val="center"/>
          </w:tcPr>
          <w:p w14:paraId="509327DA" w14:textId="77777777" w:rsidR="00216695" w:rsidRPr="0068236B" w:rsidRDefault="00216695" w:rsidP="0033164D">
            <w:pPr>
              <w:spacing w:before="0" w:after="0" w:line="240" w:lineRule="auto"/>
              <w:jc w:val="right"/>
              <w:rPr>
                <w:rFonts w:cs="Tahoma"/>
                <w:sz w:val="20"/>
                <w:szCs w:val="20"/>
              </w:rPr>
            </w:pPr>
            <w:r w:rsidRPr="0068236B">
              <w:rPr>
                <w:rFonts w:cs="Tahoma"/>
                <w:sz w:val="20"/>
                <w:szCs w:val="20"/>
              </w:rPr>
              <w:t>4,402</w:t>
            </w:r>
          </w:p>
        </w:tc>
        <w:tc>
          <w:tcPr>
            <w:tcW w:w="1985" w:type="dxa"/>
            <w:tcBorders>
              <w:top w:val="single" w:sz="4" w:space="0" w:color="auto"/>
              <w:left w:val="single" w:sz="4" w:space="0" w:color="auto"/>
              <w:bottom w:val="single" w:sz="4" w:space="0" w:color="auto"/>
              <w:right w:val="double" w:sz="6" w:space="0" w:color="auto"/>
            </w:tcBorders>
            <w:vAlign w:val="center"/>
          </w:tcPr>
          <w:p w14:paraId="386CC158" w14:textId="77777777" w:rsidR="00216695" w:rsidRPr="0068236B" w:rsidRDefault="00216695" w:rsidP="0033164D">
            <w:pPr>
              <w:spacing w:before="0" w:after="0" w:line="240" w:lineRule="auto"/>
              <w:jc w:val="center"/>
              <w:rPr>
                <w:rFonts w:cs="Tahoma"/>
                <w:sz w:val="20"/>
                <w:szCs w:val="20"/>
              </w:rPr>
            </w:pPr>
            <w:r w:rsidRPr="0068236B">
              <w:rPr>
                <w:rFonts w:cs="Tahoma"/>
                <w:sz w:val="20"/>
                <w:szCs w:val="20"/>
              </w:rPr>
              <w:t>1000</w:t>
            </w:r>
          </w:p>
        </w:tc>
      </w:tr>
      <w:tr w:rsidR="00216695" w:rsidRPr="0068236B" w14:paraId="2DDDECCE" w14:textId="77777777" w:rsidTr="0033164D">
        <w:trPr>
          <w:trHeight w:val="20"/>
        </w:trPr>
        <w:tc>
          <w:tcPr>
            <w:tcW w:w="1442" w:type="dxa"/>
            <w:vMerge/>
            <w:tcBorders>
              <w:top w:val="single" w:sz="4" w:space="0" w:color="auto"/>
              <w:left w:val="double" w:sz="6" w:space="0" w:color="auto"/>
              <w:bottom w:val="single" w:sz="4" w:space="0" w:color="auto"/>
              <w:right w:val="single" w:sz="4" w:space="0" w:color="auto"/>
            </w:tcBorders>
          </w:tcPr>
          <w:p w14:paraId="6661F5AE" w14:textId="77777777" w:rsidR="00216695" w:rsidRPr="0068236B" w:rsidRDefault="00216695" w:rsidP="0033164D">
            <w:pPr>
              <w:spacing w:before="0" w:after="0" w:line="240" w:lineRule="auto"/>
              <w:rPr>
                <w:rFonts w:cs="Tahoma"/>
                <w:sz w:val="20"/>
                <w:szCs w:val="20"/>
              </w:rPr>
            </w:pPr>
          </w:p>
        </w:tc>
        <w:tc>
          <w:tcPr>
            <w:tcW w:w="2411" w:type="dxa"/>
            <w:tcBorders>
              <w:top w:val="single" w:sz="4" w:space="0" w:color="auto"/>
              <w:left w:val="single" w:sz="4" w:space="0" w:color="auto"/>
              <w:bottom w:val="single" w:sz="4" w:space="0" w:color="auto"/>
              <w:right w:val="single" w:sz="4" w:space="0" w:color="auto"/>
            </w:tcBorders>
            <w:vAlign w:val="center"/>
          </w:tcPr>
          <w:p w14:paraId="571B129D" w14:textId="77777777" w:rsidR="00216695" w:rsidRPr="0068236B" w:rsidRDefault="00216695" w:rsidP="0033164D">
            <w:pPr>
              <w:spacing w:before="0" w:after="0" w:line="240" w:lineRule="auto"/>
              <w:rPr>
                <w:rFonts w:cs="Tahoma"/>
                <w:sz w:val="20"/>
                <w:szCs w:val="20"/>
              </w:rPr>
            </w:pPr>
            <w:r w:rsidRPr="0068236B">
              <w:rPr>
                <w:rFonts w:cs="Tahoma"/>
                <w:sz w:val="20"/>
                <w:szCs w:val="20"/>
              </w:rPr>
              <w:t>Pirava</w:t>
            </w:r>
          </w:p>
        </w:tc>
        <w:tc>
          <w:tcPr>
            <w:tcW w:w="2127" w:type="dxa"/>
            <w:tcBorders>
              <w:top w:val="single" w:sz="4" w:space="0" w:color="auto"/>
              <w:left w:val="single" w:sz="4" w:space="0" w:color="auto"/>
              <w:bottom w:val="single" w:sz="4" w:space="0" w:color="auto"/>
              <w:right w:val="single" w:sz="4" w:space="0" w:color="auto"/>
            </w:tcBorders>
            <w:vAlign w:val="center"/>
          </w:tcPr>
          <w:p w14:paraId="44A5FB49" w14:textId="77777777" w:rsidR="00216695" w:rsidRPr="0068236B" w:rsidRDefault="00216695" w:rsidP="0033164D">
            <w:pPr>
              <w:spacing w:before="0" w:after="0" w:line="240" w:lineRule="auto"/>
              <w:jc w:val="right"/>
              <w:rPr>
                <w:rFonts w:cs="Tahoma"/>
                <w:sz w:val="20"/>
                <w:szCs w:val="20"/>
              </w:rPr>
            </w:pPr>
            <w:r w:rsidRPr="0068236B">
              <w:rPr>
                <w:rFonts w:cs="Tahoma"/>
                <w:sz w:val="20"/>
                <w:szCs w:val="20"/>
              </w:rPr>
              <w:t>1,844</w:t>
            </w:r>
          </w:p>
        </w:tc>
        <w:tc>
          <w:tcPr>
            <w:tcW w:w="1985" w:type="dxa"/>
            <w:tcBorders>
              <w:top w:val="single" w:sz="4" w:space="0" w:color="auto"/>
              <w:left w:val="single" w:sz="4" w:space="0" w:color="auto"/>
              <w:bottom w:val="single" w:sz="4" w:space="0" w:color="auto"/>
              <w:right w:val="double" w:sz="6" w:space="0" w:color="auto"/>
            </w:tcBorders>
            <w:vAlign w:val="center"/>
          </w:tcPr>
          <w:p w14:paraId="2EA5E8BA" w14:textId="77777777" w:rsidR="00216695" w:rsidRPr="0068236B" w:rsidRDefault="00216695" w:rsidP="0033164D">
            <w:pPr>
              <w:spacing w:before="0" w:after="0" w:line="240" w:lineRule="auto"/>
              <w:jc w:val="center"/>
              <w:rPr>
                <w:rFonts w:cs="Tahoma"/>
                <w:sz w:val="20"/>
                <w:szCs w:val="20"/>
              </w:rPr>
            </w:pPr>
            <w:r w:rsidRPr="0068236B">
              <w:rPr>
                <w:rFonts w:cs="Tahoma"/>
                <w:sz w:val="20"/>
                <w:szCs w:val="20"/>
              </w:rPr>
              <w:t>1000</w:t>
            </w:r>
          </w:p>
        </w:tc>
      </w:tr>
      <w:tr w:rsidR="00216695" w:rsidRPr="0068236B" w14:paraId="7FFD59F1" w14:textId="77777777" w:rsidTr="0033164D">
        <w:trPr>
          <w:trHeight w:val="20"/>
        </w:trPr>
        <w:tc>
          <w:tcPr>
            <w:tcW w:w="3853" w:type="dxa"/>
            <w:gridSpan w:val="2"/>
            <w:tcBorders>
              <w:top w:val="double" w:sz="4" w:space="0" w:color="auto"/>
              <w:left w:val="double" w:sz="4" w:space="0" w:color="auto"/>
              <w:bottom w:val="double" w:sz="4" w:space="0" w:color="auto"/>
              <w:right w:val="double" w:sz="4" w:space="0" w:color="auto"/>
            </w:tcBorders>
            <w:hideMark/>
          </w:tcPr>
          <w:p w14:paraId="35D26E62" w14:textId="77777777" w:rsidR="00216695" w:rsidRPr="0068236B" w:rsidRDefault="00216695" w:rsidP="0033164D">
            <w:pPr>
              <w:spacing w:before="0" w:after="0" w:line="240" w:lineRule="auto"/>
              <w:jc w:val="right"/>
              <w:rPr>
                <w:rFonts w:cs="Tahoma"/>
                <w:sz w:val="20"/>
                <w:szCs w:val="20"/>
              </w:rPr>
            </w:pPr>
            <w:r w:rsidRPr="0068236B">
              <w:rPr>
                <w:rFonts w:cs="Tahoma"/>
                <w:sz w:val="20"/>
                <w:szCs w:val="20"/>
              </w:rPr>
              <w:t>Total:</w:t>
            </w:r>
          </w:p>
        </w:tc>
        <w:tc>
          <w:tcPr>
            <w:tcW w:w="2127" w:type="dxa"/>
            <w:tcBorders>
              <w:top w:val="double" w:sz="4" w:space="0" w:color="auto"/>
              <w:left w:val="double" w:sz="4" w:space="0" w:color="auto"/>
              <w:bottom w:val="double" w:sz="4" w:space="0" w:color="auto"/>
              <w:right w:val="double" w:sz="4" w:space="0" w:color="auto"/>
            </w:tcBorders>
            <w:hideMark/>
          </w:tcPr>
          <w:p w14:paraId="64E16D62" w14:textId="77777777" w:rsidR="00216695" w:rsidRPr="0068236B" w:rsidRDefault="00216695" w:rsidP="0033164D">
            <w:pPr>
              <w:spacing w:before="0" w:after="0" w:line="240" w:lineRule="auto"/>
              <w:jc w:val="right"/>
              <w:rPr>
                <w:rFonts w:cs="Tahoma"/>
                <w:sz w:val="20"/>
                <w:szCs w:val="20"/>
              </w:rPr>
            </w:pPr>
            <w:r w:rsidRPr="0068236B">
              <w:rPr>
                <w:rFonts w:cs="Tahoma"/>
                <w:sz w:val="20"/>
                <w:szCs w:val="20"/>
              </w:rPr>
              <w:t>6,363</w:t>
            </w:r>
          </w:p>
        </w:tc>
        <w:tc>
          <w:tcPr>
            <w:tcW w:w="1985" w:type="dxa"/>
            <w:tcBorders>
              <w:top w:val="double" w:sz="4" w:space="0" w:color="auto"/>
              <w:left w:val="double" w:sz="4" w:space="0" w:color="auto"/>
              <w:bottom w:val="double" w:sz="4" w:space="0" w:color="auto"/>
              <w:right w:val="double" w:sz="4" w:space="0" w:color="auto"/>
            </w:tcBorders>
          </w:tcPr>
          <w:p w14:paraId="372E22E4" w14:textId="77777777" w:rsidR="00216695" w:rsidRPr="0068236B" w:rsidRDefault="00216695" w:rsidP="0033164D">
            <w:pPr>
              <w:spacing w:before="0" w:after="0" w:line="240" w:lineRule="auto"/>
              <w:jc w:val="center"/>
              <w:rPr>
                <w:rFonts w:cs="Tahoma"/>
                <w:sz w:val="20"/>
                <w:szCs w:val="20"/>
              </w:rPr>
            </w:pPr>
          </w:p>
        </w:tc>
      </w:tr>
    </w:tbl>
    <w:p w14:paraId="35707FF1" w14:textId="7FEB6FA2" w:rsidR="00216695" w:rsidRPr="0068236B" w:rsidRDefault="00216695" w:rsidP="00216695">
      <w:pPr>
        <w:keepNext/>
        <w:spacing w:before="60" w:after="60"/>
        <w:jc w:val="left"/>
        <w:rPr>
          <w:sz w:val="18"/>
          <w:szCs w:val="20"/>
        </w:rPr>
      </w:pPr>
      <w:bookmarkStart w:id="295" w:name="_Toc113018195"/>
      <w:r w:rsidRPr="0068236B">
        <w:rPr>
          <w:sz w:val="18"/>
          <w:szCs w:val="20"/>
        </w:rPr>
        <w:t xml:space="preserve">Table </w:t>
      </w:r>
      <w:r w:rsidRPr="0068236B">
        <w:rPr>
          <w:sz w:val="18"/>
          <w:szCs w:val="20"/>
        </w:rPr>
        <w:fldChar w:fldCharType="begin"/>
      </w:r>
      <w:r w:rsidRPr="0068236B">
        <w:rPr>
          <w:sz w:val="18"/>
          <w:szCs w:val="20"/>
        </w:rPr>
        <w:instrText xml:space="preserve"> STYLEREF 1 \s </w:instrText>
      </w:r>
      <w:r w:rsidRPr="0068236B">
        <w:rPr>
          <w:sz w:val="18"/>
          <w:szCs w:val="20"/>
        </w:rPr>
        <w:fldChar w:fldCharType="separate"/>
      </w:r>
      <w:r w:rsidR="00FD57E6">
        <w:rPr>
          <w:noProof/>
          <w:sz w:val="18"/>
          <w:szCs w:val="20"/>
        </w:rPr>
        <w:t>7</w:t>
      </w:r>
      <w:r w:rsidRPr="0068236B">
        <w:rPr>
          <w:sz w:val="18"/>
          <w:szCs w:val="20"/>
        </w:rPr>
        <w:fldChar w:fldCharType="end"/>
      </w:r>
      <w:r w:rsidRPr="0068236B">
        <w:rPr>
          <w:sz w:val="18"/>
          <w:szCs w:val="20"/>
        </w:rPr>
        <w:t>.</w:t>
      </w:r>
      <w:r w:rsidRPr="0068236B">
        <w:rPr>
          <w:sz w:val="18"/>
          <w:szCs w:val="20"/>
        </w:rPr>
        <w:fldChar w:fldCharType="begin"/>
      </w:r>
      <w:r w:rsidRPr="0068236B">
        <w:rPr>
          <w:sz w:val="18"/>
          <w:szCs w:val="20"/>
        </w:rPr>
        <w:instrText xml:space="preserve"> SEQ Table \* ARABIC \s 1 </w:instrText>
      </w:r>
      <w:r w:rsidRPr="0068236B">
        <w:rPr>
          <w:sz w:val="18"/>
          <w:szCs w:val="20"/>
        </w:rPr>
        <w:fldChar w:fldCharType="separate"/>
      </w:r>
      <w:r w:rsidR="00FD57E6">
        <w:rPr>
          <w:noProof/>
          <w:sz w:val="18"/>
          <w:szCs w:val="20"/>
        </w:rPr>
        <w:t>24</w:t>
      </w:r>
      <w:r w:rsidRPr="0068236B">
        <w:rPr>
          <w:sz w:val="18"/>
          <w:szCs w:val="20"/>
        </w:rPr>
        <w:fldChar w:fldCharType="end"/>
      </w:r>
      <w:r w:rsidRPr="0068236B">
        <w:rPr>
          <w:sz w:val="18"/>
          <w:szCs w:val="20"/>
        </w:rPr>
        <w:t>:</w:t>
      </w:r>
      <w:r w:rsidRPr="0068236B">
        <w:rPr>
          <w:bCs/>
          <w:sz w:val="18"/>
          <w:szCs w:val="20"/>
        </w:rPr>
        <w:t xml:space="preserve"> Settlements close to the elements of </w:t>
      </w:r>
      <w:r w:rsidR="003833F1" w:rsidRPr="0068236B">
        <w:rPr>
          <w:bCs/>
          <w:sz w:val="18"/>
          <w:szCs w:val="20"/>
        </w:rPr>
        <w:t>the Project</w:t>
      </w:r>
      <w:bookmarkEnd w:id="295"/>
    </w:p>
    <w:p w14:paraId="37E91119" w14:textId="77777777" w:rsidR="00216695" w:rsidRPr="0068236B" w:rsidRDefault="00216695" w:rsidP="00216695">
      <w:pPr>
        <w:spacing w:before="60" w:after="60"/>
        <w:rPr>
          <w:rFonts w:cs="Tahoma"/>
          <w:sz w:val="16"/>
          <w:szCs w:val="18"/>
        </w:rPr>
      </w:pPr>
      <w:r w:rsidRPr="0068236B">
        <w:rPr>
          <w:rFonts w:cs="Tahoma"/>
          <w:sz w:val="16"/>
          <w:szCs w:val="18"/>
          <w:vertAlign w:val="superscript"/>
        </w:rPr>
        <w:t>*)</w:t>
      </w:r>
      <w:r w:rsidRPr="0068236B">
        <w:rPr>
          <w:rFonts w:cs="Tahoma"/>
          <w:sz w:val="16"/>
          <w:szCs w:val="18"/>
        </w:rPr>
        <w:t xml:space="preserve"> Source: Census of Population, Households and Dwellings in Republic of Macedonia, 2002</w:t>
      </w:r>
    </w:p>
    <w:p w14:paraId="0341D00A" w14:textId="77777777" w:rsidR="00216695" w:rsidRPr="0068236B" w:rsidRDefault="00216695" w:rsidP="00216695">
      <w:pPr>
        <w:spacing w:before="60" w:after="240"/>
        <w:rPr>
          <w:rFonts w:cs="Tahoma"/>
          <w:sz w:val="16"/>
          <w:szCs w:val="18"/>
        </w:rPr>
      </w:pPr>
      <w:r w:rsidRPr="0068236B">
        <w:rPr>
          <w:rFonts w:cs="Tahoma"/>
          <w:sz w:val="16"/>
          <w:szCs w:val="18"/>
          <w:vertAlign w:val="superscript"/>
        </w:rPr>
        <w:t>**)</w:t>
      </w:r>
      <w:r w:rsidRPr="0068236B">
        <w:rPr>
          <w:rFonts w:cs="Tahoma"/>
          <w:sz w:val="16"/>
          <w:szCs w:val="18"/>
        </w:rPr>
        <w:t xml:space="preserve"> Note: Approximate distance from the OHL corridor centreline to the nearest properties has been taken into consideration</w:t>
      </w:r>
    </w:p>
    <w:p w14:paraId="0ED6CEF3" w14:textId="77777777" w:rsidR="00216695" w:rsidRPr="0068236B" w:rsidRDefault="00216695" w:rsidP="00216695">
      <w:pPr>
        <w:pStyle w:val="NumberedParagraph"/>
        <w:jc w:val="left"/>
        <w:rPr>
          <w:sz w:val="20"/>
        </w:rPr>
      </w:pPr>
      <w:r w:rsidRPr="0068236B">
        <w:rPr>
          <w:sz w:val="20"/>
        </w:rPr>
        <w:t>The baseline social conditions for each of the elements of this sub-project are provided below.</w:t>
      </w:r>
    </w:p>
    <w:p w14:paraId="61CE0669" w14:textId="78858092" w:rsidR="00216695" w:rsidRPr="0068236B" w:rsidRDefault="00216695" w:rsidP="00D24CEF">
      <w:pPr>
        <w:pStyle w:val="ListBullet"/>
        <w:numPr>
          <w:ilvl w:val="0"/>
          <w:numId w:val="97"/>
        </w:numPr>
        <w:spacing w:before="120" w:after="120"/>
        <w:ind w:left="714" w:hanging="357"/>
        <w:jc w:val="left"/>
        <w:rPr>
          <w:sz w:val="20"/>
        </w:rPr>
      </w:pPr>
      <w:r w:rsidRPr="0068236B">
        <w:rPr>
          <w:sz w:val="20"/>
        </w:rPr>
        <w:t xml:space="preserve">The new 400/110 kV substation </w:t>
      </w:r>
      <w:r w:rsidR="00E14C44" w:rsidRPr="0068236B">
        <w:rPr>
          <w:sz w:val="20"/>
        </w:rPr>
        <w:t>Miletkovo</w:t>
      </w:r>
      <w:r w:rsidRPr="0068236B">
        <w:rPr>
          <w:sz w:val="20"/>
        </w:rPr>
        <w:t xml:space="preserve"> and ‘i</w:t>
      </w:r>
      <w:r w:rsidRPr="0068236B">
        <w:rPr>
          <w:rFonts w:eastAsia="Calibri" w:cs="Tahoma"/>
          <w:color w:val="000000"/>
          <w:sz w:val="20"/>
        </w:rPr>
        <w:t xml:space="preserve">n-out’ connection with </w:t>
      </w:r>
      <w:r w:rsidRPr="0068236B">
        <w:rPr>
          <w:sz w:val="20"/>
        </w:rPr>
        <w:t>the existing 400 kV line from SS Dubrovo to Thessalonica (GR)</w:t>
      </w:r>
    </w:p>
    <w:p w14:paraId="37D8DB96" w14:textId="7236A985" w:rsidR="00216695" w:rsidRPr="0068236B" w:rsidRDefault="00216695" w:rsidP="00216695">
      <w:pPr>
        <w:pStyle w:val="NumberedParagraph"/>
        <w:rPr>
          <w:sz w:val="20"/>
        </w:rPr>
      </w:pPr>
      <w:r w:rsidRPr="0068236B">
        <w:rPr>
          <w:sz w:val="20"/>
        </w:rPr>
        <w:t xml:space="preserve">The location of the new </w:t>
      </w:r>
      <w:r w:rsidR="00B91B1E" w:rsidRPr="0068236B">
        <w:rPr>
          <w:sz w:val="20"/>
        </w:rPr>
        <w:t>400/110 kV SS Miletkovo</w:t>
      </w:r>
      <w:r w:rsidRPr="0068236B">
        <w:rPr>
          <w:sz w:val="20"/>
        </w:rPr>
        <w:t xml:space="preserve"> is set on long-term unused pasture surrounded by shrub and low-stemmed forest, all state-owned (Figure below).</w:t>
      </w:r>
    </w:p>
    <w:p w14:paraId="156CE37C" w14:textId="77777777" w:rsidR="00216695" w:rsidRPr="0068236B" w:rsidRDefault="00216695" w:rsidP="00216695">
      <w:pPr>
        <w:pStyle w:val="NumberedParagraph"/>
        <w:spacing w:after="0"/>
        <w:rPr>
          <w:sz w:val="20"/>
        </w:rPr>
      </w:pPr>
      <w:r w:rsidRPr="0068236B">
        <w:rPr>
          <w:noProof/>
          <w:sz w:val="20"/>
          <w:lang w:val="mk-MK" w:eastAsia="mk-MK"/>
        </w:rPr>
        <w:drawing>
          <wp:inline distT="0" distB="0" distL="0" distR="0" wp14:anchorId="67BEF3B0" wp14:editId="2397A5DE">
            <wp:extent cx="5760000" cy="3221891"/>
            <wp:effectExtent l="57150" t="19050" r="107400" b="73759"/>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2" cstate="email">
                      <a:extLst>
                        <a:ext uri="{28A0092B-C50C-407E-A947-70E740481C1C}">
                          <a14:useLocalDpi xmlns:a14="http://schemas.microsoft.com/office/drawing/2010/main" val="0"/>
                        </a:ext>
                      </a:extLst>
                    </a:blip>
                    <a:srcRect/>
                    <a:stretch>
                      <a:fillRect/>
                    </a:stretch>
                  </pic:blipFill>
                  <pic:spPr bwMode="auto">
                    <a:xfrm>
                      <a:off x="0" y="0"/>
                      <a:ext cx="5760000" cy="3221891"/>
                    </a:xfrm>
                    <a:prstGeom prst="rect">
                      <a:avLst/>
                    </a:prstGeom>
                    <a:ln w="317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D5FC54C" w14:textId="664A6348" w:rsidR="00216695" w:rsidRPr="0068236B" w:rsidRDefault="00216695" w:rsidP="00216695">
      <w:pPr>
        <w:pStyle w:val="NumberedParagraph"/>
        <w:spacing w:before="60" w:after="240"/>
        <w:rPr>
          <w:sz w:val="18"/>
        </w:rPr>
      </w:pPr>
      <w:bookmarkStart w:id="296" w:name="_Toc112928890"/>
      <w:r w:rsidRPr="0068236B">
        <w:rPr>
          <w:sz w:val="18"/>
          <w:szCs w:val="20"/>
        </w:rPr>
        <w:t xml:space="preserve">Figure </w:t>
      </w:r>
      <w:r w:rsidRPr="0068236B">
        <w:rPr>
          <w:sz w:val="18"/>
          <w:szCs w:val="20"/>
        </w:rPr>
        <w:fldChar w:fldCharType="begin"/>
      </w:r>
      <w:r w:rsidRPr="0068236B">
        <w:rPr>
          <w:sz w:val="18"/>
          <w:szCs w:val="20"/>
        </w:rPr>
        <w:instrText xml:space="preserve"> STYLEREF 1 \s </w:instrText>
      </w:r>
      <w:r w:rsidRPr="0068236B">
        <w:rPr>
          <w:sz w:val="18"/>
          <w:szCs w:val="20"/>
        </w:rPr>
        <w:fldChar w:fldCharType="separate"/>
      </w:r>
      <w:r w:rsidR="00FD57E6">
        <w:rPr>
          <w:noProof/>
          <w:sz w:val="18"/>
          <w:szCs w:val="20"/>
        </w:rPr>
        <w:t>7</w:t>
      </w:r>
      <w:r w:rsidRPr="0068236B">
        <w:rPr>
          <w:sz w:val="18"/>
          <w:szCs w:val="20"/>
        </w:rPr>
        <w:fldChar w:fldCharType="end"/>
      </w:r>
      <w:r w:rsidRPr="0068236B">
        <w:rPr>
          <w:sz w:val="18"/>
          <w:szCs w:val="20"/>
        </w:rPr>
        <w:t>.</w:t>
      </w:r>
      <w:r w:rsidRPr="0068236B">
        <w:rPr>
          <w:sz w:val="18"/>
          <w:szCs w:val="20"/>
        </w:rPr>
        <w:fldChar w:fldCharType="begin"/>
      </w:r>
      <w:r w:rsidRPr="0068236B">
        <w:rPr>
          <w:sz w:val="18"/>
          <w:szCs w:val="20"/>
        </w:rPr>
        <w:instrText xml:space="preserve"> SEQ Figure \* ARABIC \s 1 </w:instrText>
      </w:r>
      <w:r w:rsidRPr="0068236B">
        <w:rPr>
          <w:sz w:val="18"/>
          <w:szCs w:val="20"/>
        </w:rPr>
        <w:fldChar w:fldCharType="separate"/>
      </w:r>
      <w:r w:rsidR="00FD57E6">
        <w:rPr>
          <w:noProof/>
          <w:sz w:val="18"/>
          <w:szCs w:val="20"/>
        </w:rPr>
        <w:t>19</w:t>
      </w:r>
      <w:r w:rsidRPr="0068236B">
        <w:rPr>
          <w:sz w:val="18"/>
          <w:szCs w:val="20"/>
        </w:rPr>
        <w:fldChar w:fldCharType="end"/>
      </w:r>
      <w:r w:rsidRPr="0068236B">
        <w:rPr>
          <w:sz w:val="18"/>
          <w:szCs w:val="20"/>
        </w:rPr>
        <w:t xml:space="preserve">: Location of the new 400/110 kV substation </w:t>
      </w:r>
      <w:r w:rsidR="00E14C44" w:rsidRPr="0068236B">
        <w:rPr>
          <w:sz w:val="18"/>
          <w:szCs w:val="20"/>
        </w:rPr>
        <w:t>Miletkovo</w:t>
      </w:r>
      <w:r w:rsidRPr="0068236B">
        <w:rPr>
          <w:sz w:val="18"/>
          <w:szCs w:val="20"/>
        </w:rPr>
        <w:t>, land-use context</w:t>
      </w:r>
      <w:bookmarkEnd w:id="296"/>
    </w:p>
    <w:p w14:paraId="2E209F65" w14:textId="36AAD554" w:rsidR="00216695" w:rsidRPr="0068236B" w:rsidRDefault="00216695" w:rsidP="00216695">
      <w:pPr>
        <w:pStyle w:val="NumberedParagraph"/>
        <w:rPr>
          <w:sz w:val="20"/>
        </w:rPr>
      </w:pPr>
      <w:r w:rsidRPr="0068236B">
        <w:rPr>
          <w:sz w:val="20"/>
        </w:rPr>
        <w:t>The closest settlements to the location of the proposed substation are the village Miletkovo located at a di</w:t>
      </w:r>
      <w:r w:rsidRPr="0068236B">
        <w:rPr>
          <w:sz w:val="20"/>
        </w:rPr>
        <w:t>s</w:t>
      </w:r>
      <w:r w:rsidRPr="0068236B">
        <w:rPr>
          <w:sz w:val="20"/>
        </w:rPr>
        <w:t xml:space="preserve">tance of approximately </w:t>
      </w:r>
      <w:r w:rsidR="00E14C44" w:rsidRPr="0068236B">
        <w:rPr>
          <w:sz w:val="20"/>
        </w:rPr>
        <w:t>1.0</w:t>
      </w:r>
      <w:r w:rsidRPr="0068236B">
        <w:rPr>
          <w:sz w:val="20"/>
        </w:rPr>
        <w:t xml:space="preserve"> km from the SS location and the village Smokvica, approximately 1.5 km far from the SS location (Figure below).</w:t>
      </w:r>
    </w:p>
    <w:p w14:paraId="348FB4AB" w14:textId="77777777" w:rsidR="00216695" w:rsidRPr="0068236B" w:rsidRDefault="00216695" w:rsidP="00216695">
      <w:pPr>
        <w:pStyle w:val="NumberedParagraph"/>
        <w:rPr>
          <w:sz w:val="20"/>
        </w:rPr>
      </w:pPr>
      <w:r w:rsidRPr="0068236B">
        <w:rPr>
          <w:noProof/>
          <w:sz w:val="20"/>
          <w:lang w:val="mk-MK" w:eastAsia="mk-MK"/>
        </w:rPr>
        <w:lastRenderedPageBreak/>
        <w:drawing>
          <wp:inline distT="0" distB="0" distL="0" distR="0" wp14:anchorId="0BC303F4" wp14:editId="537B53FF">
            <wp:extent cx="3021092" cy="3627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cstate="email">
                      <a:extLst>
                        <a:ext uri="{28A0092B-C50C-407E-A947-70E740481C1C}">
                          <a14:useLocalDpi xmlns:a14="http://schemas.microsoft.com/office/drawing/2010/main" val="0"/>
                        </a:ext>
                      </a:extLst>
                    </a:blip>
                    <a:srcRect/>
                    <a:stretch>
                      <a:fillRect/>
                    </a:stretch>
                  </pic:blipFill>
                  <pic:spPr bwMode="auto">
                    <a:xfrm>
                      <a:off x="0" y="0"/>
                      <a:ext cx="3026052" cy="3633075"/>
                    </a:xfrm>
                    <a:prstGeom prst="rect">
                      <a:avLst/>
                    </a:prstGeom>
                    <a:noFill/>
                    <a:ln>
                      <a:noFill/>
                    </a:ln>
                  </pic:spPr>
                </pic:pic>
              </a:graphicData>
            </a:graphic>
          </wp:inline>
        </w:drawing>
      </w:r>
    </w:p>
    <w:p w14:paraId="0812C8D6" w14:textId="681F86B7" w:rsidR="00216695" w:rsidRPr="0068236B" w:rsidRDefault="00216695" w:rsidP="00216695">
      <w:pPr>
        <w:spacing w:before="60" w:after="240"/>
        <w:jc w:val="left"/>
        <w:rPr>
          <w:sz w:val="18"/>
          <w:szCs w:val="20"/>
        </w:rPr>
      </w:pPr>
      <w:bookmarkStart w:id="297" w:name="_Toc112928891"/>
      <w:r w:rsidRPr="0068236B">
        <w:rPr>
          <w:sz w:val="18"/>
          <w:szCs w:val="20"/>
        </w:rPr>
        <w:t xml:space="preserve">Figure </w:t>
      </w:r>
      <w:r w:rsidRPr="0068236B">
        <w:rPr>
          <w:sz w:val="18"/>
          <w:szCs w:val="20"/>
        </w:rPr>
        <w:fldChar w:fldCharType="begin"/>
      </w:r>
      <w:r w:rsidRPr="0068236B">
        <w:rPr>
          <w:sz w:val="18"/>
          <w:szCs w:val="20"/>
        </w:rPr>
        <w:instrText xml:space="preserve"> STYLEREF 1 \s </w:instrText>
      </w:r>
      <w:r w:rsidRPr="0068236B">
        <w:rPr>
          <w:sz w:val="18"/>
          <w:szCs w:val="20"/>
        </w:rPr>
        <w:fldChar w:fldCharType="separate"/>
      </w:r>
      <w:r w:rsidR="00FD57E6">
        <w:rPr>
          <w:noProof/>
          <w:sz w:val="18"/>
          <w:szCs w:val="20"/>
        </w:rPr>
        <w:t>7</w:t>
      </w:r>
      <w:r w:rsidRPr="0068236B">
        <w:rPr>
          <w:sz w:val="18"/>
          <w:szCs w:val="20"/>
        </w:rPr>
        <w:fldChar w:fldCharType="end"/>
      </w:r>
      <w:r w:rsidRPr="0068236B">
        <w:rPr>
          <w:sz w:val="18"/>
          <w:szCs w:val="20"/>
        </w:rPr>
        <w:t>.</w:t>
      </w:r>
      <w:r w:rsidRPr="0068236B">
        <w:rPr>
          <w:sz w:val="18"/>
          <w:szCs w:val="20"/>
        </w:rPr>
        <w:fldChar w:fldCharType="begin"/>
      </w:r>
      <w:r w:rsidRPr="0068236B">
        <w:rPr>
          <w:sz w:val="18"/>
          <w:szCs w:val="20"/>
        </w:rPr>
        <w:instrText xml:space="preserve"> SEQ Figure \* ARABIC \s 1 </w:instrText>
      </w:r>
      <w:r w:rsidRPr="0068236B">
        <w:rPr>
          <w:sz w:val="18"/>
          <w:szCs w:val="20"/>
        </w:rPr>
        <w:fldChar w:fldCharType="separate"/>
      </w:r>
      <w:r w:rsidR="00FD57E6">
        <w:rPr>
          <w:noProof/>
          <w:sz w:val="18"/>
          <w:szCs w:val="20"/>
        </w:rPr>
        <w:t>20</w:t>
      </w:r>
      <w:r w:rsidRPr="0068236B">
        <w:rPr>
          <w:sz w:val="18"/>
          <w:szCs w:val="20"/>
        </w:rPr>
        <w:fldChar w:fldCharType="end"/>
      </w:r>
      <w:r w:rsidRPr="0068236B">
        <w:rPr>
          <w:sz w:val="18"/>
          <w:szCs w:val="20"/>
        </w:rPr>
        <w:t xml:space="preserve">: Location of the new 400/110 kV substation </w:t>
      </w:r>
      <w:r w:rsidR="00E14C44" w:rsidRPr="0068236B">
        <w:rPr>
          <w:sz w:val="18"/>
          <w:szCs w:val="20"/>
        </w:rPr>
        <w:t>Miletkovo</w:t>
      </w:r>
      <w:r w:rsidRPr="0068236B">
        <w:rPr>
          <w:sz w:val="18"/>
          <w:szCs w:val="20"/>
        </w:rPr>
        <w:t>, in relation to closest settlements</w:t>
      </w:r>
      <w:bookmarkEnd w:id="297"/>
    </w:p>
    <w:p w14:paraId="53AF5C82" w14:textId="2EA4CE87" w:rsidR="00216695" w:rsidRPr="0068236B" w:rsidRDefault="00B91B1E" w:rsidP="00D24CEF">
      <w:pPr>
        <w:pStyle w:val="ListBullet"/>
        <w:numPr>
          <w:ilvl w:val="0"/>
          <w:numId w:val="97"/>
        </w:numPr>
        <w:spacing w:before="120" w:after="120"/>
        <w:ind w:left="714" w:hanging="357"/>
        <w:jc w:val="left"/>
        <w:rPr>
          <w:sz w:val="20"/>
        </w:rPr>
      </w:pPr>
      <w:r w:rsidRPr="0068236B">
        <w:rPr>
          <w:sz w:val="20"/>
        </w:rPr>
        <w:t>Reconstruction</w:t>
      </w:r>
      <w:r w:rsidR="00216695" w:rsidRPr="0068236B">
        <w:rPr>
          <w:sz w:val="20"/>
        </w:rPr>
        <w:t xml:space="preserve"> the existing 110 kV transmission line from SS Va</w:t>
      </w:r>
      <w:r w:rsidRPr="0068236B">
        <w:rPr>
          <w:sz w:val="20"/>
        </w:rPr>
        <w:t>landovo to SS ‘EVP’ Miletkovo and its extension to the new 400/110 kV SS Miletkovo</w:t>
      </w:r>
      <w:r w:rsidR="00387CEA" w:rsidRPr="0068236B">
        <w:rPr>
          <w:sz w:val="20"/>
        </w:rPr>
        <w:t xml:space="preserve"> </w:t>
      </w:r>
    </w:p>
    <w:p w14:paraId="097CCBDC" w14:textId="4E49C76D" w:rsidR="00216695" w:rsidRPr="0068236B" w:rsidRDefault="00216695" w:rsidP="00216695">
      <w:pPr>
        <w:pStyle w:val="ListBullet"/>
        <w:numPr>
          <w:ilvl w:val="0"/>
          <w:numId w:val="0"/>
        </w:numPr>
        <w:spacing w:before="120" w:after="120"/>
        <w:rPr>
          <w:sz w:val="20"/>
        </w:rPr>
      </w:pPr>
      <w:r w:rsidRPr="0068236B">
        <w:rPr>
          <w:sz w:val="20"/>
        </w:rPr>
        <w:t xml:space="preserve">The alignment of the existing 110 OHL from SS Valandovo to SS ‘EVP’ Miletkovo </w:t>
      </w:r>
      <w:r w:rsidR="00B91B1E" w:rsidRPr="0068236B">
        <w:rPr>
          <w:sz w:val="20"/>
        </w:rPr>
        <w:t xml:space="preserve">and the planned extension passes </w:t>
      </w:r>
      <w:r w:rsidRPr="0068236B">
        <w:rPr>
          <w:sz w:val="20"/>
        </w:rPr>
        <w:t>over active arable crop fields, vineyards and orchards (Annex 3). Its starting point – existing SS Va</w:t>
      </w:r>
      <w:r w:rsidRPr="0068236B">
        <w:rPr>
          <w:sz w:val="20"/>
        </w:rPr>
        <w:t>l</w:t>
      </w:r>
      <w:r w:rsidRPr="0068236B">
        <w:rPr>
          <w:sz w:val="20"/>
        </w:rPr>
        <w:t>andovo - is located approximately 1.1 km from sub-urban areas of Valandovo and 0.8 km from village P</w:t>
      </w:r>
      <w:r w:rsidRPr="0068236B">
        <w:rPr>
          <w:sz w:val="20"/>
        </w:rPr>
        <w:t>i</w:t>
      </w:r>
      <w:r w:rsidRPr="0068236B">
        <w:rPr>
          <w:sz w:val="20"/>
        </w:rPr>
        <w:t>rava. Its ending point – SS ‘EVP’ Miletkovo is approximately 1 km from the village Miletkovo.</w:t>
      </w:r>
    </w:p>
    <w:p w14:paraId="13A5683A" w14:textId="77777777" w:rsidR="00216695" w:rsidRPr="0068236B" w:rsidRDefault="00216695" w:rsidP="00D24CEF">
      <w:pPr>
        <w:pStyle w:val="ListBullet"/>
        <w:numPr>
          <w:ilvl w:val="0"/>
          <w:numId w:val="97"/>
        </w:numPr>
        <w:spacing w:before="120" w:after="120"/>
        <w:ind w:left="714" w:hanging="357"/>
        <w:jc w:val="left"/>
        <w:rPr>
          <w:sz w:val="20"/>
        </w:rPr>
      </w:pPr>
      <w:r w:rsidRPr="0068236B">
        <w:rPr>
          <w:sz w:val="20"/>
        </w:rPr>
        <w:t>Construction of a new 110 kV OHL connector with the existing SS ‘EVP’ Miletkovo</w:t>
      </w:r>
    </w:p>
    <w:p w14:paraId="4B9C407A" w14:textId="4C6CDB59" w:rsidR="00216695" w:rsidRPr="0068236B" w:rsidRDefault="00216695" w:rsidP="00B91B1E">
      <w:pPr>
        <w:pStyle w:val="ListBullet"/>
        <w:numPr>
          <w:ilvl w:val="0"/>
          <w:numId w:val="0"/>
        </w:numPr>
        <w:spacing w:before="120" w:after="120"/>
        <w:ind w:left="142"/>
        <w:rPr>
          <w:sz w:val="20"/>
        </w:rPr>
      </w:pPr>
      <w:r w:rsidRPr="0068236B">
        <w:rPr>
          <w:sz w:val="20"/>
        </w:rPr>
        <w:t>The new 1.8 km transmission line, from SS ‘EVP’ Miletkovo to the new 400/110</w:t>
      </w:r>
      <w:r w:rsidR="00B91B1E" w:rsidRPr="0068236B">
        <w:rPr>
          <w:sz w:val="20"/>
        </w:rPr>
        <w:t xml:space="preserve"> </w:t>
      </w:r>
      <w:r w:rsidRPr="0068236B">
        <w:rPr>
          <w:sz w:val="20"/>
        </w:rPr>
        <w:t xml:space="preserve">kV SS </w:t>
      </w:r>
      <w:r w:rsidR="00B91B1E" w:rsidRPr="0068236B">
        <w:rPr>
          <w:sz w:val="20"/>
        </w:rPr>
        <w:t>Miletkovo</w:t>
      </w:r>
      <w:r w:rsidRPr="0068236B">
        <w:rPr>
          <w:sz w:val="20"/>
        </w:rPr>
        <w:t xml:space="preserve"> passes over active arable crop fields, vineyards and orchards (Annex 3). </w:t>
      </w:r>
    </w:p>
    <w:p w14:paraId="5DBDC6A3" w14:textId="5BF025A8" w:rsidR="00DB3C90" w:rsidRPr="0068236B" w:rsidRDefault="00B95CF8" w:rsidP="00B95CF8">
      <w:pPr>
        <w:pStyle w:val="Heading2"/>
        <w:spacing w:before="480" w:after="240"/>
        <w:ind w:left="576" w:hanging="576"/>
        <w:rPr>
          <w:rFonts w:cs="Tahoma"/>
          <w:szCs w:val="20"/>
        </w:rPr>
      </w:pPr>
      <w:bookmarkStart w:id="298" w:name="_Toc71559796"/>
      <w:bookmarkStart w:id="299" w:name="_Toc112852255"/>
      <w:r w:rsidRPr="0068236B">
        <w:rPr>
          <w:rFonts w:cs="Tahoma"/>
          <w:szCs w:val="20"/>
        </w:rPr>
        <w:t>Cultural Heritage</w:t>
      </w:r>
      <w:bookmarkEnd w:id="298"/>
      <w:bookmarkEnd w:id="299"/>
    </w:p>
    <w:p w14:paraId="06E0DB2E" w14:textId="77777777" w:rsidR="00B95CF8" w:rsidRPr="0068236B" w:rsidRDefault="00B95CF8" w:rsidP="00B95CF8">
      <w:pPr>
        <w:pStyle w:val="Heading3"/>
        <w:tabs>
          <w:tab w:val="left" w:pos="1134"/>
        </w:tabs>
        <w:ind w:left="1134" w:hanging="1134"/>
        <w:rPr>
          <w:rFonts w:cs="Arial"/>
        </w:rPr>
      </w:pPr>
      <w:bookmarkStart w:id="300" w:name="_Toc112852256"/>
      <w:r w:rsidRPr="0068236B">
        <w:rPr>
          <w:rFonts w:cs="Arial"/>
        </w:rPr>
        <w:t>Study Area</w:t>
      </w:r>
      <w:bookmarkEnd w:id="300"/>
    </w:p>
    <w:p w14:paraId="713AD5C5" w14:textId="3A71683D" w:rsidR="00DB3C90" w:rsidRPr="0068236B" w:rsidRDefault="00873E22" w:rsidP="00873E22">
      <w:pPr>
        <w:spacing w:after="0"/>
        <w:rPr>
          <w:rFonts w:eastAsia="Calibri" w:cs="Tahoma"/>
          <w:sz w:val="20"/>
          <w:szCs w:val="20"/>
        </w:rPr>
      </w:pPr>
      <w:r w:rsidRPr="0068236B">
        <w:rPr>
          <w:rFonts w:cs="Tahoma"/>
          <w:sz w:val="20"/>
          <w:szCs w:val="20"/>
        </w:rPr>
        <w:t xml:space="preserve">For the purposes of the assessment, the study area includes protected cultural heritage assets in an area of 200 metres around the Project. </w:t>
      </w:r>
      <w:r w:rsidR="00DB3C90" w:rsidRPr="0068236B">
        <w:rPr>
          <w:rFonts w:eastAsia="Calibri" w:cs="Tahoma"/>
          <w:sz w:val="20"/>
          <w:szCs w:val="20"/>
        </w:rPr>
        <w:t>This distance is considered as an area in which there may be an impact due to physical and historical connectivity and relationships as well as due to changes to noise levels, air quality and traffic during the construction.</w:t>
      </w:r>
    </w:p>
    <w:p w14:paraId="1A93F962" w14:textId="7AEB78C0" w:rsidR="00B95CF8" w:rsidRPr="0068236B" w:rsidRDefault="00B95CF8" w:rsidP="00B95CF8">
      <w:pPr>
        <w:pStyle w:val="Heading3"/>
        <w:tabs>
          <w:tab w:val="left" w:pos="1134"/>
        </w:tabs>
        <w:ind w:left="1134" w:hanging="1134"/>
        <w:rPr>
          <w:rFonts w:cs="Arial"/>
        </w:rPr>
      </w:pPr>
      <w:bookmarkStart w:id="301" w:name="_Toc112852257"/>
      <w:r w:rsidRPr="0068236B">
        <w:rPr>
          <w:rFonts w:cs="Arial"/>
        </w:rPr>
        <w:lastRenderedPageBreak/>
        <w:t>Baseline Conditions</w:t>
      </w:r>
      <w:bookmarkEnd w:id="301"/>
    </w:p>
    <w:p w14:paraId="230425CE" w14:textId="21400228" w:rsidR="005F2D44" w:rsidRPr="0068236B" w:rsidRDefault="00062E96" w:rsidP="005F2D44">
      <w:pPr>
        <w:autoSpaceDE w:val="0"/>
        <w:autoSpaceDN w:val="0"/>
        <w:adjustRightInd w:val="0"/>
        <w:rPr>
          <w:sz w:val="20"/>
        </w:rPr>
      </w:pPr>
      <w:r w:rsidRPr="0068236B">
        <w:rPr>
          <w:rFonts w:cs="Tahoma"/>
          <w:sz w:val="20"/>
          <w:szCs w:val="20"/>
        </w:rPr>
        <w:t xml:space="preserve">No cultural heritage resources </w:t>
      </w:r>
      <w:r w:rsidR="003E4333" w:rsidRPr="0068236B">
        <w:rPr>
          <w:rFonts w:cs="Tahoma"/>
          <w:sz w:val="20"/>
          <w:szCs w:val="20"/>
        </w:rPr>
        <w:t xml:space="preserve">- known cultural heritage site or location of cultural importance - </w:t>
      </w:r>
      <w:r w:rsidRPr="0068236B">
        <w:rPr>
          <w:rFonts w:cs="Tahoma"/>
          <w:sz w:val="20"/>
          <w:szCs w:val="20"/>
        </w:rPr>
        <w:t>are locat</w:t>
      </w:r>
      <w:r w:rsidR="001F02D9" w:rsidRPr="0068236B">
        <w:rPr>
          <w:rFonts w:cs="Tahoma"/>
          <w:sz w:val="20"/>
          <w:szCs w:val="20"/>
        </w:rPr>
        <w:t>ed within the study area</w:t>
      </w:r>
      <w:r w:rsidR="003E4333" w:rsidRPr="0068236B">
        <w:rPr>
          <w:sz w:val="20"/>
        </w:rPr>
        <w:t>.</w:t>
      </w:r>
    </w:p>
    <w:p w14:paraId="712B12D2" w14:textId="2238D7BB" w:rsidR="003E4333" w:rsidRPr="0068236B" w:rsidRDefault="00F21FA0" w:rsidP="00062E96">
      <w:pPr>
        <w:autoSpaceDE w:val="0"/>
        <w:autoSpaceDN w:val="0"/>
        <w:adjustRightInd w:val="0"/>
        <w:rPr>
          <w:sz w:val="20"/>
        </w:rPr>
      </w:pPr>
      <w:r w:rsidRPr="0068236B">
        <w:rPr>
          <w:sz w:val="20"/>
        </w:rPr>
        <w:t>According to the competent authorities</w:t>
      </w:r>
      <w:r w:rsidRPr="0068236B">
        <w:rPr>
          <w:rStyle w:val="FootnoteReference"/>
          <w:sz w:val="20"/>
        </w:rPr>
        <w:footnoteReference w:id="98"/>
      </w:r>
      <w:r w:rsidRPr="0068236B">
        <w:rPr>
          <w:sz w:val="20"/>
        </w:rPr>
        <w:t xml:space="preserve"> consulted during the E</w:t>
      </w:r>
      <w:r w:rsidR="001F02D9" w:rsidRPr="0068236B">
        <w:rPr>
          <w:sz w:val="20"/>
        </w:rPr>
        <w:t>&amp;</w:t>
      </w:r>
      <w:r w:rsidRPr="0068236B">
        <w:rPr>
          <w:sz w:val="20"/>
        </w:rPr>
        <w:t>S</w:t>
      </w:r>
      <w:r w:rsidR="001F02D9" w:rsidRPr="0068236B">
        <w:rPr>
          <w:sz w:val="20"/>
        </w:rPr>
        <w:t xml:space="preserve"> assessment</w:t>
      </w:r>
      <w:r w:rsidRPr="0068236B">
        <w:rPr>
          <w:sz w:val="20"/>
        </w:rPr>
        <w:t>, on</w:t>
      </w:r>
      <w:r w:rsidR="00062E96" w:rsidRPr="0068236B">
        <w:rPr>
          <w:rFonts w:cs="Tahoma"/>
          <w:sz w:val="20"/>
          <w:szCs w:val="20"/>
        </w:rPr>
        <w:t>e legally protected cultural heritage site</w:t>
      </w:r>
      <w:r w:rsidR="005F2D44" w:rsidRPr="0068236B">
        <w:rPr>
          <w:rStyle w:val="FootnoteReference"/>
          <w:rFonts w:cs="Tahoma"/>
          <w:bCs/>
          <w:sz w:val="20"/>
          <w:szCs w:val="20"/>
        </w:rPr>
        <w:footnoteReference w:id="99"/>
      </w:r>
      <w:r w:rsidR="00062E96" w:rsidRPr="0068236B">
        <w:rPr>
          <w:rFonts w:cs="Tahoma"/>
          <w:sz w:val="20"/>
          <w:szCs w:val="20"/>
        </w:rPr>
        <w:t xml:space="preserve"> of high significance – </w:t>
      </w:r>
      <w:r w:rsidR="00062E96" w:rsidRPr="0068236B">
        <w:rPr>
          <w:rFonts w:cs="Tahoma"/>
          <w:bCs/>
          <w:sz w:val="20"/>
          <w:szCs w:val="20"/>
        </w:rPr>
        <w:t xml:space="preserve">Gradishor – Mramor (‘Gradishor-Marble’), </w:t>
      </w:r>
      <w:r w:rsidR="00A62A54" w:rsidRPr="0068236B">
        <w:rPr>
          <w:rFonts w:cs="Tahoma"/>
          <w:bCs/>
          <w:sz w:val="20"/>
          <w:szCs w:val="20"/>
        </w:rPr>
        <w:t xml:space="preserve">located </w:t>
      </w:r>
      <w:r w:rsidR="00062E96" w:rsidRPr="0068236B">
        <w:rPr>
          <w:rFonts w:cs="Tahoma"/>
          <w:bCs/>
          <w:sz w:val="20"/>
          <w:szCs w:val="20"/>
        </w:rPr>
        <w:t>on territory of Gevgel</w:t>
      </w:r>
      <w:r w:rsidR="00062E96" w:rsidRPr="0068236B">
        <w:rPr>
          <w:rFonts w:cs="Tahoma"/>
          <w:bCs/>
          <w:sz w:val="20"/>
          <w:szCs w:val="20"/>
        </w:rPr>
        <w:t>i</w:t>
      </w:r>
      <w:r w:rsidR="00062E96" w:rsidRPr="0068236B">
        <w:rPr>
          <w:rFonts w:cs="Tahoma"/>
          <w:bCs/>
          <w:sz w:val="20"/>
          <w:szCs w:val="20"/>
        </w:rPr>
        <w:t>ja mu</w:t>
      </w:r>
      <w:r w:rsidR="003E4333" w:rsidRPr="0068236B">
        <w:rPr>
          <w:rFonts w:cs="Tahoma"/>
          <w:bCs/>
          <w:sz w:val="20"/>
          <w:szCs w:val="20"/>
        </w:rPr>
        <w:t>nicipality</w:t>
      </w:r>
      <w:r w:rsidR="00A62A54" w:rsidRPr="0068236B">
        <w:rPr>
          <w:rFonts w:cs="Tahoma"/>
          <w:bCs/>
          <w:sz w:val="20"/>
          <w:szCs w:val="20"/>
        </w:rPr>
        <w:t>, nearby the Vardar River, between Marvinci and Miletkovo settlements</w:t>
      </w:r>
      <w:r w:rsidR="000817B3" w:rsidRPr="0068236B">
        <w:rPr>
          <w:rFonts w:cs="Tahoma"/>
          <w:bCs/>
          <w:sz w:val="20"/>
          <w:szCs w:val="20"/>
        </w:rPr>
        <w:t xml:space="preserve"> - </w:t>
      </w:r>
      <w:r w:rsidR="003E4333" w:rsidRPr="0068236B">
        <w:rPr>
          <w:rFonts w:cs="Tahoma"/>
          <w:bCs/>
          <w:sz w:val="20"/>
          <w:szCs w:val="20"/>
        </w:rPr>
        <w:t>is situated in the proximity to the Project</w:t>
      </w:r>
      <w:r w:rsidR="00E87581" w:rsidRPr="0068236B">
        <w:rPr>
          <w:rFonts w:cs="Tahoma"/>
          <w:bCs/>
          <w:sz w:val="20"/>
          <w:szCs w:val="20"/>
        </w:rPr>
        <w:t xml:space="preserve">. </w:t>
      </w:r>
      <w:r w:rsidR="003612DF" w:rsidRPr="0068236B">
        <w:rPr>
          <w:rFonts w:cs="Tahoma"/>
          <w:bCs/>
          <w:sz w:val="20"/>
          <w:szCs w:val="20"/>
        </w:rPr>
        <w:t>Based on this consultation process, t</w:t>
      </w:r>
      <w:r w:rsidR="00E87581" w:rsidRPr="0068236B">
        <w:rPr>
          <w:rFonts w:cs="Tahoma"/>
          <w:bCs/>
          <w:sz w:val="20"/>
          <w:szCs w:val="20"/>
        </w:rPr>
        <w:t xml:space="preserve">he routing </w:t>
      </w:r>
      <w:r w:rsidR="00BD0ACC" w:rsidRPr="0068236B">
        <w:rPr>
          <w:rFonts w:cs="Tahoma"/>
          <w:bCs/>
          <w:sz w:val="20"/>
          <w:szCs w:val="20"/>
        </w:rPr>
        <w:t>exercise</w:t>
      </w:r>
      <w:r w:rsidR="00E87581" w:rsidRPr="0068236B">
        <w:rPr>
          <w:rFonts w:cs="Tahoma"/>
          <w:bCs/>
          <w:sz w:val="20"/>
          <w:szCs w:val="20"/>
        </w:rPr>
        <w:t xml:space="preserve"> of the new 110 kV OHL connector between the new substation and the existing SS ‘EVP’ Miletkovo achieved to </w:t>
      </w:r>
      <w:r w:rsidR="003612DF" w:rsidRPr="0068236B">
        <w:rPr>
          <w:rFonts w:cs="Tahoma"/>
          <w:bCs/>
          <w:sz w:val="20"/>
          <w:szCs w:val="20"/>
        </w:rPr>
        <w:t xml:space="preserve">optimise the OHL alignment and </w:t>
      </w:r>
      <w:r w:rsidR="00E87581" w:rsidRPr="0068236B">
        <w:rPr>
          <w:rFonts w:cs="Tahoma"/>
          <w:bCs/>
          <w:sz w:val="20"/>
          <w:szCs w:val="20"/>
        </w:rPr>
        <w:t>fully avoid this heritage site</w:t>
      </w:r>
      <w:r w:rsidR="00A62A54" w:rsidRPr="0068236B">
        <w:rPr>
          <w:rFonts w:cs="Tahoma"/>
          <w:bCs/>
          <w:sz w:val="20"/>
          <w:szCs w:val="20"/>
        </w:rPr>
        <w:t xml:space="preserve"> </w:t>
      </w:r>
      <w:r w:rsidR="003612DF" w:rsidRPr="0068236B">
        <w:rPr>
          <w:rFonts w:cs="Tahoma"/>
          <w:bCs/>
          <w:sz w:val="20"/>
          <w:szCs w:val="20"/>
        </w:rPr>
        <w:t xml:space="preserve">at a distance of more </w:t>
      </w:r>
      <w:r w:rsidR="00410837" w:rsidRPr="0068236B">
        <w:rPr>
          <w:rFonts w:cs="Tahoma"/>
          <w:bCs/>
          <w:sz w:val="20"/>
          <w:szCs w:val="20"/>
        </w:rPr>
        <w:t>than</w:t>
      </w:r>
      <w:r w:rsidR="003612DF" w:rsidRPr="0068236B">
        <w:rPr>
          <w:rFonts w:cs="Tahoma"/>
          <w:bCs/>
          <w:sz w:val="20"/>
          <w:szCs w:val="20"/>
        </w:rPr>
        <w:t xml:space="preserve"> 200 metres</w:t>
      </w:r>
      <w:r w:rsidR="00410837" w:rsidRPr="0068236B">
        <w:rPr>
          <w:rFonts w:cs="Tahoma"/>
          <w:bCs/>
          <w:sz w:val="20"/>
          <w:szCs w:val="20"/>
        </w:rPr>
        <w:t xml:space="preserve"> </w:t>
      </w:r>
      <w:r w:rsidR="00062E96" w:rsidRPr="0068236B">
        <w:rPr>
          <w:rFonts w:cs="Tahoma"/>
          <w:bCs/>
          <w:sz w:val="20"/>
          <w:szCs w:val="20"/>
        </w:rPr>
        <w:t>(Figure</w:t>
      </w:r>
      <w:r w:rsidR="003E4333" w:rsidRPr="0068236B">
        <w:rPr>
          <w:rFonts w:cs="Tahoma"/>
          <w:bCs/>
          <w:sz w:val="20"/>
          <w:szCs w:val="20"/>
        </w:rPr>
        <w:t xml:space="preserve"> below</w:t>
      </w:r>
      <w:r w:rsidR="00062E96" w:rsidRPr="0068236B">
        <w:rPr>
          <w:rFonts w:cs="Tahoma"/>
          <w:bCs/>
          <w:sz w:val="20"/>
          <w:szCs w:val="20"/>
        </w:rPr>
        <w:t xml:space="preserve">). </w:t>
      </w:r>
      <w:r w:rsidR="00CE04B8" w:rsidRPr="0068236B">
        <w:rPr>
          <w:rFonts w:cs="Tahoma"/>
          <w:bCs/>
          <w:sz w:val="20"/>
          <w:szCs w:val="20"/>
        </w:rPr>
        <w:t xml:space="preserve">Hence, </w:t>
      </w:r>
      <w:r w:rsidR="005F2D44" w:rsidRPr="0068236B">
        <w:rPr>
          <w:rFonts w:cs="Tahoma"/>
          <w:sz w:val="20"/>
        </w:rPr>
        <w:t xml:space="preserve">no direct interaction between the Project and this site </w:t>
      </w:r>
      <w:r w:rsidR="00FE2538" w:rsidRPr="0068236B">
        <w:rPr>
          <w:rFonts w:cs="Tahoma"/>
          <w:sz w:val="20"/>
        </w:rPr>
        <w:t>is expected</w:t>
      </w:r>
      <w:r w:rsidR="005F2D44" w:rsidRPr="0068236B">
        <w:rPr>
          <w:rFonts w:cs="Tahoma"/>
          <w:sz w:val="20"/>
        </w:rPr>
        <w:t xml:space="preserve">. </w:t>
      </w:r>
      <w:r w:rsidR="005F2D44" w:rsidRPr="0068236B">
        <w:rPr>
          <w:rFonts w:cs="Tahoma"/>
          <w:sz w:val="20"/>
          <w:szCs w:val="20"/>
        </w:rPr>
        <w:t xml:space="preserve">The </w:t>
      </w:r>
      <w:r w:rsidR="0039350D" w:rsidRPr="0068236B">
        <w:rPr>
          <w:rFonts w:cs="Tahoma"/>
          <w:bCs/>
          <w:sz w:val="20"/>
          <w:szCs w:val="20"/>
        </w:rPr>
        <w:t>Gradishor – Mramor</w:t>
      </w:r>
      <w:r w:rsidR="0039350D" w:rsidRPr="0068236B">
        <w:rPr>
          <w:rFonts w:cs="Tahoma"/>
          <w:sz w:val="20"/>
          <w:szCs w:val="20"/>
        </w:rPr>
        <w:t xml:space="preserve"> </w:t>
      </w:r>
      <w:r w:rsidR="005F2D44" w:rsidRPr="0068236B">
        <w:rPr>
          <w:rFonts w:cs="Tahoma"/>
          <w:sz w:val="20"/>
          <w:szCs w:val="20"/>
        </w:rPr>
        <w:t xml:space="preserve">site </w:t>
      </w:r>
      <w:r w:rsidR="00A62A54" w:rsidRPr="0068236B">
        <w:rPr>
          <w:rFonts w:cs="Tahoma"/>
          <w:sz w:val="20"/>
          <w:szCs w:val="20"/>
        </w:rPr>
        <w:t>represents a wider archaeological complex composed of several elements. The key values of this complex are provided in the Table below</w:t>
      </w:r>
      <w:r w:rsidR="00062E96" w:rsidRPr="0068236B">
        <w:rPr>
          <w:rFonts w:cs="Tahoma"/>
          <w:bCs/>
          <w:sz w:val="20"/>
          <w:szCs w:val="20"/>
        </w:rPr>
        <w:t xml:space="preserve">. </w:t>
      </w:r>
    </w:p>
    <w:p w14:paraId="79E3CFCC" w14:textId="04ABD905" w:rsidR="00D800A5" w:rsidRPr="0068236B" w:rsidRDefault="00410837" w:rsidP="00CE04B8">
      <w:pPr>
        <w:autoSpaceDE w:val="0"/>
        <w:autoSpaceDN w:val="0"/>
        <w:adjustRightInd w:val="0"/>
        <w:rPr>
          <w:rFonts w:cs="Tahoma"/>
          <w:sz w:val="20"/>
        </w:rPr>
      </w:pPr>
      <w:r w:rsidRPr="0068236B">
        <w:rPr>
          <w:noProof/>
          <w:lang w:val="mk-MK" w:eastAsia="mk-MK"/>
        </w:rPr>
        <w:drawing>
          <wp:inline distT="0" distB="0" distL="0" distR="0" wp14:anchorId="4FB14E23" wp14:editId="40081FB6">
            <wp:extent cx="4464011" cy="4666160"/>
            <wp:effectExtent l="0" t="6032" r="7302" b="7303"/>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r="12016"/>
                    <a:stretch/>
                  </pic:blipFill>
                  <pic:spPr bwMode="auto">
                    <a:xfrm rot="16200000">
                      <a:off x="0" y="0"/>
                      <a:ext cx="4456380" cy="4658184"/>
                    </a:xfrm>
                    <a:prstGeom prst="rect">
                      <a:avLst/>
                    </a:prstGeom>
                    <a:noFill/>
                    <a:ln>
                      <a:noFill/>
                    </a:ln>
                    <a:extLst>
                      <a:ext uri="{53640926-AAD7-44D8-BBD7-CCE9431645EC}">
                        <a14:shadowObscured xmlns:a14="http://schemas.microsoft.com/office/drawing/2010/main"/>
                      </a:ext>
                    </a:extLst>
                  </pic:spPr>
                </pic:pic>
              </a:graphicData>
            </a:graphic>
          </wp:inline>
        </w:drawing>
      </w:r>
    </w:p>
    <w:p w14:paraId="2F1BC249" w14:textId="08F20919" w:rsidR="00873E22" w:rsidRPr="0068236B" w:rsidRDefault="00B71709" w:rsidP="00873E22">
      <w:pPr>
        <w:spacing w:after="60"/>
        <w:jc w:val="left"/>
        <w:rPr>
          <w:rFonts w:cs="Tahoma"/>
          <w:sz w:val="18"/>
          <w:szCs w:val="20"/>
        </w:rPr>
      </w:pPr>
      <w:bookmarkStart w:id="302" w:name="_Toc112928892"/>
      <w:r w:rsidRPr="0068236B">
        <w:rPr>
          <w:sz w:val="18"/>
          <w:szCs w:val="20"/>
        </w:rPr>
        <w:t xml:space="preserve">Figure </w:t>
      </w:r>
      <w:r w:rsidR="00377E43" w:rsidRPr="0068236B">
        <w:rPr>
          <w:sz w:val="18"/>
          <w:szCs w:val="20"/>
        </w:rPr>
        <w:fldChar w:fldCharType="begin"/>
      </w:r>
      <w:r w:rsidRPr="0068236B">
        <w:rPr>
          <w:sz w:val="18"/>
          <w:szCs w:val="20"/>
        </w:rPr>
        <w:instrText xml:space="preserve"> STYLEREF 1 \s </w:instrText>
      </w:r>
      <w:r w:rsidR="00377E43" w:rsidRPr="0068236B">
        <w:rPr>
          <w:sz w:val="18"/>
          <w:szCs w:val="20"/>
        </w:rPr>
        <w:fldChar w:fldCharType="separate"/>
      </w:r>
      <w:r w:rsidR="00FD57E6">
        <w:rPr>
          <w:noProof/>
          <w:sz w:val="18"/>
          <w:szCs w:val="20"/>
        </w:rPr>
        <w:t>7</w:t>
      </w:r>
      <w:r w:rsidR="00377E43" w:rsidRPr="0068236B">
        <w:rPr>
          <w:sz w:val="18"/>
          <w:szCs w:val="20"/>
        </w:rPr>
        <w:fldChar w:fldCharType="end"/>
      </w:r>
      <w:r w:rsidRPr="0068236B">
        <w:rPr>
          <w:sz w:val="18"/>
          <w:szCs w:val="20"/>
        </w:rPr>
        <w:t>.</w:t>
      </w:r>
      <w:r w:rsidR="00377E43" w:rsidRPr="0068236B">
        <w:rPr>
          <w:sz w:val="18"/>
          <w:szCs w:val="20"/>
        </w:rPr>
        <w:fldChar w:fldCharType="begin"/>
      </w:r>
      <w:r w:rsidRPr="0068236B">
        <w:rPr>
          <w:sz w:val="18"/>
          <w:szCs w:val="20"/>
        </w:rPr>
        <w:instrText xml:space="preserve"> SEQ Figure \* ARABIC \s 1 </w:instrText>
      </w:r>
      <w:r w:rsidR="00377E43" w:rsidRPr="0068236B">
        <w:rPr>
          <w:sz w:val="18"/>
          <w:szCs w:val="20"/>
        </w:rPr>
        <w:fldChar w:fldCharType="separate"/>
      </w:r>
      <w:r w:rsidR="00FD57E6">
        <w:rPr>
          <w:noProof/>
          <w:sz w:val="18"/>
          <w:szCs w:val="20"/>
        </w:rPr>
        <w:t>21</w:t>
      </w:r>
      <w:r w:rsidR="00377E43" w:rsidRPr="0068236B">
        <w:rPr>
          <w:sz w:val="18"/>
          <w:szCs w:val="20"/>
        </w:rPr>
        <w:fldChar w:fldCharType="end"/>
      </w:r>
      <w:r w:rsidRPr="0068236B">
        <w:rPr>
          <w:sz w:val="18"/>
          <w:szCs w:val="20"/>
        </w:rPr>
        <w:t>:</w:t>
      </w:r>
      <w:r w:rsidR="003E4333" w:rsidRPr="0068236B">
        <w:rPr>
          <w:rFonts w:cs="Tahoma"/>
          <w:sz w:val="18"/>
          <w:szCs w:val="20"/>
        </w:rPr>
        <w:t xml:space="preserve"> </w:t>
      </w:r>
      <w:r w:rsidR="00026313" w:rsidRPr="0068236B">
        <w:rPr>
          <w:rFonts w:cs="Tahoma"/>
          <w:sz w:val="18"/>
          <w:szCs w:val="20"/>
        </w:rPr>
        <w:t>L</w:t>
      </w:r>
      <w:r w:rsidR="003E4333" w:rsidRPr="0068236B">
        <w:rPr>
          <w:rFonts w:cs="Tahoma"/>
          <w:sz w:val="18"/>
          <w:szCs w:val="20"/>
        </w:rPr>
        <w:t>ocation of the protected cultural heritage site</w:t>
      </w:r>
      <w:r w:rsidR="003612DF" w:rsidRPr="0068236B">
        <w:rPr>
          <w:rFonts w:cs="Tahoma"/>
          <w:sz w:val="18"/>
          <w:szCs w:val="20"/>
        </w:rPr>
        <w:t xml:space="preserve"> Gradishor-Mramor</w:t>
      </w:r>
      <w:r w:rsidR="00B32824" w:rsidRPr="0068236B">
        <w:rPr>
          <w:rFonts w:cs="Tahoma"/>
          <w:sz w:val="18"/>
          <w:szCs w:val="20"/>
        </w:rPr>
        <w:t xml:space="preserve">, </w:t>
      </w:r>
      <w:r w:rsidR="003E4333" w:rsidRPr="0068236B">
        <w:rPr>
          <w:rFonts w:cs="Tahoma"/>
          <w:sz w:val="18"/>
          <w:szCs w:val="20"/>
        </w:rPr>
        <w:t>relative to the</w:t>
      </w:r>
      <w:r w:rsidR="00E14C44" w:rsidRPr="0068236B">
        <w:rPr>
          <w:rFonts w:cs="Tahoma"/>
          <w:sz w:val="18"/>
          <w:szCs w:val="20"/>
        </w:rPr>
        <w:t xml:space="preserve"> Project</w:t>
      </w:r>
      <w:bookmarkEnd w:id="302"/>
    </w:p>
    <w:p w14:paraId="56F92FE7" w14:textId="19AB51E0" w:rsidR="003E4333" w:rsidRPr="00230397" w:rsidRDefault="00873E22" w:rsidP="00873E22">
      <w:pPr>
        <w:spacing w:before="60" w:after="240" w:line="240" w:lineRule="auto"/>
        <w:jc w:val="left"/>
        <w:rPr>
          <w:rFonts w:cs="Tahoma"/>
          <w:sz w:val="16"/>
          <w:szCs w:val="16"/>
        </w:rPr>
      </w:pPr>
      <w:r w:rsidRPr="00230397">
        <w:rPr>
          <w:rFonts w:cs="Tahoma"/>
          <w:sz w:val="16"/>
          <w:szCs w:val="16"/>
        </w:rPr>
        <w:t xml:space="preserve">Note: The boundaries of the protected cultural heritage site </w:t>
      </w:r>
      <w:r w:rsidR="003612DF" w:rsidRPr="00230397">
        <w:rPr>
          <w:rFonts w:cs="Tahoma"/>
          <w:sz w:val="16"/>
          <w:szCs w:val="16"/>
        </w:rPr>
        <w:t xml:space="preserve">were </w:t>
      </w:r>
      <w:r w:rsidRPr="00230397">
        <w:rPr>
          <w:rFonts w:cs="Tahoma"/>
          <w:sz w:val="16"/>
          <w:szCs w:val="16"/>
        </w:rPr>
        <w:t xml:space="preserve">obtained from relevant </w:t>
      </w:r>
      <w:r w:rsidR="003612DF" w:rsidRPr="00230397">
        <w:rPr>
          <w:rFonts w:cs="Tahoma"/>
          <w:sz w:val="16"/>
          <w:szCs w:val="16"/>
        </w:rPr>
        <w:t xml:space="preserve">competent </w:t>
      </w:r>
      <w:r w:rsidR="005E6643" w:rsidRPr="00230397">
        <w:rPr>
          <w:rFonts w:cs="Tahoma"/>
          <w:sz w:val="16"/>
          <w:szCs w:val="16"/>
        </w:rPr>
        <w:t>authority</w:t>
      </w:r>
      <w:r w:rsidR="003612DF" w:rsidRPr="00230397">
        <w:rPr>
          <w:rFonts w:cs="Tahoma"/>
          <w:sz w:val="16"/>
          <w:szCs w:val="16"/>
        </w:rPr>
        <w:t xml:space="preserve"> (National Museum of Gevgelija</w:t>
      </w:r>
      <w:r w:rsidR="005F774D" w:rsidRPr="00230397">
        <w:rPr>
          <w:rFonts w:cs="Tahoma"/>
          <w:sz w:val="16"/>
          <w:szCs w:val="16"/>
        </w:rPr>
        <w:t>)</w:t>
      </w:r>
      <w:r w:rsidR="003612DF" w:rsidRPr="00230397">
        <w:rPr>
          <w:rFonts w:cs="Tahoma"/>
          <w:sz w:val="16"/>
          <w:szCs w:val="16"/>
        </w:rPr>
        <w:t>, during</w:t>
      </w:r>
      <w:r w:rsidRPr="00230397">
        <w:rPr>
          <w:rFonts w:cs="Tahoma"/>
          <w:sz w:val="16"/>
          <w:szCs w:val="16"/>
        </w:rPr>
        <w:t xml:space="preserve"> </w:t>
      </w:r>
      <w:r w:rsidR="003612DF" w:rsidRPr="00230397">
        <w:rPr>
          <w:rFonts w:cs="Tahoma"/>
          <w:sz w:val="16"/>
          <w:szCs w:val="16"/>
        </w:rPr>
        <w:t>stakeholder c</w:t>
      </w:r>
      <w:r w:rsidRPr="00230397">
        <w:rPr>
          <w:rFonts w:cs="Tahoma"/>
          <w:sz w:val="16"/>
          <w:szCs w:val="16"/>
        </w:rPr>
        <w:t xml:space="preserve">onsultations </w:t>
      </w:r>
      <w:r w:rsidR="003612DF" w:rsidRPr="00230397">
        <w:rPr>
          <w:rFonts w:cs="Tahoma"/>
          <w:sz w:val="16"/>
          <w:szCs w:val="16"/>
        </w:rPr>
        <w:t xml:space="preserve">process </w:t>
      </w:r>
      <w:r w:rsidRPr="00230397">
        <w:rPr>
          <w:rFonts w:cs="Tahoma"/>
          <w:sz w:val="16"/>
          <w:szCs w:val="16"/>
        </w:rPr>
        <w:t xml:space="preserve">initiated during the </w:t>
      </w:r>
      <w:r w:rsidR="00D24BAA" w:rsidRPr="00230397">
        <w:rPr>
          <w:rFonts w:cs="Tahoma"/>
          <w:sz w:val="16"/>
          <w:szCs w:val="16"/>
        </w:rPr>
        <w:t>assessment’s</w:t>
      </w:r>
      <w:r w:rsidRPr="00230397">
        <w:rPr>
          <w:rFonts w:cs="Tahoma"/>
          <w:sz w:val="16"/>
          <w:szCs w:val="16"/>
        </w:rPr>
        <w:t xml:space="preserve"> scoping stage. </w:t>
      </w:r>
    </w:p>
    <w:tbl>
      <w:tblPr>
        <w:tblW w:w="9384" w:type="dxa"/>
        <w:jc w:val="center"/>
        <w:tblBorders>
          <w:top w:val="double" w:sz="4" w:space="0" w:color="auto"/>
          <w:left w:val="double" w:sz="6" w:space="0" w:color="auto"/>
          <w:bottom w:val="double" w:sz="6" w:space="0" w:color="auto"/>
          <w:right w:val="double" w:sz="6"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9384"/>
      </w:tblGrid>
      <w:tr w:rsidR="00062E96" w:rsidRPr="0068236B" w14:paraId="69E5EA0A" w14:textId="77777777" w:rsidTr="00E14C44">
        <w:trPr>
          <w:trHeight w:val="20"/>
          <w:tblHeader/>
          <w:jc w:val="center"/>
        </w:trPr>
        <w:tc>
          <w:tcPr>
            <w:tcW w:w="9384"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30AF9267" w14:textId="40D75490" w:rsidR="005F2D44" w:rsidRPr="0068236B" w:rsidRDefault="00062E96" w:rsidP="005F2D44">
            <w:pPr>
              <w:widowControl w:val="0"/>
              <w:tabs>
                <w:tab w:val="left" w:pos="7600"/>
              </w:tabs>
              <w:spacing w:before="0" w:after="0" w:line="240" w:lineRule="auto"/>
              <w:ind w:left="101" w:right="-14"/>
              <w:jc w:val="center"/>
              <w:rPr>
                <w:rFonts w:cs="Tahoma"/>
                <w:bCs/>
                <w:sz w:val="20"/>
                <w:szCs w:val="20"/>
              </w:rPr>
            </w:pPr>
            <w:bookmarkStart w:id="303" w:name="_Hlk76916961"/>
            <w:r w:rsidRPr="0068236B">
              <w:rPr>
                <w:rFonts w:cs="Tahoma"/>
                <w:bCs/>
                <w:sz w:val="20"/>
                <w:szCs w:val="20"/>
              </w:rPr>
              <w:lastRenderedPageBreak/>
              <w:t>Legally Protected Cultural Heritage Sites (Archaeological Sites)</w:t>
            </w:r>
            <w:r w:rsidR="003F4EFF" w:rsidRPr="0068236B">
              <w:rPr>
                <w:rFonts w:cs="Tahoma"/>
                <w:bCs/>
                <w:sz w:val="20"/>
                <w:szCs w:val="20"/>
              </w:rPr>
              <w:t xml:space="preserve"> in proximity to the Project</w:t>
            </w:r>
          </w:p>
          <w:p w14:paraId="5A9038F5" w14:textId="77777777" w:rsidR="00062E96" w:rsidRPr="0068236B" w:rsidRDefault="005F2D44" w:rsidP="005F2D44">
            <w:pPr>
              <w:widowControl w:val="0"/>
              <w:tabs>
                <w:tab w:val="left" w:pos="7600"/>
              </w:tabs>
              <w:spacing w:before="0" w:after="0" w:line="240" w:lineRule="auto"/>
              <w:ind w:left="101" w:right="-14"/>
              <w:jc w:val="center"/>
              <w:rPr>
                <w:rFonts w:cs="Tahoma"/>
                <w:bCs/>
                <w:sz w:val="20"/>
                <w:szCs w:val="20"/>
              </w:rPr>
            </w:pPr>
            <w:r w:rsidRPr="0068236B">
              <w:rPr>
                <w:rFonts w:cs="Tahoma"/>
                <w:bCs/>
                <w:sz w:val="20"/>
                <w:szCs w:val="20"/>
              </w:rPr>
              <w:t>- New 400/110 kV SS and OHL connectors -</w:t>
            </w:r>
          </w:p>
        </w:tc>
      </w:tr>
      <w:tr w:rsidR="00062E96" w:rsidRPr="0068236B" w14:paraId="0DCE74B9" w14:textId="77777777" w:rsidTr="00E14C44">
        <w:trPr>
          <w:trHeight w:val="227"/>
          <w:tblHeader/>
          <w:jc w:val="center"/>
        </w:trPr>
        <w:tc>
          <w:tcPr>
            <w:tcW w:w="9384" w:type="dxa"/>
            <w:tcBorders>
              <w:top w:val="double" w:sz="4" w:space="0" w:color="auto"/>
              <w:left w:val="double" w:sz="6" w:space="0" w:color="auto"/>
              <w:bottom w:val="single" w:sz="4" w:space="0" w:color="auto"/>
              <w:right w:val="double" w:sz="6" w:space="0" w:color="auto"/>
            </w:tcBorders>
            <w:shd w:val="clear" w:color="auto" w:fill="D5DCE4"/>
            <w:vAlign w:val="center"/>
            <w:hideMark/>
          </w:tcPr>
          <w:p w14:paraId="34507613" w14:textId="77777777" w:rsidR="00062E96" w:rsidRPr="0068236B" w:rsidRDefault="00062E96" w:rsidP="00306AD5">
            <w:pPr>
              <w:widowControl w:val="0"/>
              <w:tabs>
                <w:tab w:val="left" w:pos="7600"/>
              </w:tabs>
              <w:spacing w:before="0" w:after="0" w:line="240" w:lineRule="auto"/>
              <w:ind w:right="-14"/>
              <w:rPr>
                <w:rFonts w:cs="Tahoma"/>
                <w:bCs/>
                <w:sz w:val="20"/>
                <w:szCs w:val="20"/>
              </w:rPr>
            </w:pPr>
            <w:r w:rsidRPr="0068236B">
              <w:rPr>
                <w:rFonts w:cs="Tahoma"/>
                <w:bCs/>
                <w:sz w:val="20"/>
                <w:szCs w:val="20"/>
              </w:rPr>
              <w:t>Municipality of Gevgelija</w:t>
            </w:r>
          </w:p>
        </w:tc>
      </w:tr>
      <w:tr w:rsidR="00062E96" w:rsidRPr="0068236B" w14:paraId="46C3C4F2" w14:textId="77777777" w:rsidTr="00306AD5">
        <w:trPr>
          <w:trHeight w:val="20"/>
          <w:jc w:val="center"/>
        </w:trPr>
        <w:tc>
          <w:tcPr>
            <w:tcW w:w="9384" w:type="dxa"/>
            <w:tcBorders>
              <w:top w:val="single" w:sz="4" w:space="0" w:color="auto"/>
              <w:left w:val="double" w:sz="6" w:space="0" w:color="auto"/>
              <w:bottom w:val="single" w:sz="4" w:space="0" w:color="auto"/>
              <w:right w:val="double" w:sz="6" w:space="0" w:color="auto"/>
            </w:tcBorders>
            <w:hideMark/>
          </w:tcPr>
          <w:p w14:paraId="44608B10" w14:textId="20044C6E" w:rsidR="00062E96" w:rsidRPr="0068236B" w:rsidRDefault="00062E96" w:rsidP="00306AD5">
            <w:pPr>
              <w:widowControl w:val="0"/>
              <w:tabs>
                <w:tab w:val="left" w:pos="7600"/>
              </w:tabs>
              <w:spacing w:before="0" w:after="0" w:line="240" w:lineRule="auto"/>
              <w:rPr>
                <w:rFonts w:eastAsia="Calibri" w:cs="Tahoma"/>
                <w:sz w:val="20"/>
                <w:szCs w:val="20"/>
              </w:rPr>
            </w:pPr>
            <w:r w:rsidRPr="0068236B">
              <w:rPr>
                <w:rFonts w:cs="Tahoma"/>
                <w:bCs/>
                <w:sz w:val="20"/>
                <w:szCs w:val="20"/>
              </w:rPr>
              <w:t xml:space="preserve">Miletkovo: </w:t>
            </w:r>
            <w:r w:rsidR="00EF7378" w:rsidRPr="0068236B">
              <w:rPr>
                <w:rFonts w:cs="Tahoma"/>
                <w:bCs/>
                <w:sz w:val="20"/>
                <w:szCs w:val="20"/>
              </w:rPr>
              <w:t>Gradishor-Mramor</w:t>
            </w:r>
            <w:r w:rsidRPr="0068236B">
              <w:rPr>
                <w:rFonts w:cs="Tahoma"/>
                <w:bCs/>
                <w:sz w:val="20"/>
                <w:szCs w:val="20"/>
              </w:rPr>
              <w:t>.</w:t>
            </w:r>
            <w:r w:rsidR="00562E86" w:rsidRPr="0068236B">
              <w:rPr>
                <w:rFonts w:cs="Tahoma"/>
                <w:bCs/>
                <w:sz w:val="20"/>
                <w:szCs w:val="20"/>
              </w:rPr>
              <w:t xml:space="preserve"> </w:t>
            </w:r>
            <w:r w:rsidRPr="0068236B">
              <w:rPr>
                <w:rFonts w:cs="Tahoma"/>
                <w:sz w:val="20"/>
                <w:szCs w:val="20"/>
                <w:u w:val="single"/>
              </w:rPr>
              <w:t>The site (with different parts listed below) has been declared a cultural heritage site of Macedonia.</w:t>
            </w:r>
          </w:p>
        </w:tc>
      </w:tr>
      <w:tr w:rsidR="00062E96" w:rsidRPr="0068236B" w14:paraId="19FA47D0" w14:textId="77777777" w:rsidTr="00306AD5">
        <w:trPr>
          <w:trHeight w:val="20"/>
          <w:jc w:val="center"/>
        </w:trPr>
        <w:tc>
          <w:tcPr>
            <w:tcW w:w="9384" w:type="dxa"/>
            <w:tcBorders>
              <w:top w:val="single" w:sz="4" w:space="0" w:color="auto"/>
              <w:left w:val="double" w:sz="6" w:space="0" w:color="auto"/>
              <w:bottom w:val="single" w:sz="4" w:space="0" w:color="auto"/>
              <w:right w:val="double" w:sz="6" w:space="0" w:color="auto"/>
            </w:tcBorders>
            <w:vAlign w:val="center"/>
          </w:tcPr>
          <w:p w14:paraId="5F67537A" w14:textId="569D268E" w:rsidR="00062E96" w:rsidRPr="0068236B" w:rsidRDefault="003612DF" w:rsidP="003612DF">
            <w:pPr>
              <w:spacing w:before="0" w:after="0" w:line="240" w:lineRule="auto"/>
              <w:rPr>
                <w:rFonts w:cs="Tahoma"/>
                <w:sz w:val="20"/>
                <w:szCs w:val="20"/>
              </w:rPr>
            </w:pPr>
            <w:r w:rsidRPr="0068236B">
              <w:rPr>
                <w:rFonts w:cs="Tahoma"/>
                <w:bCs/>
                <w:sz w:val="20"/>
                <w:szCs w:val="20"/>
              </w:rPr>
              <w:t>Gradishor-Mramor site, at relative distance of more tha</w:t>
            </w:r>
            <w:r w:rsidR="00C126B2" w:rsidRPr="0068236B">
              <w:rPr>
                <w:rFonts w:cs="Tahoma"/>
                <w:bCs/>
                <w:sz w:val="20"/>
                <w:szCs w:val="20"/>
              </w:rPr>
              <w:t>n</w:t>
            </w:r>
            <w:r w:rsidRPr="0068236B">
              <w:rPr>
                <w:rFonts w:cs="Tahoma"/>
                <w:bCs/>
                <w:sz w:val="20"/>
                <w:szCs w:val="20"/>
              </w:rPr>
              <w:t xml:space="preserve"> 200 m from the </w:t>
            </w:r>
            <w:r w:rsidR="00C126B2" w:rsidRPr="0068236B">
              <w:rPr>
                <w:rFonts w:cs="Tahoma"/>
                <w:bCs/>
                <w:sz w:val="20"/>
                <w:szCs w:val="20"/>
              </w:rPr>
              <w:t xml:space="preserve">alignment of the </w:t>
            </w:r>
            <w:r w:rsidRPr="0068236B">
              <w:rPr>
                <w:rFonts w:cs="Tahoma"/>
                <w:bCs/>
                <w:sz w:val="20"/>
                <w:szCs w:val="20"/>
              </w:rPr>
              <w:t>new 110 kV OHL.</w:t>
            </w:r>
            <w:r w:rsidR="00062E96" w:rsidRPr="0068236B">
              <w:rPr>
                <w:rFonts w:cs="Tahoma"/>
                <w:sz w:val="20"/>
                <w:szCs w:val="20"/>
              </w:rPr>
              <w:t xml:space="preserve"> </w:t>
            </w:r>
            <w:r w:rsidR="005E6643" w:rsidRPr="0068236B">
              <w:rPr>
                <w:rFonts w:cs="Tahoma"/>
                <w:sz w:val="20"/>
                <w:szCs w:val="20"/>
              </w:rPr>
              <w:t>Archaeological</w:t>
            </w:r>
            <w:r w:rsidR="00062E96" w:rsidRPr="0068236B">
              <w:rPr>
                <w:rFonts w:cs="Tahoma"/>
                <w:sz w:val="20"/>
                <w:szCs w:val="20"/>
              </w:rPr>
              <w:t xml:space="preserve"> site in the Gevgelija village Miletkovo. A settlement and necropolis from early anti</w:t>
            </w:r>
            <w:r w:rsidR="00062E96" w:rsidRPr="0068236B">
              <w:rPr>
                <w:rFonts w:cs="Tahoma"/>
                <w:sz w:val="20"/>
                <w:szCs w:val="20"/>
              </w:rPr>
              <w:t>q</w:t>
            </w:r>
            <w:r w:rsidR="00062E96" w:rsidRPr="0068236B">
              <w:rPr>
                <w:rFonts w:cs="Tahoma"/>
                <w:sz w:val="20"/>
                <w:szCs w:val="20"/>
              </w:rPr>
              <w:t xml:space="preserve">uity and Roman times. Some 1.5 km south of the village, on the right bank of the Vardar, opposite the Isar site in Marvinci, located on a large flattened fluvial plateau with an area of ​​about 2.5 hectares, show the foundations of buildings, and on the surface, there are many fragments of ceramic vessels, pithos, imbrexes and building material. The profile intersected by the construction of the railway Skopje-Gevgelija shows grave structures built of stone slabs of the cyst type. </w:t>
            </w:r>
          </w:p>
        </w:tc>
      </w:tr>
      <w:tr w:rsidR="00062E96" w:rsidRPr="0068236B" w14:paraId="24FED109" w14:textId="77777777" w:rsidTr="00306AD5">
        <w:trPr>
          <w:trHeight w:val="20"/>
          <w:jc w:val="center"/>
        </w:trPr>
        <w:tc>
          <w:tcPr>
            <w:tcW w:w="9384" w:type="dxa"/>
            <w:tcBorders>
              <w:top w:val="single" w:sz="4" w:space="0" w:color="auto"/>
              <w:left w:val="double" w:sz="6" w:space="0" w:color="auto"/>
              <w:bottom w:val="single" w:sz="4" w:space="0" w:color="auto"/>
              <w:right w:val="double" w:sz="6" w:space="0" w:color="auto"/>
            </w:tcBorders>
            <w:vAlign w:val="center"/>
          </w:tcPr>
          <w:p w14:paraId="31A1BDE5" w14:textId="148FB967" w:rsidR="00062E96" w:rsidRPr="0068236B" w:rsidRDefault="00062E96" w:rsidP="003612DF">
            <w:pPr>
              <w:spacing w:before="0" w:after="0" w:line="240" w:lineRule="auto"/>
              <w:rPr>
                <w:rFonts w:cs="Tahoma"/>
                <w:sz w:val="20"/>
                <w:szCs w:val="20"/>
              </w:rPr>
            </w:pPr>
            <w:r w:rsidRPr="0068236B">
              <w:rPr>
                <w:rFonts w:cs="Tahoma"/>
                <w:bCs/>
                <w:sz w:val="20"/>
                <w:szCs w:val="20"/>
              </w:rPr>
              <w:t>Cemetery – Monastery</w:t>
            </w:r>
            <w:r w:rsidR="003612DF" w:rsidRPr="0068236B">
              <w:rPr>
                <w:rFonts w:cs="Tahoma"/>
                <w:bCs/>
                <w:sz w:val="20"/>
                <w:szCs w:val="20"/>
              </w:rPr>
              <w:t>, at distance of approx. 500 m from the proposed location of the new 400/110 kV substation, to east</w:t>
            </w:r>
            <w:r w:rsidRPr="0068236B">
              <w:rPr>
                <w:rFonts w:cs="Tahoma"/>
                <w:bCs/>
                <w:sz w:val="20"/>
                <w:szCs w:val="20"/>
              </w:rPr>
              <w:t xml:space="preserve">. </w:t>
            </w:r>
            <w:r w:rsidRPr="0068236B">
              <w:rPr>
                <w:rFonts w:cs="Tahoma"/>
                <w:sz w:val="20"/>
                <w:szCs w:val="20"/>
              </w:rPr>
              <w:t>Sacred object from Roman times. Located 1.5 km southeast of the village, in the immediate vicinity of the former village cemetery, heaps of building stone and fragments of architectural beams. Fragments of ceramic vessels are also found sporadically</w:t>
            </w:r>
          </w:p>
        </w:tc>
      </w:tr>
      <w:tr w:rsidR="00062E96" w:rsidRPr="0068236B" w14:paraId="236A6388" w14:textId="77777777" w:rsidTr="00306AD5">
        <w:trPr>
          <w:trHeight w:val="20"/>
          <w:jc w:val="center"/>
        </w:trPr>
        <w:tc>
          <w:tcPr>
            <w:tcW w:w="9384" w:type="dxa"/>
            <w:tcBorders>
              <w:top w:val="single" w:sz="4" w:space="0" w:color="auto"/>
              <w:left w:val="double" w:sz="6" w:space="0" w:color="auto"/>
              <w:bottom w:val="single" w:sz="4" w:space="0" w:color="auto"/>
              <w:right w:val="double" w:sz="6" w:space="0" w:color="auto"/>
            </w:tcBorders>
            <w:vAlign w:val="center"/>
          </w:tcPr>
          <w:p w14:paraId="5EA60DC0" w14:textId="7CDDD954" w:rsidR="00062E96" w:rsidRPr="0068236B" w:rsidRDefault="00062E96" w:rsidP="00306AD5">
            <w:pPr>
              <w:spacing w:before="0" w:after="0" w:line="240" w:lineRule="auto"/>
              <w:rPr>
                <w:rFonts w:cs="Tahoma"/>
                <w:bCs/>
                <w:sz w:val="20"/>
                <w:szCs w:val="20"/>
              </w:rPr>
            </w:pPr>
            <w:r w:rsidRPr="0068236B">
              <w:rPr>
                <w:rFonts w:cs="Tahoma"/>
                <w:bCs/>
                <w:sz w:val="20"/>
                <w:szCs w:val="20"/>
              </w:rPr>
              <w:t xml:space="preserve">The vineyards </w:t>
            </w:r>
            <w:r w:rsidR="003612DF" w:rsidRPr="0068236B">
              <w:rPr>
                <w:rFonts w:cs="Tahoma"/>
                <w:bCs/>
                <w:sz w:val="20"/>
                <w:szCs w:val="20"/>
              </w:rPr>
              <w:t>–</w:t>
            </w:r>
            <w:r w:rsidRPr="0068236B">
              <w:rPr>
                <w:rFonts w:cs="Tahoma"/>
                <w:bCs/>
                <w:sz w:val="20"/>
                <w:szCs w:val="20"/>
              </w:rPr>
              <w:t xml:space="preserve"> Dukovec</w:t>
            </w:r>
            <w:r w:rsidR="003612DF" w:rsidRPr="0068236B">
              <w:rPr>
                <w:rFonts w:cs="Tahoma"/>
                <w:bCs/>
                <w:sz w:val="20"/>
                <w:szCs w:val="20"/>
              </w:rPr>
              <w:t>, at distance of approx. 900 m from the proposed location of the new 400/110 kV substation, to east</w:t>
            </w:r>
            <w:r w:rsidRPr="0068236B">
              <w:rPr>
                <w:rFonts w:cs="Tahoma"/>
                <w:bCs/>
                <w:sz w:val="20"/>
                <w:szCs w:val="20"/>
              </w:rPr>
              <w:t xml:space="preserve">. </w:t>
            </w:r>
            <w:r w:rsidRPr="0068236B">
              <w:rPr>
                <w:rFonts w:cs="Tahoma"/>
                <w:sz w:val="20"/>
                <w:szCs w:val="20"/>
              </w:rPr>
              <w:t xml:space="preserve">Water supply system from Roman time, built from tubules was discovered. This system includes two water supply routes that are located at a distance of 1.50 m and a height difference of 0.20 m. According to the direction, it can be concluded that they supplied water to the population from the Gradishor-Mramor deposit. </w:t>
            </w:r>
          </w:p>
        </w:tc>
      </w:tr>
      <w:tr w:rsidR="00062E96" w:rsidRPr="0068236B" w14:paraId="178CFA79" w14:textId="77777777" w:rsidTr="00306AD5">
        <w:trPr>
          <w:trHeight w:val="20"/>
          <w:jc w:val="center"/>
        </w:trPr>
        <w:tc>
          <w:tcPr>
            <w:tcW w:w="9384" w:type="dxa"/>
            <w:tcBorders>
              <w:top w:val="single" w:sz="4" w:space="0" w:color="auto"/>
              <w:left w:val="double" w:sz="6" w:space="0" w:color="auto"/>
              <w:bottom w:val="single" w:sz="4" w:space="0" w:color="auto"/>
              <w:right w:val="double" w:sz="6" w:space="0" w:color="auto"/>
            </w:tcBorders>
            <w:vAlign w:val="center"/>
          </w:tcPr>
          <w:p w14:paraId="437917A5" w14:textId="6F94502A" w:rsidR="00062E96" w:rsidRPr="0068236B" w:rsidRDefault="00062E96" w:rsidP="003612DF">
            <w:pPr>
              <w:spacing w:before="0" w:after="0" w:line="240" w:lineRule="auto"/>
              <w:rPr>
                <w:rFonts w:cs="Tahoma"/>
                <w:bCs/>
                <w:sz w:val="20"/>
                <w:szCs w:val="20"/>
              </w:rPr>
            </w:pPr>
            <w:r w:rsidRPr="0068236B">
              <w:rPr>
                <w:rFonts w:cs="Tahoma"/>
                <w:bCs/>
                <w:sz w:val="20"/>
                <w:szCs w:val="20"/>
              </w:rPr>
              <w:t>Monastery</w:t>
            </w:r>
            <w:r w:rsidR="003612DF" w:rsidRPr="0068236B">
              <w:rPr>
                <w:rFonts w:cs="Tahoma"/>
                <w:bCs/>
                <w:sz w:val="20"/>
                <w:szCs w:val="20"/>
              </w:rPr>
              <w:t>, at distance of approx. 600 m from the proposed location of the new 400/110 kV substation, to east</w:t>
            </w:r>
            <w:r w:rsidRPr="0068236B">
              <w:rPr>
                <w:rFonts w:cs="Tahoma"/>
                <w:bCs/>
                <w:sz w:val="20"/>
                <w:szCs w:val="20"/>
              </w:rPr>
              <w:t xml:space="preserve">. </w:t>
            </w:r>
            <w:r w:rsidRPr="0068236B">
              <w:rPr>
                <w:rFonts w:cs="Tahoma"/>
                <w:sz w:val="20"/>
                <w:szCs w:val="20"/>
              </w:rPr>
              <w:t>Settlement from Roman time. The site is located between the villages of Smokvica and Miletk</w:t>
            </w:r>
            <w:r w:rsidRPr="0068236B">
              <w:rPr>
                <w:rFonts w:cs="Tahoma"/>
                <w:sz w:val="20"/>
                <w:szCs w:val="20"/>
              </w:rPr>
              <w:t>o</w:t>
            </w:r>
            <w:r w:rsidRPr="0068236B">
              <w:rPr>
                <w:rFonts w:cs="Tahoma"/>
                <w:sz w:val="20"/>
                <w:szCs w:val="20"/>
              </w:rPr>
              <w:t>vo, opposite the Isar, not far from the Vardar bridge. Fragments of ceramic vessels and building material can be found in a large area on the surface. Foundations made of stone and lime mortar can also be seen. At this place, according to the data received from the locals, were found: torso of a female statue, profiled marble block and tortured column, which are now placed in the yard of the church of St. Dimitr</w:t>
            </w:r>
            <w:r w:rsidRPr="0068236B">
              <w:rPr>
                <w:rFonts w:cs="Tahoma"/>
                <w:sz w:val="20"/>
                <w:szCs w:val="20"/>
              </w:rPr>
              <w:t>i</w:t>
            </w:r>
            <w:r w:rsidRPr="0068236B">
              <w:rPr>
                <w:rFonts w:cs="Tahoma"/>
                <w:sz w:val="20"/>
                <w:szCs w:val="20"/>
              </w:rPr>
              <w:t>ja in the village of Smokvica.</w:t>
            </w:r>
          </w:p>
        </w:tc>
      </w:tr>
      <w:tr w:rsidR="00062E96" w:rsidRPr="0068236B" w14:paraId="21E636DA" w14:textId="77777777" w:rsidTr="00306AD5">
        <w:trPr>
          <w:trHeight w:val="20"/>
          <w:tblHeader/>
          <w:jc w:val="center"/>
        </w:trPr>
        <w:tc>
          <w:tcPr>
            <w:tcW w:w="9384" w:type="dxa"/>
            <w:tcBorders>
              <w:top w:val="double" w:sz="4" w:space="0" w:color="auto"/>
              <w:left w:val="double" w:sz="6" w:space="0" w:color="auto"/>
              <w:bottom w:val="single" w:sz="4" w:space="0" w:color="auto"/>
              <w:right w:val="double" w:sz="6" w:space="0" w:color="auto"/>
            </w:tcBorders>
            <w:shd w:val="clear" w:color="auto" w:fill="D5DCE4"/>
            <w:hideMark/>
          </w:tcPr>
          <w:p w14:paraId="1671AC28" w14:textId="77777777" w:rsidR="00062E96" w:rsidRPr="0068236B" w:rsidRDefault="00062E96" w:rsidP="00306AD5">
            <w:pPr>
              <w:widowControl w:val="0"/>
              <w:tabs>
                <w:tab w:val="left" w:pos="7600"/>
              </w:tabs>
              <w:spacing w:before="0" w:after="0" w:line="240" w:lineRule="auto"/>
              <w:ind w:right="-14"/>
              <w:rPr>
                <w:rFonts w:cs="Tahoma"/>
                <w:bCs/>
                <w:sz w:val="20"/>
                <w:szCs w:val="20"/>
              </w:rPr>
            </w:pPr>
            <w:r w:rsidRPr="0068236B">
              <w:rPr>
                <w:rFonts w:cs="Tahoma"/>
                <w:bCs/>
                <w:sz w:val="20"/>
                <w:szCs w:val="20"/>
              </w:rPr>
              <w:t>Municipality of Valandovo</w:t>
            </w:r>
          </w:p>
        </w:tc>
      </w:tr>
      <w:tr w:rsidR="00062E96" w:rsidRPr="0068236B" w14:paraId="1578F58C" w14:textId="77777777" w:rsidTr="00306AD5">
        <w:trPr>
          <w:trHeight w:val="20"/>
          <w:jc w:val="center"/>
        </w:trPr>
        <w:tc>
          <w:tcPr>
            <w:tcW w:w="9384" w:type="dxa"/>
            <w:tcBorders>
              <w:top w:val="single" w:sz="4" w:space="0" w:color="auto"/>
              <w:left w:val="double" w:sz="6" w:space="0" w:color="auto"/>
              <w:bottom w:val="single" w:sz="4" w:space="0" w:color="auto"/>
              <w:right w:val="double" w:sz="6" w:space="0" w:color="auto"/>
            </w:tcBorders>
            <w:hideMark/>
          </w:tcPr>
          <w:p w14:paraId="17D30524" w14:textId="77777777" w:rsidR="00062E96" w:rsidRPr="0068236B" w:rsidRDefault="00062E96" w:rsidP="00306AD5">
            <w:pPr>
              <w:widowControl w:val="0"/>
              <w:tabs>
                <w:tab w:val="left" w:pos="7600"/>
              </w:tabs>
              <w:spacing w:before="0" w:after="0" w:line="240" w:lineRule="auto"/>
              <w:rPr>
                <w:rFonts w:cs="Tahoma"/>
                <w:sz w:val="20"/>
                <w:szCs w:val="20"/>
              </w:rPr>
            </w:pPr>
            <w:r w:rsidRPr="0068236B">
              <w:rPr>
                <w:rFonts w:eastAsia="Calibri" w:cs="Tahoma"/>
                <w:bCs/>
                <w:sz w:val="20"/>
                <w:szCs w:val="20"/>
              </w:rPr>
              <w:t>Marvinci</w:t>
            </w:r>
          </w:p>
        </w:tc>
      </w:tr>
      <w:tr w:rsidR="00062E96" w:rsidRPr="0068236B" w14:paraId="3B49B8AB" w14:textId="77777777" w:rsidTr="00306AD5">
        <w:trPr>
          <w:trHeight w:val="58"/>
          <w:jc w:val="center"/>
        </w:trPr>
        <w:tc>
          <w:tcPr>
            <w:tcW w:w="9384" w:type="dxa"/>
            <w:tcBorders>
              <w:top w:val="single" w:sz="4" w:space="0" w:color="auto"/>
              <w:left w:val="double" w:sz="6" w:space="0" w:color="auto"/>
              <w:bottom w:val="double" w:sz="6" w:space="0" w:color="auto"/>
              <w:right w:val="double" w:sz="6" w:space="0" w:color="auto"/>
            </w:tcBorders>
            <w:vAlign w:val="center"/>
          </w:tcPr>
          <w:p w14:paraId="5C70A990" w14:textId="052F3412" w:rsidR="00062E96" w:rsidRPr="0068236B" w:rsidRDefault="00062E96" w:rsidP="00306AD5">
            <w:pPr>
              <w:spacing w:before="0" w:after="0" w:line="240" w:lineRule="auto"/>
              <w:rPr>
                <w:rFonts w:cs="Tahoma"/>
                <w:sz w:val="20"/>
                <w:szCs w:val="20"/>
              </w:rPr>
            </w:pPr>
            <w:r w:rsidRPr="0068236B">
              <w:rPr>
                <w:rFonts w:cs="Tahoma"/>
                <w:bCs/>
                <w:sz w:val="20"/>
                <w:szCs w:val="20"/>
              </w:rPr>
              <w:t xml:space="preserve">Isar, </w:t>
            </w:r>
            <w:r w:rsidRPr="0068236B">
              <w:rPr>
                <w:rFonts w:cs="Tahoma"/>
                <w:sz w:val="20"/>
                <w:szCs w:val="20"/>
              </w:rPr>
              <w:t>Marvinci</w:t>
            </w:r>
            <w:r w:rsidR="003612DF" w:rsidRPr="0068236B">
              <w:rPr>
                <w:rFonts w:cs="Tahoma"/>
                <w:sz w:val="20"/>
                <w:szCs w:val="20"/>
              </w:rPr>
              <w:t xml:space="preserve">, </w:t>
            </w:r>
            <w:r w:rsidR="003612DF" w:rsidRPr="0068236B">
              <w:rPr>
                <w:rFonts w:cs="Tahoma"/>
                <w:bCs/>
                <w:sz w:val="20"/>
                <w:szCs w:val="20"/>
              </w:rPr>
              <w:t>at distance of more than 2,000 m from the proposed location of the new 400/110 kV su</w:t>
            </w:r>
            <w:r w:rsidR="003612DF" w:rsidRPr="0068236B">
              <w:rPr>
                <w:rFonts w:cs="Tahoma"/>
                <w:bCs/>
                <w:sz w:val="20"/>
                <w:szCs w:val="20"/>
              </w:rPr>
              <w:t>b</w:t>
            </w:r>
            <w:r w:rsidR="003612DF" w:rsidRPr="0068236B">
              <w:rPr>
                <w:rFonts w:cs="Tahoma"/>
                <w:bCs/>
                <w:sz w:val="20"/>
                <w:szCs w:val="20"/>
              </w:rPr>
              <w:t>station, to east</w:t>
            </w:r>
            <w:r w:rsidRPr="0068236B">
              <w:rPr>
                <w:rFonts w:cs="Tahoma"/>
                <w:sz w:val="20"/>
                <w:szCs w:val="20"/>
              </w:rPr>
              <w:t>. Settlement and a necropolis with con</w:t>
            </w:r>
            <w:r w:rsidR="00F241E4" w:rsidRPr="0068236B">
              <w:rPr>
                <w:rFonts w:cs="Tahoma"/>
                <w:sz w:val="20"/>
                <w:szCs w:val="20"/>
              </w:rPr>
              <w:t>tinuity from the VII century BC,</w:t>
            </w:r>
            <w:r w:rsidRPr="0068236B">
              <w:rPr>
                <w:rFonts w:cs="Tahoma"/>
                <w:sz w:val="20"/>
                <w:szCs w:val="20"/>
              </w:rPr>
              <w:t xml:space="preserve"> to the VI century AD. It is located next to the village, on its southwestern side, on a very accessible hill with a mag</w:t>
            </w:r>
            <w:r w:rsidR="005F2D44" w:rsidRPr="0068236B">
              <w:rPr>
                <w:rFonts w:cs="Tahoma"/>
                <w:sz w:val="20"/>
                <w:szCs w:val="20"/>
              </w:rPr>
              <w:t>nificent view of the Valandovo</w:t>
            </w:r>
            <w:r w:rsidRPr="0068236B">
              <w:rPr>
                <w:rFonts w:cs="Tahoma"/>
                <w:sz w:val="20"/>
                <w:szCs w:val="20"/>
              </w:rPr>
              <w:t xml:space="preserve"> Valley and the Vardar valley.</w:t>
            </w:r>
          </w:p>
          <w:p w14:paraId="6925F1DF" w14:textId="77777777" w:rsidR="00062E96" w:rsidRPr="0068236B" w:rsidRDefault="00062E96" w:rsidP="00306AD5">
            <w:pPr>
              <w:spacing w:before="0" w:after="0" w:line="240" w:lineRule="auto"/>
              <w:rPr>
                <w:rFonts w:cs="Tahoma"/>
                <w:sz w:val="20"/>
                <w:szCs w:val="20"/>
                <w:u w:val="single"/>
              </w:rPr>
            </w:pPr>
            <w:r w:rsidRPr="0068236B">
              <w:rPr>
                <w:rFonts w:cs="Tahoma"/>
                <w:sz w:val="20"/>
                <w:szCs w:val="20"/>
              </w:rPr>
              <w:t xml:space="preserve">The complexity of the site can be seen in the following </w:t>
            </w:r>
            <w:r w:rsidR="005F2D44" w:rsidRPr="0068236B">
              <w:rPr>
                <w:rFonts w:cs="Tahoma"/>
                <w:sz w:val="20"/>
                <w:szCs w:val="20"/>
              </w:rPr>
              <w:t>archaeological</w:t>
            </w:r>
            <w:r w:rsidRPr="0068236B">
              <w:rPr>
                <w:rFonts w:cs="Tahoma"/>
                <w:sz w:val="20"/>
                <w:szCs w:val="20"/>
              </w:rPr>
              <w:t xml:space="preserve"> units: Acropolis (IV-V century BC); Roman city (I-III century BC); Castrum - fortification (III-IV century BC); Necropolis with findings from all periods.</w:t>
            </w:r>
            <w:r w:rsidRPr="0068236B">
              <w:rPr>
                <w:rFonts w:cs="Tahoma"/>
                <w:sz w:val="20"/>
                <w:szCs w:val="20"/>
                <w:u w:val="single"/>
              </w:rPr>
              <w:t xml:space="preserve"> </w:t>
            </w:r>
          </w:p>
          <w:p w14:paraId="6FBCDBD0" w14:textId="77777777" w:rsidR="00062E96" w:rsidRPr="0068236B" w:rsidRDefault="00062E96" w:rsidP="00306AD5">
            <w:pPr>
              <w:spacing w:before="0" w:after="0" w:line="240" w:lineRule="auto"/>
              <w:rPr>
                <w:rFonts w:cs="Tahoma"/>
                <w:sz w:val="20"/>
                <w:szCs w:val="20"/>
              </w:rPr>
            </w:pPr>
            <w:r w:rsidRPr="0068236B">
              <w:rPr>
                <w:rFonts w:cs="Tahoma"/>
                <w:sz w:val="20"/>
                <w:szCs w:val="20"/>
              </w:rPr>
              <w:t>This site has been declared a cultural heritage site of Macedonia.</w:t>
            </w:r>
          </w:p>
        </w:tc>
      </w:tr>
    </w:tbl>
    <w:p w14:paraId="163E4693" w14:textId="1FC16211" w:rsidR="00062E96" w:rsidRPr="0068236B" w:rsidRDefault="00B71709" w:rsidP="00062E96">
      <w:pPr>
        <w:pStyle w:val="Caption"/>
        <w:spacing w:line="240" w:lineRule="auto"/>
        <w:jc w:val="both"/>
        <w:rPr>
          <w:b w:val="0"/>
          <w:bCs w:val="0"/>
        </w:rPr>
      </w:pPr>
      <w:bookmarkStart w:id="304" w:name="_Toc77348308"/>
      <w:bookmarkStart w:id="305" w:name="_Toc78448836"/>
      <w:bookmarkStart w:id="306" w:name="_Toc113018196"/>
      <w:r w:rsidRPr="0068236B">
        <w:rPr>
          <w:b w:val="0"/>
        </w:rPr>
        <w:t xml:space="preserve">Table </w:t>
      </w:r>
      <w:r w:rsidR="00377E43" w:rsidRPr="0068236B">
        <w:rPr>
          <w:b w:val="0"/>
        </w:rPr>
        <w:fldChar w:fldCharType="begin"/>
      </w:r>
      <w:r w:rsidRPr="0068236B">
        <w:rPr>
          <w:b w:val="0"/>
        </w:rPr>
        <w:instrText xml:space="preserve"> STYLEREF 1 \s </w:instrText>
      </w:r>
      <w:r w:rsidR="00377E43" w:rsidRPr="0068236B">
        <w:rPr>
          <w:b w:val="0"/>
        </w:rPr>
        <w:fldChar w:fldCharType="separate"/>
      </w:r>
      <w:r w:rsidR="00FD57E6">
        <w:rPr>
          <w:b w:val="0"/>
          <w:noProof/>
        </w:rPr>
        <w:t>7</w:t>
      </w:r>
      <w:r w:rsidR="00377E43" w:rsidRPr="0068236B">
        <w:rPr>
          <w:b w:val="0"/>
        </w:rPr>
        <w:fldChar w:fldCharType="end"/>
      </w:r>
      <w:r w:rsidRPr="0068236B">
        <w:rPr>
          <w:b w:val="0"/>
        </w:rPr>
        <w:t>.</w:t>
      </w:r>
      <w:r w:rsidR="00377E43" w:rsidRPr="0068236B">
        <w:rPr>
          <w:b w:val="0"/>
        </w:rPr>
        <w:fldChar w:fldCharType="begin"/>
      </w:r>
      <w:r w:rsidRPr="0068236B">
        <w:rPr>
          <w:b w:val="0"/>
        </w:rPr>
        <w:instrText xml:space="preserve"> SEQ Table \* ARABIC \s 1 </w:instrText>
      </w:r>
      <w:r w:rsidR="00377E43" w:rsidRPr="0068236B">
        <w:rPr>
          <w:b w:val="0"/>
        </w:rPr>
        <w:fldChar w:fldCharType="separate"/>
      </w:r>
      <w:r w:rsidR="00FD57E6">
        <w:rPr>
          <w:b w:val="0"/>
          <w:noProof/>
        </w:rPr>
        <w:t>25</w:t>
      </w:r>
      <w:r w:rsidR="00377E43" w:rsidRPr="0068236B">
        <w:rPr>
          <w:b w:val="0"/>
        </w:rPr>
        <w:fldChar w:fldCharType="end"/>
      </w:r>
      <w:r w:rsidRPr="0068236B">
        <w:rPr>
          <w:b w:val="0"/>
          <w:bCs w:val="0"/>
        </w:rPr>
        <w:t xml:space="preserve">: </w:t>
      </w:r>
      <w:r w:rsidR="00062E96" w:rsidRPr="0068236B">
        <w:rPr>
          <w:b w:val="0"/>
        </w:rPr>
        <w:t xml:space="preserve">Legally protected cultural heritage sites </w:t>
      </w:r>
      <w:r w:rsidR="003F4EFF" w:rsidRPr="0068236B">
        <w:rPr>
          <w:b w:val="0"/>
        </w:rPr>
        <w:t>in proximity</w:t>
      </w:r>
      <w:r w:rsidR="00062E96" w:rsidRPr="0068236B">
        <w:rPr>
          <w:b w:val="0"/>
        </w:rPr>
        <w:t xml:space="preserve"> to the </w:t>
      </w:r>
      <w:r w:rsidR="003F4EFF" w:rsidRPr="0068236B">
        <w:rPr>
          <w:b w:val="0"/>
        </w:rPr>
        <w:t>Project</w:t>
      </w:r>
      <w:bookmarkEnd w:id="304"/>
      <w:bookmarkEnd w:id="305"/>
      <w:bookmarkEnd w:id="306"/>
    </w:p>
    <w:p w14:paraId="6E262FB2" w14:textId="25FE832B" w:rsidR="00062E96" w:rsidRPr="0068236B" w:rsidRDefault="00062E96" w:rsidP="004B0E9E">
      <w:pPr>
        <w:spacing w:before="60" w:after="240" w:line="240" w:lineRule="auto"/>
        <w:jc w:val="left"/>
        <w:rPr>
          <w:rFonts w:cs="Tahoma"/>
          <w:sz w:val="16"/>
          <w:szCs w:val="16"/>
          <w:lang w:val="ru-RU"/>
        </w:rPr>
      </w:pPr>
      <w:r w:rsidRPr="0068236B">
        <w:rPr>
          <w:rFonts w:cs="Tahoma"/>
          <w:bCs/>
          <w:sz w:val="16"/>
          <w:szCs w:val="16"/>
        </w:rPr>
        <w:t>Main Source: Koco Dimce (1996). ‘Archaeological Map of the Republic of Macedonia’ II. Skopje: Macedonian Academy of Sciences and Arts (Коцо, Димче (1996). „Археолошка карта на Република Македонија“. II</w:t>
      </w:r>
      <w:r w:rsidRPr="0068236B">
        <w:rPr>
          <w:rFonts w:cs="Tahoma"/>
          <w:bCs/>
          <w:sz w:val="16"/>
          <w:szCs w:val="16"/>
          <w:lang w:val="ru-RU"/>
        </w:rPr>
        <w:t>. Скопје: Македонска академи</w:t>
      </w:r>
      <w:r w:rsidRPr="0068236B">
        <w:rPr>
          <w:rFonts w:cs="Tahoma"/>
          <w:bCs/>
          <w:sz w:val="16"/>
          <w:szCs w:val="16"/>
        </w:rPr>
        <w:t>j</w:t>
      </w:r>
      <w:r w:rsidRPr="0068236B">
        <w:rPr>
          <w:rFonts w:cs="Tahoma"/>
          <w:bCs/>
          <w:sz w:val="16"/>
          <w:szCs w:val="16"/>
          <w:lang w:val="ru-RU"/>
        </w:rPr>
        <w:t xml:space="preserve">а на науките и уметностите.) </w:t>
      </w:r>
      <w:r w:rsidRPr="0068236B">
        <w:rPr>
          <w:rFonts w:cs="Tahoma"/>
          <w:bCs/>
          <w:sz w:val="16"/>
          <w:szCs w:val="16"/>
        </w:rPr>
        <w:t>ISBN</w:t>
      </w:r>
      <w:r w:rsidRPr="0068236B">
        <w:rPr>
          <w:rFonts w:cs="Tahoma"/>
          <w:bCs/>
          <w:sz w:val="16"/>
          <w:szCs w:val="16"/>
          <w:lang w:val="ru-RU"/>
        </w:rPr>
        <w:t xml:space="preserve"> 9989649286</w:t>
      </w:r>
      <w:r w:rsidR="00BD69AC" w:rsidRPr="0068236B">
        <w:rPr>
          <w:rFonts w:cs="Tahoma"/>
          <w:bCs/>
          <w:sz w:val="16"/>
          <w:szCs w:val="16"/>
          <w:lang w:val="ru-RU"/>
        </w:rPr>
        <w:t xml:space="preserve"> [</w:t>
      </w:r>
      <w:r w:rsidR="00BD69AC" w:rsidRPr="0068236B">
        <w:rPr>
          <w:rFonts w:cs="Tahoma"/>
          <w:bCs/>
          <w:sz w:val="16"/>
          <w:szCs w:val="16"/>
        </w:rPr>
        <w:t>Ref</w:t>
      </w:r>
      <w:r w:rsidR="00BD69AC" w:rsidRPr="0068236B">
        <w:rPr>
          <w:rFonts w:cs="Tahoma"/>
          <w:bCs/>
          <w:sz w:val="16"/>
          <w:szCs w:val="16"/>
          <w:lang w:val="ru-RU"/>
        </w:rPr>
        <w:t>.</w:t>
      </w:r>
      <w:r w:rsidR="004B0E9E" w:rsidRPr="0068236B">
        <w:rPr>
          <w:rFonts w:cs="Tahoma"/>
          <w:bCs/>
          <w:sz w:val="16"/>
          <w:szCs w:val="16"/>
          <w:lang w:val="ru-RU"/>
        </w:rPr>
        <w:t>2</w:t>
      </w:r>
      <w:r w:rsidR="00BD69AC" w:rsidRPr="0068236B">
        <w:rPr>
          <w:rFonts w:cs="Tahoma"/>
          <w:bCs/>
          <w:sz w:val="16"/>
          <w:szCs w:val="16"/>
          <w:lang w:val="ru-RU"/>
        </w:rPr>
        <w:t>1]</w:t>
      </w:r>
    </w:p>
    <w:bookmarkEnd w:id="303"/>
    <w:p w14:paraId="011557E6" w14:textId="77777777" w:rsidR="0083101A" w:rsidRPr="0068236B" w:rsidRDefault="0083101A">
      <w:pPr>
        <w:spacing w:before="0" w:after="0" w:line="240" w:lineRule="auto"/>
        <w:jc w:val="left"/>
        <w:rPr>
          <w:rFonts w:cs="Tahoma"/>
          <w:sz w:val="20"/>
          <w:szCs w:val="20"/>
          <w:lang w:val="ru-RU" w:eastAsia="zh-CN"/>
        </w:rPr>
      </w:pPr>
      <w:r w:rsidRPr="0068236B">
        <w:rPr>
          <w:rFonts w:cs="Tahoma"/>
          <w:sz w:val="20"/>
          <w:szCs w:val="20"/>
          <w:lang w:val="ru-RU" w:eastAsia="zh-CN"/>
        </w:rPr>
        <w:br w:type="page"/>
      </w:r>
    </w:p>
    <w:p w14:paraId="2AD9C642" w14:textId="443E0B42" w:rsidR="0083101A" w:rsidRPr="0068236B" w:rsidRDefault="001F02D9" w:rsidP="00E44ED8">
      <w:pPr>
        <w:pStyle w:val="Heading1"/>
      </w:pPr>
      <w:bookmarkStart w:id="307" w:name="_Toc71559745"/>
      <w:bookmarkStart w:id="308" w:name="_Toc112852258"/>
      <w:r w:rsidRPr="0068236B">
        <w:lastRenderedPageBreak/>
        <w:t>Environmental Impacts</w:t>
      </w:r>
      <w:bookmarkEnd w:id="307"/>
      <w:r w:rsidRPr="0068236B">
        <w:t xml:space="preserve"> and Mitigation</w:t>
      </w:r>
      <w:bookmarkEnd w:id="308"/>
    </w:p>
    <w:p w14:paraId="6A922CBA" w14:textId="34164956" w:rsidR="000D2DB3" w:rsidRPr="0068236B" w:rsidRDefault="000D2DB3" w:rsidP="003F0D91">
      <w:pPr>
        <w:pStyle w:val="Heading2"/>
        <w:spacing w:before="480" w:after="240"/>
        <w:ind w:left="576" w:hanging="576"/>
        <w:rPr>
          <w:rFonts w:cs="Arial"/>
          <w:szCs w:val="28"/>
        </w:rPr>
      </w:pPr>
      <w:bookmarkStart w:id="309" w:name="_Toc112852259"/>
      <w:bookmarkStart w:id="310" w:name="_Toc86826663"/>
      <w:r w:rsidRPr="0068236B">
        <w:rPr>
          <w:rFonts w:cs="Arial"/>
          <w:szCs w:val="28"/>
        </w:rPr>
        <w:t>Climate Resilience</w:t>
      </w:r>
      <w:bookmarkEnd w:id="309"/>
    </w:p>
    <w:p w14:paraId="63997214" w14:textId="213ED8C0" w:rsidR="003F0D91" w:rsidRPr="0068236B" w:rsidRDefault="000D2DB3" w:rsidP="000D2DB3">
      <w:pPr>
        <w:pStyle w:val="Heading3"/>
      </w:pPr>
      <w:bookmarkStart w:id="311" w:name="_Toc112852260"/>
      <w:r w:rsidRPr="0068236B">
        <w:t>Study Area</w:t>
      </w:r>
      <w:bookmarkEnd w:id="311"/>
    </w:p>
    <w:p w14:paraId="2A3E029F" w14:textId="77777777" w:rsidR="000D2DB3" w:rsidRPr="0068236B" w:rsidRDefault="000D2DB3" w:rsidP="000D2DB3">
      <w:pPr>
        <w:autoSpaceDE w:val="0"/>
        <w:autoSpaceDN w:val="0"/>
        <w:adjustRightInd w:val="0"/>
        <w:rPr>
          <w:rFonts w:cs="Tahoma"/>
          <w:sz w:val="20"/>
          <w:szCs w:val="20"/>
        </w:rPr>
      </w:pPr>
      <w:r w:rsidRPr="0068236B">
        <w:rPr>
          <w:rFonts w:cs="Tahoma"/>
          <w:sz w:val="20"/>
          <w:szCs w:val="20"/>
        </w:rPr>
        <w:t>The study area for the climate resilience assessment covers all elements (assets and infrastructure) which constitute the operational phase of the Project.</w:t>
      </w:r>
    </w:p>
    <w:p w14:paraId="4EACB911" w14:textId="466F4B15" w:rsidR="000D2DB3" w:rsidRPr="0068236B" w:rsidRDefault="000D2DB3" w:rsidP="000D2DB3">
      <w:pPr>
        <w:pStyle w:val="Heading3"/>
        <w:rPr>
          <w:rFonts w:cs="Tahoma"/>
        </w:rPr>
      </w:pPr>
      <w:bookmarkStart w:id="312" w:name="_Toc112852261"/>
      <w:r w:rsidRPr="0068236B">
        <w:rPr>
          <w:rFonts w:cs="Tahoma"/>
        </w:rPr>
        <w:t>Assessment Methodology</w:t>
      </w:r>
      <w:bookmarkEnd w:id="312"/>
    </w:p>
    <w:p w14:paraId="2203A189" w14:textId="5F0D2B6A" w:rsidR="000D2DB3" w:rsidRPr="0068236B" w:rsidRDefault="000D2DB3" w:rsidP="000D2DB3">
      <w:pPr>
        <w:pStyle w:val="NumBodyText"/>
        <w:tabs>
          <w:tab w:val="clear" w:pos="0"/>
        </w:tabs>
        <w:ind w:firstLine="0"/>
        <w:jc w:val="both"/>
        <w:rPr>
          <w:rFonts w:ascii="Tahoma" w:hAnsi="Tahoma" w:cs="Tahoma"/>
          <w:sz w:val="20"/>
          <w:szCs w:val="20"/>
        </w:rPr>
      </w:pPr>
      <w:r w:rsidRPr="0068236B">
        <w:rPr>
          <w:rFonts w:ascii="Tahoma" w:hAnsi="Tahoma" w:cs="Tahoma"/>
          <w:sz w:val="20"/>
          <w:szCs w:val="20"/>
        </w:rPr>
        <w:t>The assessment of the climate resilience of the Project has been carried out by taking into consideration the risk and vulnerability associated with the climate variables identified as part of the future climate baseline. It included the following:</w:t>
      </w:r>
    </w:p>
    <w:p w14:paraId="0058BD45" w14:textId="77777777" w:rsidR="000D2DB3" w:rsidRPr="0068236B" w:rsidRDefault="000D2DB3" w:rsidP="00D24CEF">
      <w:pPr>
        <w:pStyle w:val="ListBullet"/>
        <w:numPr>
          <w:ilvl w:val="0"/>
          <w:numId w:val="75"/>
        </w:numPr>
        <w:spacing w:before="120" w:after="120"/>
        <w:contextualSpacing/>
        <w:jc w:val="left"/>
        <w:rPr>
          <w:rFonts w:cs="Tahoma"/>
          <w:sz w:val="20"/>
          <w:szCs w:val="20"/>
        </w:rPr>
      </w:pPr>
      <w:r w:rsidRPr="0068236B">
        <w:rPr>
          <w:rFonts w:cs="Tahoma"/>
          <w:sz w:val="20"/>
          <w:szCs w:val="20"/>
        </w:rPr>
        <w:t>Identification of climate variables to which the Project is vulnerable, based on sensitivity and exposure of its structural elements.</w:t>
      </w:r>
    </w:p>
    <w:p w14:paraId="6761B1E4" w14:textId="77777777" w:rsidR="000D2DB3" w:rsidRPr="0068236B" w:rsidRDefault="000D2DB3" w:rsidP="00D24CEF">
      <w:pPr>
        <w:pStyle w:val="ListBullet"/>
        <w:numPr>
          <w:ilvl w:val="0"/>
          <w:numId w:val="75"/>
        </w:numPr>
        <w:spacing w:before="120" w:after="120"/>
        <w:contextualSpacing/>
        <w:jc w:val="left"/>
        <w:rPr>
          <w:rFonts w:cs="Tahoma"/>
          <w:sz w:val="20"/>
          <w:szCs w:val="20"/>
        </w:rPr>
      </w:pPr>
      <w:r w:rsidRPr="0068236B">
        <w:rPr>
          <w:rFonts w:cs="Tahoma"/>
          <w:sz w:val="20"/>
          <w:szCs w:val="20"/>
        </w:rPr>
        <w:t>Assessment of impacts associated with climate variables to which the Project is vulnerable, and identification of their significance.</w:t>
      </w:r>
    </w:p>
    <w:p w14:paraId="29F27004" w14:textId="77777777" w:rsidR="000D2DB3" w:rsidRPr="0068236B" w:rsidRDefault="000D2DB3" w:rsidP="00D24CEF">
      <w:pPr>
        <w:pStyle w:val="ListBullet"/>
        <w:numPr>
          <w:ilvl w:val="0"/>
          <w:numId w:val="75"/>
        </w:numPr>
        <w:spacing w:before="120" w:after="120"/>
        <w:contextualSpacing/>
        <w:jc w:val="left"/>
        <w:rPr>
          <w:rFonts w:cs="Tahoma"/>
          <w:sz w:val="20"/>
          <w:szCs w:val="20"/>
        </w:rPr>
      </w:pPr>
      <w:r w:rsidRPr="0068236B">
        <w:rPr>
          <w:rFonts w:cs="Tahoma"/>
          <w:sz w:val="20"/>
          <w:szCs w:val="20"/>
        </w:rPr>
        <w:t>Identification of mitigation measures already incorporated into the present level of the Project design (design-based measures).</w:t>
      </w:r>
    </w:p>
    <w:p w14:paraId="54C018CD" w14:textId="77777777" w:rsidR="000D2DB3" w:rsidRPr="0068236B" w:rsidRDefault="000D2DB3" w:rsidP="00D24CEF">
      <w:pPr>
        <w:pStyle w:val="ListBullet"/>
        <w:numPr>
          <w:ilvl w:val="0"/>
          <w:numId w:val="75"/>
        </w:numPr>
        <w:spacing w:before="120" w:after="120"/>
        <w:contextualSpacing/>
        <w:jc w:val="left"/>
        <w:rPr>
          <w:rFonts w:cs="Tahoma"/>
          <w:sz w:val="20"/>
          <w:szCs w:val="20"/>
        </w:rPr>
      </w:pPr>
      <w:r w:rsidRPr="0068236B">
        <w:rPr>
          <w:rFonts w:cs="Tahoma"/>
          <w:sz w:val="20"/>
          <w:szCs w:val="20"/>
        </w:rPr>
        <w:t>Identification of additional mitigation measures to address any residual climate effects.</w:t>
      </w:r>
    </w:p>
    <w:p w14:paraId="68845805" w14:textId="77777777" w:rsidR="000D2DB3" w:rsidRPr="0068236B" w:rsidRDefault="000D2DB3" w:rsidP="000D2DB3">
      <w:pPr>
        <w:ind w:firstLine="720"/>
        <w:rPr>
          <w:rFonts w:cs="Tahoma"/>
          <w:sz w:val="20"/>
          <w:szCs w:val="20"/>
          <w:u w:val="single"/>
        </w:rPr>
      </w:pPr>
      <w:r w:rsidRPr="0068236B">
        <w:rPr>
          <w:rFonts w:cs="Tahoma"/>
          <w:sz w:val="20"/>
          <w:szCs w:val="20"/>
          <w:u w:val="single"/>
        </w:rPr>
        <w:t>Vulnerability of the Project to Climate Change</w:t>
      </w:r>
    </w:p>
    <w:p w14:paraId="3831B912" w14:textId="5AEE8110" w:rsidR="000D2DB3" w:rsidRPr="0068236B" w:rsidRDefault="000D2DB3" w:rsidP="000D2DB3">
      <w:pPr>
        <w:pStyle w:val="NumBodyText"/>
        <w:tabs>
          <w:tab w:val="clear" w:pos="0"/>
        </w:tabs>
        <w:ind w:firstLine="0"/>
        <w:jc w:val="both"/>
        <w:rPr>
          <w:rFonts w:ascii="Tahoma" w:hAnsi="Tahoma" w:cs="Tahoma"/>
          <w:sz w:val="20"/>
          <w:szCs w:val="20"/>
        </w:rPr>
      </w:pPr>
      <w:r w:rsidRPr="0068236B">
        <w:rPr>
          <w:rFonts w:ascii="Tahoma" w:hAnsi="Tahoma" w:cs="Tahoma"/>
          <w:sz w:val="20"/>
          <w:szCs w:val="20"/>
        </w:rPr>
        <w:t xml:space="preserve">Vulnerability of the Project to climate change is considered as a function on the sensitivity of the Project to a climate variable </w:t>
      </w:r>
      <w:r w:rsidR="007B2123" w:rsidRPr="0068236B">
        <w:rPr>
          <w:rFonts w:ascii="Tahoma" w:hAnsi="Tahoma" w:cs="Tahoma"/>
          <w:sz w:val="20"/>
          <w:szCs w:val="20"/>
        </w:rPr>
        <w:t xml:space="preserve">(how sensitive the Project is to the climate hazard) </w:t>
      </w:r>
      <w:r w:rsidRPr="0068236B">
        <w:rPr>
          <w:rFonts w:ascii="Tahoma" w:hAnsi="Tahoma" w:cs="Tahoma"/>
          <w:sz w:val="20"/>
          <w:szCs w:val="20"/>
        </w:rPr>
        <w:t xml:space="preserve">and exposure of the Project to change in the variable </w:t>
      </w:r>
      <w:r w:rsidR="007B2123" w:rsidRPr="0068236B">
        <w:rPr>
          <w:rFonts w:ascii="Tahoma" w:hAnsi="Tahoma" w:cs="Tahoma"/>
          <w:sz w:val="20"/>
          <w:szCs w:val="20"/>
        </w:rPr>
        <w:t xml:space="preserve">(the probability of the climate hazard occurring at the project location now and in the future) </w:t>
      </w:r>
      <w:r w:rsidRPr="0068236B">
        <w:rPr>
          <w:rFonts w:ascii="Tahoma" w:hAnsi="Tahoma" w:cs="Tahoma"/>
          <w:sz w:val="20"/>
          <w:szCs w:val="20"/>
        </w:rPr>
        <w:t>(see Section</w:t>
      </w:r>
      <w:r w:rsidR="00E91B14" w:rsidRPr="0068236B">
        <w:rPr>
          <w:rFonts w:ascii="Tahoma" w:hAnsi="Tahoma" w:cs="Tahoma"/>
          <w:sz w:val="20"/>
          <w:szCs w:val="20"/>
        </w:rPr>
        <w:t xml:space="preserve"> 7.1.1</w:t>
      </w:r>
      <w:r w:rsidRPr="0068236B">
        <w:rPr>
          <w:rFonts w:ascii="Tahoma" w:hAnsi="Tahoma" w:cs="Tahoma"/>
          <w:sz w:val="20"/>
          <w:szCs w:val="20"/>
        </w:rPr>
        <w:t>).</w:t>
      </w:r>
    </w:p>
    <w:p w14:paraId="6695A7AD" w14:textId="7AF805E9" w:rsidR="000D2DB3" w:rsidRPr="0068236B" w:rsidRDefault="000D2DB3" w:rsidP="000D2DB3">
      <w:pPr>
        <w:pStyle w:val="NumBodyText"/>
        <w:tabs>
          <w:tab w:val="clear" w:pos="0"/>
        </w:tabs>
        <w:ind w:firstLine="0"/>
        <w:jc w:val="both"/>
        <w:rPr>
          <w:rFonts w:ascii="Tahoma" w:hAnsi="Tahoma" w:cs="Tahoma"/>
          <w:sz w:val="20"/>
          <w:szCs w:val="20"/>
        </w:rPr>
      </w:pPr>
      <w:r w:rsidRPr="0068236B">
        <w:rPr>
          <w:rFonts w:ascii="Tahoma" w:hAnsi="Tahoma" w:cs="Tahoma"/>
          <w:sz w:val="20"/>
          <w:szCs w:val="20"/>
        </w:rPr>
        <w:t xml:space="preserve">The sensitivity and exposure of the Project to climate variables have been qualitatively evaluated based on information for similar types of projects as this transmission </w:t>
      </w:r>
      <w:r w:rsidR="005E6643" w:rsidRPr="0068236B">
        <w:rPr>
          <w:rFonts w:ascii="Tahoma" w:hAnsi="Tahoma" w:cs="Tahoma"/>
          <w:sz w:val="20"/>
          <w:szCs w:val="20"/>
        </w:rPr>
        <w:t>infrastructure</w:t>
      </w:r>
      <w:r w:rsidRPr="0068236B">
        <w:rPr>
          <w:rFonts w:ascii="Tahoma" w:hAnsi="Tahoma" w:cs="Tahoma"/>
          <w:sz w:val="20"/>
          <w:szCs w:val="20"/>
        </w:rPr>
        <w:t xml:space="preserve"> development project and available in literature by using the following rating scale and matrix (Table below):</w:t>
      </w:r>
    </w:p>
    <w:p w14:paraId="164E8446" w14:textId="3EB184B5" w:rsidR="000D2DB3" w:rsidRPr="0068236B" w:rsidRDefault="000D2DB3" w:rsidP="00D24CEF">
      <w:pPr>
        <w:pStyle w:val="ListBullet"/>
        <w:numPr>
          <w:ilvl w:val="0"/>
          <w:numId w:val="75"/>
        </w:numPr>
        <w:spacing w:before="120" w:after="120"/>
        <w:rPr>
          <w:rFonts w:cs="Tahoma"/>
          <w:sz w:val="20"/>
          <w:szCs w:val="20"/>
        </w:rPr>
      </w:pPr>
      <w:r w:rsidRPr="0068236B">
        <w:rPr>
          <w:rFonts w:cs="Tahoma"/>
          <w:sz w:val="20"/>
          <w:szCs w:val="20"/>
        </w:rPr>
        <w:t>High: high climate sensitivity or exposure.</w:t>
      </w:r>
      <w:r w:rsidR="00A313E5" w:rsidRPr="0068236B">
        <w:rPr>
          <w:rFonts w:cs="Tahoma"/>
          <w:sz w:val="20"/>
          <w:szCs w:val="20"/>
        </w:rPr>
        <w:t xml:space="preserve"> </w:t>
      </w:r>
    </w:p>
    <w:p w14:paraId="5D351E89" w14:textId="77777777" w:rsidR="000D2DB3" w:rsidRPr="0068236B" w:rsidRDefault="000D2DB3" w:rsidP="00D24CEF">
      <w:pPr>
        <w:pStyle w:val="ListBullet"/>
        <w:numPr>
          <w:ilvl w:val="0"/>
          <w:numId w:val="75"/>
        </w:numPr>
        <w:spacing w:before="120" w:after="120"/>
        <w:rPr>
          <w:rFonts w:cs="Tahoma"/>
          <w:sz w:val="20"/>
          <w:szCs w:val="20"/>
        </w:rPr>
      </w:pPr>
      <w:r w:rsidRPr="0068236B">
        <w:rPr>
          <w:rFonts w:cs="Tahoma"/>
          <w:sz w:val="20"/>
          <w:szCs w:val="20"/>
        </w:rPr>
        <w:t>Moderate: medium climate sensitivity or exposure.</w:t>
      </w:r>
    </w:p>
    <w:p w14:paraId="59E154F2" w14:textId="23D48785" w:rsidR="000D2DB3" w:rsidRPr="0068236B" w:rsidRDefault="000D2DB3" w:rsidP="00D24CEF">
      <w:pPr>
        <w:pStyle w:val="ListBullet"/>
        <w:numPr>
          <w:ilvl w:val="0"/>
          <w:numId w:val="75"/>
        </w:numPr>
        <w:spacing w:before="120" w:after="120"/>
        <w:rPr>
          <w:rFonts w:cs="Tahoma"/>
          <w:sz w:val="20"/>
          <w:szCs w:val="20"/>
        </w:rPr>
      </w:pPr>
      <w:r w:rsidRPr="0068236B">
        <w:rPr>
          <w:rFonts w:cs="Tahoma"/>
          <w:sz w:val="20"/>
          <w:szCs w:val="20"/>
        </w:rPr>
        <w:t>Low: no significant climate sensitivity or exposure.</w:t>
      </w:r>
      <w:r w:rsidR="00562E86" w:rsidRPr="0068236B">
        <w:rPr>
          <w:rFonts w:cs="Tahoma"/>
          <w:sz w:val="20"/>
          <w:szCs w:val="20"/>
        </w:rPr>
        <w:t xml:space="preserve"> </w:t>
      </w:r>
    </w:p>
    <w:tbl>
      <w:tblPr>
        <w:tblStyle w:val="WSP"/>
        <w:tblW w:w="39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Look w:val="04A0" w:firstRow="1" w:lastRow="0" w:firstColumn="1" w:lastColumn="0" w:noHBand="0" w:noVBand="1"/>
      </w:tblPr>
      <w:tblGrid>
        <w:gridCol w:w="1686"/>
        <w:gridCol w:w="2024"/>
        <w:gridCol w:w="2024"/>
        <w:gridCol w:w="2027"/>
      </w:tblGrid>
      <w:tr w:rsidR="000D2DB3" w:rsidRPr="00230397" w14:paraId="226548BE" w14:textId="77777777" w:rsidTr="000D2DB3">
        <w:trPr>
          <w:cnfStyle w:val="100000000000" w:firstRow="1" w:lastRow="0" w:firstColumn="0" w:lastColumn="0" w:oddVBand="0" w:evenVBand="0" w:oddHBand="0" w:evenHBand="0" w:firstRowFirstColumn="0" w:firstRowLastColumn="0" w:lastRowFirstColumn="0" w:lastRowLastColumn="0"/>
          <w:trHeight w:val="113"/>
        </w:trPr>
        <w:tc>
          <w:tcPr>
            <w:tcW w:w="1086" w:type="pct"/>
            <w:vMerge w:val="restart"/>
            <w:shd w:val="clear" w:color="auto" w:fill="44697D"/>
            <w:vAlign w:val="center"/>
            <w:hideMark/>
          </w:tcPr>
          <w:p w14:paraId="5FED92E5" w14:textId="77777777" w:rsidR="000D2DB3" w:rsidRPr="00230397" w:rsidRDefault="000D2DB3" w:rsidP="000D2DB3">
            <w:pPr>
              <w:pStyle w:val="TableHeading"/>
              <w:spacing w:before="0" w:after="0" w:line="240" w:lineRule="auto"/>
              <w:jc w:val="center"/>
              <w:rPr>
                <w:rFonts w:ascii="Tahoma" w:hAnsi="Tahoma" w:cs="Tahoma"/>
                <w:color w:val="auto"/>
                <w:sz w:val="20"/>
              </w:rPr>
            </w:pPr>
            <w:r w:rsidRPr="00230397">
              <w:rPr>
                <w:rFonts w:ascii="Tahoma" w:hAnsi="Tahoma" w:cs="Tahoma"/>
                <w:color w:val="auto"/>
                <w:sz w:val="20"/>
              </w:rPr>
              <w:t>Sensitivity</w:t>
            </w:r>
          </w:p>
        </w:tc>
        <w:tc>
          <w:tcPr>
            <w:tcW w:w="3914" w:type="pct"/>
            <w:gridSpan w:val="3"/>
            <w:shd w:val="clear" w:color="auto" w:fill="44697D"/>
            <w:hideMark/>
          </w:tcPr>
          <w:p w14:paraId="382945BE" w14:textId="77777777" w:rsidR="000D2DB3" w:rsidRPr="00230397" w:rsidRDefault="000D2DB3" w:rsidP="000D2DB3">
            <w:pPr>
              <w:pStyle w:val="TableHeading"/>
              <w:spacing w:before="0" w:after="0" w:line="240" w:lineRule="auto"/>
              <w:jc w:val="center"/>
              <w:rPr>
                <w:rFonts w:ascii="Tahoma" w:hAnsi="Tahoma" w:cs="Tahoma"/>
                <w:color w:val="auto"/>
                <w:sz w:val="20"/>
              </w:rPr>
            </w:pPr>
            <w:r w:rsidRPr="00230397">
              <w:rPr>
                <w:rFonts w:ascii="Tahoma" w:hAnsi="Tahoma" w:cs="Tahoma"/>
                <w:color w:val="auto"/>
                <w:sz w:val="20"/>
              </w:rPr>
              <w:t>Exposure</w:t>
            </w:r>
          </w:p>
        </w:tc>
      </w:tr>
      <w:tr w:rsidR="000D2DB3" w:rsidRPr="00230397" w14:paraId="472B1878" w14:textId="77777777" w:rsidTr="000D2DB3">
        <w:trPr>
          <w:cnfStyle w:val="000000100000" w:firstRow="0" w:lastRow="0" w:firstColumn="0" w:lastColumn="0" w:oddVBand="0" w:evenVBand="0" w:oddHBand="1" w:evenHBand="0" w:firstRowFirstColumn="0" w:firstRowLastColumn="0" w:lastRowFirstColumn="0" w:lastRowLastColumn="0"/>
          <w:trHeight w:val="113"/>
        </w:trPr>
        <w:tc>
          <w:tcPr>
            <w:tcW w:w="1086" w:type="pct"/>
            <w:vMerge/>
            <w:shd w:val="clear" w:color="auto" w:fill="auto"/>
            <w:hideMark/>
          </w:tcPr>
          <w:p w14:paraId="22A455C6" w14:textId="77777777" w:rsidR="000D2DB3" w:rsidRPr="00230397" w:rsidRDefault="000D2DB3" w:rsidP="000D2DB3">
            <w:pPr>
              <w:spacing w:before="0" w:after="0" w:line="240" w:lineRule="auto"/>
              <w:rPr>
                <w:rFonts w:cs="Tahoma"/>
                <w:color w:val="auto"/>
                <w:sz w:val="20"/>
                <w:szCs w:val="20"/>
              </w:rPr>
            </w:pPr>
          </w:p>
        </w:tc>
        <w:tc>
          <w:tcPr>
            <w:tcW w:w="1304" w:type="pct"/>
            <w:shd w:val="clear" w:color="auto" w:fill="BFBFBF" w:themeFill="background1" w:themeFillShade="BF"/>
            <w:hideMark/>
          </w:tcPr>
          <w:p w14:paraId="157B61FA" w14:textId="77777777" w:rsidR="000D2DB3" w:rsidRPr="00230397" w:rsidRDefault="000D2DB3" w:rsidP="000D2DB3">
            <w:pPr>
              <w:pStyle w:val="TableHeading"/>
              <w:spacing w:before="0" w:after="0" w:line="240" w:lineRule="auto"/>
              <w:jc w:val="center"/>
              <w:rPr>
                <w:rFonts w:ascii="Tahoma" w:hAnsi="Tahoma" w:cs="Tahoma"/>
                <w:color w:val="auto"/>
                <w:sz w:val="20"/>
              </w:rPr>
            </w:pPr>
            <w:r w:rsidRPr="00230397">
              <w:rPr>
                <w:rFonts w:ascii="Tahoma" w:hAnsi="Tahoma" w:cs="Tahoma"/>
                <w:color w:val="auto"/>
                <w:sz w:val="20"/>
              </w:rPr>
              <w:t>Low</w:t>
            </w:r>
          </w:p>
        </w:tc>
        <w:tc>
          <w:tcPr>
            <w:tcW w:w="1304" w:type="pct"/>
            <w:shd w:val="clear" w:color="auto" w:fill="BFBFBF" w:themeFill="background1" w:themeFillShade="BF"/>
            <w:hideMark/>
          </w:tcPr>
          <w:p w14:paraId="396A6D84" w14:textId="77777777" w:rsidR="000D2DB3" w:rsidRPr="00230397" w:rsidRDefault="000D2DB3" w:rsidP="000D2DB3">
            <w:pPr>
              <w:pStyle w:val="TableHeading"/>
              <w:spacing w:before="0" w:after="0" w:line="240" w:lineRule="auto"/>
              <w:jc w:val="center"/>
              <w:rPr>
                <w:rFonts w:ascii="Tahoma" w:hAnsi="Tahoma" w:cs="Tahoma"/>
                <w:color w:val="auto"/>
                <w:sz w:val="20"/>
              </w:rPr>
            </w:pPr>
            <w:r w:rsidRPr="00230397">
              <w:rPr>
                <w:rFonts w:ascii="Tahoma" w:hAnsi="Tahoma" w:cs="Tahoma"/>
                <w:color w:val="auto"/>
                <w:sz w:val="20"/>
              </w:rPr>
              <w:t>Medium</w:t>
            </w:r>
          </w:p>
        </w:tc>
        <w:tc>
          <w:tcPr>
            <w:tcW w:w="1306" w:type="pct"/>
            <w:shd w:val="clear" w:color="auto" w:fill="BFBFBF" w:themeFill="background1" w:themeFillShade="BF"/>
            <w:hideMark/>
          </w:tcPr>
          <w:p w14:paraId="42F8358C" w14:textId="77777777" w:rsidR="000D2DB3" w:rsidRPr="00230397" w:rsidRDefault="000D2DB3" w:rsidP="000D2DB3">
            <w:pPr>
              <w:pStyle w:val="TableHeading"/>
              <w:spacing w:before="0" w:after="0" w:line="240" w:lineRule="auto"/>
              <w:jc w:val="center"/>
              <w:rPr>
                <w:rFonts w:ascii="Tahoma" w:hAnsi="Tahoma" w:cs="Tahoma"/>
                <w:color w:val="auto"/>
                <w:sz w:val="20"/>
              </w:rPr>
            </w:pPr>
            <w:r w:rsidRPr="00230397">
              <w:rPr>
                <w:rFonts w:ascii="Tahoma" w:hAnsi="Tahoma" w:cs="Tahoma"/>
                <w:color w:val="auto"/>
                <w:sz w:val="20"/>
              </w:rPr>
              <w:t>High</w:t>
            </w:r>
          </w:p>
        </w:tc>
      </w:tr>
      <w:tr w:rsidR="000D2DB3" w:rsidRPr="00230397" w14:paraId="0DA02B43" w14:textId="77777777" w:rsidTr="000D2DB3">
        <w:trPr>
          <w:trHeight w:val="113"/>
        </w:trPr>
        <w:tc>
          <w:tcPr>
            <w:tcW w:w="1086" w:type="pct"/>
            <w:shd w:val="clear" w:color="auto" w:fill="BFBFBF" w:themeFill="background1" w:themeFillShade="BF"/>
            <w:hideMark/>
          </w:tcPr>
          <w:p w14:paraId="5B56A0EA" w14:textId="77777777" w:rsidR="000D2DB3" w:rsidRPr="00230397" w:rsidRDefault="000D2DB3" w:rsidP="000D2DB3">
            <w:pPr>
              <w:pStyle w:val="TableText"/>
              <w:spacing w:after="0" w:line="240" w:lineRule="auto"/>
              <w:jc w:val="both"/>
              <w:rPr>
                <w:rFonts w:ascii="Tahoma" w:hAnsi="Tahoma" w:cs="Tahoma"/>
                <w:color w:val="auto"/>
                <w:sz w:val="20"/>
                <w:szCs w:val="20"/>
              </w:rPr>
            </w:pPr>
            <w:r w:rsidRPr="00230397">
              <w:rPr>
                <w:rFonts w:ascii="Tahoma" w:hAnsi="Tahoma" w:cs="Tahoma"/>
                <w:color w:val="auto"/>
                <w:sz w:val="20"/>
                <w:szCs w:val="20"/>
              </w:rPr>
              <w:t>Low</w:t>
            </w:r>
          </w:p>
        </w:tc>
        <w:tc>
          <w:tcPr>
            <w:tcW w:w="1304" w:type="pct"/>
            <w:shd w:val="clear" w:color="auto" w:fill="auto"/>
            <w:hideMark/>
          </w:tcPr>
          <w:p w14:paraId="25680B60" w14:textId="77777777" w:rsidR="000D2DB3" w:rsidRPr="00230397" w:rsidRDefault="000D2DB3" w:rsidP="000D2DB3">
            <w:pPr>
              <w:pStyle w:val="TableText"/>
              <w:tabs>
                <w:tab w:val="center" w:pos="1052"/>
              </w:tabs>
              <w:spacing w:after="0" w:line="240" w:lineRule="auto"/>
              <w:jc w:val="center"/>
              <w:rPr>
                <w:rFonts w:ascii="Tahoma" w:hAnsi="Tahoma" w:cs="Tahoma"/>
                <w:color w:val="auto"/>
                <w:sz w:val="20"/>
                <w:szCs w:val="20"/>
              </w:rPr>
            </w:pPr>
            <w:r w:rsidRPr="00230397">
              <w:rPr>
                <w:rFonts w:ascii="Tahoma" w:hAnsi="Tahoma" w:cs="Tahoma"/>
                <w:color w:val="auto"/>
                <w:sz w:val="20"/>
                <w:szCs w:val="20"/>
              </w:rPr>
              <w:t>Low</w:t>
            </w:r>
          </w:p>
        </w:tc>
        <w:tc>
          <w:tcPr>
            <w:tcW w:w="1304" w:type="pct"/>
            <w:shd w:val="clear" w:color="auto" w:fill="auto"/>
            <w:hideMark/>
          </w:tcPr>
          <w:p w14:paraId="2389179A" w14:textId="77777777" w:rsidR="000D2DB3" w:rsidRPr="00230397" w:rsidRDefault="000D2DB3" w:rsidP="000D2DB3">
            <w:pPr>
              <w:pStyle w:val="TableText"/>
              <w:spacing w:after="0" w:line="240" w:lineRule="auto"/>
              <w:jc w:val="center"/>
              <w:rPr>
                <w:rFonts w:ascii="Tahoma" w:hAnsi="Tahoma" w:cs="Tahoma"/>
                <w:color w:val="auto"/>
                <w:sz w:val="20"/>
                <w:szCs w:val="20"/>
              </w:rPr>
            </w:pPr>
            <w:r w:rsidRPr="00230397">
              <w:rPr>
                <w:rFonts w:ascii="Tahoma" w:hAnsi="Tahoma" w:cs="Tahoma"/>
                <w:color w:val="auto"/>
                <w:sz w:val="20"/>
                <w:szCs w:val="20"/>
              </w:rPr>
              <w:t>Low</w:t>
            </w:r>
          </w:p>
        </w:tc>
        <w:tc>
          <w:tcPr>
            <w:tcW w:w="1306" w:type="pct"/>
            <w:shd w:val="clear" w:color="auto" w:fill="auto"/>
            <w:hideMark/>
          </w:tcPr>
          <w:p w14:paraId="5D5B2B7C" w14:textId="77777777" w:rsidR="000D2DB3" w:rsidRPr="00230397" w:rsidRDefault="000D2DB3" w:rsidP="000D2DB3">
            <w:pPr>
              <w:pStyle w:val="TableText"/>
              <w:spacing w:after="0" w:line="240" w:lineRule="auto"/>
              <w:jc w:val="center"/>
              <w:rPr>
                <w:rFonts w:ascii="Tahoma" w:hAnsi="Tahoma" w:cs="Tahoma"/>
                <w:color w:val="auto"/>
                <w:sz w:val="20"/>
                <w:szCs w:val="20"/>
              </w:rPr>
            </w:pPr>
            <w:r w:rsidRPr="00230397">
              <w:rPr>
                <w:rFonts w:ascii="Tahoma" w:hAnsi="Tahoma" w:cs="Tahoma"/>
                <w:color w:val="auto"/>
                <w:sz w:val="20"/>
                <w:szCs w:val="20"/>
              </w:rPr>
              <w:t>Low</w:t>
            </w:r>
          </w:p>
        </w:tc>
      </w:tr>
      <w:tr w:rsidR="000D2DB3" w:rsidRPr="00230397" w14:paraId="749BF77B" w14:textId="77777777" w:rsidTr="000D2DB3">
        <w:trPr>
          <w:cnfStyle w:val="000000100000" w:firstRow="0" w:lastRow="0" w:firstColumn="0" w:lastColumn="0" w:oddVBand="0" w:evenVBand="0" w:oddHBand="1" w:evenHBand="0" w:firstRowFirstColumn="0" w:firstRowLastColumn="0" w:lastRowFirstColumn="0" w:lastRowLastColumn="0"/>
          <w:trHeight w:val="113"/>
        </w:trPr>
        <w:tc>
          <w:tcPr>
            <w:tcW w:w="1086" w:type="pct"/>
            <w:shd w:val="clear" w:color="auto" w:fill="BFBFBF" w:themeFill="background1" w:themeFillShade="BF"/>
            <w:hideMark/>
          </w:tcPr>
          <w:p w14:paraId="54A85C71" w14:textId="77777777" w:rsidR="000D2DB3" w:rsidRPr="00230397" w:rsidRDefault="000D2DB3" w:rsidP="000D2DB3">
            <w:pPr>
              <w:pStyle w:val="TableText"/>
              <w:spacing w:after="0" w:line="240" w:lineRule="auto"/>
              <w:jc w:val="both"/>
              <w:rPr>
                <w:rFonts w:ascii="Tahoma" w:hAnsi="Tahoma" w:cs="Tahoma"/>
                <w:color w:val="auto"/>
                <w:sz w:val="20"/>
                <w:szCs w:val="20"/>
              </w:rPr>
            </w:pPr>
            <w:r w:rsidRPr="00230397">
              <w:rPr>
                <w:rFonts w:ascii="Tahoma" w:hAnsi="Tahoma" w:cs="Tahoma"/>
                <w:color w:val="auto"/>
                <w:sz w:val="20"/>
                <w:szCs w:val="20"/>
              </w:rPr>
              <w:t xml:space="preserve">Medium </w:t>
            </w:r>
          </w:p>
        </w:tc>
        <w:tc>
          <w:tcPr>
            <w:tcW w:w="1304" w:type="pct"/>
            <w:shd w:val="clear" w:color="auto" w:fill="auto"/>
            <w:hideMark/>
          </w:tcPr>
          <w:p w14:paraId="59EF303E" w14:textId="77777777" w:rsidR="000D2DB3" w:rsidRPr="00230397" w:rsidRDefault="000D2DB3" w:rsidP="000D2DB3">
            <w:pPr>
              <w:spacing w:before="0" w:after="0" w:line="240" w:lineRule="auto"/>
              <w:jc w:val="center"/>
              <w:rPr>
                <w:rFonts w:cs="Tahoma"/>
                <w:color w:val="auto"/>
                <w:sz w:val="20"/>
                <w:szCs w:val="20"/>
              </w:rPr>
            </w:pPr>
            <w:r w:rsidRPr="00230397">
              <w:rPr>
                <w:rFonts w:cs="Tahoma"/>
                <w:color w:val="auto"/>
                <w:sz w:val="20"/>
                <w:szCs w:val="20"/>
              </w:rPr>
              <w:t>Low</w:t>
            </w:r>
          </w:p>
        </w:tc>
        <w:tc>
          <w:tcPr>
            <w:tcW w:w="1304" w:type="pct"/>
            <w:shd w:val="clear" w:color="auto" w:fill="auto"/>
            <w:hideMark/>
          </w:tcPr>
          <w:p w14:paraId="481AA885" w14:textId="77777777" w:rsidR="000D2DB3" w:rsidRPr="00230397" w:rsidRDefault="000D2DB3" w:rsidP="000D2DB3">
            <w:pPr>
              <w:pStyle w:val="TableText"/>
              <w:spacing w:after="0" w:line="240" w:lineRule="auto"/>
              <w:jc w:val="center"/>
              <w:rPr>
                <w:rFonts w:ascii="Tahoma" w:hAnsi="Tahoma" w:cs="Tahoma"/>
                <w:color w:val="auto"/>
                <w:sz w:val="20"/>
                <w:szCs w:val="20"/>
              </w:rPr>
            </w:pPr>
            <w:r w:rsidRPr="00230397">
              <w:rPr>
                <w:rFonts w:ascii="Tahoma" w:hAnsi="Tahoma" w:cs="Tahoma"/>
                <w:color w:val="auto"/>
                <w:sz w:val="20"/>
                <w:szCs w:val="20"/>
              </w:rPr>
              <w:t>Moderate</w:t>
            </w:r>
          </w:p>
        </w:tc>
        <w:tc>
          <w:tcPr>
            <w:tcW w:w="1306" w:type="pct"/>
            <w:shd w:val="clear" w:color="auto" w:fill="auto"/>
            <w:hideMark/>
          </w:tcPr>
          <w:p w14:paraId="41BFC2AB" w14:textId="77777777" w:rsidR="000D2DB3" w:rsidRPr="00230397" w:rsidRDefault="000D2DB3" w:rsidP="000D2DB3">
            <w:pPr>
              <w:pStyle w:val="TableText"/>
              <w:spacing w:after="0" w:line="240" w:lineRule="auto"/>
              <w:jc w:val="center"/>
              <w:rPr>
                <w:rFonts w:ascii="Tahoma" w:hAnsi="Tahoma" w:cs="Tahoma"/>
                <w:color w:val="auto"/>
                <w:sz w:val="20"/>
                <w:szCs w:val="20"/>
              </w:rPr>
            </w:pPr>
            <w:r w:rsidRPr="00230397">
              <w:rPr>
                <w:rFonts w:ascii="Tahoma" w:hAnsi="Tahoma" w:cs="Tahoma"/>
                <w:color w:val="auto"/>
                <w:sz w:val="20"/>
                <w:szCs w:val="20"/>
              </w:rPr>
              <w:t>Moderate</w:t>
            </w:r>
          </w:p>
        </w:tc>
      </w:tr>
      <w:tr w:rsidR="000D2DB3" w:rsidRPr="00230397" w14:paraId="6E2C108D" w14:textId="77777777" w:rsidTr="000D2DB3">
        <w:trPr>
          <w:trHeight w:val="113"/>
        </w:trPr>
        <w:tc>
          <w:tcPr>
            <w:tcW w:w="1086" w:type="pct"/>
            <w:shd w:val="clear" w:color="auto" w:fill="BFBFBF" w:themeFill="background1" w:themeFillShade="BF"/>
            <w:hideMark/>
          </w:tcPr>
          <w:p w14:paraId="1E720FF7" w14:textId="77777777" w:rsidR="000D2DB3" w:rsidRPr="00230397" w:rsidRDefault="000D2DB3" w:rsidP="000D2DB3">
            <w:pPr>
              <w:pStyle w:val="TableText"/>
              <w:spacing w:after="0" w:line="240" w:lineRule="auto"/>
              <w:jc w:val="both"/>
              <w:rPr>
                <w:rFonts w:ascii="Tahoma" w:hAnsi="Tahoma" w:cs="Tahoma"/>
                <w:color w:val="auto"/>
                <w:sz w:val="20"/>
                <w:szCs w:val="20"/>
              </w:rPr>
            </w:pPr>
            <w:r w:rsidRPr="00230397">
              <w:rPr>
                <w:rFonts w:ascii="Tahoma" w:hAnsi="Tahoma" w:cs="Tahoma"/>
                <w:color w:val="auto"/>
                <w:sz w:val="20"/>
                <w:szCs w:val="20"/>
              </w:rPr>
              <w:t xml:space="preserve">High </w:t>
            </w:r>
          </w:p>
        </w:tc>
        <w:tc>
          <w:tcPr>
            <w:tcW w:w="1304" w:type="pct"/>
            <w:shd w:val="clear" w:color="auto" w:fill="auto"/>
            <w:hideMark/>
          </w:tcPr>
          <w:p w14:paraId="18DB27F6" w14:textId="77777777" w:rsidR="000D2DB3" w:rsidRPr="00230397" w:rsidRDefault="000D2DB3" w:rsidP="000D2DB3">
            <w:pPr>
              <w:spacing w:before="0" w:after="0" w:line="240" w:lineRule="auto"/>
              <w:jc w:val="center"/>
              <w:rPr>
                <w:rFonts w:cs="Tahoma"/>
                <w:color w:val="auto"/>
                <w:sz w:val="20"/>
                <w:szCs w:val="20"/>
              </w:rPr>
            </w:pPr>
            <w:r w:rsidRPr="00230397">
              <w:rPr>
                <w:rFonts w:cs="Tahoma"/>
                <w:color w:val="auto"/>
                <w:sz w:val="20"/>
                <w:szCs w:val="20"/>
              </w:rPr>
              <w:t>Low</w:t>
            </w:r>
          </w:p>
        </w:tc>
        <w:tc>
          <w:tcPr>
            <w:tcW w:w="1304" w:type="pct"/>
            <w:shd w:val="clear" w:color="auto" w:fill="auto"/>
            <w:hideMark/>
          </w:tcPr>
          <w:p w14:paraId="2A98C8CF" w14:textId="77777777" w:rsidR="000D2DB3" w:rsidRPr="00230397" w:rsidRDefault="000D2DB3" w:rsidP="000D2DB3">
            <w:pPr>
              <w:pStyle w:val="TableText"/>
              <w:spacing w:after="0" w:line="240" w:lineRule="auto"/>
              <w:jc w:val="center"/>
              <w:rPr>
                <w:rFonts w:ascii="Tahoma" w:hAnsi="Tahoma" w:cs="Tahoma"/>
                <w:color w:val="auto"/>
                <w:sz w:val="20"/>
                <w:szCs w:val="20"/>
              </w:rPr>
            </w:pPr>
            <w:r w:rsidRPr="00230397">
              <w:rPr>
                <w:rFonts w:ascii="Tahoma" w:hAnsi="Tahoma" w:cs="Tahoma"/>
                <w:color w:val="auto"/>
                <w:sz w:val="20"/>
                <w:szCs w:val="20"/>
              </w:rPr>
              <w:t>Moderate</w:t>
            </w:r>
          </w:p>
        </w:tc>
        <w:tc>
          <w:tcPr>
            <w:tcW w:w="1306" w:type="pct"/>
            <w:shd w:val="clear" w:color="auto" w:fill="auto"/>
            <w:hideMark/>
          </w:tcPr>
          <w:p w14:paraId="425C68C4" w14:textId="77777777" w:rsidR="000D2DB3" w:rsidRPr="00230397" w:rsidRDefault="000D2DB3" w:rsidP="000D2DB3">
            <w:pPr>
              <w:pStyle w:val="TableText"/>
              <w:spacing w:after="0" w:line="240" w:lineRule="auto"/>
              <w:jc w:val="center"/>
              <w:rPr>
                <w:rFonts w:ascii="Tahoma" w:hAnsi="Tahoma" w:cs="Tahoma"/>
                <w:color w:val="auto"/>
                <w:sz w:val="20"/>
                <w:szCs w:val="20"/>
              </w:rPr>
            </w:pPr>
            <w:r w:rsidRPr="00230397">
              <w:rPr>
                <w:rFonts w:ascii="Tahoma" w:hAnsi="Tahoma" w:cs="Tahoma"/>
                <w:color w:val="auto"/>
                <w:sz w:val="20"/>
                <w:szCs w:val="20"/>
              </w:rPr>
              <w:t>High</w:t>
            </w:r>
          </w:p>
        </w:tc>
      </w:tr>
    </w:tbl>
    <w:p w14:paraId="2B83D9E6" w14:textId="24B681EA" w:rsidR="000D2DB3" w:rsidRPr="0068236B" w:rsidRDefault="000D2DB3" w:rsidP="000D2DB3">
      <w:pPr>
        <w:pStyle w:val="NumBodyText"/>
        <w:tabs>
          <w:tab w:val="clear" w:pos="0"/>
        </w:tabs>
        <w:spacing w:after="240"/>
        <w:ind w:firstLine="0"/>
        <w:jc w:val="both"/>
        <w:rPr>
          <w:rFonts w:ascii="Tahoma" w:hAnsi="Tahoma" w:cs="Tahoma"/>
          <w:sz w:val="18"/>
          <w:szCs w:val="18"/>
        </w:rPr>
      </w:pPr>
      <w:bookmarkStart w:id="313" w:name="_Toc66476809"/>
      <w:bookmarkStart w:id="314" w:name="_Toc113018197"/>
      <w:r w:rsidRPr="0068236B">
        <w:rPr>
          <w:rFonts w:ascii="Tahoma" w:hAnsi="Tahoma" w:cs="Tahoma"/>
          <w:sz w:val="18"/>
          <w:szCs w:val="18"/>
        </w:rPr>
        <w:t xml:space="preserve">Table </w:t>
      </w:r>
      <w:r w:rsidRPr="0068236B">
        <w:rPr>
          <w:rFonts w:ascii="Tahoma" w:hAnsi="Tahoma" w:cs="Tahoma"/>
          <w:sz w:val="18"/>
          <w:szCs w:val="18"/>
        </w:rPr>
        <w:fldChar w:fldCharType="begin"/>
      </w:r>
      <w:r w:rsidRPr="0068236B">
        <w:rPr>
          <w:rFonts w:ascii="Tahoma" w:hAnsi="Tahoma" w:cs="Tahoma"/>
          <w:sz w:val="18"/>
          <w:szCs w:val="18"/>
        </w:rPr>
        <w:instrText xml:space="preserve"> STYLEREF 1 \s </w:instrText>
      </w:r>
      <w:r w:rsidRPr="0068236B">
        <w:rPr>
          <w:rFonts w:ascii="Tahoma" w:hAnsi="Tahoma" w:cs="Tahoma"/>
          <w:sz w:val="18"/>
          <w:szCs w:val="18"/>
        </w:rPr>
        <w:fldChar w:fldCharType="separate"/>
      </w:r>
      <w:r w:rsidR="00FD57E6">
        <w:rPr>
          <w:rFonts w:ascii="Tahoma" w:hAnsi="Tahoma" w:cs="Tahoma"/>
          <w:noProof/>
          <w:sz w:val="18"/>
          <w:szCs w:val="18"/>
        </w:rPr>
        <w:t>8</w:t>
      </w:r>
      <w:r w:rsidRPr="0068236B">
        <w:rPr>
          <w:rFonts w:ascii="Tahoma" w:hAnsi="Tahoma" w:cs="Tahoma"/>
          <w:sz w:val="18"/>
          <w:szCs w:val="18"/>
        </w:rPr>
        <w:fldChar w:fldCharType="end"/>
      </w:r>
      <w:r w:rsidR="0087135B" w:rsidRPr="0068236B">
        <w:rPr>
          <w:rFonts w:ascii="Tahoma" w:hAnsi="Tahoma" w:cs="Tahoma"/>
          <w:sz w:val="18"/>
          <w:szCs w:val="18"/>
        </w:rPr>
        <w:t>.</w:t>
      </w:r>
      <w:r w:rsidRPr="0068236B">
        <w:rPr>
          <w:rFonts w:ascii="Tahoma" w:hAnsi="Tahoma" w:cs="Tahoma"/>
          <w:sz w:val="18"/>
          <w:szCs w:val="18"/>
        </w:rPr>
        <w:fldChar w:fldCharType="begin"/>
      </w:r>
      <w:r w:rsidRPr="0068236B">
        <w:rPr>
          <w:rFonts w:ascii="Tahoma" w:hAnsi="Tahoma" w:cs="Tahoma"/>
          <w:sz w:val="18"/>
          <w:szCs w:val="18"/>
        </w:rPr>
        <w:instrText xml:space="preserve"> SEQ Table \* ARABIC \s 1 </w:instrText>
      </w:r>
      <w:r w:rsidRPr="0068236B">
        <w:rPr>
          <w:rFonts w:ascii="Tahoma" w:hAnsi="Tahoma" w:cs="Tahoma"/>
          <w:sz w:val="18"/>
          <w:szCs w:val="18"/>
        </w:rPr>
        <w:fldChar w:fldCharType="separate"/>
      </w:r>
      <w:r w:rsidR="00FD57E6">
        <w:rPr>
          <w:rFonts w:ascii="Tahoma" w:hAnsi="Tahoma" w:cs="Tahoma"/>
          <w:noProof/>
          <w:sz w:val="18"/>
          <w:szCs w:val="18"/>
        </w:rPr>
        <w:t>1</w:t>
      </w:r>
      <w:r w:rsidRPr="0068236B">
        <w:rPr>
          <w:rFonts w:ascii="Tahoma" w:hAnsi="Tahoma" w:cs="Tahoma"/>
          <w:sz w:val="18"/>
          <w:szCs w:val="18"/>
        </w:rPr>
        <w:fldChar w:fldCharType="end"/>
      </w:r>
      <w:r w:rsidRPr="0068236B">
        <w:rPr>
          <w:rFonts w:ascii="Tahoma" w:hAnsi="Tahoma" w:cs="Tahoma"/>
          <w:bCs/>
          <w:sz w:val="18"/>
          <w:szCs w:val="18"/>
        </w:rPr>
        <w:t>: V</w:t>
      </w:r>
      <w:r w:rsidRPr="0068236B">
        <w:rPr>
          <w:rFonts w:ascii="Tahoma" w:hAnsi="Tahoma" w:cs="Tahoma"/>
          <w:sz w:val="18"/>
          <w:szCs w:val="18"/>
        </w:rPr>
        <w:t>ulnerability matrix</w:t>
      </w:r>
      <w:bookmarkEnd w:id="313"/>
      <w:bookmarkEnd w:id="314"/>
    </w:p>
    <w:p w14:paraId="7C4B1CF3" w14:textId="2CC9C281" w:rsidR="000D2DB3" w:rsidRPr="0068236B" w:rsidRDefault="000D2DB3" w:rsidP="000D2DB3">
      <w:pPr>
        <w:pStyle w:val="NumBodyText"/>
        <w:tabs>
          <w:tab w:val="clear" w:pos="0"/>
        </w:tabs>
        <w:ind w:firstLine="0"/>
        <w:jc w:val="both"/>
        <w:rPr>
          <w:rFonts w:ascii="Tahoma" w:hAnsi="Tahoma" w:cs="Tahoma"/>
          <w:sz w:val="20"/>
          <w:szCs w:val="20"/>
        </w:rPr>
      </w:pPr>
      <w:r w:rsidRPr="0068236B">
        <w:rPr>
          <w:rFonts w:ascii="Tahoma" w:hAnsi="Tahoma" w:cs="Tahoma"/>
          <w:sz w:val="20"/>
          <w:szCs w:val="20"/>
        </w:rPr>
        <w:t>The outcome of this stage of the assessment is a list of climate variables for each Project element to take forward for further assessment. ‘Low’ vulnerabilities will not be considered further. ‘High’ and ‘Moderate’ vulnerabilities will be assessed further.</w:t>
      </w:r>
      <w:r w:rsidR="00A313E5" w:rsidRPr="0068236B">
        <w:rPr>
          <w:rFonts w:ascii="Tahoma" w:hAnsi="Tahoma" w:cs="Tahoma"/>
          <w:sz w:val="20"/>
          <w:szCs w:val="20"/>
        </w:rPr>
        <w:t xml:space="preserve"> </w:t>
      </w:r>
    </w:p>
    <w:p w14:paraId="64715167" w14:textId="77777777" w:rsidR="00B32824" w:rsidRPr="0068236B" w:rsidRDefault="00B32824">
      <w:pPr>
        <w:spacing w:before="0" w:after="0" w:line="240" w:lineRule="auto"/>
        <w:jc w:val="left"/>
        <w:rPr>
          <w:rFonts w:cs="Tahoma"/>
          <w:sz w:val="20"/>
          <w:szCs w:val="20"/>
          <w:u w:val="single"/>
        </w:rPr>
      </w:pPr>
      <w:r w:rsidRPr="0068236B">
        <w:rPr>
          <w:rFonts w:cs="Tahoma"/>
          <w:sz w:val="20"/>
          <w:szCs w:val="20"/>
          <w:u w:val="single"/>
        </w:rPr>
        <w:br w:type="page"/>
      </w:r>
    </w:p>
    <w:p w14:paraId="68A292A8" w14:textId="749DCA93" w:rsidR="000D2DB3" w:rsidRPr="0068236B" w:rsidRDefault="000D2DB3" w:rsidP="000D2DB3">
      <w:pPr>
        <w:ind w:firstLine="720"/>
        <w:rPr>
          <w:rFonts w:cs="Tahoma"/>
          <w:sz w:val="20"/>
          <w:szCs w:val="20"/>
          <w:u w:val="single"/>
        </w:rPr>
      </w:pPr>
      <w:r w:rsidRPr="0068236B">
        <w:rPr>
          <w:rFonts w:cs="Tahoma"/>
          <w:sz w:val="20"/>
          <w:szCs w:val="20"/>
          <w:u w:val="single"/>
        </w:rPr>
        <w:lastRenderedPageBreak/>
        <w:t>Impact Significance</w:t>
      </w:r>
    </w:p>
    <w:p w14:paraId="3FE124F4" w14:textId="1E1858E5" w:rsidR="000D2DB3" w:rsidRPr="0068236B" w:rsidRDefault="000D2DB3" w:rsidP="000D2DB3">
      <w:pPr>
        <w:pStyle w:val="NumBodyText"/>
        <w:tabs>
          <w:tab w:val="clear" w:pos="0"/>
        </w:tabs>
        <w:ind w:firstLine="0"/>
        <w:jc w:val="both"/>
        <w:rPr>
          <w:rFonts w:ascii="Tahoma" w:hAnsi="Tahoma" w:cs="Tahoma"/>
          <w:sz w:val="20"/>
          <w:szCs w:val="20"/>
        </w:rPr>
      </w:pPr>
      <w:r w:rsidRPr="0068236B">
        <w:rPr>
          <w:rFonts w:ascii="Tahoma" w:hAnsi="Tahoma" w:cs="Tahoma"/>
          <w:sz w:val="20"/>
          <w:szCs w:val="20"/>
        </w:rPr>
        <w:t xml:space="preserve">For </w:t>
      </w:r>
      <w:r w:rsidR="00701ED6" w:rsidRPr="0068236B">
        <w:rPr>
          <w:rFonts w:ascii="Tahoma" w:hAnsi="Tahoma" w:cs="Tahoma"/>
          <w:sz w:val="20"/>
          <w:szCs w:val="20"/>
        </w:rPr>
        <w:t xml:space="preserve">the </w:t>
      </w:r>
      <w:r w:rsidRPr="0068236B">
        <w:rPr>
          <w:rFonts w:ascii="Tahoma" w:hAnsi="Tahoma" w:cs="Tahoma"/>
          <w:sz w:val="20"/>
          <w:szCs w:val="20"/>
        </w:rPr>
        <w:t xml:space="preserve">Project, the significance of impact associated with the climate variables to which it is considered vulnerable </w:t>
      </w:r>
      <w:r w:rsidR="00701ED6" w:rsidRPr="0068236B">
        <w:rPr>
          <w:rFonts w:ascii="Tahoma" w:hAnsi="Tahoma" w:cs="Tahoma"/>
          <w:sz w:val="20"/>
          <w:szCs w:val="20"/>
        </w:rPr>
        <w:t>has</w:t>
      </w:r>
      <w:r w:rsidRPr="0068236B">
        <w:rPr>
          <w:rFonts w:ascii="Tahoma" w:hAnsi="Tahoma" w:cs="Tahoma"/>
          <w:sz w:val="20"/>
          <w:szCs w:val="20"/>
        </w:rPr>
        <w:t xml:space="preserve"> been assessed. This has been done by considering the likelihood and consequence of the potential impacts. </w:t>
      </w:r>
    </w:p>
    <w:p w14:paraId="3B536A06" w14:textId="30C776D9" w:rsidR="000D2DB3" w:rsidRPr="0068236B" w:rsidRDefault="000D2DB3" w:rsidP="000D2DB3">
      <w:pPr>
        <w:pStyle w:val="NumBodyText"/>
        <w:tabs>
          <w:tab w:val="clear" w:pos="0"/>
        </w:tabs>
        <w:ind w:firstLine="0"/>
        <w:jc w:val="both"/>
        <w:rPr>
          <w:rFonts w:ascii="Tahoma" w:hAnsi="Tahoma" w:cs="Tahoma"/>
          <w:sz w:val="20"/>
          <w:szCs w:val="20"/>
        </w:rPr>
      </w:pPr>
      <w:r w:rsidRPr="0068236B">
        <w:rPr>
          <w:rFonts w:ascii="Tahoma" w:hAnsi="Tahoma" w:cs="Tahoma"/>
          <w:sz w:val="20"/>
          <w:szCs w:val="20"/>
        </w:rPr>
        <w:t xml:space="preserve">Likelihood and consequence have been qualitatively evaluated by using specific descriptors (Table below) which are based on information for similar types of projects as this transmission development project and </w:t>
      </w:r>
      <w:r w:rsidR="00E91B14" w:rsidRPr="0068236B">
        <w:rPr>
          <w:rFonts w:ascii="Tahoma" w:hAnsi="Tahoma" w:cs="Tahoma"/>
          <w:sz w:val="20"/>
          <w:szCs w:val="20"/>
        </w:rPr>
        <w:t xml:space="preserve">good international practice and </w:t>
      </w:r>
      <w:r w:rsidRPr="0068236B">
        <w:rPr>
          <w:rFonts w:ascii="Tahoma" w:hAnsi="Tahoma" w:cs="Tahoma"/>
          <w:sz w:val="20"/>
          <w:szCs w:val="20"/>
        </w:rPr>
        <w:t>relevant guidance</w:t>
      </w:r>
      <w:r w:rsidR="00E91B14" w:rsidRPr="0068236B">
        <w:rPr>
          <w:rFonts w:ascii="Tahoma" w:hAnsi="Tahoma" w:cs="Tahoma"/>
          <w:sz w:val="20"/>
          <w:szCs w:val="20"/>
        </w:rPr>
        <w:t>s</w:t>
      </w:r>
      <w:r w:rsidRPr="0068236B">
        <w:rPr>
          <w:rFonts w:ascii="Tahoma" w:hAnsi="Tahoma" w:cs="Tahoma"/>
          <w:sz w:val="20"/>
          <w:szCs w:val="20"/>
        </w:rPr>
        <w:t>.</w:t>
      </w:r>
    </w:p>
    <w:tbl>
      <w:tblPr>
        <w:tblStyle w:val="WSP"/>
        <w:tblW w:w="412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Look w:val="04A0" w:firstRow="1" w:lastRow="0" w:firstColumn="1" w:lastColumn="0" w:noHBand="0" w:noVBand="1"/>
      </w:tblPr>
      <w:tblGrid>
        <w:gridCol w:w="1854"/>
        <w:gridCol w:w="6197"/>
      </w:tblGrid>
      <w:tr w:rsidR="000D2DB3" w:rsidRPr="00230397" w14:paraId="2ABC6262" w14:textId="77777777" w:rsidTr="000D2DB3">
        <w:trPr>
          <w:cnfStyle w:val="100000000000" w:firstRow="1" w:lastRow="0" w:firstColumn="0" w:lastColumn="0" w:oddVBand="0" w:evenVBand="0" w:oddHBand="0" w:evenHBand="0" w:firstRowFirstColumn="0" w:firstRowLastColumn="0" w:lastRowFirstColumn="0" w:lastRowLastColumn="0"/>
          <w:trHeight w:val="170"/>
        </w:trPr>
        <w:tc>
          <w:tcPr>
            <w:tcW w:w="1854" w:type="dxa"/>
            <w:shd w:val="clear" w:color="auto" w:fill="44697D"/>
            <w:hideMark/>
          </w:tcPr>
          <w:p w14:paraId="3A71BE4C" w14:textId="77777777" w:rsidR="000D2DB3" w:rsidRPr="00230397" w:rsidRDefault="000D2DB3" w:rsidP="000D2DB3">
            <w:pPr>
              <w:pStyle w:val="TableHeading"/>
              <w:tabs>
                <w:tab w:val="left" w:pos="0"/>
              </w:tabs>
              <w:spacing w:before="0" w:after="0" w:line="240" w:lineRule="auto"/>
              <w:rPr>
                <w:rFonts w:ascii="Tahoma" w:hAnsi="Tahoma" w:cs="Tahoma"/>
                <w:color w:val="auto"/>
                <w:sz w:val="20"/>
              </w:rPr>
            </w:pPr>
            <w:r w:rsidRPr="00230397">
              <w:rPr>
                <w:rFonts w:ascii="Tahoma" w:hAnsi="Tahoma" w:cs="Tahoma"/>
                <w:color w:val="auto"/>
                <w:sz w:val="20"/>
              </w:rPr>
              <w:t>Likelihood category</w:t>
            </w:r>
          </w:p>
        </w:tc>
        <w:tc>
          <w:tcPr>
            <w:tcW w:w="6197" w:type="dxa"/>
            <w:shd w:val="clear" w:color="auto" w:fill="44697D"/>
            <w:vAlign w:val="center"/>
            <w:hideMark/>
          </w:tcPr>
          <w:p w14:paraId="389E44A6" w14:textId="77777777" w:rsidR="000D2DB3" w:rsidRPr="00230397" w:rsidRDefault="000D2DB3" w:rsidP="000D2DB3">
            <w:pPr>
              <w:pStyle w:val="TableHeading"/>
              <w:tabs>
                <w:tab w:val="left" w:pos="0"/>
              </w:tabs>
              <w:spacing w:before="0" w:after="0" w:line="240" w:lineRule="auto"/>
              <w:rPr>
                <w:rFonts w:ascii="Tahoma" w:hAnsi="Tahoma" w:cs="Tahoma"/>
                <w:color w:val="auto"/>
                <w:sz w:val="20"/>
              </w:rPr>
            </w:pPr>
            <w:r w:rsidRPr="00230397">
              <w:rPr>
                <w:rFonts w:ascii="Tahoma" w:hAnsi="Tahoma" w:cs="Tahoma"/>
                <w:color w:val="auto"/>
                <w:sz w:val="20"/>
              </w:rPr>
              <w:t>Description (probability and frequency of occurrence)</w:t>
            </w:r>
          </w:p>
        </w:tc>
      </w:tr>
      <w:tr w:rsidR="000D2DB3" w:rsidRPr="00230397" w14:paraId="609A1A7D" w14:textId="77777777" w:rsidTr="000D2DB3">
        <w:trPr>
          <w:cnfStyle w:val="000000100000" w:firstRow="0" w:lastRow="0" w:firstColumn="0" w:lastColumn="0" w:oddVBand="0" w:evenVBand="0" w:oddHBand="1" w:evenHBand="0" w:firstRowFirstColumn="0" w:firstRowLastColumn="0" w:lastRowFirstColumn="0" w:lastRowLastColumn="0"/>
          <w:trHeight w:val="483"/>
        </w:trPr>
        <w:tc>
          <w:tcPr>
            <w:tcW w:w="1854" w:type="dxa"/>
            <w:shd w:val="clear" w:color="auto" w:fill="auto"/>
            <w:hideMark/>
          </w:tcPr>
          <w:p w14:paraId="1817076C" w14:textId="77777777" w:rsidR="000D2DB3" w:rsidRPr="00230397" w:rsidRDefault="000D2DB3" w:rsidP="000D2DB3">
            <w:pPr>
              <w:pStyle w:val="TableText"/>
              <w:tabs>
                <w:tab w:val="left" w:pos="0"/>
              </w:tabs>
              <w:spacing w:after="0" w:line="240" w:lineRule="auto"/>
              <w:jc w:val="both"/>
              <w:rPr>
                <w:rFonts w:ascii="Tahoma" w:hAnsi="Tahoma" w:cs="Tahoma"/>
                <w:color w:val="auto"/>
                <w:sz w:val="20"/>
                <w:szCs w:val="20"/>
              </w:rPr>
            </w:pPr>
            <w:r w:rsidRPr="00230397">
              <w:rPr>
                <w:rFonts w:ascii="Tahoma" w:hAnsi="Tahoma" w:cs="Tahoma"/>
                <w:color w:val="auto"/>
                <w:sz w:val="20"/>
                <w:szCs w:val="20"/>
              </w:rPr>
              <w:t>Very high</w:t>
            </w:r>
          </w:p>
        </w:tc>
        <w:tc>
          <w:tcPr>
            <w:tcW w:w="6197" w:type="dxa"/>
            <w:shd w:val="clear" w:color="auto" w:fill="auto"/>
            <w:hideMark/>
          </w:tcPr>
          <w:p w14:paraId="46846817" w14:textId="77777777" w:rsidR="000D2DB3" w:rsidRPr="00230397" w:rsidRDefault="000D2DB3" w:rsidP="000D2DB3">
            <w:pPr>
              <w:pStyle w:val="TableText"/>
              <w:tabs>
                <w:tab w:val="left" w:pos="0"/>
              </w:tabs>
              <w:spacing w:after="0" w:line="240" w:lineRule="auto"/>
              <w:rPr>
                <w:rFonts w:ascii="Tahoma" w:hAnsi="Tahoma" w:cs="Tahoma"/>
                <w:color w:val="auto"/>
                <w:sz w:val="20"/>
                <w:szCs w:val="20"/>
              </w:rPr>
            </w:pPr>
            <w:r w:rsidRPr="00230397">
              <w:rPr>
                <w:rFonts w:ascii="Tahoma" w:hAnsi="Tahoma" w:cs="Tahoma"/>
                <w:color w:val="auto"/>
                <w:sz w:val="20"/>
                <w:szCs w:val="20"/>
              </w:rPr>
              <w:t>The event occurs multiple times during the lifetime of the Project, e.g., usually annually.</w:t>
            </w:r>
          </w:p>
        </w:tc>
      </w:tr>
      <w:tr w:rsidR="000D2DB3" w:rsidRPr="00230397" w14:paraId="2B37019C" w14:textId="77777777" w:rsidTr="000D2DB3">
        <w:trPr>
          <w:trHeight w:val="483"/>
        </w:trPr>
        <w:tc>
          <w:tcPr>
            <w:tcW w:w="1854" w:type="dxa"/>
            <w:shd w:val="clear" w:color="auto" w:fill="auto"/>
            <w:hideMark/>
          </w:tcPr>
          <w:p w14:paraId="12F708FA" w14:textId="77777777" w:rsidR="000D2DB3" w:rsidRPr="00230397" w:rsidRDefault="000D2DB3" w:rsidP="000D2DB3">
            <w:pPr>
              <w:pStyle w:val="TableText"/>
              <w:tabs>
                <w:tab w:val="left" w:pos="0"/>
              </w:tabs>
              <w:spacing w:after="0" w:line="240" w:lineRule="auto"/>
              <w:jc w:val="both"/>
              <w:rPr>
                <w:rFonts w:ascii="Tahoma" w:hAnsi="Tahoma" w:cs="Tahoma"/>
                <w:color w:val="auto"/>
                <w:sz w:val="20"/>
                <w:szCs w:val="20"/>
              </w:rPr>
            </w:pPr>
            <w:r w:rsidRPr="00230397">
              <w:rPr>
                <w:rFonts w:ascii="Tahoma" w:hAnsi="Tahoma" w:cs="Tahoma"/>
                <w:color w:val="auto"/>
                <w:sz w:val="20"/>
                <w:szCs w:val="20"/>
              </w:rPr>
              <w:t>High</w:t>
            </w:r>
          </w:p>
        </w:tc>
        <w:tc>
          <w:tcPr>
            <w:tcW w:w="6197" w:type="dxa"/>
            <w:shd w:val="clear" w:color="auto" w:fill="auto"/>
            <w:hideMark/>
          </w:tcPr>
          <w:p w14:paraId="2A2010F3" w14:textId="77777777" w:rsidR="000D2DB3" w:rsidRPr="00230397" w:rsidRDefault="000D2DB3" w:rsidP="000D2DB3">
            <w:pPr>
              <w:pStyle w:val="TableText"/>
              <w:tabs>
                <w:tab w:val="left" w:pos="0"/>
              </w:tabs>
              <w:spacing w:after="0" w:line="240" w:lineRule="auto"/>
              <w:rPr>
                <w:rFonts w:ascii="Tahoma" w:hAnsi="Tahoma" w:cs="Tahoma"/>
                <w:color w:val="auto"/>
                <w:sz w:val="20"/>
                <w:szCs w:val="20"/>
              </w:rPr>
            </w:pPr>
            <w:r w:rsidRPr="00230397">
              <w:rPr>
                <w:rFonts w:ascii="Tahoma" w:hAnsi="Tahoma" w:cs="Tahoma"/>
                <w:color w:val="auto"/>
                <w:sz w:val="20"/>
                <w:szCs w:val="20"/>
              </w:rPr>
              <w:t>The event occurs several times during the lifetime of the Project, e.g., approximately once every five years.</w:t>
            </w:r>
          </w:p>
        </w:tc>
      </w:tr>
      <w:tr w:rsidR="000D2DB3" w:rsidRPr="00230397" w14:paraId="0410AE1B" w14:textId="77777777" w:rsidTr="000D2DB3">
        <w:trPr>
          <w:cnfStyle w:val="000000100000" w:firstRow="0" w:lastRow="0" w:firstColumn="0" w:lastColumn="0" w:oddVBand="0" w:evenVBand="0" w:oddHBand="1" w:evenHBand="0" w:firstRowFirstColumn="0" w:firstRowLastColumn="0" w:lastRowFirstColumn="0" w:lastRowLastColumn="0"/>
          <w:trHeight w:val="483"/>
        </w:trPr>
        <w:tc>
          <w:tcPr>
            <w:tcW w:w="1854" w:type="dxa"/>
            <w:shd w:val="clear" w:color="auto" w:fill="auto"/>
            <w:hideMark/>
          </w:tcPr>
          <w:p w14:paraId="78459483" w14:textId="77777777" w:rsidR="000D2DB3" w:rsidRPr="00230397" w:rsidRDefault="000D2DB3" w:rsidP="000D2DB3">
            <w:pPr>
              <w:pStyle w:val="TableText"/>
              <w:tabs>
                <w:tab w:val="left" w:pos="0"/>
              </w:tabs>
              <w:spacing w:after="0" w:line="240" w:lineRule="auto"/>
              <w:jc w:val="both"/>
              <w:rPr>
                <w:rFonts w:ascii="Tahoma" w:hAnsi="Tahoma" w:cs="Tahoma"/>
                <w:color w:val="auto"/>
                <w:sz w:val="20"/>
                <w:szCs w:val="20"/>
              </w:rPr>
            </w:pPr>
            <w:r w:rsidRPr="00230397">
              <w:rPr>
                <w:rFonts w:ascii="Tahoma" w:hAnsi="Tahoma" w:cs="Tahoma"/>
                <w:color w:val="auto"/>
                <w:sz w:val="20"/>
                <w:szCs w:val="20"/>
              </w:rPr>
              <w:t>Medium</w:t>
            </w:r>
          </w:p>
        </w:tc>
        <w:tc>
          <w:tcPr>
            <w:tcW w:w="6197" w:type="dxa"/>
            <w:shd w:val="clear" w:color="auto" w:fill="auto"/>
            <w:hideMark/>
          </w:tcPr>
          <w:p w14:paraId="205F5370" w14:textId="77777777" w:rsidR="000D2DB3" w:rsidRPr="00230397" w:rsidRDefault="000D2DB3" w:rsidP="000D2DB3">
            <w:pPr>
              <w:pStyle w:val="TableText"/>
              <w:tabs>
                <w:tab w:val="left" w:pos="0"/>
              </w:tabs>
              <w:spacing w:after="0" w:line="240" w:lineRule="auto"/>
              <w:rPr>
                <w:rFonts w:ascii="Tahoma" w:hAnsi="Tahoma" w:cs="Tahoma"/>
                <w:color w:val="auto"/>
                <w:sz w:val="20"/>
                <w:szCs w:val="20"/>
              </w:rPr>
            </w:pPr>
            <w:r w:rsidRPr="00230397">
              <w:rPr>
                <w:rFonts w:ascii="Tahoma" w:hAnsi="Tahoma" w:cs="Tahoma"/>
                <w:color w:val="auto"/>
                <w:sz w:val="20"/>
                <w:szCs w:val="20"/>
              </w:rPr>
              <w:t>The event occurs limited times during the lifetime of the Project, e.g., approximately once every 15 years.</w:t>
            </w:r>
          </w:p>
        </w:tc>
      </w:tr>
      <w:tr w:rsidR="000D2DB3" w:rsidRPr="00230397" w14:paraId="3F1CF906" w14:textId="77777777" w:rsidTr="000D2DB3">
        <w:trPr>
          <w:trHeight w:val="252"/>
        </w:trPr>
        <w:tc>
          <w:tcPr>
            <w:tcW w:w="1854" w:type="dxa"/>
            <w:shd w:val="clear" w:color="auto" w:fill="auto"/>
            <w:hideMark/>
          </w:tcPr>
          <w:p w14:paraId="0EF4010D" w14:textId="77777777" w:rsidR="000D2DB3" w:rsidRPr="00230397" w:rsidRDefault="000D2DB3" w:rsidP="000D2DB3">
            <w:pPr>
              <w:pStyle w:val="TableText"/>
              <w:tabs>
                <w:tab w:val="left" w:pos="0"/>
              </w:tabs>
              <w:spacing w:after="0" w:line="240" w:lineRule="auto"/>
              <w:jc w:val="both"/>
              <w:rPr>
                <w:rFonts w:ascii="Tahoma" w:hAnsi="Tahoma" w:cs="Tahoma"/>
                <w:color w:val="auto"/>
                <w:sz w:val="20"/>
                <w:szCs w:val="20"/>
              </w:rPr>
            </w:pPr>
            <w:r w:rsidRPr="00230397">
              <w:rPr>
                <w:rFonts w:ascii="Tahoma" w:hAnsi="Tahoma" w:cs="Tahoma"/>
                <w:color w:val="auto"/>
                <w:sz w:val="20"/>
                <w:szCs w:val="20"/>
              </w:rPr>
              <w:t>Low</w:t>
            </w:r>
          </w:p>
        </w:tc>
        <w:tc>
          <w:tcPr>
            <w:tcW w:w="6197" w:type="dxa"/>
            <w:shd w:val="clear" w:color="auto" w:fill="auto"/>
            <w:hideMark/>
          </w:tcPr>
          <w:p w14:paraId="41D90EE3" w14:textId="77777777" w:rsidR="000D2DB3" w:rsidRPr="00230397" w:rsidRDefault="000D2DB3" w:rsidP="000D2DB3">
            <w:pPr>
              <w:pStyle w:val="TableText"/>
              <w:tabs>
                <w:tab w:val="left" w:pos="0"/>
              </w:tabs>
              <w:spacing w:after="0" w:line="240" w:lineRule="auto"/>
              <w:rPr>
                <w:rFonts w:ascii="Tahoma" w:hAnsi="Tahoma" w:cs="Tahoma"/>
                <w:color w:val="auto"/>
                <w:sz w:val="20"/>
                <w:szCs w:val="20"/>
              </w:rPr>
            </w:pPr>
            <w:r w:rsidRPr="00230397">
              <w:rPr>
                <w:rFonts w:ascii="Tahoma" w:hAnsi="Tahoma" w:cs="Tahoma"/>
                <w:color w:val="auto"/>
                <w:sz w:val="20"/>
                <w:szCs w:val="20"/>
              </w:rPr>
              <w:t>The event occurs occasionally during the lifetime of the Project.</w:t>
            </w:r>
          </w:p>
        </w:tc>
      </w:tr>
      <w:tr w:rsidR="000D2DB3" w:rsidRPr="00230397" w14:paraId="04ACADE7" w14:textId="77777777" w:rsidTr="000D2DB3">
        <w:trPr>
          <w:cnfStyle w:val="000000100000" w:firstRow="0" w:lastRow="0" w:firstColumn="0" w:lastColumn="0" w:oddVBand="0" w:evenVBand="0" w:oddHBand="1" w:evenHBand="0" w:firstRowFirstColumn="0" w:firstRowLastColumn="0" w:lastRowFirstColumn="0" w:lastRowLastColumn="0"/>
          <w:trHeight w:val="170"/>
        </w:trPr>
        <w:tc>
          <w:tcPr>
            <w:tcW w:w="1854" w:type="dxa"/>
            <w:shd w:val="clear" w:color="auto" w:fill="auto"/>
            <w:hideMark/>
          </w:tcPr>
          <w:p w14:paraId="558A3DDC" w14:textId="77777777" w:rsidR="000D2DB3" w:rsidRPr="00230397" w:rsidRDefault="000D2DB3" w:rsidP="000D2DB3">
            <w:pPr>
              <w:pStyle w:val="TableText"/>
              <w:tabs>
                <w:tab w:val="left" w:pos="0"/>
              </w:tabs>
              <w:spacing w:after="0" w:line="240" w:lineRule="auto"/>
              <w:jc w:val="both"/>
              <w:rPr>
                <w:rFonts w:ascii="Tahoma" w:hAnsi="Tahoma" w:cs="Tahoma"/>
                <w:color w:val="auto"/>
                <w:sz w:val="20"/>
                <w:szCs w:val="20"/>
              </w:rPr>
            </w:pPr>
            <w:r w:rsidRPr="00230397">
              <w:rPr>
                <w:rFonts w:ascii="Tahoma" w:hAnsi="Tahoma" w:cs="Tahoma"/>
                <w:color w:val="auto"/>
                <w:sz w:val="20"/>
                <w:szCs w:val="20"/>
              </w:rPr>
              <w:t>Very low</w:t>
            </w:r>
          </w:p>
        </w:tc>
        <w:tc>
          <w:tcPr>
            <w:tcW w:w="6197" w:type="dxa"/>
            <w:shd w:val="clear" w:color="auto" w:fill="auto"/>
            <w:hideMark/>
          </w:tcPr>
          <w:p w14:paraId="3374033B" w14:textId="77777777" w:rsidR="000D2DB3" w:rsidRPr="00230397" w:rsidRDefault="000D2DB3" w:rsidP="000D2DB3">
            <w:pPr>
              <w:pStyle w:val="TableText"/>
              <w:tabs>
                <w:tab w:val="left" w:pos="0"/>
              </w:tabs>
              <w:spacing w:after="0" w:line="240" w:lineRule="auto"/>
              <w:rPr>
                <w:rFonts w:ascii="Tahoma" w:hAnsi="Tahoma" w:cs="Tahoma"/>
                <w:color w:val="auto"/>
                <w:sz w:val="20"/>
                <w:szCs w:val="20"/>
              </w:rPr>
            </w:pPr>
            <w:r w:rsidRPr="00230397">
              <w:rPr>
                <w:rFonts w:ascii="Tahoma" w:hAnsi="Tahoma" w:cs="Tahoma"/>
                <w:color w:val="auto"/>
                <w:sz w:val="20"/>
                <w:szCs w:val="20"/>
              </w:rPr>
              <w:t>The event may occur once during the lifetime of the Project.</w:t>
            </w:r>
          </w:p>
        </w:tc>
      </w:tr>
    </w:tbl>
    <w:p w14:paraId="1E24D084" w14:textId="66F96B97" w:rsidR="000D2DB3" w:rsidRPr="00230397" w:rsidRDefault="000D2DB3" w:rsidP="000D2DB3">
      <w:pPr>
        <w:keepNext/>
        <w:spacing w:after="240" w:line="240" w:lineRule="auto"/>
        <w:rPr>
          <w:rFonts w:cs="Tahoma"/>
          <w:sz w:val="18"/>
          <w:szCs w:val="20"/>
        </w:rPr>
      </w:pPr>
      <w:bookmarkStart w:id="315" w:name="_Toc66476810"/>
      <w:bookmarkStart w:id="316" w:name="_Toc113018198"/>
      <w:bookmarkStart w:id="317" w:name="_Toc66476811"/>
      <w:r w:rsidRPr="00230397">
        <w:rPr>
          <w:rFonts w:cs="Tahoma"/>
          <w:sz w:val="18"/>
          <w:szCs w:val="20"/>
        </w:rPr>
        <w:t xml:space="preserve">Table </w:t>
      </w:r>
      <w:r w:rsidRPr="00230397">
        <w:rPr>
          <w:rFonts w:cs="Tahoma"/>
          <w:sz w:val="18"/>
          <w:szCs w:val="20"/>
        </w:rPr>
        <w:fldChar w:fldCharType="begin"/>
      </w:r>
      <w:r w:rsidRPr="00230397">
        <w:rPr>
          <w:rFonts w:cs="Tahoma"/>
          <w:sz w:val="18"/>
          <w:szCs w:val="20"/>
        </w:rPr>
        <w:instrText xml:space="preserve"> STYLEREF 1 \s </w:instrText>
      </w:r>
      <w:r w:rsidRPr="00230397">
        <w:rPr>
          <w:rFonts w:cs="Tahoma"/>
          <w:sz w:val="18"/>
          <w:szCs w:val="20"/>
        </w:rPr>
        <w:fldChar w:fldCharType="separate"/>
      </w:r>
      <w:r w:rsidR="00FD57E6">
        <w:rPr>
          <w:rFonts w:cs="Tahoma"/>
          <w:noProof/>
          <w:sz w:val="18"/>
          <w:szCs w:val="20"/>
        </w:rPr>
        <w:t>8</w:t>
      </w:r>
      <w:r w:rsidRPr="00230397">
        <w:rPr>
          <w:rFonts w:cs="Tahoma"/>
          <w:sz w:val="18"/>
          <w:szCs w:val="20"/>
        </w:rPr>
        <w:fldChar w:fldCharType="end"/>
      </w:r>
      <w:r w:rsidR="0087135B" w:rsidRPr="00230397">
        <w:rPr>
          <w:rFonts w:cs="Tahoma"/>
          <w:sz w:val="18"/>
          <w:szCs w:val="20"/>
        </w:rPr>
        <w:t>.</w:t>
      </w:r>
      <w:r w:rsidRPr="00230397">
        <w:rPr>
          <w:rFonts w:cs="Tahoma"/>
          <w:sz w:val="18"/>
          <w:szCs w:val="20"/>
        </w:rPr>
        <w:fldChar w:fldCharType="begin"/>
      </w:r>
      <w:r w:rsidRPr="00230397">
        <w:rPr>
          <w:rFonts w:cs="Tahoma"/>
          <w:sz w:val="18"/>
          <w:szCs w:val="20"/>
        </w:rPr>
        <w:instrText xml:space="preserve"> SEQ Table \* ARABIC \s 1 </w:instrText>
      </w:r>
      <w:r w:rsidRPr="00230397">
        <w:rPr>
          <w:rFonts w:cs="Tahoma"/>
          <w:sz w:val="18"/>
          <w:szCs w:val="20"/>
        </w:rPr>
        <w:fldChar w:fldCharType="separate"/>
      </w:r>
      <w:r w:rsidR="00FD57E6">
        <w:rPr>
          <w:rFonts w:cs="Tahoma"/>
          <w:noProof/>
          <w:sz w:val="18"/>
          <w:szCs w:val="20"/>
        </w:rPr>
        <w:t>2</w:t>
      </w:r>
      <w:r w:rsidRPr="00230397">
        <w:rPr>
          <w:rFonts w:cs="Tahoma"/>
          <w:sz w:val="18"/>
          <w:szCs w:val="20"/>
        </w:rPr>
        <w:fldChar w:fldCharType="end"/>
      </w:r>
      <w:r w:rsidRPr="00230397">
        <w:rPr>
          <w:rFonts w:cs="Tahoma"/>
          <w:sz w:val="18"/>
          <w:szCs w:val="20"/>
        </w:rPr>
        <w:t>:</w:t>
      </w:r>
      <w:r w:rsidRPr="00230397">
        <w:rPr>
          <w:rFonts w:cs="Tahoma"/>
          <w:bCs/>
          <w:sz w:val="18"/>
          <w:szCs w:val="20"/>
        </w:rPr>
        <w:t xml:space="preserve"> Likelihood categories</w:t>
      </w:r>
      <w:bookmarkEnd w:id="315"/>
      <w:bookmarkEnd w:id="316"/>
    </w:p>
    <w:tbl>
      <w:tblPr>
        <w:tblStyle w:val="WSP"/>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Look w:val="04A0" w:firstRow="1" w:lastRow="0" w:firstColumn="1" w:lastColumn="0" w:noHBand="0" w:noVBand="1"/>
      </w:tblPr>
      <w:tblGrid>
        <w:gridCol w:w="1772"/>
        <w:gridCol w:w="7980"/>
      </w:tblGrid>
      <w:tr w:rsidR="000D2DB3" w:rsidRPr="00230397" w14:paraId="1492B7D5" w14:textId="77777777" w:rsidTr="000D2DB3">
        <w:trPr>
          <w:cnfStyle w:val="100000000000" w:firstRow="1" w:lastRow="0" w:firstColumn="0" w:lastColumn="0" w:oddVBand="0" w:evenVBand="0" w:oddHBand="0" w:evenHBand="0" w:firstRowFirstColumn="0" w:firstRowLastColumn="0" w:lastRowFirstColumn="0" w:lastRowLastColumn="0"/>
          <w:tblHeader/>
        </w:trPr>
        <w:tc>
          <w:tcPr>
            <w:tcW w:w="1772" w:type="dxa"/>
            <w:shd w:val="clear" w:color="auto" w:fill="44697D"/>
            <w:hideMark/>
          </w:tcPr>
          <w:p w14:paraId="3AC1E052" w14:textId="77777777" w:rsidR="000D2DB3" w:rsidRPr="00230397" w:rsidRDefault="000D2DB3" w:rsidP="000D2DB3">
            <w:pPr>
              <w:pStyle w:val="TableHeading"/>
              <w:spacing w:before="0" w:after="0" w:line="240" w:lineRule="auto"/>
              <w:jc w:val="left"/>
              <w:rPr>
                <w:rFonts w:ascii="Tahoma" w:hAnsi="Tahoma" w:cs="Tahoma"/>
                <w:color w:val="auto"/>
                <w:sz w:val="20"/>
              </w:rPr>
            </w:pPr>
            <w:bookmarkStart w:id="318" w:name="_Ref2011367"/>
            <w:bookmarkStart w:id="319" w:name="_Toc2060616"/>
            <w:bookmarkEnd w:id="317"/>
            <w:r w:rsidRPr="00230397">
              <w:rPr>
                <w:rFonts w:ascii="Tahoma" w:hAnsi="Tahoma" w:cs="Tahoma"/>
                <w:color w:val="auto"/>
                <w:sz w:val="20"/>
              </w:rPr>
              <w:t>Measure of cons</w:t>
            </w:r>
            <w:r w:rsidRPr="00230397">
              <w:rPr>
                <w:rFonts w:ascii="Tahoma" w:hAnsi="Tahoma" w:cs="Tahoma"/>
                <w:color w:val="auto"/>
                <w:sz w:val="20"/>
              </w:rPr>
              <w:t>e</w:t>
            </w:r>
            <w:r w:rsidRPr="00230397">
              <w:rPr>
                <w:rFonts w:ascii="Tahoma" w:hAnsi="Tahoma" w:cs="Tahoma"/>
                <w:color w:val="auto"/>
                <w:sz w:val="20"/>
              </w:rPr>
              <w:t>quence</w:t>
            </w:r>
          </w:p>
        </w:tc>
        <w:tc>
          <w:tcPr>
            <w:tcW w:w="7980" w:type="dxa"/>
            <w:shd w:val="clear" w:color="auto" w:fill="44697D"/>
            <w:vAlign w:val="center"/>
            <w:hideMark/>
          </w:tcPr>
          <w:p w14:paraId="3AC78DAB" w14:textId="77777777" w:rsidR="000D2DB3" w:rsidRPr="00230397" w:rsidRDefault="000D2DB3" w:rsidP="000D2DB3">
            <w:pPr>
              <w:pStyle w:val="TableHeading"/>
              <w:spacing w:before="0" w:after="0" w:line="240" w:lineRule="auto"/>
              <w:rPr>
                <w:rFonts w:ascii="Tahoma" w:hAnsi="Tahoma" w:cs="Tahoma"/>
                <w:color w:val="auto"/>
                <w:sz w:val="20"/>
              </w:rPr>
            </w:pPr>
            <w:r w:rsidRPr="00230397">
              <w:rPr>
                <w:rFonts w:ascii="Tahoma" w:hAnsi="Tahoma" w:cs="Tahoma"/>
                <w:color w:val="auto"/>
                <w:sz w:val="20"/>
              </w:rPr>
              <w:t>Description</w:t>
            </w:r>
          </w:p>
        </w:tc>
      </w:tr>
      <w:tr w:rsidR="000D2DB3" w:rsidRPr="00230397" w14:paraId="37FD4796" w14:textId="77777777" w:rsidTr="000D2DB3">
        <w:trPr>
          <w:cnfStyle w:val="000000100000" w:firstRow="0" w:lastRow="0" w:firstColumn="0" w:lastColumn="0" w:oddVBand="0" w:evenVBand="0" w:oddHBand="1" w:evenHBand="0" w:firstRowFirstColumn="0" w:firstRowLastColumn="0" w:lastRowFirstColumn="0" w:lastRowLastColumn="0"/>
        </w:trPr>
        <w:tc>
          <w:tcPr>
            <w:tcW w:w="1772" w:type="dxa"/>
            <w:shd w:val="clear" w:color="auto" w:fill="auto"/>
            <w:hideMark/>
          </w:tcPr>
          <w:p w14:paraId="5BA330A2" w14:textId="77777777" w:rsidR="000D2DB3" w:rsidRPr="00230397" w:rsidRDefault="000D2DB3" w:rsidP="000D2DB3">
            <w:pPr>
              <w:pStyle w:val="TableText"/>
              <w:spacing w:after="0" w:line="240" w:lineRule="auto"/>
              <w:rPr>
                <w:rFonts w:ascii="Tahoma" w:hAnsi="Tahoma" w:cs="Tahoma"/>
                <w:color w:val="auto"/>
                <w:sz w:val="20"/>
                <w:szCs w:val="20"/>
              </w:rPr>
            </w:pPr>
            <w:r w:rsidRPr="00230397">
              <w:rPr>
                <w:rFonts w:ascii="Tahoma" w:hAnsi="Tahoma" w:cs="Tahoma"/>
                <w:color w:val="auto"/>
                <w:sz w:val="20"/>
                <w:szCs w:val="20"/>
              </w:rPr>
              <w:t>Negligible</w:t>
            </w:r>
          </w:p>
        </w:tc>
        <w:tc>
          <w:tcPr>
            <w:tcW w:w="7980" w:type="dxa"/>
            <w:shd w:val="clear" w:color="auto" w:fill="auto"/>
            <w:hideMark/>
          </w:tcPr>
          <w:p w14:paraId="1E8D90EB" w14:textId="0CC80639" w:rsidR="000D2DB3" w:rsidRPr="00230397" w:rsidRDefault="000D2DB3" w:rsidP="000D2DB3">
            <w:pPr>
              <w:pStyle w:val="TableText"/>
              <w:spacing w:after="0" w:line="240" w:lineRule="auto"/>
              <w:rPr>
                <w:rFonts w:ascii="Tahoma" w:hAnsi="Tahoma" w:cs="Tahoma"/>
                <w:color w:val="auto"/>
                <w:sz w:val="20"/>
                <w:szCs w:val="20"/>
              </w:rPr>
            </w:pPr>
            <w:r w:rsidRPr="00230397">
              <w:rPr>
                <w:rFonts w:ascii="Tahoma" w:hAnsi="Tahoma" w:cs="Tahoma"/>
                <w:color w:val="auto"/>
                <w:sz w:val="20"/>
                <w:szCs w:val="20"/>
              </w:rPr>
              <w:t>No infrastructure damage, minimal adverse effects on health, safety and the enviro</w:t>
            </w:r>
            <w:r w:rsidRPr="00230397">
              <w:rPr>
                <w:rFonts w:ascii="Tahoma" w:hAnsi="Tahoma" w:cs="Tahoma"/>
                <w:color w:val="auto"/>
                <w:sz w:val="20"/>
                <w:szCs w:val="20"/>
              </w:rPr>
              <w:t>n</w:t>
            </w:r>
            <w:r w:rsidRPr="00230397">
              <w:rPr>
                <w:rFonts w:ascii="Tahoma" w:hAnsi="Tahoma" w:cs="Tahoma"/>
                <w:color w:val="auto"/>
                <w:sz w:val="20"/>
                <w:szCs w:val="20"/>
              </w:rPr>
              <w:t>ment. No road closure. No financial loss.</w:t>
            </w:r>
            <w:r w:rsidR="00562E86" w:rsidRPr="00230397">
              <w:rPr>
                <w:rFonts w:ascii="Tahoma" w:hAnsi="Tahoma" w:cs="Tahoma"/>
                <w:color w:val="auto"/>
                <w:sz w:val="20"/>
                <w:szCs w:val="20"/>
              </w:rPr>
              <w:t xml:space="preserve"> </w:t>
            </w:r>
          </w:p>
        </w:tc>
      </w:tr>
      <w:tr w:rsidR="000D2DB3" w:rsidRPr="00230397" w14:paraId="21A12C50" w14:textId="77777777" w:rsidTr="000D2DB3">
        <w:tc>
          <w:tcPr>
            <w:tcW w:w="1772" w:type="dxa"/>
            <w:shd w:val="clear" w:color="auto" w:fill="auto"/>
            <w:hideMark/>
          </w:tcPr>
          <w:p w14:paraId="0AB01286" w14:textId="77777777" w:rsidR="000D2DB3" w:rsidRPr="00230397" w:rsidRDefault="000D2DB3" w:rsidP="000D2DB3">
            <w:pPr>
              <w:pStyle w:val="TableText"/>
              <w:spacing w:after="0" w:line="240" w:lineRule="auto"/>
              <w:rPr>
                <w:rFonts w:ascii="Tahoma" w:hAnsi="Tahoma" w:cs="Tahoma"/>
                <w:color w:val="auto"/>
                <w:sz w:val="20"/>
                <w:szCs w:val="20"/>
              </w:rPr>
            </w:pPr>
            <w:r w:rsidRPr="00230397">
              <w:rPr>
                <w:rFonts w:ascii="Tahoma" w:hAnsi="Tahoma" w:cs="Tahoma"/>
                <w:color w:val="auto"/>
                <w:sz w:val="20"/>
                <w:szCs w:val="20"/>
              </w:rPr>
              <w:t>Minor adverse</w:t>
            </w:r>
          </w:p>
        </w:tc>
        <w:tc>
          <w:tcPr>
            <w:tcW w:w="7980" w:type="dxa"/>
            <w:shd w:val="clear" w:color="auto" w:fill="auto"/>
            <w:hideMark/>
          </w:tcPr>
          <w:p w14:paraId="1FC347AB" w14:textId="77777777" w:rsidR="000D2DB3" w:rsidRPr="00230397" w:rsidRDefault="000D2DB3" w:rsidP="000D2DB3">
            <w:pPr>
              <w:pStyle w:val="TableText"/>
              <w:spacing w:after="0" w:line="240" w:lineRule="auto"/>
              <w:rPr>
                <w:rFonts w:ascii="Tahoma" w:hAnsi="Tahoma" w:cs="Tahoma"/>
                <w:color w:val="auto"/>
                <w:sz w:val="20"/>
                <w:szCs w:val="20"/>
              </w:rPr>
            </w:pPr>
            <w:r w:rsidRPr="00230397">
              <w:rPr>
                <w:rFonts w:ascii="Tahoma" w:hAnsi="Tahoma" w:cs="Tahoma"/>
                <w:color w:val="auto"/>
                <w:sz w:val="20"/>
                <w:szCs w:val="20"/>
              </w:rPr>
              <w:t>Localised infrastructure disruption or loss of service. No permanent damage, minor re</w:t>
            </w:r>
            <w:r w:rsidRPr="00230397">
              <w:rPr>
                <w:rFonts w:ascii="Tahoma" w:hAnsi="Tahoma" w:cs="Tahoma"/>
                <w:color w:val="auto"/>
                <w:sz w:val="20"/>
                <w:szCs w:val="20"/>
              </w:rPr>
              <w:t>s</w:t>
            </w:r>
            <w:r w:rsidRPr="00230397">
              <w:rPr>
                <w:rFonts w:ascii="Tahoma" w:hAnsi="Tahoma" w:cs="Tahoma"/>
                <w:color w:val="auto"/>
                <w:sz w:val="20"/>
                <w:szCs w:val="20"/>
              </w:rPr>
              <w:t xml:space="preserve">toration work required: road closure lasting less than one day. Slight adverse health or environmental effects. </w:t>
            </w:r>
          </w:p>
        </w:tc>
      </w:tr>
      <w:tr w:rsidR="000D2DB3" w:rsidRPr="00230397" w14:paraId="1DE2B1B2" w14:textId="77777777" w:rsidTr="000D2DB3">
        <w:trPr>
          <w:cnfStyle w:val="000000100000" w:firstRow="0" w:lastRow="0" w:firstColumn="0" w:lastColumn="0" w:oddVBand="0" w:evenVBand="0" w:oddHBand="1" w:evenHBand="0" w:firstRowFirstColumn="0" w:firstRowLastColumn="0" w:lastRowFirstColumn="0" w:lastRowLastColumn="0"/>
        </w:trPr>
        <w:tc>
          <w:tcPr>
            <w:tcW w:w="1772" w:type="dxa"/>
            <w:shd w:val="clear" w:color="auto" w:fill="auto"/>
            <w:hideMark/>
          </w:tcPr>
          <w:p w14:paraId="3F2DAD96" w14:textId="77777777" w:rsidR="000D2DB3" w:rsidRPr="00230397" w:rsidRDefault="000D2DB3" w:rsidP="000D2DB3">
            <w:pPr>
              <w:pStyle w:val="TableText"/>
              <w:spacing w:after="0" w:line="240" w:lineRule="auto"/>
              <w:rPr>
                <w:rFonts w:ascii="Tahoma" w:hAnsi="Tahoma" w:cs="Tahoma"/>
                <w:color w:val="auto"/>
                <w:sz w:val="20"/>
                <w:szCs w:val="20"/>
              </w:rPr>
            </w:pPr>
            <w:r w:rsidRPr="00230397">
              <w:rPr>
                <w:rFonts w:ascii="Tahoma" w:hAnsi="Tahoma" w:cs="Tahoma"/>
                <w:color w:val="auto"/>
                <w:sz w:val="20"/>
                <w:szCs w:val="20"/>
              </w:rPr>
              <w:t>Moderate adverse</w:t>
            </w:r>
          </w:p>
        </w:tc>
        <w:tc>
          <w:tcPr>
            <w:tcW w:w="7980" w:type="dxa"/>
            <w:shd w:val="clear" w:color="auto" w:fill="auto"/>
            <w:hideMark/>
          </w:tcPr>
          <w:p w14:paraId="566939FE" w14:textId="498E0C55" w:rsidR="000D2DB3" w:rsidRPr="00230397" w:rsidRDefault="000D2DB3" w:rsidP="000D2DB3">
            <w:pPr>
              <w:pStyle w:val="TableText"/>
              <w:spacing w:after="0" w:line="240" w:lineRule="auto"/>
              <w:rPr>
                <w:rFonts w:ascii="Tahoma" w:hAnsi="Tahoma" w:cs="Tahoma"/>
                <w:color w:val="auto"/>
                <w:sz w:val="20"/>
                <w:szCs w:val="20"/>
              </w:rPr>
            </w:pPr>
            <w:r w:rsidRPr="00230397">
              <w:rPr>
                <w:rFonts w:ascii="Tahoma" w:hAnsi="Tahoma" w:cs="Tahoma"/>
                <w:color w:val="auto"/>
                <w:sz w:val="20"/>
                <w:szCs w:val="20"/>
              </w:rPr>
              <w:t>Limited infrastructure damage and loss of service with damage recoverable by maint</w:t>
            </w:r>
            <w:r w:rsidRPr="00230397">
              <w:rPr>
                <w:rFonts w:ascii="Tahoma" w:hAnsi="Tahoma" w:cs="Tahoma"/>
                <w:color w:val="auto"/>
                <w:sz w:val="20"/>
                <w:szCs w:val="20"/>
              </w:rPr>
              <w:t>e</w:t>
            </w:r>
            <w:r w:rsidRPr="00230397">
              <w:rPr>
                <w:rFonts w:ascii="Tahoma" w:hAnsi="Tahoma" w:cs="Tahoma"/>
                <w:color w:val="auto"/>
                <w:sz w:val="20"/>
                <w:szCs w:val="20"/>
              </w:rPr>
              <w:t>nance or minor repair. Disruption lasting more than one but less than three days.</w:t>
            </w:r>
            <w:r w:rsidR="00562E86" w:rsidRPr="00230397">
              <w:rPr>
                <w:rFonts w:ascii="Tahoma" w:hAnsi="Tahoma" w:cs="Tahoma"/>
                <w:color w:val="auto"/>
                <w:sz w:val="20"/>
                <w:szCs w:val="20"/>
              </w:rPr>
              <w:t xml:space="preserve"> </w:t>
            </w:r>
            <w:r w:rsidRPr="00230397">
              <w:rPr>
                <w:rFonts w:ascii="Tahoma" w:hAnsi="Tahoma" w:cs="Tahoma"/>
                <w:color w:val="auto"/>
                <w:sz w:val="20"/>
                <w:szCs w:val="20"/>
              </w:rPr>
              <w:t>A</w:t>
            </w:r>
            <w:r w:rsidRPr="00230397">
              <w:rPr>
                <w:rFonts w:ascii="Tahoma" w:hAnsi="Tahoma" w:cs="Tahoma"/>
                <w:color w:val="auto"/>
                <w:sz w:val="20"/>
                <w:szCs w:val="20"/>
              </w:rPr>
              <w:t>d</w:t>
            </w:r>
            <w:r w:rsidRPr="00230397">
              <w:rPr>
                <w:rFonts w:ascii="Tahoma" w:hAnsi="Tahoma" w:cs="Tahoma"/>
                <w:color w:val="auto"/>
                <w:sz w:val="20"/>
                <w:szCs w:val="20"/>
              </w:rPr>
              <w:t xml:space="preserve">verse effects on health and/or the environment. </w:t>
            </w:r>
          </w:p>
        </w:tc>
      </w:tr>
      <w:tr w:rsidR="000D2DB3" w:rsidRPr="00230397" w14:paraId="2ABDB174" w14:textId="77777777" w:rsidTr="000D2DB3">
        <w:tc>
          <w:tcPr>
            <w:tcW w:w="1772" w:type="dxa"/>
            <w:shd w:val="clear" w:color="auto" w:fill="auto"/>
            <w:hideMark/>
          </w:tcPr>
          <w:p w14:paraId="1CC7CD23" w14:textId="77777777" w:rsidR="000D2DB3" w:rsidRPr="00230397" w:rsidRDefault="000D2DB3" w:rsidP="000D2DB3">
            <w:pPr>
              <w:pStyle w:val="TableText"/>
              <w:spacing w:after="0" w:line="240" w:lineRule="auto"/>
              <w:rPr>
                <w:rFonts w:ascii="Tahoma" w:hAnsi="Tahoma" w:cs="Tahoma"/>
                <w:color w:val="auto"/>
                <w:sz w:val="20"/>
                <w:szCs w:val="20"/>
              </w:rPr>
            </w:pPr>
            <w:r w:rsidRPr="00230397">
              <w:rPr>
                <w:rFonts w:ascii="Tahoma" w:hAnsi="Tahoma" w:cs="Tahoma"/>
                <w:color w:val="auto"/>
                <w:sz w:val="20"/>
                <w:szCs w:val="20"/>
              </w:rPr>
              <w:t>Large adverse</w:t>
            </w:r>
          </w:p>
        </w:tc>
        <w:tc>
          <w:tcPr>
            <w:tcW w:w="7980" w:type="dxa"/>
            <w:shd w:val="clear" w:color="auto" w:fill="auto"/>
            <w:hideMark/>
          </w:tcPr>
          <w:p w14:paraId="38157887" w14:textId="4BFD57F1" w:rsidR="000D2DB3" w:rsidRPr="00230397" w:rsidRDefault="000D2DB3" w:rsidP="000D2DB3">
            <w:pPr>
              <w:pStyle w:val="TableText"/>
              <w:spacing w:after="0" w:line="240" w:lineRule="auto"/>
              <w:rPr>
                <w:rFonts w:ascii="Tahoma" w:hAnsi="Tahoma" w:cs="Tahoma"/>
                <w:color w:val="auto"/>
                <w:sz w:val="20"/>
                <w:szCs w:val="20"/>
              </w:rPr>
            </w:pPr>
            <w:r w:rsidRPr="00230397">
              <w:rPr>
                <w:rFonts w:ascii="Tahoma" w:hAnsi="Tahoma" w:cs="Tahoma"/>
                <w:color w:val="auto"/>
                <w:sz w:val="20"/>
                <w:szCs w:val="20"/>
              </w:rPr>
              <w:t>Extensive infrastructure damage and severe loss of service.</w:t>
            </w:r>
            <w:r w:rsidR="00562E86" w:rsidRPr="00230397">
              <w:rPr>
                <w:rFonts w:ascii="Tahoma" w:hAnsi="Tahoma" w:cs="Tahoma"/>
                <w:color w:val="auto"/>
                <w:sz w:val="20"/>
                <w:szCs w:val="20"/>
              </w:rPr>
              <w:t xml:space="preserve"> </w:t>
            </w:r>
            <w:r w:rsidRPr="00230397">
              <w:rPr>
                <w:rFonts w:ascii="Tahoma" w:hAnsi="Tahoma" w:cs="Tahoma"/>
                <w:color w:val="auto"/>
                <w:sz w:val="20"/>
                <w:szCs w:val="20"/>
              </w:rPr>
              <w:t>Disruption lasting more than three but less than ten days.</w:t>
            </w:r>
            <w:r w:rsidR="00562E86" w:rsidRPr="00230397">
              <w:rPr>
                <w:rFonts w:ascii="Tahoma" w:hAnsi="Tahoma" w:cs="Tahoma"/>
                <w:color w:val="auto"/>
                <w:sz w:val="20"/>
                <w:szCs w:val="20"/>
              </w:rPr>
              <w:t xml:space="preserve"> </w:t>
            </w:r>
            <w:r w:rsidRPr="00230397">
              <w:rPr>
                <w:rFonts w:ascii="Tahoma" w:hAnsi="Tahoma" w:cs="Tahoma"/>
                <w:color w:val="auto"/>
                <w:sz w:val="20"/>
                <w:szCs w:val="20"/>
              </w:rPr>
              <w:t>Early renewal of 50-90% of infrastructure. Permanent physical injuries and/or fatalities. Significant effect on the environment, requiring rem</w:t>
            </w:r>
            <w:r w:rsidRPr="00230397">
              <w:rPr>
                <w:rFonts w:ascii="Tahoma" w:hAnsi="Tahoma" w:cs="Tahoma"/>
                <w:color w:val="auto"/>
                <w:sz w:val="20"/>
                <w:szCs w:val="20"/>
              </w:rPr>
              <w:t>e</w:t>
            </w:r>
            <w:r w:rsidRPr="00230397">
              <w:rPr>
                <w:rFonts w:ascii="Tahoma" w:hAnsi="Tahoma" w:cs="Tahoma"/>
                <w:color w:val="auto"/>
                <w:sz w:val="20"/>
                <w:szCs w:val="20"/>
              </w:rPr>
              <w:t xml:space="preserve">diation. </w:t>
            </w:r>
          </w:p>
        </w:tc>
      </w:tr>
      <w:tr w:rsidR="000D2DB3" w:rsidRPr="00230397" w14:paraId="3A674862" w14:textId="77777777" w:rsidTr="000D2DB3">
        <w:trPr>
          <w:cnfStyle w:val="000000100000" w:firstRow="0" w:lastRow="0" w:firstColumn="0" w:lastColumn="0" w:oddVBand="0" w:evenVBand="0" w:oddHBand="1" w:evenHBand="0" w:firstRowFirstColumn="0" w:firstRowLastColumn="0" w:lastRowFirstColumn="0" w:lastRowLastColumn="0"/>
        </w:trPr>
        <w:tc>
          <w:tcPr>
            <w:tcW w:w="1772" w:type="dxa"/>
            <w:shd w:val="clear" w:color="auto" w:fill="auto"/>
            <w:hideMark/>
          </w:tcPr>
          <w:p w14:paraId="4A4D83E2" w14:textId="77777777" w:rsidR="000D2DB3" w:rsidRPr="00230397" w:rsidRDefault="000D2DB3" w:rsidP="000D2DB3">
            <w:pPr>
              <w:pStyle w:val="TableText"/>
              <w:spacing w:after="0" w:line="240" w:lineRule="auto"/>
              <w:rPr>
                <w:rFonts w:ascii="Tahoma" w:hAnsi="Tahoma" w:cs="Tahoma"/>
                <w:color w:val="auto"/>
                <w:sz w:val="20"/>
                <w:szCs w:val="20"/>
              </w:rPr>
            </w:pPr>
            <w:r w:rsidRPr="00230397">
              <w:rPr>
                <w:rFonts w:ascii="Tahoma" w:hAnsi="Tahoma" w:cs="Tahoma"/>
                <w:color w:val="auto"/>
                <w:sz w:val="20"/>
                <w:szCs w:val="20"/>
              </w:rPr>
              <w:t>Very large adverse</w:t>
            </w:r>
          </w:p>
        </w:tc>
        <w:tc>
          <w:tcPr>
            <w:tcW w:w="7980" w:type="dxa"/>
            <w:shd w:val="clear" w:color="auto" w:fill="auto"/>
            <w:hideMark/>
          </w:tcPr>
          <w:p w14:paraId="1AC95FA7" w14:textId="7EF7171B" w:rsidR="000D2DB3" w:rsidRPr="00230397" w:rsidRDefault="000D2DB3" w:rsidP="000D2DB3">
            <w:pPr>
              <w:pStyle w:val="TableText"/>
              <w:spacing w:after="0" w:line="240" w:lineRule="auto"/>
              <w:rPr>
                <w:rFonts w:ascii="Tahoma" w:hAnsi="Tahoma" w:cs="Tahoma"/>
                <w:color w:val="auto"/>
                <w:sz w:val="20"/>
                <w:szCs w:val="20"/>
              </w:rPr>
            </w:pPr>
            <w:r w:rsidRPr="00230397">
              <w:rPr>
                <w:rFonts w:ascii="Tahoma" w:hAnsi="Tahoma" w:cs="Tahoma"/>
                <w:color w:val="auto"/>
                <w:sz w:val="20"/>
                <w:szCs w:val="20"/>
              </w:rPr>
              <w:t>Permanent damage and complete loss of service.</w:t>
            </w:r>
            <w:r w:rsidR="00562E86" w:rsidRPr="00230397">
              <w:rPr>
                <w:rFonts w:ascii="Tahoma" w:hAnsi="Tahoma" w:cs="Tahoma"/>
                <w:color w:val="auto"/>
                <w:sz w:val="20"/>
                <w:szCs w:val="20"/>
              </w:rPr>
              <w:t xml:space="preserve"> </w:t>
            </w:r>
            <w:r w:rsidRPr="00230397">
              <w:rPr>
                <w:rFonts w:ascii="Tahoma" w:hAnsi="Tahoma" w:cs="Tahoma"/>
                <w:color w:val="auto"/>
                <w:sz w:val="20"/>
                <w:szCs w:val="20"/>
              </w:rPr>
              <w:t>Disruption lasting more than ten days but less than 20 days.</w:t>
            </w:r>
            <w:r w:rsidR="00562E86" w:rsidRPr="00230397">
              <w:rPr>
                <w:rFonts w:ascii="Tahoma" w:hAnsi="Tahoma" w:cs="Tahoma"/>
                <w:color w:val="auto"/>
                <w:sz w:val="20"/>
                <w:szCs w:val="20"/>
              </w:rPr>
              <w:t xml:space="preserve"> </w:t>
            </w:r>
            <w:r w:rsidRPr="00230397">
              <w:rPr>
                <w:rFonts w:ascii="Tahoma" w:hAnsi="Tahoma" w:cs="Tahoma"/>
                <w:color w:val="auto"/>
                <w:sz w:val="20"/>
                <w:szCs w:val="20"/>
              </w:rPr>
              <w:t xml:space="preserve">Severe health effects and/or fatalities. Very significant loss to the environment requiring remediation and restoration. </w:t>
            </w:r>
          </w:p>
        </w:tc>
        <w:bookmarkEnd w:id="318"/>
        <w:bookmarkEnd w:id="319"/>
      </w:tr>
    </w:tbl>
    <w:p w14:paraId="2750B2B7" w14:textId="10173B07" w:rsidR="000D2DB3" w:rsidRPr="0068236B" w:rsidRDefault="000D2DB3" w:rsidP="000D2DB3">
      <w:pPr>
        <w:spacing w:after="240"/>
        <w:rPr>
          <w:rFonts w:cs="Tahoma"/>
          <w:sz w:val="18"/>
          <w:szCs w:val="20"/>
        </w:rPr>
      </w:pPr>
      <w:bookmarkStart w:id="320" w:name="_Toc113018199"/>
      <w:r w:rsidRPr="0068236B">
        <w:rPr>
          <w:rFonts w:cs="Tahoma"/>
          <w:sz w:val="18"/>
          <w:szCs w:val="20"/>
        </w:rPr>
        <w:t xml:space="preserve">Table </w:t>
      </w:r>
      <w:r w:rsidRPr="0068236B">
        <w:rPr>
          <w:rFonts w:cs="Tahoma"/>
          <w:sz w:val="18"/>
          <w:szCs w:val="20"/>
        </w:rPr>
        <w:fldChar w:fldCharType="begin"/>
      </w:r>
      <w:r w:rsidRPr="0068236B">
        <w:rPr>
          <w:rFonts w:cs="Tahoma"/>
          <w:sz w:val="18"/>
          <w:szCs w:val="20"/>
        </w:rPr>
        <w:instrText xml:space="preserve"> STYLEREF 1 \s </w:instrText>
      </w:r>
      <w:r w:rsidRPr="0068236B">
        <w:rPr>
          <w:rFonts w:cs="Tahoma"/>
          <w:sz w:val="18"/>
          <w:szCs w:val="20"/>
        </w:rPr>
        <w:fldChar w:fldCharType="separate"/>
      </w:r>
      <w:r w:rsidR="00FD57E6">
        <w:rPr>
          <w:rFonts w:cs="Tahoma"/>
          <w:noProof/>
          <w:sz w:val="18"/>
          <w:szCs w:val="20"/>
        </w:rPr>
        <w:t>8</w:t>
      </w:r>
      <w:r w:rsidRPr="0068236B">
        <w:rPr>
          <w:rFonts w:cs="Tahoma"/>
          <w:sz w:val="18"/>
          <w:szCs w:val="20"/>
        </w:rPr>
        <w:fldChar w:fldCharType="end"/>
      </w:r>
      <w:r w:rsidR="0087135B" w:rsidRPr="0068236B">
        <w:rPr>
          <w:rFonts w:cs="Tahoma"/>
          <w:sz w:val="18"/>
          <w:szCs w:val="20"/>
        </w:rPr>
        <w:t>.</w:t>
      </w:r>
      <w:r w:rsidRPr="0068236B">
        <w:rPr>
          <w:rFonts w:cs="Tahoma"/>
          <w:sz w:val="18"/>
          <w:szCs w:val="20"/>
        </w:rPr>
        <w:fldChar w:fldCharType="begin"/>
      </w:r>
      <w:r w:rsidRPr="0068236B">
        <w:rPr>
          <w:rFonts w:cs="Tahoma"/>
          <w:sz w:val="18"/>
          <w:szCs w:val="20"/>
        </w:rPr>
        <w:instrText xml:space="preserve"> SEQ Table \* ARABIC \s 1 </w:instrText>
      </w:r>
      <w:r w:rsidRPr="0068236B">
        <w:rPr>
          <w:rFonts w:cs="Tahoma"/>
          <w:sz w:val="18"/>
          <w:szCs w:val="20"/>
        </w:rPr>
        <w:fldChar w:fldCharType="separate"/>
      </w:r>
      <w:r w:rsidR="00FD57E6">
        <w:rPr>
          <w:rFonts w:cs="Tahoma"/>
          <w:noProof/>
          <w:sz w:val="18"/>
          <w:szCs w:val="20"/>
        </w:rPr>
        <w:t>3</w:t>
      </w:r>
      <w:r w:rsidRPr="0068236B">
        <w:rPr>
          <w:rFonts w:cs="Tahoma"/>
          <w:sz w:val="18"/>
          <w:szCs w:val="20"/>
        </w:rPr>
        <w:fldChar w:fldCharType="end"/>
      </w:r>
      <w:r w:rsidRPr="0068236B">
        <w:rPr>
          <w:rFonts w:cs="Tahoma"/>
          <w:sz w:val="18"/>
          <w:szCs w:val="20"/>
        </w:rPr>
        <w:t>:</w:t>
      </w:r>
      <w:r w:rsidRPr="0068236B">
        <w:rPr>
          <w:rFonts w:cs="Tahoma"/>
          <w:bCs/>
          <w:sz w:val="18"/>
          <w:szCs w:val="20"/>
        </w:rPr>
        <w:t xml:space="preserve"> Measure of consequence</w:t>
      </w:r>
      <w:bookmarkEnd w:id="320"/>
    </w:p>
    <w:p w14:paraId="5DE4EB86" w14:textId="0C052A7F" w:rsidR="000D2DB3" w:rsidRPr="0068236B" w:rsidRDefault="000D2DB3" w:rsidP="000D2DB3">
      <w:pPr>
        <w:pStyle w:val="NumBodyText"/>
        <w:tabs>
          <w:tab w:val="clear" w:pos="0"/>
        </w:tabs>
        <w:ind w:firstLine="0"/>
        <w:jc w:val="both"/>
        <w:rPr>
          <w:rFonts w:ascii="Tahoma" w:hAnsi="Tahoma" w:cs="Tahoma"/>
          <w:sz w:val="20"/>
          <w:szCs w:val="20"/>
        </w:rPr>
      </w:pPr>
      <w:r w:rsidRPr="0068236B">
        <w:rPr>
          <w:rFonts w:ascii="Tahoma" w:hAnsi="Tahoma" w:cs="Tahoma"/>
          <w:sz w:val="20"/>
          <w:szCs w:val="20"/>
        </w:rPr>
        <w:t>The likelihood and consequence for each impact have been combined in a form of matrix to qualitatively assess the significance (Table below), based on information for similar types of projects</w:t>
      </w:r>
      <w:r w:rsidR="00E91B14" w:rsidRPr="0068236B">
        <w:rPr>
          <w:rFonts w:ascii="Tahoma" w:hAnsi="Tahoma" w:cs="Tahoma"/>
          <w:sz w:val="20"/>
          <w:szCs w:val="20"/>
        </w:rPr>
        <w:t xml:space="preserve"> as this transmission development project and good international practice and relevant guidances</w:t>
      </w:r>
      <w:r w:rsidRPr="0068236B">
        <w:rPr>
          <w:rFonts w:ascii="Tahoma" w:hAnsi="Tahoma" w:cs="Tahoma"/>
          <w:sz w:val="20"/>
          <w:szCs w:val="20"/>
        </w:rPr>
        <w:t>.</w:t>
      </w:r>
    </w:p>
    <w:tbl>
      <w:tblPr>
        <w:tblStyle w:val="WSP"/>
        <w:tblW w:w="493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Look w:val="04A0" w:firstRow="1" w:lastRow="0" w:firstColumn="1" w:lastColumn="0" w:noHBand="0" w:noVBand="1"/>
      </w:tblPr>
      <w:tblGrid>
        <w:gridCol w:w="1659"/>
        <w:gridCol w:w="1601"/>
        <w:gridCol w:w="1592"/>
        <w:gridCol w:w="1596"/>
        <w:gridCol w:w="1592"/>
        <w:gridCol w:w="1593"/>
      </w:tblGrid>
      <w:tr w:rsidR="000D2DB3" w:rsidRPr="00230397" w14:paraId="1FF7A808" w14:textId="77777777" w:rsidTr="00523E7D">
        <w:trPr>
          <w:cnfStyle w:val="100000000000" w:firstRow="1" w:lastRow="0" w:firstColumn="0" w:lastColumn="0" w:oddVBand="0" w:evenVBand="0" w:oddHBand="0" w:evenHBand="0" w:firstRowFirstColumn="0" w:firstRowLastColumn="0" w:lastRowFirstColumn="0" w:lastRowLastColumn="0"/>
          <w:trHeight w:val="20"/>
        </w:trPr>
        <w:tc>
          <w:tcPr>
            <w:tcW w:w="1659" w:type="dxa"/>
            <w:vMerge w:val="restart"/>
            <w:shd w:val="clear" w:color="auto" w:fill="44697D"/>
            <w:vAlign w:val="center"/>
            <w:hideMark/>
          </w:tcPr>
          <w:p w14:paraId="69954E41" w14:textId="77777777" w:rsidR="000D2DB3" w:rsidRPr="00230397" w:rsidRDefault="000D2DB3" w:rsidP="000D2DB3">
            <w:pPr>
              <w:pStyle w:val="TableTitle"/>
              <w:spacing w:before="0" w:after="0" w:line="240" w:lineRule="auto"/>
              <w:jc w:val="center"/>
              <w:rPr>
                <w:rFonts w:ascii="Tahoma" w:hAnsi="Tahoma" w:cs="Tahoma"/>
                <w:b w:val="0"/>
                <w:color w:val="auto"/>
                <w:sz w:val="20"/>
                <w:szCs w:val="20"/>
              </w:rPr>
            </w:pPr>
            <w:r w:rsidRPr="00230397">
              <w:rPr>
                <w:rFonts w:ascii="Tahoma" w:hAnsi="Tahoma" w:cs="Tahoma"/>
                <w:b w:val="0"/>
                <w:bCs/>
                <w:color w:val="auto"/>
                <w:sz w:val="20"/>
                <w:szCs w:val="20"/>
              </w:rPr>
              <w:t>Measure of co</w:t>
            </w:r>
            <w:r w:rsidRPr="00230397">
              <w:rPr>
                <w:rFonts w:ascii="Tahoma" w:hAnsi="Tahoma" w:cs="Tahoma"/>
                <w:b w:val="0"/>
                <w:bCs/>
                <w:color w:val="auto"/>
                <w:sz w:val="20"/>
                <w:szCs w:val="20"/>
              </w:rPr>
              <w:t>n</w:t>
            </w:r>
            <w:r w:rsidRPr="00230397">
              <w:rPr>
                <w:rFonts w:ascii="Tahoma" w:hAnsi="Tahoma" w:cs="Tahoma"/>
                <w:b w:val="0"/>
                <w:bCs/>
                <w:color w:val="auto"/>
                <w:sz w:val="20"/>
                <w:szCs w:val="20"/>
              </w:rPr>
              <w:t>sequence</w:t>
            </w:r>
          </w:p>
        </w:tc>
        <w:tc>
          <w:tcPr>
            <w:tcW w:w="7974" w:type="dxa"/>
            <w:gridSpan w:val="5"/>
            <w:shd w:val="clear" w:color="auto" w:fill="44697D"/>
            <w:vAlign w:val="center"/>
            <w:hideMark/>
          </w:tcPr>
          <w:p w14:paraId="1FE7F03A" w14:textId="77777777" w:rsidR="000D2DB3" w:rsidRPr="00230397" w:rsidRDefault="000D2DB3" w:rsidP="000D2DB3">
            <w:pPr>
              <w:pStyle w:val="TableTitle"/>
              <w:spacing w:before="0" w:after="0" w:line="240" w:lineRule="auto"/>
              <w:jc w:val="center"/>
              <w:rPr>
                <w:rFonts w:ascii="Tahoma" w:hAnsi="Tahoma" w:cs="Tahoma"/>
                <w:b w:val="0"/>
                <w:color w:val="auto"/>
                <w:sz w:val="20"/>
                <w:szCs w:val="20"/>
              </w:rPr>
            </w:pPr>
            <w:r w:rsidRPr="00230397">
              <w:rPr>
                <w:rFonts w:ascii="Tahoma" w:hAnsi="Tahoma" w:cs="Tahoma"/>
                <w:b w:val="0"/>
                <w:color w:val="auto"/>
                <w:sz w:val="20"/>
                <w:szCs w:val="20"/>
              </w:rPr>
              <w:t>Likelihood</w:t>
            </w:r>
          </w:p>
        </w:tc>
      </w:tr>
      <w:tr w:rsidR="000D2DB3" w:rsidRPr="00230397" w14:paraId="54A30844" w14:textId="77777777" w:rsidTr="00523E7D">
        <w:trPr>
          <w:cnfStyle w:val="000000100000" w:firstRow="0" w:lastRow="0" w:firstColumn="0" w:lastColumn="0" w:oddVBand="0" w:evenVBand="0" w:oddHBand="1" w:evenHBand="0" w:firstRowFirstColumn="0" w:firstRowLastColumn="0" w:lastRowFirstColumn="0" w:lastRowLastColumn="0"/>
          <w:trHeight w:val="20"/>
        </w:trPr>
        <w:tc>
          <w:tcPr>
            <w:tcW w:w="0" w:type="auto"/>
            <w:vMerge/>
            <w:shd w:val="clear" w:color="auto" w:fill="auto"/>
            <w:hideMark/>
          </w:tcPr>
          <w:p w14:paraId="7AF5EEE7" w14:textId="77777777" w:rsidR="000D2DB3" w:rsidRPr="00230397" w:rsidRDefault="000D2DB3" w:rsidP="000D2DB3">
            <w:pPr>
              <w:spacing w:before="0" w:after="0" w:line="240" w:lineRule="auto"/>
              <w:rPr>
                <w:rFonts w:cs="Tahoma"/>
                <w:color w:val="auto"/>
                <w:sz w:val="20"/>
                <w:szCs w:val="20"/>
              </w:rPr>
            </w:pPr>
          </w:p>
        </w:tc>
        <w:tc>
          <w:tcPr>
            <w:tcW w:w="1601" w:type="dxa"/>
            <w:shd w:val="clear" w:color="auto" w:fill="BFBFBF" w:themeFill="background1" w:themeFillShade="BF"/>
            <w:hideMark/>
          </w:tcPr>
          <w:p w14:paraId="47DB165E"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Very high</w:t>
            </w:r>
          </w:p>
        </w:tc>
        <w:tc>
          <w:tcPr>
            <w:tcW w:w="1592" w:type="dxa"/>
            <w:shd w:val="clear" w:color="auto" w:fill="BFBFBF" w:themeFill="background1" w:themeFillShade="BF"/>
            <w:hideMark/>
          </w:tcPr>
          <w:p w14:paraId="3AF5F721"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High</w:t>
            </w:r>
          </w:p>
        </w:tc>
        <w:tc>
          <w:tcPr>
            <w:tcW w:w="1596" w:type="dxa"/>
            <w:shd w:val="clear" w:color="auto" w:fill="BFBFBF" w:themeFill="background1" w:themeFillShade="BF"/>
            <w:hideMark/>
          </w:tcPr>
          <w:p w14:paraId="091684CF"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Medium</w:t>
            </w:r>
          </w:p>
        </w:tc>
        <w:tc>
          <w:tcPr>
            <w:tcW w:w="1592" w:type="dxa"/>
            <w:shd w:val="clear" w:color="auto" w:fill="BFBFBF" w:themeFill="background1" w:themeFillShade="BF"/>
            <w:hideMark/>
          </w:tcPr>
          <w:p w14:paraId="3FF1A82E"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Low</w:t>
            </w:r>
          </w:p>
        </w:tc>
        <w:tc>
          <w:tcPr>
            <w:tcW w:w="1593" w:type="dxa"/>
            <w:shd w:val="clear" w:color="auto" w:fill="BFBFBF" w:themeFill="background1" w:themeFillShade="BF"/>
            <w:hideMark/>
          </w:tcPr>
          <w:p w14:paraId="34CDC248"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 xml:space="preserve">Very low </w:t>
            </w:r>
          </w:p>
        </w:tc>
      </w:tr>
      <w:tr w:rsidR="000D2DB3" w:rsidRPr="00230397" w14:paraId="7051709F" w14:textId="77777777" w:rsidTr="00523E7D">
        <w:trPr>
          <w:trHeight w:val="20"/>
        </w:trPr>
        <w:tc>
          <w:tcPr>
            <w:tcW w:w="1659" w:type="dxa"/>
            <w:shd w:val="clear" w:color="auto" w:fill="BFBFBF" w:themeFill="background1" w:themeFillShade="BF"/>
            <w:hideMark/>
          </w:tcPr>
          <w:p w14:paraId="0D80F6D1"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Very large</w:t>
            </w:r>
          </w:p>
        </w:tc>
        <w:tc>
          <w:tcPr>
            <w:tcW w:w="1601" w:type="dxa"/>
            <w:shd w:val="clear" w:color="auto" w:fill="auto"/>
            <w:hideMark/>
          </w:tcPr>
          <w:p w14:paraId="278968CC"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Significant</w:t>
            </w:r>
          </w:p>
        </w:tc>
        <w:tc>
          <w:tcPr>
            <w:tcW w:w="1592" w:type="dxa"/>
            <w:shd w:val="clear" w:color="auto" w:fill="auto"/>
            <w:hideMark/>
          </w:tcPr>
          <w:p w14:paraId="5D862EC7"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 xml:space="preserve">Significant </w:t>
            </w:r>
          </w:p>
        </w:tc>
        <w:tc>
          <w:tcPr>
            <w:tcW w:w="1596" w:type="dxa"/>
            <w:shd w:val="clear" w:color="auto" w:fill="auto"/>
            <w:hideMark/>
          </w:tcPr>
          <w:p w14:paraId="7FBD6BDE"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Significant</w:t>
            </w:r>
          </w:p>
        </w:tc>
        <w:tc>
          <w:tcPr>
            <w:tcW w:w="1592" w:type="dxa"/>
            <w:shd w:val="clear" w:color="auto" w:fill="auto"/>
            <w:hideMark/>
          </w:tcPr>
          <w:p w14:paraId="20E03337"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Significant</w:t>
            </w:r>
          </w:p>
        </w:tc>
        <w:tc>
          <w:tcPr>
            <w:tcW w:w="1593" w:type="dxa"/>
            <w:shd w:val="clear" w:color="auto" w:fill="auto"/>
            <w:hideMark/>
          </w:tcPr>
          <w:p w14:paraId="5419795B"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 xml:space="preserve">Significant </w:t>
            </w:r>
          </w:p>
        </w:tc>
      </w:tr>
      <w:tr w:rsidR="000D2DB3" w:rsidRPr="00230397" w14:paraId="4EC11DDB" w14:textId="77777777" w:rsidTr="00523E7D">
        <w:trPr>
          <w:cnfStyle w:val="000000100000" w:firstRow="0" w:lastRow="0" w:firstColumn="0" w:lastColumn="0" w:oddVBand="0" w:evenVBand="0" w:oddHBand="1" w:evenHBand="0" w:firstRowFirstColumn="0" w:firstRowLastColumn="0" w:lastRowFirstColumn="0" w:lastRowLastColumn="0"/>
          <w:trHeight w:val="20"/>
        </w:trPr>
        <w:tc>
          <w:tcPr>
            <w:tcW w:w="1659" w:type="dxa"/>
            <w:shd w:val="clear" w:color="auto" w:fill="BFBFBF" w:themeFill="background1" w:themeFillShade="BF"/>
            <w:hideMark/>
          </w:tcPr>
          <w:p w14:paraId="7F5A786C"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Large</w:t>
            </w:r>
          </w:p>
        </w:tc>
        <w:tc>
          <w:tcPr>
            <w:tcW w:w="1601" w:type="dxa"/>
            <w:shd w:val="clear" w:color="auto" w:fill="auto"/>
            <w:hideMark/>
          </w:tcPr>
          <w:p w14:paraId="4CCAC065"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 xml:space="preserve">Significant </w:t>
            </w:r>
          </w:p>
        </w:tc>
        <w:tc>
          <w:tcPr>
            <w:tcW w:w="1592" w:type="dxa"/>
            <w:shd w:val="clear" w:color="auto" w:fill="auto"/>
            <w:hideMark/>
          </w:tcPr>
          <w:p w14:paraId="1943B198"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 xml:space="preserve">Significant </w:t>
            </w:r>
          </w:p>
        </w:tc>
        <w:tc>
          <w:tcPr>
            <w:tcW w:w="1596" w:type="dxa"/>
            <w:shd w:val="clear" w:color="auto" w:fill="auto"/>
            <w:hideMark/>
          </w:tcPr>
          <w:p w14:paraId="5500D1F5"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Significant</w:t>
            </w:r>
          </w:p>
        </w:tc>
        <w:tc>
          <w:tcPr>
            <w:tcW w:w="1592" w:type="dxa"/>
            <w:shd w:val="clear" w:color="auto" w:fill="auto"/>
            <w:hideMark/>
          </w:tcPr>
          <w:p w14:paraId="1B83979F" w14:textId="77777777" w:rsidR="000D2DB3" w:rsidRPr="00230397" w:rsidRDefault="000D2DB3" w:rsidP="000D2DB3">
            <w:pPr>
              <w:spacing w:before="0" w:after="0" w:line="240" w:lineRule="auto"/>
              <w:rPr>
                <w:rFonts w:cs="Tahoma"/>
                <w:color w:val="auto"/>
                <w:sz w:val="20"/>
                <w:szCs w:val="20"/>
              </w:rPr>
            </w:pPr>
            <w:r w:rsidRPr="00230397">
              <w:rPr>
                <w:rFonts w:cs="Tahoma"/>
                <w:color w:val="auto"/>
                <w:sz w:val="20"/>
                <w:szCs w:val="20"/>
              </w:rPr>
              <w:t>Significant</w:t>
            </w:r>
          </w:p>
        </w:tc>
        <w:tc>
          <w:tcPr>
            <w:tcW w:w="1593" w:type="dxa"/>
            <w:shd w:val="clear" w:color="auto" w:fill="auto"/>
            <w:hideMark/>
          </w:tcPr>
          <w:p w14:paraId="225C6CA8" w14:textId="77777777" w:rsidR="000D2DB3" w:rsidRPr="00230397" w:rsidRDefault="000D2DB3" w:rsidP="000D2DB3">
            <w:pPr>
              <w:spacing w:before="0" w:after="0" w:line="240" w:lineRule="auto"/>
              <w:rPr>
                <w:rFonts w:cs="Tahoma"/>
                <w:color w:val="auto"/>
                <w:sz w:val="20"/>
                <w:szCs w:val="20"/>
              </w:rPr>
            </w:pPr>
            <w:r w:rsidRPr="00230397">
              <w:rPr>
                <w:rFonts w:cs="Tahoma"/>
                <w:color w:val="auto"/>
                <w:sz w:val="20"/>
                <w:szCs w:val="20"/>
              </w:rPr>
              <w:t>Significant</w:t>
            </w:r>
          </w:p>
        </w:tc>
      </w:tr>
      <w:tr w:rsidR="000D2DB3" w:rsidRPr="00230397" w14:paraId="41ADCAB0" w14:textId="77777777" w:rsidTr="00523E7D">
        <w:trPr>
          <w:trHeight w:val="20"/>
        </w:trPr>
        <w:tc>
          <w:tcPr>
            <w:tcW w:w="1659" w:type="dxa"/>
            <w:shd w:val="clear" w:color="auto" w:fill="BFBFBF" w:themeFill="background1" w:themeFillShade="BF"/>
            <w:hideMark/>
          </w:tcPr>
          <w:p w14:paraId="61A33692"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 xml:space="preserve">Moderate </w:t>
            </w:r>
          </w:p>
        </w:tc>
        <w:tc>
          <w:tcPr>
            <w:tcW w:w="1601" w:type="dxa"/>
            <w:shd w:val="clear" w:color="auto" w:fill="auto"/>
            <w:hideMark/>
          </w:tcPr>
          <w:p w14:paraId="4D715AFA"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 xml:space="preserve">Significant </w:t>
            </w:r>
          </w:p>
        </w:tc>
        <w:tc>
          <w:tcPr>
            <w:tcW w:w="1592" w:type="dxa"/>
            <w:shd w:val="clear" w:color="auto" w:fill="auto"/>
            <w:hideMark/>
          </w:tcPr>
          <w:p w14:paraId="10BBFDCB"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 xml:space="preserve">Significant </w:t>
            </w:r>
          </w:p>
        </w:tc>
        <w:tc>
          <w:tcPr>
            <w:tcW w:w="1596" w:type="dxa"/>
            <w:shd w:val="clear" w:color="auto" w:fill="auto"/>
            <w:hideMark/>
          </w:tcPr>
          <w:p w14:paraId="1704077A"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Significant</w:t>
            </w:r>
          </w:p>
        </w:tc>
        <w:tc>
          <w:tcPr>
            <w:tcW w:w="1592" w:type="dxa"/>
            <w:shd w:val="clear" w:color="auto" w:fill="auto"/>
            <w:hideMark/>
          </w:tcPr>
          <w:p w14:paraId="109F85AD"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 xml:space="preserve">Not significant </w:t>
            </w:r>
          </w:p>
        </w:tc>
        <w:tc>
          <w:tcPr>
            <w:tcW w:w="1593" w:type="dxa"/>
            <w:shd w:val="clear" w:color="auto" w:fill="auto"/>
            <w:hideMark/>
          </w:tcPr>
          <w:p w14:paraId="52D7F3B8"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 xml:space="preserve">Not significant </w:t>
            </w:r>
          </w:p>
        </w:tc>
      </w:tr>
      <w:tr w:rsidR="000D2DB3" w:rsidRPr="00230397" w14:paraId="39EF4B28" w14:textId="77777777" w:rsidTr="00523E7D">
        <w:trPr>
          <w:cnfStyle w:val="000000100000" w:firstRow="0" w:lastRow="0" w:firstColumn="0" w:lastColumn="0" w:oddVBand="0" w:evenVBand="0" w:oddHBand="1" w:evenHBand="0" w:firstRowFirstColumn="0" w:firstRowLastColumn="0" w:lastRowFirstColumn="0" w:lastRowLastColumn="0"/>
          <w:trHeight w:val="20"/>
        </w:trPr>
        <w:tc>
          <w:tcPr>
            <w:tcW w:w="1659" w:type="dxa"/>
            <w:shd w:val="clear" w:color="auto" w:fill="BFBFBF" w:themeFill="background1" w:themeFillShade="BF"/>
            <w:hideMark/>
          </w:tcPr>
          <w:p w14:paraId="43458A8B"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Minor</w:t>
            </w:r>
          </w:p>
        </w:tc>
        <w:tc>
          <w:tcPr>
            <w:tcW w:w="1601" w:type="dxa"/>
            <w:shd w:val="clear" w:color="auto" w:fill="auto"/>
            <w:hideMark/>
          </w:tcPr>
          <w:p w14:paraId="5DE0D0B5"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Significant</w:t>
            </w:r>
          </w:p>
        </w:tc>
        <w:tc>
          <w:tcPr>
            <w:tcW w:w="1592" w:type="dxa"/>
            <w:shd w:val="clear" w:color="auto" w:fill="auto"/>
            <w:hideMark/>
          </w:tcPr>
          <w:p w14:paraId="14B3A445"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Significant</w:t>
            </w:r>
          </w:p>
        </w:tc>
        <w:tc>
          <w:tcPr>
            <w:tcW w:w="1596" w:type="dxa"/>
            <w:shd w:val="clear" w:color="auto" w:fill="auto"/>
            <w:hideMark/>
          </w:tcPr>
          <w:p w14:paraId="4AB1AFDA"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Not significant</w:t>
            </w:r>
          </w:p>
        </w:tc>
        <w:tc>
          <w:tcPr>
            <w:tcW w:w="1592" w:type="dxa"/>
            <w:shd w:val="clear" w:color="auto" w:fill="auto"/>
            <w:hideMark/>
          </w:tcPr>
          <w:p w14:paraId="1DB40E4C"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 xml:space="preserve">Not significant </w:t>
            </w:r>
          </w:p>
        </w:tc>
        <w:tc>
          <w:tcPr>
            <w:tcW w:w="1593" w:type="dxa"/>
            <w:shd w:val="clear" w:color="auto" w:fill="auto"/>
            <w:hideMark/>
          </w:tcPr>
          <w:p w14:paraId="1F9533C2"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 xml:space="preserve">Not significant </w:t>
            </w:r>
          </w:p>
        </w:tc>
      </w:tr>
      <w:tr w:rsidR="000D2DB3" w:rsidRPr="00230397" w14:paraId="661EFD28" w14:textId="77777777" w:rsidTr="00523E7D">
        <w:trPr>
          <w:trHeight w:val="20"/>
        </w:trPr>
        <w:tc>
          <w:tcPr>
            <w:tcW w:w="1659" w:type="dxa"/>
            <w:shd w:val="clear" w:color="auto" w:fill="BFBFBF" w:themeFill="background1" w:themeFillShade="BF"/>
            <w:hideMark/>
          </w:tcPr>
          <w:p w14:paraId="2C23016B"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Negligible</w:t>
            </w:r>
          </w:p>
        </w:tc>
        <w:tc>
          <w:tcPr>
            <w:tcW w:w="1601" w:type="dxa"/>
            <w:shd w:val="clear" w:color="auto" w:fill="auto"/>
            <w:hideMark/>
          </w:tcPr>
          <w:p w14:paraId="55FA2F13"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Not significant</w:t>
            </w:r>
          </w:p>
        </w:tc>
        <w:tc>
          <w:tcPr>
            <w:tcW w:w="1592" w:type="dxa"/>
            <w:shd w:val="clear" w:color="auto" w:fill="auto"/>
            <w:hideMark/>
          </w:tcPr>
          <w:p w14:paraId="79ECD77F"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Not significant</w:t>
            </w:r>
          </w:p>
        </w:tc>
        <w:tc>
          <w:tcPr>
            <w:tcW w:w="1596" w:type="dxa"/>
            <w:shd w:val="clear" w:color="auto" w:fill="auto"/>
            <w:hideMark/>
          </w:tcPr>
          <w:p w14:paraId="0E141D0C"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Not significant</w:t>
            </w:r>
          </w:p>
        </w:tc>
        <w:tc>
          <w:tcPr>
            <w:tcW w:w="1592" w:type="dxa"/>
            <w:shd w:val="clear" w:color="auto" w:fill="auto"/>
            <w:hideMark/>
          </w:tcPr>
          <w:p w14:paraId="34AB1D37"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 xml:space="preserve">Not significant </w:t>
            </w:r>
          </w:p>
        </w:tc>
        <w:tc>
          <w:tcPr>
            <w:tcW w:w="1593" w:type="dxa"/>
            <w:shd w:val="clear" w:color="auto" w:fill="auto"/>
            <w:hideMark/>
          </w:tcPr>
          <w:p w14:paraId="238CA83D" w14:textId="77777777" w:rsidR="000D2DB3" w:rsidRPr="00230397" w:rsidRDefault="000D2DB3" w:rsidP="000D2DB3">
            <w:pPr>
              <w:pStyle w:val="TableTitle"/>
              <w:spacing w:before="0" w:after="0" w:line="240" w:lineRule="auto"/>
              <w:rPr>
                <w:rFonts w:ascii="Tahoma" w:hAnsi="Tahoma" w:cs="Tahoma"/>
                <w:b w:val="0"/>
                <w:color w:val="auto"/>
                <w:sz w:val="20"/>
                <w:szCs w:val="20"/>
              </w:rPr>
            </w:pPr>
            <w:r w:rsidRPr="00230397">
              <w:rPr>
                <w:rFonts w:ascii="Tahoma" w:hAnsi="Tahoma" w:cs="Tahoma"/>
                <w:b w:val="0"/>
                <w:color w:val="auto"/>
                <w:sz w:val="20"/>
                <w:szCs w:val="20"/>
              </w:rPr>
              <w:t xml:space="preserve">Not significant </w:t>
            </w:r>
          </w:p>
        </w:tc>
      </w:tr>
    </w:tbl>
    <w:p w14:paraId="4A593B4D" w14:textId="4627F232" w:rsidR="003F0D91" w:rsidRPr="0068236B" w:rsidRDefault="00523E7D" w:rsidP="003F0D91">
      <w:pPr>
        <w:pStyle w:val="NumberedParagraph"/>
        <w:rPr>
          <w:rFonts w:cs="Tahoma"/>
          <w:bCs/>
          <w:sz w:val="18"/>
          <w:szCs w:val="20"/>
        </w:rPr>
      </w:pPr>
      <w:bookmarkStart w:id="321" w:name="_Toc66476812"/>
      <w:bookmarkStart w:id="322" w:name="_Toc113018200"/>
      <w:r w:rsidRPr="0068236B">
        <w:rPr>
          <w:rFonts w:cs="Tahoma"/>
          <w:sz w:val="18"/>
          <w:szCs w:val="20"/>
        </w:rPr>
        <w:t xml:space="preserve">Table </w:t>
      </w:r>
      <w:r w:rsidRPr="0068236B">
        <w:rPr>
          <w:rFonts w:cs="Tahoma"/>
          <w:sz w:val="18"/>
          <w:szCs w:val="20"/>
        </w:rPr>
        <w:fldChar w:fldCharType="begin"/>
      </w:r>
      <w:r w:rsidRPr="0068236B">
        <w:rPr>
          <w:rFonts w:cs="Tahoma"/>
          <w:sz w:val="18"/>
          <w:szCs w:val="20"/>
        </w:rPr>
        <w:instrText xml:space="preserve"> STYLEREF 1 \s </w:instrText>
      </w:r>
      <w:r w:rsidRPr="0068236B">
        <w:rPr>
          <w:rFonts w:cs="Tahoma"/>
          <w:sz w:val="18"/>
          <w:szCs w:val="20"/>
        </w:rPr>
        <w:fldChar w:fldCharType="separate"/>
      </w:r>
      <w:r w:rsidR="00FD57E6">
        <w:rPr>
          <w:rFonts w:cs="Tahoma"/>
          <w:noProof/>
          <w:sz w:val="18"/>
          <w:szCs w:val="20"/>
        </w:rPr>
        <w:t>8</w:t>
      </w:r>
      <w:r w:rsidRPr="0068236B">
        <w:rPr>
          <w:rFonts w:cs="Tahoma"/>
          <w:sz w:val="18"/>
          <w:szCs w:val="20"/>
        </w:rPr>
        <w:fldChar w:fldCharType="end"/>
      </w:r>
      <w:r w:rsidR="0087135B" w:rsidRPr="0068236B">
        <w:rPr>
          <w:rFonts w:cs="Tahoma"/>
          <w:sz w:val="18"/>
          <w:szCs w:val="20"/>
        </w:rPr>
        <w:t>.</w:t>
      </w:r>
      <w:r w:rsidRPr="0068236B">
        <w:rPr>
          <w:rFonts w:cs="Tahoma"/>
          <w:sz w:val="18"/>
          <w:szCs w:val="20"/>
        </w:rPr>
        <w:fldChar w:fldCharType="begin"/>
      </w:r>
      <w:r w:rsidRPr="0068236B">
        <w:rPr>
          <w:rFonts w:cs="Tahoma"/>
          <w:sz w:val="18"/>
          <w:szCs w:val="20"/>
        </w:rPr>
        <w:instrText xml:space="preserve"> SEQ Table \* ARABIC \s 1 </w:instrText>
      </w:r>
      <w:r w:rsidRPr="0068236B">
        <w:rPr>
          <w:rFonts w:cs="Tahoma"/>
          <w:sz w:val="18"/>
          <w:szCs w:val="20"/>
        </w:rPr>
        <w:fldChar w:fldCharType="separate"/>
      </w:r>
      <w:r w:rsidR="00FD57E6">
        <w:rPr>
          <w:rFonts w:cs="Tahoma"/>
          <w:noProof/>
          <w:sz w:val="18"/>
          <w:szCs w:val="20"/>
        </w:rPr>
        <w:t>4</w:t>
      </w:r>
      <w:r w:rsidRPr="0068236B">
        <w:rPr>
          <w:rFonts w:cs="Tahoma"/>
          <w:sz w:val="18"/>
          <w:szCs w:val="20"/>
        </w:rPr>
        <w:fldChar w:fldCharType="end"/>
      </w:r>
      <w:r w:rsidRPr="0068236B">
        <w:rPr>
          <w:rFonts w:cs="Tahoma"/>
          <w:bCs/>
          <w:sz w:val="18"/>
          <w:szCs w:val="20"/>
        </w:rPr>
        <w:t>: Impact significance matrix</w:t>
      </w:r>
      <w:bookmarkEnd w:id="321"/>
      <w:bookmarkEnd w:id="322"/>
    </w:p>
    <w:p w14:paraId="761CDEC2" w14:textId="069901CB" w:rsidR="00CB38FD" w:rsidRPr="0068236B" w:rsidRDefault="00CB38FD" w:rsidP="00CB38FD">
      <w:pPr>
        <w:ind w:firstLine="720"/>
        <w:rPr>
          <w:rFonts w:cs="Tahoma"/>
          <w:sz w:val="20"/>
          <w:szCs w:val="20"/>
          <w:u w:val="single"/>
        </w:rPr>
      </w:pPr>
      <w:r w:rsidRPr="0068236B">
        <w:rPr>
          <w:rFonts w:cs="Tahoma"/>
          <w:sz w:val="20"/>
          <w:szCs w:val="20"/>
          <w:u w:val="single"/>
        </w:rPr>
        <w:t>Assumptions and Limitations of the Method</w:t>
      </w:r>
    </w:p>
    <w:p w14:paraId="77FE538E" w14:textId="77777777" w:rsidR="00E00AF6" w:rsidRPr="0068236B" w:rsidRDefault="00E00AF6" w:rsidP="00E00AF6">
      <w:pPr>
        <w:pStyle w:val="NumBodyText"/>
        <w:tabs>
          <w:tab w:val="clear" w:pos="0"/>
        </w:tabs>
        <w:ind w:firstLine="0"/>
        <w:jc w:val="both"/>
        <w:rPr>
          <w:rFonts w:ascii="Tahoma" w:hAnsi="Tahoma" w:cs="Tahoma"/>
          <w:sz w:val="20"/>
          <w:szCs w:val="20"/>
        </w:rPr>
      </w:pPr>
      <w:r w:rsidRPr="0068236B">
        <w:rPr>
          <w:rFonts w:ascii="Tahoma" w:hAnsi="Tahoma" w:cs="Tahoma"/>
          <w:sz w:val="20"/>
          <w:szCs w:val="20"/>
        </w:rPr>
        <w:t xml:space="preserve">There are inherent uncertainties associated with using climate projections and they are not predictions of the future. It is possible that future climate will differ from the future baseline climate against which the resilience of the Project has been assessed, depending on the extent of global emissions released into the </w:t>
      </w:r>
      <w:r w:rsidRPr="0068236B">
        <w:rPr>
          <w:rFonts w:ascii="Tahoma" w:hAnsi="Tahoma" w:cs="Tahoma"/>
          <w:sz w:val="20"/>
          <w:szCs w:val="20"/>
        </w:rPr>
        <w:lastRenderedPageBreak/>
        <w:t>atmosphere over the next century. A worst-case scenario has been used to assess the resilience of the Pr</w:t>
      </w:r>
      <w:r w:rsidRPr="0068236B">
        <w:rPr>
          <w:rFonts w:ascii="Tahoma" w:hAnsi="Tahoma" w:cs="Tahoma"/>
          <w:sz w:val="20"/>
          <w:szCs w:val="20"/>
        </w:rPr>
        <w:t>o</w:t>
      </w:r>
      <w:r w:rsidRPr="0068236B">
        <w:rPr>
          <w:rFonts w:ascii="Tahoma" w:hAnsi="Tahoma" w:cs="Tahoma"/>
          <w:sz w:val="20"/>
          <w:szCs w:val="20"/>
        </w:rPr>
        <w:t>ject over its lifetime.</w:t>
      </w:r>
    </w:p>
    <w:p w14:paraId="72D865B8" w14:textId="77777777" w:rsidR="00E00AF6" w:rsidRPr="0068236B" w:rsidRDefault="00E00AF6" w:rsidP="00E00AF6">
      <w:pPr>
        <w:pStyle w:val="NumBodyText"/>
        <w:tabs>
          <w:tab w:val="clear" w:pos="0"/>
        </w:tabs>
        <w:ind w:firstLine="0"/>
        <w:jc w:val="both"/>
        <w:rPr>
          <w:rFonts w:ascii="Tahoma" w:hAnsi="Tahoma" w:cs="Tahoma"/>
          <w:sz w:val="20"/>
          <w:szCs w:val="20"/>
        </w:rPr>
      </w:pPr>
      <w:r w:rsidRPr="0068236B">
        <w:rPr>
          <w:rFonts w:ascii="Tahoma" w:hAnsi="Tahoma" w:cs="Tahoma"/>
          <w:sz w:val="20"/>
          <w:szCs w:val="20"/>
        </w:rPr>
        <w:t>Climate projection data is modeled data from the global climate model compilations of the Coupled Model Inter-comparison Projects (CMIPs), overseen by the World Climate Research Program (WCRP). Data on pr</w:t>
      </w:r>
      <w:r w:rsidRPr="0068236B">
        <w:rPr>
          <w:rFonts w:ascii="Tahoma" w:hAnsi="Tahoma" w:cs="Tahoma"/>
          <w:sz w:val="20"/>
          <w:szCs w:val="20"/>
        </w:rPr>
        <w:t>o</w:t>
      </w:r>
      <w:r w:rsidRPr="0068236B">
        <w:rPr>
          <w:rFonts w:ascii="Tahoma" w:hAnsi="Tahoma" w:cs="Tahoma"/>
          <w:sz w:val="20"/>
          <w:szCs w:val="20"/>
        </w:rPr>
        <w:t>jected climate has been taken from the WCRP Knowledge Portal which summarises output of the Coupled Model Inter-comparison Project Phase 6 (CMIP6)</w:t>
      </w:r>
      <w:r w:rsidRPr="0068236B">
        <w:rPr>
          <w:rStyle w:val="FootnoteReference"/>
          <w:rFonts w:cs="Tahoma"/>
          <w:sz w:val="20"/>
          <w:szCs w:val="20"/>
        </w:rPr>
        <w:footnoteReference w:id="100"/>
      </w:r>
      <w:r w:rsidRPr="0068236B">
        <w:rPr>
          <w:rFonts w:ascii="Tahoma" w:hAnsi="Tahoma" w:cs="Tahoma"/>
          <w:sz w:val="20"/>
          <w:szCs w:val="20"/>
        </w:rPr>
        <w:t xml:space="preserve"> models included in the IPPC’s Sixth Assessment Report (AR6)</w:t>
      </w:r>
      <w:r w:rsidRPr="0068236B">
        <w:rPr>
          <w:rStyle w:val="FootnoteReference"/>
          <w:rFonts w:cs="Tahoma"/>
          <w:sz w:val="20"/>
          <w:szCs w:val="20"/>
        </w:rPr>
        <w:footnoteReference w:id="101"/>
      </w:r>
      <w:r w:rsidRPr="0068236B">
        <w:rPr>
          <w:rFonts w:ascii="Tahoma" w:hAnsi="Tahoma" w:cs="Tahoma"/>
          <w:sz w:val="20"/>
          <w:szCs w:val="20"/>
        </w:rPr>
        <w:t>. There are some climate variables which are not available from the Knowledge Portal, including wind, and as such, the assessment does not include detailed information on projections in this variable.</w:t>
      </w:r>
    </w:p>
    <w:p w14:paraId="72C33CB3" w14:textId="77777777" w:rsidR="00E00AF6" w:rsidRPr="0068236B" w:rsidRDefault="00E00AF6" w:rsidP="00E00AF6">
      <w:pPr>
        <w:pStyle w:val="NumBodyText"/>
        <w:tabs>
          <w:tab w:val="clear" w:pos="0"/>
        </w:tabs>
        <w:ind w:firstLine="0"/>
        <w:jc w:val="both"/>
        <w:rPr>
          <w:rFonts w:ascii="Tahoma" w:hAnsi="Tahoma" w:cs="Tahoma"/>
          <w:sz w:val="20"/>
          <w:szCs w:val="20"/>
        </w:rPr>
      </w:pPr>
      <w:r w:rsidRPr="0068236B">
        <w:rPr>
          <w:rFonts w:ascii="Tahoma" w:hAnsi="Tahoma" w:cs="Tahoma"/>
          <w:sz w:val="20"/>
          <w:szCs w:val="20"/>
        </w:rPr>
        <w:t>The assessment of impacts and their likely significance takes into account design measures which mitigate impacts. These measures have been identified through engagement with the wider Project Team and a r</w:t>
      </w:r>
      <w:r w:rsidRPr="0068236B">
        <w:rPr>
          <w:rFonts w:ascii="Tahoma" w:hAnsi="Tahoma" w:cs="Tahoma"/>
          <w:sz w:val="20"/>
          <w:szCs w:val="20"/>
        </w:rPr>
        <w:t>e</w:t>
      </w:r>
      <w:r w:rsidRPr="0068236B">
        <w:rPr>
          <w:rFonts w:ascii="Tahoma" w:hAnsi="Tahoma" w:cs="Tahoma"/>
          <w:sz w:val="20"/>
          <w:szCs w:val="20"/>
        </w:rPr>
        <w:t>view of Project documentation. The assessment assumes that the measures which have been identified at this stage are incorporated into the final design and that the road is designed in accordance with the follo</w:t>
      </w:r>
      <w:r w:rsidRPr="0068236B">
        <w:rPr>
          <w:rFonts w:ascii="Tahoma" w:hAnsi="Tahoma" w:cs="Tahoma"/>
          <w:sz w:val="20"/>
          <w:szCs w:val="20"/>
        </w:rPr>
        <w:t>w</w:t>
      </w:r>
      <w:r w:rsidRPr="0068236B">
        <w:rPr>
          <w:rFonts w:ascii="Tahoma" w:hAnsi="Tahoma" w:cs="Tahoma"/>
          <w:sz w:val="20"/>
          <w:szCs w:val="20"/>
        </w:rPr>
        <w:t>ing documents:</w:t>
      </w:r>
    </w:p>
    <w:p w14:paraId="6C950FC8" w14:textId="086C87FE" w:rsidR="00C222A2" w:rsidRPr="0068236B" w:rsidRDefault="00C222A2" w:rsidP="00C222A2">
      <w:pPr>
        <w:pStyle w:val="Heading3"/>
      </w:pPr>
      <w:bookmarkStart w:id="323" w:name="_Toc112852262"/>
      <w:r w:rsidRPr="0068236B">
        <w:t>Potential Impacts</w:t>
      </w:r>
      <w:bookmarkEnd w:id="323"/>
    </w:p>
    <w:p w14:paraId="4F54BBDC" w14:textId="7A28DAF9" w:rsidR="00023B94" w:rsidRPr="0068236B" w:rsidRDefault="00023B94" w:rsidP="00023B94">
      <w:pPr>
        <w:autoSpaceDE w:val="0"/>
        <w:autoSpaceDN w:val="0"/>
        <w:adjustRightInd w:val="0"/>
        <w:rPr>
          <w:rFonts w:cs="Tahoma"/>
          <w:sz w:val="20"/>
          <w:szCs w:val="20"/>
        </w:rPr>
      </w:pPr>
      <w:r w:rsidRPr="0068236B">
        <w:rPr>
          <w:rFonts w:cs="Tahoma"/>
          <w:sz w:val="20"/>
          <w:szCs w:val="20"/>
        </w:rPr>
        <w:t xml:space="preserve">In order to achieve an appropriate level of sustainability and climate resilience, new transmission networks, as well as distribution networks, need to be located in areas which minimise their vulnerability in respect to physical damage and operational performance. </w:t>
      </w:r>
    </w:p>
    <w:p w14:paraId="3986CC95" w14:textId="25451D6C" w:rsidR="00D02F8B" w:rsidRPr="0068236B" w:rsidRDefault="00023B94" w:rsidP="00023B94">
      <w:pPr>
        <w:pStyle w:val="Pa31"/>
        <w:spacing w:before="120" w:after="120" w:line="276" w:lineRule="auto"/>
        <w:jc w:val="both"/>
        <w:rPr>
          <w:rFonts w:ascii="Tahoma" w:hAnsi="Tahoma" w:cs="Tahoma"/>
          <w:sz w:val="20"/>
          <w:szCs w:val="20"/>
          <w:lang w:val="en-GB"/>
        </w:rPr>
      </w:pPr>
      <w:r w:rsidRPr="0068236B">
        <w:rPr>
          <w:rFonts w:ascii="Tahoma" w:hAnsi="Tahoma" w:cs="Tahoma"/>
          <w:sz w:val="20"/>
          <w:szCs w:val="20"/>
          <w:lang w:val="en-GB"/>
        </w:rPr>
        <w:t xml:space="preserve">Extreme weather events are the greatest concern for electricity supply systems. In many countries, weather-related disturbances to the power sector are responsible for a great number of customer interruption hours with a significant cost to the economy. Extreme weather events can result in significant economic and safety hazards. Continued increases in the magnitude and frequency of extreme weather can intensify the stress on energy </w:t>
      </w:r>
      <w:r w:rsidR="00D02F8B" w:rsidRPr="0068236B">
        <w:rPr>
          <w:rFonts w:ascii="Tahoma" w:hAnsi="Tahoma" w:cs="Tahoma"/>
          <w:sz w:val="20"/>
          <w:szCs w:val="20"/>
          <w:lang w:val="en-GB"/>
        </w:rPr>
        <w:t>transmission</w:t>
      </w:r>
      <w:r w:rsidRPr="0068236B">
        <w:rPr>
          <w:rFonts w:ascii="Tahoma" w:hAnsi="Tahoma" w:cs="Tahoma"/>
          <w:sz w:val="20"/>
          <w:szCs w:val="20"/>
          <w:lang w:val="en-GB"/>
        </w:rPr>
        <w:t xml:space="preserve"> systems in</w:t>
      </w:r>
      <w:r w:rsidR="008853B5" w:rsidRPr="0068236B">
        <w:rPr>
          <w:rFonts w:ascii="Tahoma" w:hAnsi="Tahoma" w:cs="Tahoma"/>
          <w:sz w:val="20"/>
          <w:szCs w:val="20"/>
          <w:lang w:val="en-GB"/>
        </w:rPr>
        <w:t xml:space="preserve"> several ways, mainly [Ref.27</w:t>
      </w:r>
      <w:r w:rsidR="00D02F8B" w:rsidRPr="0068236B">
        <w:rPr>
          <w:rFonts w:ascii="Tahoma" w:hAnsi="Tahoma" w:cs="Tahoma"/>
          <w:sz w:val="20"/>
          <w:szCs w:val="20"/>
          <w:lang w:val="en-GB"/>
        </w:rPr>
        <w:t>]:</w:t>
      </w:r>
    </w:p>
    <w:p w14:paraId="00B7D2BF" w14:textId="022DDA1E" w:rsidR="00023B94" w:rsidRPr="0068236B" w:rsidRDefault="00023B94" w:rsidP="00D24CEF">
      <w:pPr>
        <w:pStyle w:val="Pa31"/>
        <w:numPr>
          <w:ilvl w:val="0"/>
          <w:numId w:val="75"/>
        </w:numPr>
        <w:spacing w:before="120" w:after="120" w:line="276" w:lineRule="auto"/>
        <w:rPr>
          <w:rFonts w:ascii="Tahoma" w:hAnsi="Tahoma" w:cs="Tahoma"/>
          <w:sz w:val="20"/>
          <w:szCs w:val="20"/>
          <w:lang w:val="en-GB"/>
        </w:rPr>
      </w:pPr>
      <w:r w:rsidRPr="0068236B">
        <w:rPr>
          <w:rFonts w:ascii="Tahoma" w:hAnsi="Tahoma" w:cs="Tahoma"/>
          <w:sz w:val="20"/>
          <w:szCs w:val="20"/>
          <w:lang w:val="en-GB"/>
        </w:rPr>
        <w:t xml:space="preserve">Transmission networks are vulnerable to extreme weather events. </w:t>
      </w:r>
      <w:r w:rsidR="00D02F8B" w:rsidRPr="0068236B">
        <w:rPr>
          <w:rFonts w:ascii="Tahoma" w:hAnsi="Tahoma" w:cs="Tahoma"/>
          <w:sz w:val="20"/>
          <w:szCs w:val="20"/>
          <w:lang w:val="en-GB"/>
        </w:rPr>
        <w:t>In general, c</w:t>
      </w:r>
      <w:r w:rsidRPr="0068236B">
        <w:rPr>
          <w:rFonts w:ascii="Tahoma" w:hAnsi="Tahoma" w:cs="Tahoma"/>
          <w:sz w:val="20"/>
          <w:szCs w:val="20"/>
          <w:lang w:val="en-GB"/>
        </w:rPr>
        <w:t xml:space="preserve">limate-related threats to transmission systems include high winds, falling trees, snow and ice accumulation, temperature-related equipment failures, lightning strikes, floods, supply losses and sagging of lines. </w:t>
      </w:r>
    </w:p>
    <w:p w14:paraId="341573E3" w14:textId="77988E56" w:rsidR="00D02F8B" w:rsidRPr="0068236B" w:rsidRDefault="00D02F8B" w:rsidP="00D24CEF">
      <w:pPr>
        <w:pStyle w:val="ListParagraph"/>
        <w:numPr>
          <w:ilvl w:val="0"/>
          <w:numId w:val="75"/>
        </w:numPr>
        <w:jc w:val="left"/>
        <w:rPr>
          <w:rFonts w:cs="Tahoma"/>
          <w:color w:val="000000"/>
          <w:sz w:val="20"/>
          <w:szCs w:val="20"/>
        </w:rPr>
      </w:pPr>
      <w:r w:rsidRPr="0068236B">
        <w:rPr>
          <w:rFonts w:cs="Tahoma"/>
          <w:color w:val="000000"/>
          <w:sz w:val="20"/>
          <w:szCs w:val="20"/>
        </w:rPr>
        <w:t>High ambient temperatures may reduce transmission network efficiency.</w:t>
      </w:r>
    </w:p>
    <w:p w14:paraId="3BE44C1B" w14:textId="329975A0" w:rsidR="00D02F8B" w:rsidRPr="0068236B" w:rsidRDefault="00D02F8B" w:rsidP="00D24CEF">
      <w:pPr>
        <w:pStyle w:val="ListParagraph"/>
        <w:numPr>
          <w:ilvl w:val="0"/>
          <w:numId w:val="75"/>
        </w:numPr>
        <w:jc w:val="left"/>
        <w:rPr>
          <w:rFonts w:cs="Tahoma"/>
          <w:color w:val="000000"/>
          <w:sz w:val="20"/>
          <w:szCs w:val="20"/>
        </w:rPr>
      </w:pPr>
      <w:r w:rsidRPr="0068236B">
        <w:rPr>
          <w:rFonts w:cs="Tahoma"/>
          <w:color w:val="000000"/>
          <w:sz w:val="20"/>
          <w:szCs w:val="20"/>
        </w:rPr>
        <w:t>Increased flooding, extreme precipitation and storms threaten energy transmission infrastru</w:t>
      </w:r>
      <w:r w:rsidRPr="0068236B">
        <w:rPr>
          <w:rFonts w:cs="Tahoma"/>
          <w:color w:val="000000"/>
          <w:sz w:val="20"/>
          <w:szCs w:val="20"/>
        </w:rPr>
        <w:t>c</w:t>
      </w:r>
      <w:r w:rsidRPr="0068236B">
        <w:rPr>
          <w:rFonts w:cs="Tahoma"/>
          <w:color w:val="000000"/>
          <w:sz w:val="20"/>
          <w:szCs w:val="20"/>
        </w:rPr>
        <w:t>ture located in flood-prone areas.</w:t>
      </w:r>
    </w:p>
    <w:p w14:paraId="621F1C52" w14:textId="3EF400AF" w:rsidR="00D02F8B" w:rsidRPr="0068236B" w:rsidRDefault="00D02F8B" w:rsidP="00D24CEF">
      <w:pPr>
        <w:pStyle w:val="ListParagraph"/>
        <w:numPr>
          <w:ilvl w:val="0"/>
          <w:numId w:val="75"/>
        </w:numPr>
        <w:jc w:val="left"/>
        <w:rPr>
          <w:rFonts w:cs="Tahoma"/>
          <w:sz w:val="20"/>
          <w:szCs w:val="20"/>
          <w:lang w:eastAsia="en-US"/>
        </w:rPr>
      </w:pPr>
      <w:r w:rsidRPr="0068236B">
        <w:rPr>
          <w:rFonts w:cs="Tahoma"/>
          <w:color w:val="000000"/>
          <w:sz w:val="20"/>
          <w:szCs w:val="20"/>
          <w:lang w:eastAsia="en-US"/>
        </w:rPr>
        <w:t>Flooding, wildfires and icy conditions physically affect transmission infrastructure which often cause power outages during extreme weather.</w:t>
      </w:r>
    </w:p>
    <w:p w14:paraId="780E2627" w14:textId="71F94AE7" w:rsidR="005A26A8" w:rsidRPr="0068236B" w:rsidRDefault="005A26A8" w:rsidP="005A26A8">
      <w:pPr>
        <w:ind w:firstLine="720"/>
        <w:rPr>
          <w:rFonts w:cs="Tahoma"/>
          <w:sz w:val="20"/>
          <w:szCs w:val="20"/>
          <w:u w:val="single"/>
        </w:rPr>
      </w:pPr>
      <w:r w:rsidRPr="0068236B">
        <w:rPr>
          <w:rFonts w:cs="Tahoma"/>
          <w:sz w:val="20"/>
          <w:szCs w:val="20"/>
          <w:u w:val="single"/>
        </w:rPr>
        <w:t>Vulnerability Assessment</w:t>
      </w:r>
    </w:p>
    <w:p w14:paraId="51DAADDD" w14:textId="14BDE7B3" w:rsidR="005A26A8" w:rsidRPr="0068236B" w:rsidRDefault="005A26A8" w:rsidP="00D24CEF">
      <w:pPr>
        <w:pStyle w:val="ListBullet"/>
        <w:numPr>
          <w:ilvl w:val="0"/>
          <w:numId w:val="75"/>
        </w:numPr>
        <w:spacing w:before="120" w:after="120"/>
        <w:rPr>
          <w:rFonts w:cs="Tahoma"/>
          <w:sz w:val="20"/>
          <w:szCs w:val="20"/>
        </w:rPr>
      </w:pPr>
      <w:r w:rsidRPr="0068236B">
        <w:rPr>
          <w:rFonts w:cs="Tahoma"/>
          <w:sz w:val="20"/>
          <w:szCs w:val="20"/>
        </w:rPr>
        <w:t>Sensitivity of the Project</w:t>
      </w:r>
      <w:r w:rsidR="00A313E5" w:rsidRPr="0068236B">
        <w:rPr>
          <w:rFonts w:cs="Tahoma"/>
          <w:sz w:val="20"/>
          <w:szCs w:val="20"/>
        </w:rPr>
        <w:t xml:space="preserve"> </w:t>
      </w:r>
    </w:p>
    <w:p w14:paraId="271CAB7A" w14:textId="305C978D" w:rsidR="00023B94" w:rsidRPr="0068236B" w:rsidRDefault="005A26A8" w:rsidP="005A26A8">
      <w:pPr>
        <w:rPr>
          <w:rFonts w:cs="Tahoma"/>
          <w:sz w:val="20"/>
          <w:szCs w:val="20"/>
        </w:rPr>
      </w:pPr>
      <w:r w:rsidRPr="0068236B">
        <w:rPr>
          <w:rFonts w:cs="Tahoma"/>
          <w:sz w:val="20"/>
          <w:szCs w:val="20"/>
        </w:rPr>
        <w:t xml:space="preserve">During operation, the key elements of the Project are considered as sensitive to change of various climate variables. </w:t>
      </w:r>
      <w:r w:rsidR="00023B94" w:rsidRPr="0068236B">
        <w:rPr>
          <w:rFonts w:cs="Tahoma"/>
          <w:sz w:val="20"/>
          <w:szCs w:val="20"/>
        </w:rPr>
        <w:t>In general, increasingly variable weath</w:t>
      </w:r>
      <w:r w:rsidR="00D02F8B" w:rsidRPr="0068236B">
        <w:rPr>
          <w:rFonts w:cs="Tahoma"/>
          <w:sz w:val="20"/>
          <w:szCs w:val="20"/>
        </w:rPr>
        <w:t>er may affect the integrity of the</w:t>
      </w:r>
      <w:r w:rsidR="00023B94" w:rsidRPr="0068236B">
        <w:rPr>
          <w:rFonts w:cs="Tahoma"/>
          <w:sz w:val="20"/>
          <w:szCs w:val="20"/>
        </w:rPr>
        <w:t xml:space="preserve"> transmission </w:t>
      </w:r>
      <w:r w:rsidRPr="0068236B">
        <w:rPr>
          <w:rFonts w:cs="Tahoma"/>
          <w:sz w:val="20"/>
          <w:szCs w:val="20"/>
        </w:rPr>
        <w:t>infrastructure</w:t>
      </w:r>
      <w:r w:rsidR="00023B94" w:rsidRPr="0068236B">
        <w:rPr>
          <w:rFonts w:cs="Tahoma"/>
          <w:sz w:val="20"/>
          <w:szCs w:val="20"/>
        </w:rPr>
        <w:t xml:space="preserve"> and equipment in various ways [Ref.2</w:t>
      </w:r>
      <w:r w:rsidR="008853B5" w:rsidRPr="0068236B">
        <w:rPr>
          <w:rFonts w:cs="Tahoma"/>
          <w:sz w:val="20"/>
          <w:szCs w:val="20"/>
        </w:rPr>
        <w:t>5</w:t>
      </w:r>
      <w:r w:rsidR="00023B94" w:rsidRPr="0068236B">
        <w:rPr>
          <w:rFonts w:cs="Tahoma"/>
          <w:sz w:val="20"/>
          <w:szCs w:val="20"/>
        </w:rPr>
        <w:t>]:</w:t>
      </w:r>
    </w:p>
    <w:p w14:paraId="11EB22BE" w14:textId="77777777" w:rsidR="00023B94" w:rsidRPr="0068236B" w:rsidRDefault="00023B94" w:rsidP="00D24CEF">
      <w:pPr>
        <w:pStyle w:val="ListBullet"/>
        <w:numPr>
          <w:ilvl w:val="0"/>
          <w:numId w:val="97"/>
        </w:numPr>
        <w:autoSpaceDE w:val="0"/>
        <w:autoSpaceDN w:val="0"/>
        <w:adjustRightInd w:val="0"/>
        <w:jc w:val="left"/>
        <w:rPr>
          <w:rFonts w:cs="Tahoma"/>
          <w:sz w:val="20"/>
          <w:szCs w:val="20"/>
          <w:shd w:val="clear" w:color="auto" w:fill="FFFFFF"/>
        </w:rPr>
      </w:pPr>
      <w:r w:rsidRPr="0068236B">
        <w:rPr>
          <w:rFonts w:cs="Tahoma"/>
          <w:sz w:val="20"/>
          <w:szCs w:val="20"/>
        </w:rPr>
        <w:t>Strong winds (over 100 km/hour) can damage electric wires and other distribution components (Contreras, Lisperguer and de Cuba 2008), mostly to the distribution systems through tree damage, with transmission much less affected (Ward 2010).</w:t>
      </w:r>
    </w:p>
    <w:p w14:paraId="04A09394" w14:textId="77777777" w:rsidR="00023B94" w:rsidRPr="0068236B" w:rsidRDefault="00023B94" w:rsidP="00D24CEF">
      <w:pPr>
        <w:pStyle w:val="ListBullet"/>
        <w:numPr>
          <w:ilvl w:val="0"/>
          <w:numId w:val="97"/>
        </w:numPr>
        <w:jc w:val="left"/>
        <w:rPr>
          <w:rFonts w:cs="Tahoma"/>
          <w:sz w:val="20"/>
          <w:szCs w:val="20"/>
        </w:rPr>
      </w:pPr>
      <w:r w:rsidRPr="0068236B">
        <w:rPr>
          <w:rFonts w:cs="Tahoma"/>
          <w:sz w:val="20"/>
          <w:szCs w:val="20"/>
        </w:rPr>
        <w:lastRenderedPageBreak/>
        <w:t>Provided they remain below damage levels, stronger winds cool overhead lines by increasing heat convection. Lines can then carry a larger electric load while staying within temperature limits, which is usually 80°C at conductor surface (European Commission 2011).</w:t>
      </w:r>
    </w:p>
    <w:p w14:paraId="1F4A479B" w14:textId="77777777" w:rsidR="00023B94" w:rsidRPr="0068236B" w:rsidRDefault="00023B94" w:rsidP="00D24CEF">
      <w:pPr>
        <w:pStyle w:val="ListBullet"/>
        <w:numPr>
          <w:ilvl w:val="0"/>
          <w:numId w:val="97"/>
        </w:numPr>
        <w:jc w:val="left"/>
        <w:rPr>
          <w:rFonts w:cs="Tahoma"/>
          <w:sz w:val="20"/>
          <w:szCs w:val="20"/>
        </w:rPr>
      </w:pPr>
      <w:r w:rsidRPr="0068236B">
        <w:rPr>
          <w:rFonts w:cs="Tahoma"/>
          <w:sz w:val="20"/>
          <w:szCs w:val="20"/>
        </w:rPr>
        <w:t>The networks, including transformer and switching stations, can be affected by heavy snow, ice, and moisture (Rothstein and Halbig 2010). Line integrity can be reduced (World Bank 2008) due to line sag.</w:t>
      </w:r>
    </w:p>
    <w:p w14:paraId="7FA9D54A" w14:textId="77777777" w:rsidR="00023B94" w:rsidRPr="0068236B" w:rsidRDefault="00023B94" w:rsidP="00D24CEF">
      <w:pPr>
        <w:pStyle w:val="ListBullet"/>
        <w:numPr>
          <w:ilvl w:val="0"/>
          <w:numId w:val="97"/>
        </w:numPr>
        <w:jc w:val="left"/>
        <w:rPr>
          <w:rFonts w:cs="Tahoma"/>
          <w:sz w:val="20"/>
          <w:szCs w:val="20"/>
        </w:rPr>
      </w:pPr>
      <w:r w:rsidRPr="0068236B">
        <w:rPr>
          <w:rFonts w:cs="Tahoma"/>
          <w:sz w:val="20"/>
          <w:szCs w:val="20"/>
        </w:rPr>
        <w:t>Transmission lines with capacity constraints can suffer from load management issues, partic</w:t>
      </w:r>
      <w:r w:rsidRPr="0068236B">
        <w:rPr>
          <w:rFonts w:cs="Tahoma"/>
          <w:sz w:val="20"/>
          <w:szCs w:val="20"/>
        </w:rPr>
        <w:t>u</w:t>
      </w:r>
      <w:r w:rsidRPr="0068236B">
        <w:rPr>
          <w:rFonts w:cs="Tahoma"/>
          <w:sz w:val="20"/>
          <w:szCs w:val="20"/>
        </w:rPr>
        <w:t>larly during summers and winters when the demand for cooling and heating are at their peak, decreasing the amount of power that can be delivered through the network (ESMAP 2009, Aguiar et al. 2002).</w:t>
      </w:r>
    </w:p>
    <w:p w14:paraId="3168877C" w14:textId="77777777" w:rsidR="00023B94" w:rsidRPr="0068236B" w:rsidRDefault="00023B94" w:rsidP="00D24CEF">
      <w:pPr>
        <w:pStyle w:val="ListBullet"/>
        <w:numPr>
          <w:ilvl w:val="0"/>
          <w:numId w:val="97"/>
        </w:numPr>
        <w:jc w:val="left"/>
        <w:rPr>
          <w:rFonts w:cs="Tahoma"/>
          <w:sz w:val="20"/>
          <w:szCs w:val="20"/>
        </w:rPr>
      </w:pPr>
      <w:r w:rsidRPr="0068236B">
        <w:rPr>
          <w:rFonts w:cs="Tahoma"/>
          <w:sz w:val="20"/>
          <w:szCs w:val="20"/>
        </w:rPr>
        <w:t>The infrastructure can suffer from increased risks of flooding, landslides, and other natural ha</w:t>
      </w:r>
      <w:r w:rsidRPr="0068236B">
        <w:rPr>
          <w:rFonts w:cs="Tahoma"/>
          <w:sz w:val="20"/>
          <w:szCs w:val="20"/>
        </w:rPr>
        <w:t>z</w:t>
      </w:r>
      <w:r w:rsidRPr="0068236B">
        <w:rPr>
          <w:rFonts w:cs="Tahoma"/>
          <w:sz w:val="20"/>
          <w:szCs w:val="20"/>
        </w:rPr>
        <w:t>ards, with equipment mounted at ground level in substations especially susceptible.</w:t>
      </w:r>
    </w:p>
    <w:p w14:paraId="12226B0E" w14:textId="77777777" w:rsidR="00023B94" w:rsidRPr="0068236B" w:rsidRDefault="00023B94" w:rsidP="00D24CEF">
      <w:pPr>
        <w:pStyle w:val="ListBullet"/>
        <w:numPr>
          <w:ilvl w:val="0"/>
          <w:numId w:val="97"/>
        </w:numPr>
        <w:jc w:val="left"/>
        <w:rPr>
          <w:rFonts w:cs="Tahoma"/>
          <w:sz w:val="20"/>
          <w:szCs w:val="20"/>
        </w:rPr>
      </w:pPr>
      <w:r w:rsidRPr="0068236B">
        <w:rPr>
          <w:rFonts w:cs="Tahoma"/>
          <w:sz w:val="20"/>
          <w:szCs w:val="20"/>
        </w:rPr>
        <w:t>High temperature limits the power rating of overhead lines, underground cables, and tran</w:t>
      </w:r>
      <w:r w:rsidRPr="0068236B">
        <w:rPr>
          <w:rFonts w:cs="Tahoma"/>
          <w:sz w:val="20"/>
          <w:szCs w:val="20"/>
        </w:rPr>
        <w:t>s</w:t>
      </w:r>
      <w:r w:rsidRPr="0068236B">
        <w:rPr>
          <w:rFonts w:cs="Tahoma"/>
          <w:sz w:val="20"/>
          <w:szCs w:val="20"/>
        </w:rPr>
        <w:t>formers but does not cause immediate faults (Ward 2010). Network losses can increase by 1% if temperature increases 3°C in a network with initial losses of 8% (European Commission 2011).</w:t>
      </w:r>
    </w:p>
    <w:p w14:paraId="4D71A4BE" w14:textId="77777777" w:rsidR="00023B94" w:rsidRPr="0068236B" w:rsidRDefault="00023B94" w:rsidP="00D24CEF">
      <w:pPr>
        <w:pStyle w:val="ListBullet"/>
        <w:numPr>
          <w:ilvl w:val="0"/>
          <w:numId w:val="97"/>
        </w:numPr>
        <w:jc w:val="left"/>
        <w:rPr>
          <w:rFonts w:cs="Tahoma"/>
          <w:sz w:val="20"/>
          <w:szCs w:val="20"/>
        </w:rPr>
      </w:pPr>
      <w:r w:rsidRPr="0068236B">
        <w:rPr>
          <w:rFonts w:cs="Tahoma"/>
          <w:sz w:val="20"/>
          <w:szCs w:val="20"/>
        </w:rPr>
        <w:t>During extended periods of heat and drought, dust can build up on conductors.</w:t>
      </w:r>
    </w:p>
    <w:p w14:paraId="1BC9F0C1" w14:textId="77777777" w:rsidR="00023B94" w:rsidRPr="0068236B" w:rsidRDefault="00023B94" w:rsidP="00D24CEF">
      <w:pPr>
        <w:pStyle w:val="ListBullet"/>
        <w:numPr>
          <w:ilvl w:val="0"/>
          <w:numId w:val="97"/>
        </w:numPr>
        <w:jc w:val="left"/>
        <w:rPr>
          <w:rFonts w:cs="Tahoma"/>
          <w:sz w:val="20"/>
          <w:szCs w:val="20"/>
        </w:rPr>
      </w:pPr>
      <w:r w:rsidRPr="0068236B">
        <w:rPr>
          <w:rFonts w:cs="Tahoma"/>
          <w:sz w:val="20"/>
          <w:szCs w:val="20"/>
        </w:rPr>
        <w:t>Lighting can also affect the reliability (EPRI 2008).</w:t>
      </w:r>
    </w:p>
    <w:p w14:paraId="2D25ECE3" w14:textId="12EFD1D7" w:rsidR="00023B94" w:rsidRPr="0068236B" w:rsidRDefault="00023B94" w:rsidP="00023B94">
      <w:pPr>
        <w:autoSpaceDE w:val="0"/>
        <w:autoSpaceDN w:val="0"/>
        <w:adjustRightInd w:val="0"/>
        <w:rPr>
          <w:rFonts w:cs="Tahoma"/>
          <w:sz w:val="20"/>
          <w:szCs w:val="20"/>
        </w:rPr>
      </w:pPr>
      <w:r w:rsidRPr="0068236B">
        <w:rPr>
          <w:rFonts w:cs="Tahoma"/>
          <w:sz w:val="20"/>
          <w:szCs w:val="20"/>
        </w:rPr>
        <w:t>The table below summarizes</w:t>
      </w:r>
      <w:r w:rsidR="003C7226" w:rsidRPr="0068236B">
        <w:rPr>
          <w:rFonts w:cs="Tahoma"/>
          <w:sz w:val="20"/>
          <w:szCs w:val="20"/>
        </w:rPr>
        <w:t xml:space="preserve"> the Project sensitivity to</w:t>
      </w:r>
      <w:r w:rsidRPr="0068236B">
        <w:rPr>
          <w:rFonts w:cs="Tahoma"/>
          <w:sz w:val="20"/>
          <w:szCs w:val="20"/>
        </w:rPr>
        <w:t xml:space="preserve"> a range of </w:t>
      </w:r>
      <w:r w:rsidR="003C7226" w:rsidRPr="0068236B">
        <w:rPr>
          <w:rFonts w:cs="Tahoma"/>
          <w:sz w:val="20"/>
          <w:szCs w:val="20"/>
        </w:rPr>
        <w:t>relevant climate-related hazards</w:t>
      </w:r>
      <w:r w:rsidRPr="0068236B">
        <w:rPr>
          <w:rFonts w:cs="Tahoma"/>
          <w:sz w:val="20"/>
          <w:szCs w:val="20"/>
        </w:rPr>
        <w:t>.</w:t>
      </w:r>
    </w:p>
    <w:tbl>
      <w:tblPr>
        <w:tblStyle w:val="TableGrid"/>
        <w:tblW w:w="9531" w:type="dxa"/>
        <w:tblInd w:w="108" w:type="dxa"/>
        <w:tblBorders>
          <w:top w:val="double" w:sz="4" w:space="0" w:color="auto"/>
          <w:left w:val="double" w:sz="4" w:space="0" w:color="auto"/>
          <w:bottom w:val="double" w:sz="4" w:space="0" w:color="auto"/>
          <w:right w:val="double" w:sz="4" w:space="0" w:color="auto"/>
        </w:tblBorders>
        <w:tblCellMar>
          <w:left w:w="28" w:type="dxa"/>
          <w:right w:w="28" w:type="dxa"/>
        </w:tblCellMar>
        <w:tblLook w:val="04A0" w:firstRow="1" w:lastRow="0" w:firstColumn="1" w:lastColumn="0" w:noHBand="0" w:noVBand="1"/>
      </w:tblPr>
      <w:tblGrid>
        <w:gridCol w:w="1574"/>
        <w:gridCol w:w="2495"/>
        <w:gridCol w:w="3648"/>
        <w:gridCol w:w="1814"/>
      </w:tblGrid>
      <w:tr w:rsidR="004E64AA" w:rsidRPr="0068236B" w14:paraId="71A51829" w14:textId="259C0E62" w:rsidTr="004E64AA">
        <w:tc>
          <w:tcPr>
            <w:tcW w:w="1574" w:type="dxa"/>
            <w:tcBorders>
              <w:top w:val="double" w:sz="4" w:space="0" w:color="auto"/>
              <w:bottom w:val="double" w:sz="4" w:space="0" w:color="auto"/>
              <w:right w:val="double" w:sz="4" w:space="0" w:color="auto"/>
            </w:tcBorders>
            <w:shd w:val="clear" w:color="auto" w:fill="9CC2E5" w:themeFill="accent5" w:themeFillTint="99"/>
          </w:tcPr>
          <w:p w14:paraId="74FBC0AE" w14:textId="77777777" w:rsidR="004E64AA" w:rsidRPr="0068236B" w:rsidRDefault="004E64AA" w:rsidP="004E64AA">
            <w:pPr>
              <w:spacing w:before="0" w:after="0" w:line="240" w:lineRule="auto"/>
              <w:jc w:val="left"/>
              <w:rPr>
                <w:rFonts w:cs="Tahoma"/>
                <w:sz w:val="20"/>
                <w:szCs w:val="20"/>
              </w:rPr>
            </w:pPr>
            <w:r w:rsidRPr="0068236B">
              <w:rPr>
                <w:rFonts w:cs="Tahoma"/>
                <w:sz w:val="20"/>
                <w:szCs w:val="20"/>
              </w:rPr>
              <w:t>Climate variable</w:t>
            </w:r>
          </w:p>
        </w:tc>
        <w:tc>
          <w:tcPr>
            <w:tcW w:w="2495" w:type="dxa"/>
            <w:tcBorders>
              <w:top w:val="double" w:sz="4" w:space="0" w:color="auto"/>
              <w:left w:val="double" w:sz="4" w:space="0" w:color="auto"/>
              <w:bottom w:val="double" w:sz="4" w:space="0" w:color="auto"/>
              <w:right w:val="double" w:sz="4" w:space="0" w:color="auto"/>
            </w:tcBorders>
            <w:shd w:val="clear" w:color="auto" w:fill="9CC2E5" w:themeFill="accent5" w:themeFillTint="99"/>
          </w:tcPr>
          <w:p w14:paraId="791BC0D4" w14:textId="0D32BA48" w:rsidR="004E64AA" w:rsidRPr="0068236B" w:rsidRDefault="004E64AA" w:rsidP="004E64AA">
            <w:pPr>
              <w:spacing w:before="0" w:after="0" w:line="240" w:lineRule="auto"/>
              <w:jc w:val="left"/>
              <w:rPr>
                <w:rFonts w:cs="Tahoma"/>
                <w:sz w:val="20"/>
                <w:szCs w:val="20"/>
              </w:rPr>
            </w:pPr>
            <w:r w:rsidRPr="0068236B">
              <w:rPr>
                <w:rFonts w:cs="Tahoma"/>
                <w:sz w:val="20"/>
                <w:szCs w:val="20"/>
              </w:rPr>
              <w:t xml:space="preserve">Projected climate change </w:t>
            </w:r>
          </w:p>
        </w:tc>
        <w:tc>
          <w:tcPr>
            <w:tcW w:w="3648" w:type="dxa"/>
            <w:tcBorders>
              <w:top w:val="double" w:sz="4" w:space="0" w:color="auto"/>
              <w:left w:val="double" w:sz="4" w:space="0" w:color="auto"/>
              <w:bottom w:val="double" w:sz="4" w:space="0" w:color="auto"/>
            </w:tcBorders>
            <w:shd w:val="clear" w:color="auto" w:fill="9CC2E5" w:themeFill="accent5" w:themeFillTint="99"/>
          </w:tcPr>
          <w:p w14:paraId="38C17B54" w14:textId="7A36D019" w:rsidR="004E64AA" w:rsidRPr="0068236B" w:rsidRDefault="004E64AA" w:rsidP="004E64AA">
            <w:pPr>
              <w:spacing w:before="0" w:after="0" w:line="240" w:lineRule="auto"/>
              <w:rPr>
                <w:rFonts w:cs="Tahoma"/>
                <w:sz w:val="20"/>
                <w:szCs w:val="20"/>
              </w:rPr>
            </w:pPr>
            <w:r w:rsidRPr="0068236B">
              <w:rPr>
                <w:rFonts w:cs="Tahoma"/>
                <w:sz w:val="20"/>
                <w:szCs w:val="20"/>
              </w:rPr>
              <w:t>Description of sensitivity</w:t>
            </w:r>
          </w:p>
        </w:tc>
        <w:tc>
          <w:tcPr>
            <w:tcW w:w="1814" w:type="dxa"/>
            <w:tcBorders>
              <w:top w:val="double" w:sz="4" w:space="0" w:color="auto"/>
              <w:left w:val="double" w:sz="4" w:space="0" w:color="auto"/>
              <w:bottom w:val="double" w:sz="4" w:space="0" w:color="auto"/>
            </w:tcBorders>
            <w:shd w:val="clear" w:color="auto" w:fill="9CC2E5" w:themeFill="accent5" w:themeFillTint="99"/>
          </w:tcPr>
          <w:p w14:paraId="6EE08A29" w14:textId="616137D2" w:rsidR="004E64AA" w:rsidRPr="0068236B" w:rsidRDefault="004E64AA" w:rsidP="004E64AA">
            <w:pPr>
              <w:spacing w:before="0" w:after="0" w:line="240" w:lineRule="auto"/>
              <w:rPr>
                <w:rFonts w:cs="Tahoma"/>
                <w:sz w:val="20"/>
                <w:szCs w:val="20"/>
              </w:rPr>
            </w:pPr>
            <w:r w:rsidRPr="0068236B">
              <w:rPr>
                <w:rFonts w:cs="Tahoma"/>
                <w:sz w:val="20"/>
                <w:szCs w:val="20"/>
              </w:rPr>
              <w:t>Sensitivity</w:t>
            </w:r>
          </w:p>
        </w:tc>
      </w:tr>
      <w:tr w:rsidR="00A43635" w:rsidRPr="0068236B" w14:paraId="0E9A82AB" w14:textId="37212874" w:rsidTr="004E64AA">
        <w:trPr>
          <w:trHeight w:val="1464"/>
        </w:trPr>
        <w:tc>
          <w:tcPr>
            <w:tcW w:w="1574" w:type="dxa"/>
          </w:tcPr>
          <w:p w14:paraId="5B60F12E" w14:textId="77777777" w:rsidR="00A43635" w:rsidRPr="0068236B" w:rsidRDefault="00A43635" w:rsidP="004E64AA">
            <w:pPr>
              <w:spacing w:before="0" w:after="0" w:line="240" w:lineRule="auto"/>
              <w:jc w:val="left"/>
              <w:rPr>
                <w:rFonts w:cs="Tahoma"/>
                <w:sz w:val="20"/>
                <w:szCs w:val="20"/>
              </w:rPr>
            </w:pPr>
            <w:r w:rsidRPr="0068236B">
              <w:rPr>
                <w:rFonts w:cs="Tahoma"/>
                <w:sz w:val="20"/>
                <w:szCs w:val="20"/>
              </w:rPr>
              <w:t>Temperature increase</w:t>
            </w:r>
          </w:p>
          <w:p w14:paraId="31115957" w14:textId="4638A8B2" w:rsidR="00A43635" w:rsidRPr="0068236B" w:rsidRDefault="00A43635" w:rsidP="004E64AA">
            <w:pPr>
              <w:spacing w:before="0" w:after="0" w:line="240" w:lineRule="auto"/>
              <w:jc w:val="left"/>
              <w:rPr>
                <w:rFonts w:cs="Tahoma"/>
                <w:sz w:val="20"/>
                <w:szCs w:val="20"/>
              </w:rPr>
            </w:pPr>
          </w:p>
        </w:tc>
        <w:tc>
          <w:tcPr>
            <w:tcW w:w="2495" w:type="dxa"/>
          </w:tcPr>
          <w:p w14:paraId="3CDEAC18" w14:textId="6EE62462" w:rsidR="00A43635" w:rsidRPr="0068236B" w:rsidRDefault="00A43635" w:rsidP="008E77D3">
            <w:pPr>
              <w:pStyle w:val="ListParagraph"/>
              <w:numPr>
                <w:ilvl w:val="1"/>
                <w:numId w:val="48"/>
              </w:numPr>
              <w:tabs>
                <w:tab w:val="clear" w:pos="1515"/>
                <w:tab w:val="num" w:pos="161"/>
              </w:tabs>
              <w:spacing w:before="0" w:after="0" w:line="240" w:lineRule="auto"/>
              <w:ind w:left="161" w:hanging="161"/>
              <w:jc w:val="left"/>
              <w:rPr>
                <w:rFonts w:cs="Tahoma"/>
                <w:sz w:val="20"/>
                <w:szCs w:val="20"/>
              </w:rPr>
            </w:pPr>
            <w:r w:rsidRPr="0068236B">
              <w:rPr>
                <w:rFonts w:cs="Tahoma"/>
                <w:sz w:val="20"/>
                <w:szCs w:val="20"/>
              </w:rPr>
              <w:t xml:space="preserve">Extreme </w:t>
            </w:r>
            <w:r w:rsidR="00AE3455" w:rsidRPr="0068236B">
              <w:rPr>
                <w:rFonts w:cs="Tahoma"/>
                <w:sz w:val="20"/>
                <w:szCs w:val="20"/>
              </w:rPr>
              <w:t>temperature</w:t>
            </w:r>
            <w:r w:rsidRPr="0068236B">
              <w:rPr>
                <w:rFonts w:cs="Tahoma"/>
                <w:sz w:val="20"/>
                <w:szCs w:val="20"/>
              </w:rPr>
              <w:t xml:space="preserve"> (more frequent heat waves)</w:t>
            </w:r>
          </w:p>
          <w:p w14:paraId="019D1A1A" w14:textId="457CE4F8" w:rsidR="00A43635" w:rsidRPr="0068236B" w:rsidRDefault="00A43635" w:rsidP="008E77D3">
            <w:pPr>
              <w:pStyle w:val="ListParagraph"/>
              <w:numPr>
                <w:ilvl w:val="1"/>
                <w:numId w:val="48"/>
              </w:numPr>
              <w:tabs>
                <w:tab w:val="clear" w:pos="1515"/>
                <w:tab w:val="num" w:pos="161"/>
              </w:tabs>
              <w:spacing w:before="0" w:after="0" w:line="240" w:lineRule="auto"/>
              <w:ind w:left="161" w:hanging="161"/>
              <w:jc w:val="left"/>
              <w:rPr>
                <w:rFonts w:cs="Tahoma"/>
                <w:sz w:val="20"/>
                <w:szCs w:val="20"/>
              </w:rPr>
            </w:pPr>
            <w:r w:rsidRPr="0068236B">
              <w:rPr>
                <w:rFonts w:eastAsiaTheme="minorHAnsi" w:cs="Tahoma"/>
                <w:sz w:val="20"/>
                <w:szCs w:val="20"/>
              </w:rPr>
              <w:t>More frequent wildfires</w:t>
            </w:r>
          </w:p>
        </w:tc>
        <w:tc>
          <w:tcPr>
            <w:tcW w:w="3648" w:type="dxa"/>
          </w:tcPr>
          <w:p w14:paraId="08E01037" w14:textId="702DC0A8" w:rsidR="00A43635" w:rsidRPr="0068236B" w:rsidRDefault="00A43635" w:rsidP="00D24CEF">
            <w:pPr>
              <w:pStyle w:val="ListParagraph"/>
              <w:numPr>
                <w:ilvl w:val="0"/>
                <w:numId w:val="76"/>
              </w:numPr>
              <w:spacing w:before="0" w:after="0" w:line="240" w:lineRule="auto"/>
              <w:ind w:left="114" w:hanging="114"/>
              <w:jc w:val="left"/>
              <w:rPr>
                <w:rFonts w:cs="Tahoma"/>
                <w:sz w:val="20"/>
                <w:szCs w:val="20"/>
              </w:rPr>
            </w:pPr>
            <w:r w:rsidRPr="0068236B">
              <w:rPr>
                <w:rFonts w:cs="Tahoma"/>
                <w:sz w:val="20"/>
                <w:szCs w:val="20"/>
              </w:rPr>
              <w:t>De-rating of transformers (loses within substations)</w:t>
            </w:r>
          </w:p>
          <w:p w14:paraId="7DB0FA60" w14:textId="77777777" w:rsidR="00A43635" w:rsidRPr="0068236B" w:rsidRDefault="00A43635" w:rsidP="00D24CEF">
            <w:pPr>
              <w:pStyle w:val="ListParagraph"/>
              <w:numPr>
                <w:ilvl w:val="0"/>
                <w:numId w:val="76"/>
              </w:numPr>
              <w:tabs>
                <w:tab w:val="left" w:pos="114"/>
              </w:tabs>
              <w:autoSpaceDE w:val="0"/>
              <w:autoSpaceDN w:val="0"/>
              <w:adjustRightInd w:val="0"/>
              <w:spacing w:before="0" w:after="0" w:line="240" w:lineRule="auto"/>
              <w:ind w:left="114" w:hanging="114"/>
              <w:contextualSpacing w:val="0"/>
              <w:jc w:val="left"/>
              <w:rPr>
                <w:rFonts w:cs="Tahoma"/>
                <w:sz w:val="20"/>
                <w:szCs w:val="20"/>
              </w:rPr>
            </w:pPr>
            <w:r w:rsidRPr="0068236B">
              <w:rPr>
                <w:rFonts w:cs="Tahoma"/>
                <w:sz w:val="20"/>
                <w:szCs w:val="20"/>
              </w:rPr>
              <w:t>Decreased conductivity (electricity carrying capacity of lines)</w:t>
            </w:r>
          </w:p>
          <w:p w14:paraId="36FFC5E2" w14:textId="77777777" w:rsidR="00A43635" w:rsidRPr="0068236B" w:rsidRDefault="00A43635" w:rsidP="00D24CEF">
            <w:pPr>
              <w:pStyle w:val="ListParagraph"/>
              <w:numPr>
                <w:ilvl w:val="0"/>
                <w:numId w:val="76"/>
              </w:numPr>
              <w:tabs>
                <w:tab w:val="left" w:pos="114"/>
              </w:tabs>
              <w:autoSpaceDE w:val="0"/>
              <w:autoSpaceDN w:val="0"/>
              <w:adjustRightInd w:val="0"/>
              <w:spacing w:before="0" w:after="0" w:line="240" w:lineRule="auto"/>
              <w:ind w:left="114" w:hanging="114"/>
              <w:contextualSpacing w:val="0"/>
              <w:jc w:val="left"/>
              <w:rPr>
                <w:rFonts w:cs="Tahoma"/>
                <w:sz w:val="20"/>
                <w:szCs w:val="20"/>
              </w:rPr>
            </w:pPr>
            <w:r w:rsidRPr="0068236B">
              <w:rPr>
                <w:rFonts w:cs="Tahoma"/>
                <w:sz w:val="20"/>
                <w:szCs w:val="20"/>
              </w:rPr>
              <w:t>Sagging – increased sag of conductors</w:t>
            </w:r>
          </w:p>
          <w:p w14:paraId="22D6B263" w14:textId="77777777" w:rsidR="00A43635" w:rsidRPr="0068236B" w:rsidRDefault="00A43635" w:rsidP="00D24CEF">
            <w:pPr>
              <w:pStyle w:val="ListParagraph"/>
              <w:numPr>
                <w:ilvl w:val="0"/>
                <w:numId w:val="76"/>
              </w:numPr>
              <w:tabs>
                <w:tab w:val="left" w:pos="114"/>
              </w:tabs>
              <w:autoSpaceDE w:val="0"/>
              <w:autoSpaceDN w:val="0"/>
              <w:adjustRightInd w:val="0"/>
              <w:spacing w:before="0" w:after="0" w:line="240" w:lineRule="auto"/>
              <w:ind w:left="114" w:hanging="114"/>
              <w:contextualSpacing w:val="0"/>
              <w:jc w:val="left"/>
              <w:rPr>
                <w:rFonts w:cs="Tahoma"/>
                <w:sz w:val="20"/>
                <w:szCs w:val="20"/>
              </w:rPr>
            </w:pPr>
            <w:r w:rsidRPr="0068236B">
              <w:rPr>
                <w:rFonts w:cs="Tahoma"/>
                <w:sz w:val="20"/>
                <w:szCs w:val="20"/>
              </w:rPr>
              <w:t>Thawing permafrost – loss of supply</w:t>
            </w:r>
          </w:p>
          <w:p w14:paraId="02FF1378" w14:textId="7E314DD1" w:rsidR="00A43635" w:rsidRPr="0068236B" w:rsidRDefault="00A43635" w:rsidP="00D24CEF">
            <w:pPr>
              <w:pStyle w:val="ListParagraph"/>
              <w:numPr>
                <w:ilvl w:val="0"/>
                <w:numId w:val="76"/>
              </w:numPr>
              <w:tabs>
                <w:tab w:val="left" w:pos="114"/>
              </w:tabs>
              <w:autoSpaceDE w:val="0"/>
              <w:autoSpaceDN w:val="0"/>
              <w:adjustRightInd w:val="0"/>
              <w:spacing w:before="0" w:after="0" w:line="240" w:lineRule="auto"/>
              <w:ind w:left="114" w:hanging="114"/>
              <w:contextualSpacing w:val="0"/>
              <w:jc w:val="left"/>
              <w:rPr>
                <w:rFonts w:cs="Tahoma"/>
                <w:sz w:val="20"/>
                <w:szCs w:val="20"/>
              </w:rPr>
            </w:pPr>
            <w:r w:rsidRPr="0068236B">
              <w:rPr>
                <w:rFonts w:cs="Tahoma"/>
                <w:color w:val="333333"/>
                <w:sz w:val="20"/>
                <w:szCs w:val="20"/>
                <w:shd w:val="clear" w:color="auto" w:fill="FFFFFF"/>
              </w:rPr>
              <w:t>Weaken the integrity</w:t>
            </w:r>
            <w:r w:rsidRPr="0068236B">
              <w:rPr>
                <w:rFonts w:cs="Tahoma"/>
                <w:sz w:val="20"/>
                <w:szCs w:val="20"/>
              </w:rPr>
              <w:t xml:space="preserve"> </w:t>
            </w:r>
          </w:p>
        </w:tc>
        <w:tc>
          <w:tcPr>
            <w:tcW w:w="1814" w:type="dxa"/>
          </w:tcPr>
          <w:p w14:paraId="0E19B0A7" w14:textId="521B9E99" w:rsidR="00A43635" w:rsidRPr="0068236B" w:rsidRDefault="00A43635" w:rsidP="004E64AA">
            <w:pPr>
              <w:pStyle w:val="ListParagraph"/>
              <w:spacing w:before="0" w:after="0" w:line="240" w:lineRule="auto"/>
              <w:ind w:left="114"/>
              <w:jc w:val="left"/>
              <w:rPr>
                <w:rFonts w:cs="Tahoma"/>
                <w:sz w:val="20"/>
                <w:szCs w:val="20"/>
              </w:rPr>
            </w:pPr>
            <w:r w:rsidRPr="0068236B">
              <w:rPr>
                <w:rFonts w:cs="Tahoma"/>
                <w:sz w:val="20"/>
                <w:szCs w:val="20"/>
              </w:rPr>
              <w:t>Medium</w:t>
            </w:r>
          </w:p>
        </w:tc>
      </w:tr>
      <w:tr w:rsidR="004E64AA" w:rsidRPr="0068236B" w14:paraId="51AD781F" w14:textId="0A9AA73A" w:rsidTr="004E64AA">
        <w:tc>
          <w:tcPr>
            <w:tcW w:w="1574" w:type="dxa"/>
            <w:tcBorders>
              <w:bottom w:val="single" w:sz="4" w:space="0" w:color="auto"/>
            </w:tcBorders>
          </w:tcPr>
          <w:p w14:paraId="02A60C0D" w14:textId="4C6AB759" w:rsidR="004E64AA" w:rsidRPr="0068236B" w:rsidRDefault="004E64AA" w:rsidP="004E64AA">
            <w:pPr>
              <w:spacing w:before="0" w:after="0" w:line="240" w:lineRule="auto"/>
              <w:jc w:val="left"/>
              <w:rPr>
                <w:rFonts w:cs="Tahoma"/>
                <w:sz w:val="20"/>
                <w:szCs w:val="20"/>
              </w:rPr>
            </w:pPr>
            <w:r w:rsidRPr="0068236B">
              <w:rPr>
                <w:rFonts w:cs="Tahoma"/>
                <w:sz w:val="20"/>
                <w:szCs w:val="20"/>
              </w:rPr>
              <w:t>Temperature decrease</w:t>
            </w:r>
          </w:p>
        </w:tc>
        <w:tc>
          <w:tcPr>
            <w:tcW w:w="2495" w:type="dxa"/>
            <w:tcBorders>
              <w:bottom w:val="single" w:sz="4" w:space="0" w:color="auto"/>
            </w:tcBorders>
          </w:tcPr>
          <w:p w14:paraId="37290160" w14:textId="6F325A31" w:rsidR="004E64AA" w:rsidRPr="0068236B" w:rsidRDefault="004E64AA" w:rsidP="007E35B7">
            <w:pPr>
              <w:spacing w:before="0" w:after="0" w:line="240" w:lineRule="auto"/>
              <w:jc w:val="left"/>
              <w:rPr>
                <w:rFonts w:cs="Tahoma"/>
                <w:sz w:val="20"/>
                <w:szCs w:val="20"/>
              </w:rPr>
            </w:pPr>
            <w:r w:rsidRPr="0068236B">
              <w:rPr>
                <w:rFonts w:cs="Tahoma"/>
                <w:sz w:val="20"/>
                <w:szCs w:val="20"/>
              </w:rPr>
              <w:t xml:space="preserve">More frequent </w:t>
            </w:r>
            <w:r w:rsidR="007E35B7" w:rsidRPr="0068236B">
              <w:rPr>
                <w:rFonts w:cs="Tahoma"/>
                <w:sz w:val="20"/>
                <w:szCs w:val="20"/>
              </w:rPr>
              <w:t>cold</w:t>
            </w:r>
            <w:r w:rsidRPr="0068236B">
              <w:rPr>
                <w:rFonts w:cs="Tahoma"/>
                <w:sz w:val="20"/>
                <w:szCs w:val="20"/>
              </w:rPr>
              <w:t xml:space="preserve"> waves</w:t>
            </w:r>
          </w:p>
        </w:tc>
        <w:tc>
          <w:tcPr>
            <w:tcW w:w="3648" w:type="dxa"/>
            <w:tcBorders>
              <w:bottom w:val="single" w:sz="4" w:space="0" w:color="auto"/>
            </w:tcBorders>
          </w:tcPr>
          <w:p w14:paraId="3B2691A0" w14:textId="185F5DBA" w:rsidR="004E64AA" w:rsidRPr="0068236B" w:rsidRDefault="004E64AA" w:rsidP="004E64AA">
            <w:pPr>
              <w:spacing w:before="0" w:after="0" w:line="240" w:lineRule="auto"/>
              <w:jc w:val="left"/>
              <w:rPr>
                <w:rFonts w:cs="Tahoma"/>
                <w:sz w:val="20"/>
                <w:szCs w:val="20"/>
              </w:rPr>
            </w:pPr>
            <w:r w:rsidRPr="0068236B">
              <w:rPr>
                <w:rFonts w:cs="Tahoma"/>
                <w:sz w:val="20"/>
                <w:szCs w:val="20"/>
              </w:rPr>
              <w:t>Damage to conductors and insulators, including faults</w:t>
            </w:r>
          </w:p>
        </w:tc>
        <w:tc>
          <w:tcPr>
            <w:tcW w:w="1814" w:type="dxa"/>
            <w:tcBorders>
              <w:bottom w:val="single" w:sz="4" w:space="0" w:color="auto"/>
            </w:tcBorders>
          </w:tcPr>
          <w:p w14:paraId="6A0E0428" w14:textId="076DD235" w:rsidR="004E64AA" w:rsidRPr="0068236B" w:rsidRDefault="004E64AA" w:rsidP="004E64AA">
            <w:pPr>
              <w:spacing w:before="0" w:after="0" w:line="240" w:lineRule="auto"/>
              <w:jc w:val="left"/>
              <w:rPr>
                <w:rFonts w:cs="Tahoma"/>
                <w:sz w:val="20"/>
                <w:szCs w:val="20"/>
              </w:rPr>
            </w:pPr>
            <w:r w:rsidRPr="0068236B">
              <w:rPr>
                <w:rFonts w:cs="Tahoma"/>
                <w:sz w:val="20"/>
                <w:szCs w:val="20"/>
              </w:rPr>
              <w:t>Medium</w:t>
            </w:r>
          </w:p>
        </w:tc>
      </w:tr>
      <w:tr w:rsidR="004E64AA" w:rsidRPr="0068236B" w14:paraId="521AB3CF" w14:textId="36C25331" w:rsidTr="004E64AA">
        <w:tc>
          <w:tcPr>
            <w:tcW w:w="1574" w:type="dxa"/>
            <w:vMerge w:val="restart"/>
            <w:tcBorders>
              <w:top w:val="single" w:sz="4" w:space="0" w:color="auto"/>
              <w:bottom w:val="single" w:sz="4" w:space="0" w:color="auto"/>
            </w:tcBorders>
          </w:tcPr>
          <w:p w14:paraId="06E624AB" w14:textId="3AA0C639" w:rsidR="004E64AA" w:rsidRPr="0068236B" w:rsidRDefault="004E64AA" w:rsidP="003C7226">
            <w:pPr>
              <w:spacing w:before="0" w:after="0" w:line="240" w:lineRule="auto"/>
              <w:jc w:val="left"/>
              <w:rPr>
                <w:rFonts w:cs="Tahoma"/>
                <w:sz w:val="20"/>
                <w:szCs w:val="20"/>
              </w:rPr>
            </w:pPr>
            <w:r w:rsidRPr="0068236B">
              <w:rPr>
                <w:rFonts w:cs="Tahoma"/>
                <w:sz w:val="20"/>
                <w:szCs w:val="20"/>
              </w:rPr>
              <w:t>Precipitation</w:t>
            </w:r>
          </w:p>
        </w:tc>
        <w:tc>
          <w:tcPr>
            <w:tcW w:w="2495" w:type="dxa"/>
            <w:tcBorders>
              <w:top w:val="single" w:sz="4" w:space="0" w:color="auto"/>
              <w:bottom w:val="single" w:sz="4" w:space="0" w:color="auto"/>
            </w:tcBorders>
          </w:tcPr>
          <w:p w14:paraId="46195AB6" w14:textId="099F28EA" w:rsidR="004E64AA" w:rsidRPr="0068236B" w:rsidRDefault="004E64AA" w:rsidP="004E64AA">
            <w:pPr>
              <w:spacing w:before="0" w:after="0" w:line="240" w:lineRule="auto"/>
              <w:jc w:val="left"/>
              <w:rPr>
                <w:rFonts w:cs="Tahoma"/>
                <w:sz w:val="20"/>
                <w:szCs w:val="20"/>
              </w:rPr>
            </w:pPr>
            <w:r w:rsidRPr="0068236B">
              <w:rPr>
                <w:rFonts w:cs="Tahoma"/>
                <w:sz w:val="20"/>
                <w:szCs w:val="20"/>
              </w:rPr>
              <w:t>Change in extreme rainfall</w:t>
            </w:r>
          </w:p>
        </w:tc>
        <w:tc>
          <w:tcPr>
            <w:tcW w:w="3648" w:type="dxa"/>
            <w:tcBorders>
              <w:top w:val="single" w:sz="4" w:space="0" w:color="auto"/>
              <w:bottom w:val="single" w:sz="4" w:space="0" w:color="auto"/>
            </w:tcBorders>
          </w:tcPr>
          <w:p w14:paraId="55B9C07F" w14:textId="44E14F66" w:rsidR="004E64AA" w:rsidRPr="0068236B" w:rsidRDefault="004E64AA" w:rsidP="004E64AA">
            <w:pPr>
              <w:spacing w:before="0" w:after="0" w:line="240" w:lineRule="auto"/>
              <w:jc w:val="left"/>
              <w:rPr>
                <w:rFonts w:cs="Tahoma"/>
                <w:sz w:val="20"/>
                <w:szCs w:val="20"/>
              </w:rPr>
            </w:pPr>
            <w:r w:rsidRPr="0068236B">
              <w:rPr>
                <w:rFonts w:cs="Tahoma"/>
                <w:sz w:val="20"/>
                <w:szCs w:val="20"/>
              </w:rPr>
              <w:t>Damage to towers through erosion</w:t>
            </w:r>
            <w:r w:rsidR="003C7226" w:rsidRPr="0068236B">
              <w:rPr>
                <w:rFonts w:cs="Tahoma"/>
                <w:sz w:val="20"/>
                <w:szCs w:val="20"/>
              </w:rPr>
              <w:t xml:space="preserve"> or landslide</w:t>
            </w:r>
          </w:p>
        </w:tc>
        <w:tc>
          <w:tcPr>
            <w:tcW w:w="1814" w:type="dxa"/>
            <w:tcBorders>
              <w:top w:val="single" w:sz="4" w:space="0" w:color="auto"/>
              <w:bottom w:val="single" w:sz="4" w:space="0" w:color="auto"/>
            </w:tcBorders>
          </w:tcPr>
          <w:p w14:paraId="57FE3E6A" w14:textId="45F00FD1" w:rsidR="004E64AA" w:rsidRPr="0068236B" w:rsidRDefault="003C7226" w:rsidP="004E64AA">
            <w:pPr>
              <w:spacing w:before="0" w:after="0" w:line="240" w:lineRule="auto"/>
              <w:jc w:val="left"/>
              <w:rPr>
                <w:rFonts w:cs="Tahoma"/>
                <w:sz w:val="20"/>
                <w:szCs w:val="20"/>
              </w:rPr>
            </w:pPr>
            <w:r w:rsidRPr="0068236B">
              <w:rPr>
                <w:rFonts w:cs="Tahoma"/>
                <w:sz w:val="20"/>
                <w:szCs w:val="20"/>
              </w:rPr>
              <w:t>Low</w:t>
            </w:r>
          </w:p>
        </w:tc>
      </w:tr>
      <w:tr w:rsidR="004E64AA" w:rsidRPr="0068236B" w14:paraId="35065B9F" w14:textId="4FAD4A83" w:rsidTr="004E64AA">
        <w:tc>
          <w:tcPr>
            <w:tcW w:w="1574" w:type="dxa"/>
            <w:vMerge/>
            <w:tcBorders>
              <w:top w:val="single" w:sz="4" w:space="0" w:color="auto"/>
              <w:bottom w:val="single" w:sz="4" w:space="0" w:color="auto"/>
            </w:tcBorders>
          </w:tcPr>
          <w:p w14:paraId="6570E6B6" w14:textId="77777777" w:rsidR="004E64AA" w:rsidRPr="0068236B" w:rsidRDefault="004E64AA" w:rsidP="004E64AA">
            <w:pPr>
              <w:spacing w:before="0" w:after="0" w:line="240" w:lineRule="auto"/>
              <w:jc w:val="left"/>
              <w:rPr>
                <w:rFonts w:cs="Tahoma"/>
                <w:sz w:val="20"/>
                <w:szCs w:val="20"/>
              </w:rPr>
            </w:pPr>
          </w:p>
        </w:tc>
        <w:tc>
          <w:tcPr>
            <w:tcW w:w="2495" w:type="dxa"/>
            <w:tcBorders>
              <w:top w:val="single" w:sz="4" w:space="0" w:color="auto"/>
              <w:bottom w:val="single" w:sz="4" w:space="0" w:color="auto"/>
            </w:tcBorders>
          </w:tcPr>
          <w:p w14:paraId="374FBE24" w14:textId="0F1B7EF4" w:rsidR="004E64AA" w:rsidRPr="0068236B" w:rsidRDefault="004E64AA" w:rsidP="004E64AA">
            <w:pPr>
              <w:spacing w:before="0" w:after="0" w:line="240" w:lineRule="auto"/>
              <w:jc w:val="left"/>
              <w:rPr>
                <w:rFonts w:cs="Tahoma"/>
                <w:sz w:val="20"/>
                <w:szCs w:val="20"/>
              </w:rPr>
            </w:pPr>
            <w:r w:rsidRPr="0068236B">
              <w:rPr>
                <w:rFonts w:cs="Tahoma"/>
                <w:sz w:val="20"/>
                <w:szCs w:val="20"/>
              </w:rPr>
              <w:t>More frequent extreme flooding events</w:t>
            </w:r>
          </w:p>
        </w:tc>
        <w:tc>
          <w:tcPr>
            <w:tcW w:w="3648" w:type="dxa"/>
            <w:tcBorders>
              <w:top w:val="single" w:sz="4" w:space="0" w:color="auto"/>
              <w:bottom w:val="single" w:sz="4" w:space="0" w:color="auto"/>
            </w:tcBorders>
          </w:tcPr>
          <w:p w14:paraId="093E45BF" w14:textId="60F5368B" w:rsidR="004E64AA" w:rsidRPr="0068236B" w:rsidRDefault="003C7226" w:rsidP="004E64AA">
            <w:pPr>
              <w:spacing w:before="0" w:after="0" w:line="240" w:lineRule="auto"/>
              <w:jc w:val="left"/>
              <w:rPr>
                <w:rFonts w:cs="Tahoma"/>
                <w:sz w:val="20"/>
                <w:szCs w:val="20"/>
              </w:rPr>
            </w:pPr>
            <w:r w:rsidRPr="0068236B">
              <w:rPr>
                <w:rFonts w:cs="Tahoma"/>
                <w:sz w:val="20"/>
                <w:szCs w:val="20"/>
              </w:rPr>
              <w:t>Inundation of substation</w:t>
            </w:r>
            <w:r w:rsidR="004E64AA" w:rsidRPr="0068236B">
              <w:rPr>
                <w:rFonts w:cs="Tahoma"/>
                <w:sz w:val="20"/>
                <w:szCs w:val="20"/>
              </w:rPr>
              <w:t xml:space="preserve"> – loss of supply</w:t>
            </w:r>
          </w:p>
        </w:tc>
        <w:tc>
          <w:tcPr>
            <w:tcW w:w="1814" w:type="dxa"/>
            <w:tcBorders>
              <w:top w:val="single" w:sz="4" w:space="0" w:color="auto"/>
              <w:bottom w:val="single" w:sz="4" w:space="0" w:color="auto"/>
            </w:tcBorders>
          </w:tcPr>
          <w:p w14:paraId="461073E8" w14:textId="04CAEAD1" w:rsidR="004E64AA" w:rsidRPr="0068236B" w:rsidRDefault="004E64AA" w:rsidP="004E64AA">
            <w:pPr>
              <w:spacing w:before="0" w:after="0" w:line="240" w:lineRule="auto"/>
              <w:jc w:val="left"/>
              <w:rPr>
                <w:rFonts w:cs="Tahoma"/>
                <w:sz w:val="20"/>
                <w:szCs w:val="20"/>
              </w:rPr>
            </w:pPr>
            <w:r w:rsidRPr="0068236B">
              <w:rPr>
                <w:rFonts w:cs="Tahoma"/>
                <w:sz w:val="20"/>
                <w:szCs w:val="20"/>
              </w:rPr>
              <w:t>High</w:t>
            </w:r>
          </w:p>
        </w:tc>
      </w:tr>
      <w:tr w:rsidR="004E64AA" w:rsidRPr="0068236B" w14:paraId="7DF1EBF9" w14:textId="003B6FD7" w:rsidTr="004E64AA">
        <w:trPr>
          <w:trHeight w:val="641"/>
        </w:trPr>
        <w:tc>
          <w:tcPr>
            <w:tcW w:w="1574" w:type="dxa"/>
            <w:tcBorders>
              <w:top w:val="single" w:sz="4" w:space="0" w:color="auto"/>
              <w:bottom w:val="single" w:sz="4" w:space="0" w:color="auto"/>
            </w:tcBorders>
          </w:tcPr>
          <w:p w14:paraId="1585C140" w14:textId="77777777" w:rsidR="004E64AA" w:rsidRPr="0068236B" w:rsidRDefault="004E64AA" w:rsidP="004E64AA">
            <w:pPr>
              <w:spacing w:before="0" w:after="0" w:line="240" w:lineRule="auto"/>
              <w:jc w:val="left"/>
              <w:rPr>
                <w:rFonts w:cs="Tahoma"/>
                <w:sz w:val="20"/>
                <w:szCs w:val="20"/>
              </w:rPr>
            </w:pPr>
            <w:r w:rsidRPr="0068236B">
              <w:rPr>
                <w:rFonts w:cs="Tahoma"/>
                <w:sz w:val="20"/>
                <w:szCs w:val="20"/>
              </w:rPr>
              <w:t xml:space="preserve">Wind </w:t>
            </w:r>
          </w:p>
          <w:p w14:paraId="475368A0" w14:textId="77777777" w:rsidR="004E64AA" w:rsidRPr="0068236B" w:rsidRDefault="004E64AA" w:rsidP="004E64AA">
            <w:pPr>
              <w:spacing w:before="0" w:after="0" w:line="240" w:lineRule="auto"/>
              <w:jc w:val="left"/>
              <w:rPr>
                <w:rFonts w:cs="Tahoma"/>
                <w:sz w:val="20"/>
                <w:szCs w:val="20"/>
              </w:rPr>
            </w:pPr>
          </w:p>
        </w:tc>
        <w:tc>
          <w:tcPr>
            <w:tcW w:w="2495" w:type="dxa"/>
            <w:tcBorders>
              <w:top w:val="single" w:sz="4" w:space="0" w:color="auto"/>
              <w:bottom w:val="single" w:sz="4" w:space="0" w:color="auto"/>
            </w:tcBorders>
          </w:tcPr>
          <w:p w14:paraId="65E19AB0" w14:textId="77777777" w:rsidR="004E64AA" w:rsidRPr="0068236B" w:rsidRDefault="004E64AA" w:rsidP="004E64AA">
            <w:pPr>
              <w:spacing w:before="0" w:after="0" w:line="240" w:lineRule="auto"/>
              <w:jc w:val="left"/>
              <w:rPr>
                <w:rFonts w:cs="Tahoma"/>
                <w:sz w:val="20"/>
                <w:szCs w:val="20"/>
              </w:rPr>
            </w:pPr>
            <w:r w:rsidRPr="0068236B">
              <w:rPr>
                <w:rFonts w:cs="Tahoma"/>
                <w:sz w:val="20"/>
                <w:szCs w:val="20"/>
              </w:rPr>
              <w:t>Increased wind speed and storms</w:t>
            </w:r>
          </w:p>
          <w:p w14:paraId="1AF8469A" w14:textId="77777777" w:rsidR="004E64AA" w:rsidRPr="0068236B" w:rsidRDefault="004E64AA" w:rsidP="004E64AA">
            <w:pPr>
              <w:spacing w:before="0" w:after="0" w:line="240" w:lineRule="auto"/>
              <w:jc w:val="left"/>
              <w:rPr>
                <w:rFonts w:cs="Tahoma"/>
                <w:sz w:val="20"/>
                <w:szCs w:val="20"/>
              </w:rPr>
            </w:pPr>
            <w:r w:rsidRPr="0068236B">
              <w:rPr>
                <w:rFonts w:cs="Tahoma"/>
                <w:sz w:val="20"/>
                <w:szCs w:val="20"/>
              </w:rPr>
              <w:t>(over 100 km/hour)</w:t>
            </w:r>
          </w:p>
        </w:tc>
        <w:tc>
          <w:tcPr>
            <w:tcW w:w="3648" w:type="dxa"/>
            <w:tcBorders>
              <w:top w:val="single" w:sz="4" w:space="0" w:color="auto"/>
            </w:tcBorders>
          </w:tcPr>
          <w:p w14:paraId="3532CDD8" w14:textId="77777777" w:rsidR="004E64AA" w:rsidRPr="0068236B" w:rsidRDefault="004E64AA" w:rsidP="00D24CEF">
            <w:pPr>
              <w:pStyle w:val="ListParagraph"/>
              <w:numPr>
                <w:ilvl w:val="0"/>
                <w:numId w:val="78"/>
              </w:numPr>
              <w:spacing w:before="0" w:after="0" w:line="240" w:lineRule="auto"/>
              <w:ind w:left="114" w:hanging="114"/>
              <w:jc w:val="left"/>
              <w:rPr>
                <w:rFonts w:cs="Tahoma"/>
                <w:sz w:val="20"/>
                <w:szCs w:val="20"/>
              </w:rPr>
            </w:pPr>
            <w:r w:rsidRPr="0068236B">
              <w:rPr>
                <w:rFonts w:cs="Tahoma"/>
                <w:sz w:val="20"/>
                <w:szCs w:val="20"/>
              </w:rPr>
              <w:t>Wind and storm damage to towers and conductors</w:t>
            </w:r>
          </w:p>
          <w:p w14:paraId="41B954AB" w14:textId="790F9A87" w:rsidR="004E64AA" w:rsidRPr="0068236B" w:rsidRDefault="004E64AA" w:rsidP="00D24CEF">
            <w:pPr>
              <w:pStyle w:val="ListParagraph"/>
              <w:numPr>
                <w:ilvl w:val="0"/>
                <w:numId w:val="78"/>
              </w:numPr>
              <w:spacing w:before="0" w:after="0" w:line="240" w:lineRule="auto"/>
              <w:ind w:left="114" w:hanging="114"/>
              <w:jc w:val="left"/>
              <w:rPr>
                <w:rFonts w:cs="Tahoma"/>
                <w:sz w:val="20"/>
                <w:szCs w:val="20"/>
              </w:rPr>
            </w:pPr>
            <w:r w:rsidRPr="0068236B">
              <w:rPr>
                <w:rFonts w:cs="Tahoma"/>
                <w:sz w:val="20"/>
                <w:szCs w:val="20"/>
              </w:rPr>
              <w:t>Increasing heat convection</w:t>
            </w:r>
          </w:p>
        </w:tc>
        <w:tc>
          <w:tcPr>
            <w:tcW w:w="1814" w:type="dxa"/>
            <w:tcBorders>
              <w:top w:val="single" w:sz="4" w:space="0" w:color="auto"/>
            </w:tcBorders>
          </w:tcPr>
          <w:p w14:paraId="033E3572" w14:textId="1952ACF6" w:rsidR="004E64AA" w:rsidRPr="0068236B" w:rsidRDefault="004E64AA" w:rsidP="004E64AA">
            <w:pPr>
              <w:spacing w:before="0" w:after="0" w:line="240" w:lineRule="auto"/>
              <w:jc w:val="left"/>
              <w:rPr>
                <w:rFonts w:cs="Tahoma"/>
                <w:sz w:val="20"/>
                <w:szCs w:val="20"/>
              </w:rPr>
            </w:pPr>
            <w:r w:rsidRPr="0068236B">
              <w:rPr>
                <w:rFonts w:cs="Tahoma"/>
                <w:sz w:val="20"/>
                <w:szCs w:val="20"/>
              </w:rPr>
              <w:t>High</w:t>
            </w:r>
          </w:p>
        </w:tc>
      </w:tr>
      <w:tr w:rsidR="004E64AA" w:rsidRPr="0068236B" w14:paraId="06E1F4E6" w14:textId="0494FB95" w:rsidTr="004E64AA">
        <w:tc>
          <w:tcPr>
            <w:tcW w:w="1574" w:type="dxa"/>
          </w:tcPr>
          <w:p w14:paraId="4FF5B52F" w14:textId="77777777" w:rsidR="004E64AA" w:rsidRPr="0068236B" w:rsidRDefault="004E64AA" w:rsidP="004E64AA">
            <w:pPr>
              <w:spacing w:before="0" w:after="0" w:line="240" w:lineRule="auto"/>
              <w:jc w:val="left"/>
              <w:rPr>
                <w:rFonts w:cs="Tahoma"/>
                <w:sz w:val="20"/>
                <w:szCs w:val="20"/>
              </w:rPr>
            </w:pPr>
            <w:r w:rsidRPr="0068236B">
              <w:rPr>
                <w:rFonts w:cs="Tahoma"/>
                <w:sz w:val="20"/>
                <w:szCs w:val="20"/>
              </w:rPr>
              <w:t>Lightning</w:t>
            </w:r>
          </w:p>
        </w:tc>
        <w:tc>
          <w:tcPr>
            <w:tcW w:w="2495" w:type="dxa"/>
          </w:tcPr>
          <w:p w14:paraId="1DAE609D" w14:textId="24A460CF" w:rsidR="004E64AA" w:rsidRPr="0068236B" w:rsidRDefault="004E64AA" w:rsidP="00D70E33">
            <w:pPr>
              <w:spacing w:before="0" w:after="0" w:line="240" w:lineRule="auto"/>
              <w:jc w:val="left"/>
              <w:rPr>
                <w:rFonts w:cs="Tahoma"/>
                <w:sz w:val="20"/>
                <w:szCs w:val="20"/>
              </w:rPr>
            </w:pPr>
            <w:r w:rsidRPr="0068236B">
              <w:rPr>
                <w:rFonts w:cs="Tahoma"/>
                <w:sz w:val="20"/>
                <w:szCs w:val="20"/>
              </w:rPr>
              <w:t>More frequent lightning strikes</w:t>
            </w:r>
          </w:p>
        </w:tc>
        <w:tc>
          <w:tcPr>
            <w:tcW w:w="3648" w:type="dxa"/>
          </w:tcPr>
          <w:p w14:paraId="6D26AD01" w14:textId="77777777" w:rsidR="004E64AA" w:rsidRPr="0068236B" w:rsidRDefault="004E64AA" w:rsidP="00D24CEF">
            <w:pPr>
              <w:pStyle w:val="ListParagraph"/>
              <w:numPr>
                <w:ilvl w:val="0"/>
                <w:numId w:val="77"/>
              </w:numPr>
              <w:spacing w:before="0" w:after="0" w:line="240" w:lineRule="auto"/>
              <w:ind w:left="124" w:hanging="124"/>
              <w:jc w:val="left"/>
              <w:rPr>
                <w:rFonts w:cs="Tahoma"/>
                <w:sz w:val="20"/>
                <w:szCs w:val="20"/>
              </w:rPr>
            </w:pPr>
            <w:r w:rsidRPr="0068236B">
              <w:rPr>
                <w:rFonts w:cs="Tahoma"/>
                <w:sz w:val="20"/>
                <w:szCs w:val="20"/>
              </w:rPr>
              <w:t>Short-circuit faults – disconnection for very limited time</w:t>
            </w:r>
          </w:p>
          <w:p w14:paraId="45BD3689" w14:textId="7FC7ECC1" w:rsidR="004E64AA" w:rsidRPr="0068236B" w:rsidRDefault="004E64AA" w:rsidP="00D24CEF">
            <w:pPr>
              <w:pStyle w:val="ListParagraph"/>
              <w:numPr>
                <w:ilvl w:val="0"/>
                <w:numId w:val="77"/>
              </w:numPr>
              <w:spacing w:before="0" w:after="0" w:line="240" w:lineRule="auto"/>
              <w:ind w:left="124" w:hanging="124"/>
              <w:jc w:val="left"/>
              <w:rPr>
                <w:rFonts w:cs="Tahoma"/>
                <w:sz w:val="20"/>
                <w:szCs w:val="20"/>
              </w:rPr>
            </w:pPr>
            <w:r w:rsidRPr="0068236B">
              <w:rPr>
                <w:rFonts w:cs="Tahoma"/>
                <w:sz w:val="20"/>
                <w:szCs w:val="20"/>
              </w:rPr>
              <w:t xml:space="preserve">Damage to substations </w:t>
            </w:r>
          </w:p>
        </w:tc>
        <w:tc>
          <w:tcPr>
            <w:tcW w:w="1814" w:type="dxa"/>
          </w:tcPr>
          <w:p w14:paraId="62844893" w14:textId="01CFF384" w:rsidR="004E64AA" w:rsidRPr="0068236B" w:rsidRDefault="004E64AA" w:rsidP="004E64AA">
            <w:pPr>
              <w:spacing w:before="0" w:after="0" w:line="240" w:lineRule="auto"/>
              <w:jc w:val="left"/>
              <w:rPr>
                <w:rFonts w:cs="Tahoma"/>
                <w:sz w:val="20"/>
                <w:szCs w:val="20"/>
              </w:rPr>
            </w:pPr>
            <w:r w:rsidRPr="0068236B">
              <w:rPr>
                <w:rFonts w:cs="Tahoma"/>
                <w:sz w:val="20"/>
                <w:szCs w:val="20"/>
              </w:rPr>
              <w:t>Low</w:t>
            </w:r>
          </w:p>
        </w:tc>
      </w:tr>
    </w:tbl>
    <w:p w14:paraId="61409C13" w14:textId="19AFD935" w:rsidR="00023B94" w:rsidRPr="0068236B" w:rsidRDefault="00023B94" w:rsidP="003B4434">
      <w:pPr>
        <w:spacing w:before="60" w:after="240"/>
        <w:rPr>
          <w:rFonts w:cs="Tahoma"/>
          <w:sz w:val="18"/>
          <w:szCs w:val="18"/>
          <w:vertAlign w:val="superscript"/>
        </w:rPr>
      </w:pPr>
      <w:bookmarkStart w:id="324" w:name="_Toc481953688"/>
      <w:bookmarkStart w:id="325" w:name="_Toc93086081"/>
      <w:bookmarkStart w:id="326" w:name="_Toc113018201"/>
      <w:r w:rsidRPr="0068236B">
        <w:rPr>
          <w:rFonts w:cs="Tahoma"/>
          <w:sz w:val="18"/>
          <w:szCs w:val="18"/>
        </w:rPr>
        <w:t xml:space="preserve">Table </w:t>
      </w:r>
      <w:r w:rsidRPr="0068236B">
        <w:rPr>
          <w:rFonts w:cs="Tahoma"/>
          <w:i/>
          <w:sz w:val="18"/>
          <w:szCs w:val="18"/>
        </w:rPr>
        <w:fldChar w:fldCharType="begin"/>
      </w:r>
      <w:r w:rsidRPr="0068236B">
        <w:rPr>
          <w:rFonts w:cs="Tahoma"/>
          <w:sz w:val="18"/>
          <w:szCs w:val="18"/>
        </w:rPr>
        <w:instrText xml:space="preserve"> STYLEREF 1 \s </w:instrText>
      </w:r>
      <w:r w:rsidRPr="0068236B">
        <w:rPr>
          <w:rFonts w:cs="Tahoma"/>
          <w:i/>
          <w:sz w:val="18"/>
          <w:szCs w:val="18"/>
        </w:rPr>
        <w:fldChar w:fldCharType="separate"/>
      </w:r>
      <w:r w:rsidR="00FD57E6">
        <w:rPr>
          <w:rFonts w:cs="Tahoma"/>
          <w:noProof/>
          <w:sz w:val="18"/>
          <w:szCs w:val="18"/>
        </w:rPr>
        <w:t>8</w:t>
      </w:r>
      <w:r w:rsidRPr="0068236B">
        <w:rPr>
          <w:rFonts w:cs="Tahoma"/>
          <w:i/>
          <w:sz w:val="18"/>
          <w:szCs w:val="18"/>
        </w:rPr>
        <w:fldChar w:fldCharType="end"/>
      </w:r>
      <w:r w:rsidR="0087135B" w:rsidRPr="0068236B">
        <w:rPr>
          <w:rFonts w:cs="Tahoma"/>
          <w:sz w:val="18"/>
          <w:szCs w:val="18"/>
        </w:rPr>
        <w:t>.</w:t>
      </w:r>
      <w:r w:rsidRPr="0068236B">
        <w:rPr>
          <w:rFonts w:cs="Tahoma"/>
          <w:i/>
          <w:sz w:val="18"/>
          <w:szCs w:val="18"/>
        </w:rPr>
        <w:fldChar w:fldCharType="begin"/>
      </w:r>
      <w:r w:rsidRPr="0068236B">
        <w:rPr>
          <w:rFonts w:cs="Tahoma"/>
          <w:sz w:val="18"/>
          <w:szCs w:val="18"/>
        </w:rPr>
        <w:instrText xml:space="preserve"> SEQ Table \* ARABIC \s 1 </w:instrText>
      </w:r>
      <w:r w:rsidRPr="0068236B">
        <w:rPr>
          <w:rFonts w:cs="Tahoma"/>
          <w:i/>
          <w:sz w:val="18"/>
          <w:szCs w:val="18"/>
        </w:rPr>
        <w:fldChar w:fldCharType="separate"/>
      </w:r>
      <w:r w:rsidR="00FD57E6">
        <w:rPr>
          <w:rFonts w:cs="Tahoma"/>
          <w:noProof/>
          <w:sz w:val="18"/>
          <w:szCs w:val="18"/>
        </w:rPr>
        <w:t>5</w:t>
      </w:r>
      <w:r w:rsidRPr="0068236B">
        <w:rPr>
          <w:rFonts w:cs="Tahoma"/>
          <w:i/>
          <w:sz w:val="18"/>
          <w:szCs w:val="18"/>
        </w:rPr>
        <w:fldChar w:fldCharType="end"/>
      </w:r>
      <w:r w:rsidRPr="0068236B">
        <w:rPr>
          <w:rFonts w:eastAsia="Calibri" w:cs="Tahoma"/>
          <w:sz w:val="18"/>
          <w:szCs w:val="18"/>
        </w:rPr>
        <w:t xml:space="preserve">: </w:t>
      </w:r>
      <w:r w:rsidR="007E35B7" w:rsidRPr="0068236B">
        <w:rPr>
          <w:rFonts w:cs="Tahoma"/>
          <w:bCs/>
          <w:sz w:val="18"/>
          <w:szCs w:val="18"/>
        </w:rPr>
        <w:t>Sensitivity of the Project to climate change, during operation</w:t>
      </w:r>
      <w:bookmarkEnd w:id="324"/>
      <w:bookmarkEnd w:id="325"/>
      <w:bookmarkEnd w:id="326"/>
    </w:p>
    <w:p w14:paraId="3C68476F" w14:textId="3018A497" w:rsidR="007E35B7" w:rsidRPr="0068236B" w:rsidRDefault="007E35B7" w:rsidP="00D24CEF">
      <w:pPr>
        <w:pStyle w:val="ListBullet"/>
        <w:numPr>
          <w:ilvl w:val="0"/>
          <w:numId w:val="75"/>
        </w:numPr>
        <w:spacing w:before="120" w:after="120"/>
        <w:rPr>
          <w:rFonts w:cs="Tahoma"/>
          <w:sz w:val="20"/>
          <w:szCs w:val="20"/>
        </w:rPr>
      </w:pPr>
      <w:r w:rsidRPr="0068236B">
        <w:rPr>
          <w:rFonts w:cs="Tahoma"/>
          <w:sz w:val="20"/>
          <w:szCs w:val="20"/>
        </w:rPr>
        <w:t>Exposure to Climate Variables</w:t>
      </w:r>
      <w:r w:rsidR="00A313E5" w:rsidRPr="0068236B">
        <w:rPr>
          <w:rFonts w:cs="Tahoma"/>
          <w:sz w:val="20"/>
          <w:szCs w:val="20"/>
        </w:rPr>
        <w:t xml:space="preserve"> </w:t>
      </w:r>
    </w:p>
    <w:p w14:paraId="07894D89" w14:textId="71ECB781" w:rsidR="007E35B7" w:rsidRPr="00230397" w:rsidRDefault="007E35B7" w:rsidP="007E35B7">
      <w:pPr>
        <w:rPr>
          <w:rFonts w:cs="Tahoma"/>
          <w:sz w:val="20"/>
          <w:szCs w:val="20"/>
        </w:rPr>
      </w:pPr>
      <w:r w:rsidRPr="00230397">
        <w:rPr>
          <w:rFonts w:cs="Tahoma"/>
          <w:sz w:val="20"/>
          <w:szCs w:val="20"/>
        </w:rPr>
        <w:t>The level of exposure of the Project to change of various climate variables during operation is shown in the Table below. This assessment considers the Project as a whole based on the future climate baseline (see Section 7.</w:t>
      </w:r>
      <w:r w:rsidR="003B4434" w:rsidRPr="00230397">
        <w:rPr>
          <w:rFonts w:cs="Tahoma"/>
          <w:sz w:val="20"/>
          <w:szCs w:val="20"/>
        </w:rPr>
        <w:t>1.1</w:t>
      </w:r>
      <w:r w:rsidRPr="00230397">
        <w:rPr>
          <w:rFonts w:cs="Tahoma"/>
          <w:sz w:val="20"/>
          <w:szCs w:val="20"/>
        </w:rPr>
        <w:t>), projected for Macedonia on country-wide level as well as for the Project region.</w:t>
      </w:r>
    </w:p>
    <w:tbl>
      <w:tblPr>
        <w:tblStyle w:val="WSP"/>
        <w:tblW w:w="44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Look w:val="04A0" w:firstRow="1" w:lastRow="0" w:firstColumn="1" w:lastColumn="0" w:noHBand="0" w:noVBand="1"/>
      </w:tblPr>
      <w:tblGrid>
        <w:gridCol w:w="2893"/>
        <w:gridCol w:w="4111"/>
        <w:gridCol w:w="1701"/>
      </w:tblGrid>
      <w:tr w:rsidR="0034385D" w:rsidRPr="00230397" w14:paraId="24BCDD26" w14:textId="77777777" w:rsidTr="0034385D">
        <w:trPr>
          <w:cnfStyle w:val="100000000000" w:firstRow="1" w:lastRow="0" w:firstColumn="0" w:lastColumn="0" w:oddVBand="0" w:evenVBand="0" w:oddHBand="0" w:evenHBand="0" w:firstRowFirstColumn="0" w:firstRowLastColumn="0" w:lastRowFirstColumn="0" w:lastRowLastColumn="0"/>
        </w:trPr>
        <w:tc>
          <w:tcPr>
            <w:tcW w:w="1662" w:type="pct"/>
            <w:shd w:val="clear" w:color="auto" w:fill="44697D"/>
            <w:hideMark/>
          </w:tcPr>
          <w:p w14:paraId="1167A9CF" w14:textId="77777777" w:rsidR="0034385D" w:rsidRPr="00230397" w:rsidRDefault="0034385D" w:rsidP="0034385D">
            <w:pPr>
              <w:spacing w:before="0" w:after="0" w:line="240" w:lineRule="auto"/>
              <w:rPr>
                <w:rFonts w:cs="Tahoma"/>
                <w:color w:val="auto"/>
                <w:sz w:val="20"/>
                <w:szCs w:val="20"/>
              </w:rPr>
            </w:pPr>
            <w:r w:rsidRPr="00230397">
              <w:rPr>
                <w:rFonts w:cs="Tahoma"/>
                <w:color w:val="auto"/>
                <w:sz w:val="20"/>
                <w:szCs w:val="20"/>
              </w:rPr>
              <w:t>Climate variable</w:t>
            </w:r>
          </w:p>
        </w:tc>
        <w:tc>
          <w:tcPr>
            <w:tcW w:w="2361" w:type="pct"/>
            <w:shd w:val="clear" w:color="auto" w:fill="44697D"/>
            <w:hideMark/>
          </w:tcPr>
          <w:p w14:paraId="50EA26F7" w14:textId="77777777" w:rsidR="0034385D" w:rsidRPr="00230397" w:rsidRDefault="0034385D" w:rsidP="0034385D">
            <w:pPr>
              <w:spacing w:before="0" w:after="0" w:line="240" w:lineRule="auto"/>
              <w:rPr>
                <w:rFonts w:cs="Tahoma"/>
                <w:color w:val="auto"/>
                <w:sz w:val="20"/>
                <w:szCs w:val="20"/>
              </w:rPr>
            </w:pPr>
            <w:r w:rsidRPr="00230397">
              <w:rPr>
                <w:rFonts w:cs="Tahoma"/>
                <w:color w:val="auto"/>
                <w:sz w:val="20"/>
                <w:szCs w:val="20"/>
              </w:rPr>
              <w:t xml:space="preserve">Projected climate change </w:t>
            </w:r>
          </w:p>
        </w:tc>
        <w:tc>
          <w:tcPr>
            <w:tcW w:w="977" w:type="pct"/>
            <w:shd w:val="clear" w:color="auto" w:fill="44697D"/>
            <w:hideMark/>
          </w:tcPr>
          <w:p w14:paraId="41E5B77C" w14:textId="77777777" w:rsidR="0034385D" w:rsidRPr="00230397" w:rsidRDefault="0034385D" w:rsidP="0034385D">
            <w:pPr>
              <w:spacing w:before="0" w:after="0" w:line="240" w:lineRule="auto"/>
              <w:rPr>
                <w:rFonts w:cs="Tahoma"/>
                <w:color w:val="auto"/>
                <w:sz w:val="20"/>
                <w:szCs w:val="20"/>
              </w:rPr>
            </w:pPr>
            <w:r w:rsidRPr="00230397">
              <w:rPr>
                <w:rFonts w:cs="Tahoma"/>
                <w:color w:val="auto"/>
                <w:sz w:val="20"/>
                <w:szCs w:val="20"/>
              </w:rPr>
              <w:t xml:space="preserve">Exposure </w:t>
            </w:r>
          </w:p>
        </w:tc>
      </w:tr>
      <w:tr w:rsidR="00275A02" w:rsidRPr="00230397" w14:paraId="11AB2BF5" w14:textId="77777777" w:rsidTr="0034385D">
        <w:trPr>
          <w:cnfStyle w:val="000000100000" w:firstRow="0" w:lastRow="0" w:firstColumn="0" w:lastColumn="0" w:oddVBand="0" w:evenVBand="0" w:oddHBand="1" w:evenHBand="0" w:firstRowFirstColumn="0" w:firstRowLastColumn="0" w:lastRowFirstColumn="0" w:lastRowLastColumn="0"/>
        </w:trPr>
        <w:tc>
          <w:tcPr>
            <w:tcW w:w="1662" w:type="pct"/>
            <w:shd w:val="clear" w:color="auto" w:fill="auto"/>
            <w:hideMark/>
          </w:tcPr>
          <w:p w14:paraId="3C406FE7" w14:textId="77777777" w:rsidR="00275A02" w:rsidRPr="00230397" w:rsidRDefault="00275A02" w:rsidP="0034385D">
            <w:pPr>
              <w:spacing w:before="0" w:after="0" w:line="240" w:lineRule="auto"/>
              <w:jc w:val="left"/>
              <w:rPr>
                <w:rFonts w:cs="Tahoma"/>
                <w:color w:val="auto"/>
                <w:sz w:val="20"/>
                <w:szCs w:val="20"/>
              </w:rPr>
            </w:pPr>
            <w:r w:rsidRPr="00230397">
              <w:rPr>
                <w:rFonts w:cs="Tahoma"/>
                <w:color w:val="auto"/>
                <w:sz w:val="20"/>
                <w:szCs w:val="20"/>
              </w:rPr>
              <w:t>Temperature increase</w:t>
            </w:r>
          </w:p>
          <w:p w14:paraId="7C7CD11E" w14:textId="4B1D4081" w:rsidR="00275A02" w:rsidRPr="00230397" w:rsidRDefault="00275A02" w:rsidP="0034385D">
            <w:pPr>
              <w:spacing w:before="0" w:after="0" w:line="240" w:lineRule="auto"/>
              <w:rPr>
                <w:rFonts w:cs="Tahoma"/>
                <w:color w:val="auto"/>
                <w:sz w:val="20"/>
                <w:szCs w:val="20"/>
              </w:rPr>
            </w:pPr>
          </w:p>
        </w:tc>
        <w:tc>
          <w:tcPr>
            <w:tcW w:w="2361" w:type="pct"/>
            <w:shd w:val="clear" w:color="auto" w:fill="auto"/>
            <w:hideMark/>
          </w:tcPr>
          <w:p w14:paraId="0BC62AC8" w14:textId="636FB623" w:rsidR="00275A02" w:rsidRPr="00230397" w:rsidRDefault="00A43635" w:rsidP="008E77D3">
            <w:pPr>
              <w:pStyle w:val="ListParagraph"/>
              <w:numPr>
                <w:ilvl w:val="1"/>
                <w:numId w:val="48"/>
              </w:numPr>
              <w:tabs>
                <w:tab w:val="clear" w:pos="1515"/>
                <w:tab w:val="num" w:pos="161"/>
              </w:tabs>
              <w:spacing w:before="0" w:after="0" w:line="240" w:lineRule="auto"/>
              <w:ind w:left="161" w:hanging="161"/>
              <w:jc w:val="left"/>
              <w:rPr>
                <w:rFonts w:cs="Tahoma"/>
                <w:color w:val="auto"/>
                <w:sz w:val="20"/>
                <w:szCs w:val="20"/>
              </w:rPr>
            </w:pPr>
            <w:r w:rsidRPr="00230397">
              <w:rPr>
                <w:rFonts w:cs="Tahoma"/>
                <w:color w:val="auto"/>
                <w:sz w:val="20"/>
                <w:szCs w:val="20"/>
              </w:rPr>
              <w:t xml:space="preserve">Extreme </w:t>
            </w:r>
            <w:r w:rsidR="00AE3455" w:rsidRPr="00230397">
              <w:rPr>
                <w:rFonts w:cs="Tahoma"/>
                <w:color w:val="auto"/>
                <w:sz w:val="20"/>
                <w:szCs w:val="20"/>
              </w:rPr>
              <w:t>temperature</w:t>
            </w:r>
            <w:r w:rsidRPr="00230397">
              <w:rPr>
                <w:rFonts w:cs="Tahoma"/>
                <w:color w:val="auto"/>
                <w:sz w:val="20"/>
                <w:szCs w:val="20"/>
              </w:rPr>
              <w:t xml:space="preserve"> (m</w:t>
            </w:r>
            <w:r w:rsidR="00275A02" w:rsidRPr="00230397">
              <w:rPr>
                <w:rFonts w:cs="Tahoma"/>
                <w:color w:val="auto"/>
                <w:sz w:val="20"/>
                <w:szCs w:val="20"/>
              </w:rPr>
              <w:t>ore frequent heat waves</w:t>
            </w:r>
            <w:r w:rsidRPr="00230397">
              <w:rPr>
                <w:rFonts w:cs="Tahoma"/>
                <w:color w:val="auto"/>
                <w:sz w:val="20"/>
                <w:szCs w:val="20"/>
              </w:rPr>
              <w:t>)</w:t>
            </w:r>
          </w:p>
          <w:p w14:paraId="5E02E2A3" w14:textId="4C63FD31" w:rsidR="00275A02" w:rsidRPr="00230397" w:rsidRDefault="00275A02" w:rsidP="008E77D3">
            <w:pPr>
              <w:pStyle w:val="ListParagraph"/>
              <w:numPr>
                <w:ilvl w:val="1"/>
                <w:numId w:val="48"/>
              </w:numPr>
              <w:tabs>
                <w:tab w:val="clear" w:pos="1515"/>
                <w:tab w:val="num" w:pos="161"/>
              </w:tabs>
              <w:spacing w:before="0" w:after="0" w:line="240" w:lineRule="auto"/>
              <w:ind w:left="161" w:hanging="161"/>
              <w:jc w:val="left"/>
              <w:rPr>
                <w:rFonts w:cs="Tahoma"/>
                <w:color w:val="auto"/>
                <w:sz w:val="20"/>
                <w:szCs w:val="20"/>
              </w:rPr>
            </w:pPr>
            <w:r w:rsidRPr="00230397">
              <w:rPr>
                <w:rFonts w:cs="Tahoma"/>
                <w:color w:val="auto"/>
                <w:sz w:val="20"/>
                <w:szCs w:val="20"/>
              </w:rPr>
              <w:t>More frequent wildfires</w:t>
            </w:r>
          </w:p>
        </w:tc>
        <w:tc>
          <w:tcPr>
            <w:tcW w:w="977" w:type="pct"/>
            <w:shd w:val="clear" w:color="auto" w:fill="auto"/>
            <w:hideMark/>
          </w:tcPr>
          <w:p w14:paraId="2FBD712A" w14:textId="77777777" w:rsidR="00275A02" w:rsidRPr="00230397" w:rsidRDefault="00275A02" w:rsidP="0034385D">
            <w:pPr>
              <w:tabs>
                <w:tab w:val="right" w:pos="1896"/>
              </w:tabs>
              <w:spacing w:before="0" w:after="0" w:line="240" w:lineRule="auto"/>
              <w:rPr>
                <w:rFonts w:cs="Tahoma"/>
                <w:color w:val="auto"/>
                <w:sz w:val="20"/>
                <w:szCs w:val="20"/>
              </w:rPr>
            </w:pPr>
            <w:r w:rsidRPr="00230397">
              <w:rPr>
                <w:rFonts w:cs="Tahoma"/>
                <w:color w:val="auto"/>
                <w:sz w:val="20"/>
                <w:szCs w:val="20"/>
              </w:rPr>
              <w:t>High</w:t>
            </w:r>
            <w:r w:rsidRPr="00230397">
              <w:rPr>
                <w:rFonts w:cs="Tahoma"/>
                <w:color w:val="auto"/>
                <w:sz w:val="20"/>
                <w:szCs w:val="20"/>
              </w:rPr>
              <w:tab/>
            </w:r>
          </w:p>
        </w:tc>
      </w:tr>
      <w:tr w:rsidR="0034385D" w:rsidRPr="00230397" w14:paraId="765E27B8" w14:textId="77777777" w:rsidTr="0034385D">
        <w:tc>
          <w:tcPr>
            <w:tcW w:w="1662" w:type="pct"/>
            <w:shd w:val="clear" w:color="auto" w:fill="auto"/>
            <w:hideMark/>
          </w:tcPr>
          <w:p w14:paraId="6EC2055B" w14:textId="36D8FA74" w:rsidR="0034385D" w:rsidRPr="00230397" w:rsidRDefault="0034385D" w:rsidP="0034385D">
            <w:pPr>
              <w:spacing w:before="0" w:after="0" w:line="240" w:lineRule="auto"/>
              <w:rPr>
                <w:rFonts w:cs="Tahoma"/>
                <w:color w:val="auto"/>
                <w:sz w:val="20"/>
                <w:szCs w:val="20"/>
              </w:rPr>
            </w:pPr>
            <w:r w:rsidRPr="00230397">
              <w:rPr>
                <w:rFonts w:cs="Tahoma"/>
                <w:color w:val="auto"/>
                <w:sz w:val="20"/>
                <w:szCs w:val="20"/>
              </w:rPr>
              <w:t>Temperature decrease</w:t>
            </w:r>
          </w:p>
        </w:tc>
        <w:tc>
          <w:tcPr>
            <w:tcW w:w="2361" w:type="pct"/>
            <w:shd w:val="clear" w:color="auto" w:fill="auto"/>
            <w:hideMark/>
          </w:tcPr>
          <w:p w14:paraId="24546C78" w14:textId="57B49A42" w:rsidR="0034385D" w:rsidRPr="00230397" w:rsidRDefault="0034385D" w:rsidP="0034385D">
            <w:pPr>
              <w:spacing w:before="0" w:after="0" w:line="240" w:lineRule="auto"/>
              <w:rPr>
                <w:rFonts w:cs="Tahoma"/>
                <w:color w:val="auto"/>
                <w:sz w:val="20"/>
                <w:szCs w:val="20"/>
              </w:rPr>
            </w:pPr>
            <w:r w:rsidRPr="00230397">
              <w:rPr>
                <w:rFonts w:cs="Tahoma"/>
                <w:color w:val="auto"/>
                <w:sz w:val="20"/>
                <w:szCs w:val="20"/>
              </w:rPr>
              <w:t>More frequent cold waves</w:t>
            </w:r>
          </w:p>
        </w:tc>
        <w:tc>
          <w:tcPr>
            <w:tcW w:w="977" w:type="pct"/>
            <w:shd w:val="clear" w:color="auto" w:fill="auto"/>
            <w:hideMark/>
          </w:tcPr>
          <w:p w14:paraId="55D20D89" w14:textId="1C4F0095" w:rsidR="0034385D" w:rsidRPr="00230397" w:rsidRDefault="0034385D" w:rsidP="0034385D">
            <w:pPr>
              <w:spacing w:before="0" w:after="0" w:line="240" w:lineRule="auto"/>
              <w:rPr>
                <w:rFonts w:cs="Tahoma"/>
                <w:color w:val="auto"/>
                <w:sz w:val="20"/>
                <w:szCs w:val="20"/>
              </w:rPr>
            </w:pPr>
            <w:r w:rsidRPr="00230397">
              <w:rPr>
                <w:rFonts w:cs="Tahoma"/>
                <w:color w:val="auto"/>
                <w:sz w:val="20"/>
                <w:szCs w:val="20"/>
              </w:rPr>
              <w:t>Low</w:t>
            </w:r>
          </w:p>
        </w:tc>
      </w:tr>
      <w:tr w:rsidR="0034385D" w:rsidRPr="00230397" w14:paraId="41413442" w14:textId="77777777" w:rsidTr="0034385D">
        <w:trPr>
          <w:cnfStyle w:val="000000100000" w:firstRow="0" w:lastRow="0" w:firstColumn="0" w:lastColumn="0" w:oddVBand="0" w:evenVBand="0" w:oddHBand="1" w:evenHBand="0" w:firstRowFirstColumn="0" w:firstRowLastColumn="0" w:lastRowFirstColumn="0" w:lastRowLastColumn="0"/>
        </w:trPr>
        <w:tc>
          <w:tcPr>
            <w:tcW w:w="1662" w:type="pct"/>
            <w:vMerge w:val="restart"/>
            <w:shd w:val="clear" w:color="auto" w:fill="auto"/>
            <w:hideMark/>
          </w:tcPr>
          <w:p w14:paraId="1526ADB7" w14:textId="3806918E" w:rsidR="0034385D" w:rsidRPr="00230397" w:rsidRDefault="0034385D" w:rsidP="0034385D">
            <w:pPr>
              <w:spacing w:before="0" w:after="0" w:line="240" w:lineRule="auto"/>
              <w:rPr>
                <w:rFonts w:cs="Tahoma"/>
                <w:color w:val="auto"/>
                <w:sz w:val="20"/>
                <w:szCs w:val="20"/>
              </w:rPr>
            </w:pPr>
            <w:r w:rsidRPr="00230397">
              <w:rPr>
                <w:rFonts w:cs="Tahoma"/>
                <w:color w:val="auto"/>
                <w:sz w:val="20"/>
                <w:szCs w:val="20"/>
              </w:rPr>
              <w:lastRenderedPageBreak/>
              <w:t>Precipitation</w:t>
            </w:r>
          </w:p>
        </w:tc>
        <w:tc>
          <w:tcPr>
            <w:tcW w:w="2361" w:type="pct"/>
            <w:shd w:val="clear" w:color="auto" w:fill="auto"/>
            <w:hideMark/>
          </w:tcPr>
          <w:p w14:paraId="2A8F5401" w14:textId="6C3228A1" w:rsidR="0034385D" w:rsidRPr="00230397" w:rsidRDefault="0034385D" w:rsidP="0034385D">
            <w:pPr>
              <w:spacing w:before="0" w:after="0" w:line="240" w:lineRule="auto"/>
              <w:rPr>
                <w:rFonts w:cs="Tahoma"/>
                <w:color w:val="auto"/>
                <w:sz w:val="20"/>
                <w:szCs w:val="20"/>
              </w:rPr>
            </w:pPr>
            <w:r w:rsidRPr="00230397">
              <w:rPr>
                <w:rFonts w:cs="Tahoma"/>
                <w:color w:val="auto"/>
                <w:sz w:val="20"/>
                <w:szCs w:val="20"/>
              </w:rPr>
              <w:t>Change in extreme rainfall</w:t>
            </w:r>
          </w:p>
        </w:tc>
        <w:tc>
          <w:tcPr>
            <w:tcW w:w="977" w:type="pct"/>
            <w:shd w:val="clear" w:color="auto" w:fill="auto"/>
            <w:hideMark/>
          </w:tcPr>
          <w:p w14:paraId="57966F85" w14:textId="77777777" w:rsidR="0034385D" w:rsidRPr="00230397" w:rsidRDefault="0034385D" w:rsidP="0034385D">
            <w:pPr>
              <w:spacing w:before="0" w:after="0" w:line="240" w:lineRule="auto"/>
              <w:rPr>
                <w:rFonts w:cs="Tahoma"/>
                <w:color w:val="auto"/>
                <w:sz w:val="20"/>
                <w:szCs w:val="20"/>
              </w:rPr>
            </w:pPr>
            <w:r w:rsidRPr="00230397">
              <w:rPr>
                <w:rFonts w:cs="Tahoma"/>
                <w:color w:val="auto"/>
                <w:sz w:val="20"/>
                <w:szCs w:val="20"/>
              </w:rPr>
              <w:t>Medium</w:t>
            </w:r>
          </w:p>
        </w:tc>
      </w:tr>
      <w:tr w:rsidR="0034385D" w:rsidRPr="00230397" w14:paraId="5D2D9F0E" w14:textId="77777777" w:rsidTr="0034385D">
        <w:tc>
          <w:tcPr>
            <w:tcW w:w="1662" w:type="pct"/>
            <w:vMerge/>
            <w:shd w:val="clear" w:color="auto" w:fill="auto"/>
          </w:tcPr>
          <w:p w14:paraId="0CBD0165" w14:textId="77777777" w:rsidR="0034385D" w:rsidRPr="00230397" w:rsidRDefault="0034385D" w:rsidP="0034385D">
            <w:pPr>
              <w:spacing w:before="0" w:after="0" w:line="240" w:lineRule="auto"/>
              <w:rPr>
                <w:rFonts w:cs="Tahoma"/>
                <w:color w:val="auto"/>
                <w:sz w:val="20"/>
                <w:szCs w:val="20"/>
              </w:rPr>
            </w:pPr>
          </w:p>
        </w:tc>
        <w:tc>
          <w:tcPr>
            <w:tcW w:w="2361" w:type="pct"/>
            <w:shd w:val="clear" w:color="auto" w:fill="auto"/>
          </w:tcPr>
          <w:p w14:paraId="49EB2D66" w14:textId="5B4D9129" w:rsidR="0034385D" w:rsidRPr="00230397" w:rsidRDefault="0034385D" w:rsidP="0034385D">
            <w:pPr>
              <w:spacing w:before="0" w:after="0" w:line="240" w:lineRule="auto"/>
              <w:rPr>
                <w:rFonts w:cs="Tahoma"/>
                <w:color w:val="auto"/>
                <w:sz w:val="20"/>
                <w:szCs w:val="20"/>
              </w:rPr>
            </w:pPr>
            <w:r w:rsidRPr="00230397">
              <w:rPr>
                <w:rFonts w:cs="Tahoma"/>
                <w:color w:val="auto"/>
                <w:sz w:val="20"/>
                <w:szCs w:val="20"/>
              </w:rPr>
              <w:t>More frequent extreme flooding events</w:t>
            </w:r>
          </w:p>
        </w:tc>
        <w:tc>
          <w:tcPr>
            <w:tcW w:w="977" w:type="pct"/>
            <w:shd w:val="clear" w:color="auto" w:fill="auto"/>
          </w:tcPr>
          <w:p w14:paraId="5E397440" w14:textId="387B4522" w:rsidR="0034385D" w:rsidRPr="00230397" w:rsidRDefault="0034385D" w:rsidP="0034385D">
            <w:pPr>
              <w:spacing w:before="0" w:after="0" w:line="240" w:lineRule="auto"/>
              <w:rPr>
                <w:rFonts w:cs="Tahoma"/>
                <w:color w:val="auto"/>
                <w:sz w:val="20"/>
                <w:szCs w:val="20"/>
              </w:rPr>
            </w:pPr>
            <w:r w:rsidRPr="00230397">
              <w:rPr>
                <w:rFonts w:cs="Tahoma"/>
                <w:color w:val="auto"/>
                <w:sz w:val="20"/>
                <w:szCs w:val="20"/>
              </w:rPr>
              <w:t>High</w:t>
            </w:r>
          </w:p>
        </w:tc>
      </w:tr>
      <w:tr w:rsidR="0034385D" w:rsidRPr="00230397" w14:paraId="5DB7598C" w14:textId="77777777" w:rsidTr="0034385D">
        <w:trPr>
          <w:cnfStyle w:val="000000100000" w:firstRow="0" w:lastRow="0" w:firstColumn="0" w:lastColumn="0" w:oddVBand="0" w:evenVBand="0" w:oddHBand="1" w:evenHBand="0" w:firstRowFirstColumn="0" w:firstRowLastColumn="0" w:lastRowFirstColumn="0" w:lastRowLastColumn="0"/>
        </w:trPr>
        <w:tc>
          <w:tcPr>
            <w:tcW w:w="1662" w:type="pct"/>
            <w:shd w:val="clear" w:color="auto" w:fill="auto"/>
            <w:hideMark/>
          </w:tcPr>
          <w:p w14:paraId="0CE01A4C" w14:textId="77777777" w:rsidR="0034385D" w:rsidRPr="00230397" w:rsidRDefault="0034385D" w:rsidP="0034385D">
            <w:pPr>
              <w:spacing w:before="0" w:after="0" w:line="240" w:lineRule="auto"/>
              <w:jc w:val="left"/>
              <w:rPr>
                <w:rFonts w:cs="Tahoma"/>
                <w:color w:val="auto"/>
                <w:sz w:val="20"/>
                <w:szCs w:val="20"/>
              </w:rPr>
            </w:pPr>
            <w:r w:rsidRPr="00230397">
              <w:rPr>
                <w:rFonts w:cs="Tahoma"/>
                <w:color w:val="auto"/>
                <w:sz w:val="20"/>
                <w:szCs w:val="20"/>
              </w:rPr>
              <w:t xml:space="preserve">Wind </w:t>
            </w:r>
          </w:p>
          <w:p w14:paraId="6B750CC9" w14:textId="6F0AD025" w:rsidR="0034385D" w:rsidRPr="00230397" w:rsidRDefault="0034385D" w:rsidP="0034385D">
            <w:pPr>
              <w:spacing w:before="0" w:after="0" w:line="240" w:lineRule="auto"/>
              <w:rPr>
                <w:rFonts w:cs="Tahoma"/>
                <w:color w:val="auto"/>
                <w:sz w:val="20"/>
                <w:szCs w:val="20"/>
              </w:rPr>
            </w:pPr>
          </w:p>
        </w:tc>
        <w:tc>
          <w:tcPr>
            <w:tcW w:w="2361" w:type="pct"/>
            <w:shd w:val="clear" w:color="auto" w:fill="auto"/>
            <w:hideMark/>
          </w:tcPr>
          <w:p w14:paraId="6A0CAB0C" w14:textId="77777777" w:rsidR="0034385D" w:rsidRPr="00230397" w:rsidRDefault="0034385D" w:rsidP="0034385D">
            <w:pPr>
              <w:spacing w:before="0" w:after="0" w:line="240" w:lineRule="auto"/>
              <w:jc w:val="left"/>
              <w:rPr>
                <w:rFonts w:cs="Tahoma"/>
                <w:color w:val="auto"/>
                <w:sz w:val="20"/>
                <w:szCs w:val="20"/>
              </w:rPr>
            </w:pPr>
            <w:r w:rsidRPr="00230397">
              <w:rPr>
                <w:rFonts w:cs="Tahoma"/>
                <w:color w:val="auto"/>
                <w:sz w:val="20"/>
                <w:szCs w:val="20"/>
              </w:rPr>
              <w:t>Increased wind speed and storms</w:t>
            </w:r>
          </w:p>
          <w:p w14:paraId="1803062C" w14:textId="030AD949" w:rsidR="0034385D" w:rsidRPr="00230397" w:rsidRDefault="0034385D" w:rsidP="0034385D">
            <w:pPr>
              <w:spacing w:before="0" w:after="0" w:line="240" w:lineRule="auto"/>
              <w:rPr>
                <w:rFonts w:cs="Tahoma"/>
                <w:color w:val="auto"/>
                <w:sz w:val="20"/>
                <w:szCs w:val="20"/>
              </w:rPr>
            </w:pPr>
            <w:r w:rsidRPr="00230397">
              <w:rPr>
                <w:rFonts w:cs="Tahoma"/>
                <w:color w:val="auto"/>
                <w:sz w:val="20"/>
                <w:szCs w:val="20"/>
              </w:rPr>
              <w:t>(over 100 km/hour)</w:t>
            </w:r>
          </w:p>
        </w:tc>
        <w:tc>
          <w:tcPr>
            <w:tcW w:w="977" w:type="pct"/>
            <w:shd w:val="clear" w:color="auto" w:fill="auto"/>
            <w:hideMark/>
          </w:tcPr>
          <w:p w14:paraId="47107723" w14:textId="77777777" w:rsidR="0034385D" w:rsidRPr="00230397" w:rsidRDefault="0034385D" w:rsidP="0034385D">
            <w:pPr>
              <w:spacing w:before="0" w:after="0" w:line="240" w:lineRule="auto"/>
              <w:rPr>
                <w:rFonts w:cs="Tahoma"/>
                <w:color w:val="auto"/>
                <w:sz w:val="20"/>
                <w:szCs w:val="20"/>
              </w:rPr>
            </w:pPr>
            <w:r w:rsidRPr="00230397">
              <w:rPr>
                <w:rFonts w:cs="Tahoma"/>
                <w:color w:val="auto"/>
                <w:sz w:val="20"/>
                <w:szCs w:val="20"/>
              </w:rPr>
              <w:t>Low</w:t>
            </w:r>
          </w:p>
        </w:tc>
      </w:tr>
      <w:tr w:rsidR="0034385D" w:rsidRPr="00230397" w14:paraId="39E9800E" w14:textId="77777777" w:rsidTr="0034385D">
        <w:tc>
          <w:tcPr>
            <w:tcW w:w="1662" w:type="pct"/>
            <w:shd w:val="clear" w:color="auto" w:fill="auto"/>
            <w:hideMark/>
          </w:tcPr>
          <w:p w14:paraId="5DF335E9" w14:textId="7E5D8043" w:rsidR="0034385D" w:rsidRPr="00230397" w:rsidRDefault="0034385D" w:rsidP="0034385D">
            <w:pPr>
              <w:spacing w:before="0" w:after="0" w:line="240" w:lineRule="auto"/>
              <w:rPr>
                <w:rFonts w:cs="Tahoma"/>
                <w:color w:val="auto"/>
                <w:sz w:val="20"/>
                <w:szCs w:val="20"/>
              </w:rPr>
            </w:pPr>
            <w:r w:rsidRPr="00230397">
              <w:rPr>
                <w:rFonts w:cs="Tahoma"/>
                <w:color w:val="auto"/>
                <w:sz w:val="20"/>
                <w:szCs w:val="20"/>
              </w:rPr>
              <w:t>Lightning</w:t>
            </w:r>
          </w:p>
        </w:tc>
        <w:tc>
          <w:tcPr>
            <w:tcW w:w="2361" w:type="pct"/>
            <w:shd w:val="clear" w:color="auto" w:fill="auto"/>
            <w:hideMark/>
          </w:tcPr>
          <w:p w14:paraId="71EBDD98" w14:textId="3EA3E39E" w:rsidR="0034385D" w:rsidRPr="00230397" w:rsidRDefault="0034385D" w:rsidP="0034385D">
            <w:pPr>
              <w:spacing w:before="0" w:after="0" w:line="240" w:lineRule="auto"/>
              <w:rPr>
                <w:rFonts w:cs="Tahoma"/>
                <w:color w:val="auto"/>
                <w:sz w:val="20"/>
                <w:szCs w:val="20"/>
              </w:rPr>
            </w:pPr>
            <w:r w:rsidRPr="00230397">
              <w:rPr>
                <w:rFonts w:cs="Tahoma"/>
                <w:color w:val="auto"/>
                <w:sz w:val="20"/>
                <w:szCs w:val="20"/>
              </w:rPr>
              <w:t>More frequent lightning strikes</w:t>
            </w:r>
          </w:p>
        </w:tc>
        <w:tc>
          <w:tcPr>
            <w:tcW w:w="977" w:type="pct"/>
            <w:shd w:val="clear" w:color="auto" w:fill="auto"/>
            <w:hideMark/>
          </w:tcPr>
          <w:p w14:paraId="00A0F527" w14:textId="77777777" w:rsidR="0034385D" w:rsidRPr="00230397" w:rsidRDefault="0034385D" w:rsidP="0034385D">
            <w:pPr>
              <w:spacing w:before="0" w:after="0" w:line="240" w:lineRule="auto"/>
              <w:rPr>
                <w:rFonts w:cs="Tahoma"/>
                <w:color w:val="auto"/>
                <w:sz w:val="20"/>
                <w:szCs w:val="20"/>
              </w:rPr>
            </w:pPr>
            <w:r w:rsidRPr="00230397">
              <w:rPr>
                <w:rFonts w:cs="Tahoma"/>
                <w:color w:val="auto"/>
                <w:sz w:val="20"/>
                <w:szCs w:val="20"/>
              </w:rPr>
              <w:t xml:space="preserve">Medium </w:t>
            </w:r>
          </w:p>
        </w:tc>
      </w:tr>
    </w:tbl>
    <w:p w14:paraId="4599EF19" w14:textId="695D748C" w:rsidR="0034385D" w:rsidRPr="00230397" w:rsidRDefault="0034385D" w:rsidP="0034385D">
      <w:pPr>
        <w:spacing w:before="60" w:after="240"/>
        <w:jc w:val="left"/>
        <w:rPr>
          <w:rFonts w:cs="Tahoma"/>
          <w:sz w:val="18"/>
          <w:szCs w:val="18"/>
        </w:rPr>
      </w:pPr>
      <w:bookmarkStart w:id="327" w:name="_Toc113018202"/>
      <w:r w:rsidRPr="00230397">
        <w:rPr>
          <w:rFonts w:cs="Tahoma"/>
          <w:sz w:val="18"/>
          <w:szCs w:val="18"/>
        </w:rPr>
        <w:t xml:space="preserve">Table </w:t>
      </w:r>
      <w:r w:rsidRPr="00230397">
        <w:rPr>
          <w:rFonts w:cs="Tahoma"/>
          <w:sz w:val="18"/>
          <w:szCs w:val="18"/>
        </w:rPr>
        <w:fldChar w:fldCharType="begin"/>
      </w:r>
      <w:r w:rsidRPr="00230397">
        <w:rPr>
          <w:rFonts w:cs="Tahoma"/>
          <w:sz w:val="18"/>
          <w:szCs w:val="18"/>
        </w:rPr>
        <w:instrText xml:space="preserve"> STYLEREF 1 \s </w:instrText>
      </w:r>
      <w:r w:rsidRPr="00230397">
        <w:rPr>
          <w:rFonts w:cs="Tahoma"/>
          <w:sz w:val="18"/>
          <w:szCs w:val="18"/>
        </w:rPr>
        <w:fldChar w:fldCharType="separate"/>
      </w:r>
      <w:r w:rsidR="00FD57E6">
        <w:rPr>
          <w:rFonts w:cs="Tahoma"/>
          <w:noProof/>
          <w:sz w:val="18"/>
          <w:szCs w:val="18"/>
        </w:rPr>
        <w:t>8</w:t>
      </w:r>
      <w:r w:rsidRPr="00230397">
        <w:rPr>
          <w:rFonts w:cs="Tahoma"/>
          <w:sz w:val="18"/>
          <w:szCs w:val="18"/>
        </w:rPr>
        <w:fldChar w:fldCharType="end"/>
      </w:r>
      <w:r w:rsidR="0087135B" w:rsidRPr="00230397">
        <w:rPr>
          <w:rFonts w:cs="Tahoma"/>
          <w:sz w:val="18"/>
          <w:szCs w:val="18"/>
        </w:rPr>
        <w:t>.</w:t>
      </w:r>
      <w:r w:rsidRPr="00230397">
        <w:rPr>
          <w:rFonts w:cs="Tahoma"/>
          <w:sz w:val="18"/>
          <w:szCs w:val="18"/>
        </w:rPr>
        <w:fldChar w:fldCharType="begin"/>
      </w:r>
      <w:r w:rsidRPr="00230397">
        <w:rPr>
          <w:rFonts w:cs="Tahoma"/>
          <w:sz w:val="18"/>
          <w:szCs w:val="18"/>
        </w:rPr>
        <w:instrText xml:space="preserve"> SEQ Table \* ARABIC \s 1 </w:instrText>
      </w:r>
      <w:r w:rsidRPr="00230397">
        <w:rPr>
          <w:rFonts w:cs="Tahoma"/>
          <w:sz w:val="18"/>
          <w:szCs w:val="18"/>
        </w:rPr>
        <w:fldChar w:fldCharType="separate"/>
      </w:r>
      <w:r w:rsidR="00FD57E6">
        <w:rPr>
          <w:rFonts w:cs="Tahoma"/>
          <w:noProof/>
          <w:sz w:val="18"/>
          <w:szCs w:val="18"/>
        </w:rPr>
        <w:t>6</w:t>
      </w:r>
      <w:r w:rsidRPr="00230397">
        <w:rPr>
          <w:rFonts w:cs="Tahoma"/>
          <w:sz w:val="18"/>
          <w:szCs w:val="18"/>
        </w:rPr>
        <w:fldChar w:fldCharType="end"/>
      </w:r>
      <w:r w:rsidRPr="00230397">
        <w:rPr>
          <w:rFonts w:cs="Tahoma"/>
          <w:sz w:val="18"/>
          <w:szCs w:val="18"/>
        </w:rPr>
        <w:t>:</w:t>
      </w:r>
      <w:r w:rsidRPr="00230397">
        <w:rPr>
          <w:rFonts w:cs="Tahoma"/>
          <w:bCs/>
          <w:sz w:val="18"/>
          <w:szCs w:val="18"/>
        </w:rPr>
        <w:t xml:space="preserve"> Exposure of the Project to climate change, during operation</w:t>
      </w:r>
      <w:bookmarkEnd w:id="327"/>
      <w:r w:rsidRPr="00230397">
        <w:rPr>
          <w:rFonts w:cs="Tahoma"/>
          <w:sz w:val="18"/>
          <w:szCs w:val="18"/>
        </w:rPr>
        <w:t xml:space="preserve"> </w:t>
      </w:r>
    </w:p>
    <w:p w14:paraId="012F1DCF" w14:textId="0B8AF4BA" w:rsidR="0034385D" w:rsidRPr="00230397" w:rsidRDefault="0034385D" w:rsidP="00D24CEF">
      <w:pPr>
        <w:pStyle w:val="ListBullet"/>
        <w:numPr>
          <w:ilvl w:val="0"/>
          <w:numId w:val="75"/>
        </w:numPr>
        <w:spacing w:before="120" w:after="120"/>
        <w:rPr>
          <w:rFonts w:cs="Tahoma"/>
          <w:sz w:val="20"/>
          <w:szCs w:val="20"/>
        </w:rPr>
      </w:pPr>
      <w:r w:rsidRPr="00230397">
        <w:rPr>
          <w:rFonts w:cs="Tahoma"/>
          <w:sz w:val="20"/>
          <w:szCs w:val="20"/>
        </w:rPr>
        <w:t>Vulnerability Assessment</w:t>
      </w:r>
      <w:r w:rsidR="00A313E5" w:rsidRPr="00230397">
        <w:rPr>
          <w:rFonts w:cs="Tahoma"/>
          <w:sz w:val="20"/>
          <w:szCs w:val="20"/>
        </w:rPr>
        <w:t xml:space="preserve"> </w:t>
      </w:r>
    </w:p>
    <w:p w14:paraId="07973CBC" w14:textId="5E7A45F8" w:rsidR="0034385D" w:rsidRPr="00230397" w:rsidRDefault="0034385D" w:rsidP="0034385D">
      <w:pPr>
        <w:rPr>
          <w:rFonts w:cs="Tahoma"/>
          <w:sz w:val="20"/>
          <w:szCs w:val="20"/>
        </w:rPr>
      </w:pPr>
      <w:r w:rsidRPr="00230397">
        <w:rPr>
          <w:rFonts w:cs="Tahoma"/>
          <w:sz w:val="20"/>
          <w:szCs w:val="20"/>
        </w:rPr>
        <w:t>The vulnerability of the Project to climate variables as a function of the sensitivity and exposure during ope</w:t>
      </w:r>
      <w:r w:rsidRPr="00230397">
        <w:rPr>
          <w:rFonts w:cs="Tahoma"/>
          <w:sz w:val="20"/>
          <w:szCs w:val="20"/>
        </w:rPr>
        <w:t>r</w:t>
      </w:r>
      <w:r w:rsidRPr="00230397">
        <w:rPr>
          <w:rFonts w:cs="Tahoma"/>
          <w:sz w:val="20"/>
          <w:szCs w:val="20"/>
        </w:rPr>
        <w:t>ation is provided in the Table below.</w:t>
      </w:r>
    </w:p>
    <w:tbl>
      <w:tblPr>
        <w:tblStyle w:val="WSP"/>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57" w:type="dxa"/>
          <w:bottom w:w="0" w:type="dxa"/>
          <w:right w:w="57" w:type="dxa"/>
        </w:tblCellMar>
        <w:tblLook w:val="04A0" w:firstRow="1" w:lastRow="0" w:firstColumn="1" w:lastColumn="0" w:noHBand="0" w:noVBand="1"/>
      </w:tblPr>
      <w:tblGrid>
        <w:gridCol w:w="2322"/>
        <w:gridCol w:w="3546"/>
        <w:gridCol w:w="1277"/>
        <w:gridCol w:w="998"/>
        <w:gridCol w:w="1414"/>
      </w:tblGrid>
      <w:tr w:rsidR="00275A02" w:rsidRPr="00230397" w14:paraId="2F16CF0F" w14:textId="77777777" w:rsidTr="0031738C">
        <w:trPr>
          <w:cnfStyle w:val="100000000000" w:firstRow="1" w:lastRow="0" w:firstColumn="0" w:lastColumn="0" w:oddVBand="0" w:evenVBand="0" w:oddHBand="0" w:evenHBand="0" w:firstRowFirstColumn="0" w:firstRowLastColumn="0" w:lastRowFirstColumn="0" w:lastRowLastColumn="0"/>
          <w:tblHeader/>
        </w:trPr>
        <w:tc>
          <w:tcPr>
            <w:tcW w:w="1215" w:type="pct"/>
            <w:shd w:val="clear" w:color="auto" w:fill="44697D"/>
            <w:hideMark/>
          </w:tcPr>
          <w:p w14:paraId="2761C5B7" w14:textId="77777777" w:rsidR="00275A02" w:rsidRPr="00230397" w:rsidRDefault="00275A02" w:rsidP="0034385D">
            <w:pPr>
              <w:spacing w:before="0" w:after="0" w:line="240" w:lineRule="auto"/>
              <w:rPr>
                <w:rFonts w:cs="Tahoma"/>
                <w:color w:val="auto"/>
                <w:sz w:val="20"/>
                <w:szCs w:val="20"/>
              </w:rPr>
            </w:pPr>
            <w:r w:rsidRPr="00230397">
              <w:rPr>
                <w:rFonts w:cs="Tahoma"/>
                <w:color w:val="auto"/>
                <w:sz w:val="20"/>
                <w:szCs w:val="20"/>
              </w:rPr>
              <w:t>Climate variable</w:t>
            </w:r>
          </w:p>
        </w:tc>
        <w:tc>
          <w:tcPr>
            <w:tcW w:w="1855" w:type="pct"/>
            <w:shd w:val="clear" w:color="auto" w:fill="44697D"/>
          </w:tcPr>
          <w:p w14:paraId="7C93AC45" w14:textId="4AE99CD6" w:rsidR="00275A02" w:rsidRPr="00230397" w:rsidRDefault="00275A02" w:rsidP="00275A02">
            <w:pPr>
              <w:spacing w:before="0" w:after="0" w:line="240" w:lineRule="auto"/>
              <w:jc w:val="left"/>
              <w:rPr>
                <w:rFonts w:cs="Tahoma"/>
                <w:b/>
                <w:color w:val="auto"/>
                <w:sz w:val="20"/>
                <w:szCs w:val="20"/>
              </w:rPr>
            </w:pPr>
            <w:r w:rsidRPr="00230397">
              <w:rPr>
                <w:rFonts w:cs="Tahoma"/>
                <w:color w:val="auto"/>
                <w:sz w:val="20"/>
                <w:szCs w:val="20"/>
              </w:rPr>
              <w:t xml:space="preserve">Projected climate change </w:t>
            </w:r>
          </w:p>
        </w:tc>
        <w:tc>
          <w:tcPr>
            <w:tcW w:w="668" w:type="pct"/>
            <w:shd w:val="clear" w:color="auto" w:fill="44697D"/>
            <w:hideMark/>
          </w:tcPr>
          <w:p w14:paraId="6CEAD6F1" w14:textId="589F913D" w:rsidR="00275A02" w:rsidRPr="00230397" w:rsidRDefault="00275A02" w:rsidP="0034385D">
            <w:pPr>
              <w:spacing w:before="0" w:after="0" w:line="240" w:lineRule="auto"/>
              <w:rPr>
                <w:rFonts w:cs="Tahoma"/>
                <w:color w:val="auto"/>
                <w:sz w:val="20"/>
                <w:szCs w:val="20"/>
              </w:rPr>
            </w:pPr>
            <w:r w:rsidRPr="00230397">
              <w:rPr>
                <w:rFonts w:cs="Tahoma"/>
                <w:color w:val="auto"/>
                <w:sz w:val="20"/>
                <w:szCs w:val="20"/>
              </w:rPr>
              <w:t>Sensitivity</w:t>
            </w:r>
          </w:p>
        </w:tc>
        <w:tc>
          <w:tcPr>
            <w:tcW w:w="522" w:type="pct"/>
            <w:shd w:val="clear" w:color="auto" w:fill="44697D"/>
          </w:tcPr>
          <w:p w14:paraId="0844D71C" w14:textId="77777777" w:rsidR="00275A02" w:rsidRPr="00230397" w:rsidRDefault="00275A02" w:rsidP="0034385D">
            <w:pPr>
              <w:spacing w:before="0" w:after="0" w:line="240" w:lineRule="auto"/>
              <w:rPr>
                <w:rFonts w:cs="Tahoma"/>
                <w:color w:val="auto"/>
                <w:sz w:val="20"/>
                <w:szCs w:val="20"/>
              </w:rPr>
            </w:pPr>
            <w:r w:rsidRPr="00230397">
              <w:rPr>
                <w:rFonts w:cs="Tahoma"/>
                <w:color w:val="auto"/>
                <w:sz w:val="20"/>
                <w:szCs w:val="20"/>
              </w:rPr>
              <w:t>Exposure</w:t>
            </w:r>
          </w:p>
        </w:tc>
        <w:tc>
          <w:tcPr>
            <w:tcW w:w="740" w:type="pct"/>
            <w:shd w:val="clear" w:color="auto" w:fill="44697D"/>
            <w:hideMark/>
          </w:tcPr>
          <w:p w14:paraId="53FD14E1" w14:textId="77777777" w:rsidR="00275A02" w:rsidRPr="00230397" w:rsidRDefault="00275A02" w:rsidP="0034385D">
            <w:pPr>
              <w:spacing w:before="0" w:after="0" w:line="240" w:lineRule="auto"/>
              <w:rPr>
                <w:rFonts w:cs="Tahoma"/>
                <w:color w:val="auto"/>
                <w:sz w:val="20"/>
                <w:szCs w:val="20"/>
              </w:rPr>
            </w:pPr>
            <w:r w:rsidRPr="00230397">
              <w:rPr>
                <w:rFonts w:cs="Tahoma"/>
                <w:color w:val="auto"/>
                <w:sz w:val="20"/>
                <w:szCs w:val="20"/>
              </w:rPr>
              <w:t xml:space="preserve">Vulnerability </w:t>
            </w:r>
          </w:p>
        </w:tc>
      </w:tr>
      <w:tr w:rsidR="00A43635" w:rsidRPr="00230397" w14:paraId="52B62005" w14:textId="77777777" w:rsidTr="0031738C">
        <w:trPr>
          <w:cnfStyle w:val="000000100000" w:firstRow="0" w:lastRow="0" w:firstColumn="0" w:lastColumn="0" w:oddVBand="0" w:evenVBand="0" w:oddHBand="1" w:evenHBand="0" w:firstRowFirstColumn="0" w:firstRowLastColumn="0" w:lastRowFirstColumn="0" w:lastRowLastColumn="0"/>
        </w:trPr>
        <w:tc>
          <w:tcPr>
            <w:tcW w:w="1215" w:type="pct"/>
            <w:shd w:val="clear" w:color="auto" w:fill="auto"/>
            <w:hideMark/>
          </w:tcPr>
          <w:p w14:paraId="5234D73F" w14:textId="77777777" w:rsidR="00A43635" w:rsidRPr="00230397" w:rsidRDefault="00A43635" w:rsidP="00AD52EF">
            <w:pPr>
              <w:spacing w:before="0" w:after="0" w:line="240" w:lineRule="auto"/>
              <w:jc w:val="left"/>
              <w:rPr>
                <w:rFonts w:cs="Tahoma"/>
                <w:color w:val="auto"/>
                <w:sz w:val="20"/>
                <w:szCs w:val="20"/>
              </w:rPr>
            </w:pPr>
            <w:r w:rsidRPr="00230397">
              <w:rPr>
                <w:rFonts w:cs="Tahoma"/>
                <w:color w:val="auto"/>
                <w:sz w:val="20"/>
                <w:szCs w:val="20"/>
              </w:rPr>
              <w:t>Temperature increase</w:t>
            </w:r>
          </w:p>
          <w:p w14:paraId="6DEE8596" w14:textId="1C2F008D" w:rsidR="00A43635" w:rsidRPr="00230397" w:rsidRDefault="00A43635" w:rsidP="0034385D">
            <w:pPr>
              <w:spacing w:before="0" w:after="0" w:line="240" w:lineRule="auto"/>
              <w:rPr>
                <w:rFonts w:cs="Tahoma"/>
                <w:color w:val="auto"/>
                <w:sz w:val="20"/>
                <w:szCs w:val="20"/>
              </w:rPr>
            </w:pPr>
          </w:p>
        </w:tc>
        <w:tc>
          <w:tcPr>
            <w:tcW w:w="1855" w:type="pct"/>
            <w:shd w:val="clear" w:color="auto" w:fill="auto"/>
          </w:tcPr>
          <w:p w14:paraId="08CC54C8" w14:textId="7B2F9F84" w:rsidR="00A43635" w:rsidRPr="00230397" w:rsidRDefault="00A43635" w:rsidP="008E77D3">
            <w:pPr>
              <w:pStyle w:val="ListParagraph"/>
              <w:numPr>
                <w:ilvl w:val="1"/>
                <w:numId w:val="48"/>
              </w:numPr>
              <w:tabs>
                <w:tab w:val="clear" w:pos="1515"/>
                <w:tab w:val="num" w:pos="161"/>
              </w:tabs>
              <w:spacing w:before="0" w:after="0" w:line="240" w:lineRule="auto"/>
              <w:ind w:left="161" w:hanging="161"/>
              <w:jc w:val="left"/>
              <w:rPr>
                <w:rFonts w:cs="Tahoma"/>
                <w:color w:val="auto"/>
                <w:sz w:val="20"/>
                <w:szCs w:val="20"/>
              </w:rPr>
            </w:pPr>
            <w:r w:rsidRPr="00230397">
              <w:rPr>
                <w:rFonts w:cs="Tahoma"/>
                <w:color w:val="auto"/>
                <w:sz w:val="20"/>
                <w:szCs w:val="20"/>
              </w:rPr>
              <w:t xml:space="preserve">Extreme </w:t>
            </w:r>
            <w:r w:rsidR="00AE3455" w:rsidRPr="00230397">
              <w:rPr>
                <w:rFonts w:cs="Tahoma"/>
                <w:color w:val="auto"/>
                <w:sz w:val="20"/>
                <w:szCs w:val="20"/>
              </w:rPr>
              <w:t>temperature</w:t>
            </w:r>
            <w:r w:rsidRPr="00230397">
              <w:rPr>
                <w:rFonts w:cs="Tahoma"/>
                <w:color w:val="auto"/>
                <w:sz w:val="20"/>
                <w:szCs w:val="20"/>
              </w:rPr>
              <w:t xml:space="preserve"> (more fr</w:t>
            </w:r>
            <w:r w:rsidRPr="00230397">
              <w:rPr>
                <w:rFonts w:cs="Tahoma"/>
                <w:color w:val="auto"/>
                <w:sz w:val="20"/>
                <w:szCs w:val="20"/>
              </w:rPr>
              <w:t>e</w:t>
            </w:r>
            <w:r w:rsidRPr="00230397">
              <w:rPr>
                <w:rFonts w:cs="Tahoma"/>
                <w:color w:val="auto"/>
                <w:sz w:val="20"/>
                <w:szCs w:val="20"/>
              </w:rPr>
              <w:t>quent heat waves)</w:t>
            </w:r>
          </w:p>
          <w:p w14:paraId="12B1D818" w14:textId="21DD3827" w:rsidR="00A43635" w:rsidRPr="00230397" w:rsidRDefault="00A43635" w:rsidP="008E77D3">
            <w:pPr>
              <w:pStyle w:val="ListParagraph"/>
              <w:numPr>
                <w:ilvl w:val="1"/>
                <w:numId w:val="48"/>
              </w:numPr>
              <w:tabs>
                <w:tab w:val="clear" w:pos="1515"/>
                <w:tab w:val="num" w:pos="161"/>
              </w:tabs>
              <w:spacing w:before="0" w:after="0" w:line="240" w:lineRule="auto"/>
              <w:ind w:left="161" w:hanging="161"/>
              <w:jc w:val="left"/>
              <w:rPr>
                <w:rFonts w:cs="Tahoma"/>
                <w:color w:val="auto"/>
                <w:sz w:val="20"/>
                <w:szCs w:val="20"/>
              </w:rPr>
            </w:pPr>
            <w:r w:rsidRPr="00230397">
              <w:rPr>
                <w:rFonts w:cs="Tahoma"/>
                <w:color w:val="auto"/>
                <w:sz w:val="20"/>
                <w:szCs w:val="20"/>
              </w:rPr>
              <w:t>More frequent wildfires</w:t>
            </w:r>
          </w:p>
        </w:tc>
        <w:tc>
          <w:tcPr>
            <w:tcW w:w="668" w:type="pct"/>
            <w:shd w:val="clear" w:color="auto" w:fill="auto"/>
            <w:hideMark/>
          </w:tcPr>
          <w:p w14:paraId="7287C5D9" w14:textId="4844CE79" w:rsidR="00A43635" w:rsidRPr="00230397" w:rsidRDefault="00A43635" w:rsidP="0034385D">
            <w:pPr>
              <w:spacing w:before="0" w:after="0" w:line="240" w:lineRule="auto"/>
              <w:rPr>
                <w:rFonts w:cs="Tahoma"/>
                <w:color w:val="auto"/>
                <w:sz w:val="20"/>
                <w:szCs w:val="20"/>
              </w:rPr>
            </w:pPr>
            <w:r w:rsidRPr="00230397">
              <w:rPr>
                <w:rFonts w:cs="Tahoma"/>
                <w:color w:val="auto"/>
                <w:sz w:val="20"/>
                <w:szCs w:val="20"/>
              </w:rPr>
              <w:t>Medium</w:t>
            </w:r>
          </w:p>
        </w:tc>
        <w:tc>
          <w:tcPr>
            <w:tcW w:w="522" w:type="pct"/>
            <w:shd w:val="clear" w:color="auto" w:fill="auto"/>
          </w:tcPr>
          <w:p w14:paraId="5DBE077F" w14:textId="77777777" w:rsidR="00A43635" w:rsidRPr="00230397" w:rsidRDefault="00A43635" w:rsidP="0034385D">
            <w:pPr>
              <w:tabs>
                <w:tab w:val="right" w:pos="1896"/>
              </w:tabs>
              <w:spacing w:before="0" w:after="0" w:line="240" w:lineRule="auto"/>
              <w:rPr>
                <w:rFonts w:cs="Tahoma"/>
                <w:color w:val="auto"/>
                <w:sz w:val="20"/>
                <w:szCs w:val="20"/>
              </w:rPr>
            </w:pPr>
            <w:r w:rsidRPr="00230397">
              <w:rPr>
                <w:rFonts w:cs="Tahoma"/>
                <w:color w:val="auto"/>
                <w:sz w:val="20"/>
                <w:szCs w:val="20"/>
              </w:rPr>
              <w:t>High</w:t>
            </w:r>
            <w:r w:rsidRPr="00230397">
              <w:rPr>
                <w:rFonts w:cs="Tahoma"/>
                <w:color w:val="auto"/>
                <w:sz w:val="20"/>
                <w:szCs w:val="20"/>
              </w:rPr>
              <w:tab/>
            </w:r>
          </w:p>
        </w:tc>
        <w:tc>
          <w:tcPr>
            <w:tcW w:w="740" w:type="pct"/>
            <w:shd w:val="clear" w:color="auto" w:fill="FFC000"/>
            <w:hideMark/>
          </w:tcPr>
          <w:p w14:paraId="5E32821B" w14:textId="77777777" w:rsidR="00A43635" w:rsidRPr="00230397" w:rsidRDefault="00A43635" w:rsidP="0034385D">
            <w:pPr>
              <w:spacing w:before="0" w:after="0" w:line="240" w:lineRule="auto"/>
              <w:rPr>
                <w:rFonts w:cs="Tahoma"/>
                <w:color w:val="auto"/>
                <w:sz w:val="20"/>
                <w:szCs w:val="20"/>
              </w:rPr>
            </w:pPr>
            <w:r w:rsidRPr="00230397">
              <w:rPr>
                <w:rFonts w:cs="Tahoma"/>
                <w:color w:val="auto"/>
                <w:sz w:val="20"/>
                <w:szCs w:val="20"/>
              </w:rPr>
              <w:t>Moderate</w:t>
            </w:r>
          </w:p>
        </w:tc>
      </w:tr>
      <w:tr w:rsidR="00275A02" w:rsidRPr="00230397" w14:paraId="59F8C03A" w14:textId="77777777" w:rsidTr="0031738C">
        <w:tc>
          <w:tcPr>
            <w:tcW w:w="1215" w:type="pct"/>
            <w:shd w:val="clear" w:color="auto" w:fill="auto"/>
            <w:hideMark/>
          </w:tcPr>
          <w:p w14:paraId="3E6B05AA" w14:textId="383EC4B3" w:rsidR="00275A02" w:rsidRPr="00230397" w:rsidRDefault="00275A02" w:rsidP="0034385D">
            <w:pPr>
              <w:spacing w:before="0" w:after="0" w:line="240" w:lineRule="auto"/>
              <w:rPr>
                <w:rFonts w:cs="Tahoma"/>
                <w:color w:val="auto"/>
                <w:sz w:val="20"/>
                <w:szCs w:val="20"/>
              </w:rPr>
            </w:pPr>
            <w:r w:rsidRPr="00230397">
              <w:rPr>
                <w:rFonts w:cs="Tahoma"/>
                <w:color w:val="auto"/>
                <w:sz w:val="20"/>
                <w:szCs w:val="20"/>
              </w:rPr>
              <w:t>Temperature decrease</w:t>
            </w:r>
          </w:p>
        </w:tc>
        <w:tc>
          <w:tcPr>
            <w:tcW w:w="1855" w:type="pct"/>
            <w:shd w:val="clear" w:color="auto" w:fill="auto"/>
          </w:tcPr>
          <w:p w14:paraId="7DA4A0DC" w14:textId="1195A99E" w:rsidR="00275A02" w:rsidRPr="00230397" w:rsidRDefault="00275A02" w:rsidP="00275A02">
            <w:pPr>
              <w:spacing w:before="0" w:after="0" w:line="240" w:lineRule="auto"/>
              <w:jc w:val="left"/>
              <w:rPr>
                <w:rFonts w:cs="Tahoma"/>
                <w:color w:val="auto"/>
                <w:sz w:val="20"/>
                <w:szCs w:val="20"/>
              </w:rPr>
            </w:pPr>
            <w:r w:rsidRPr="00230397">
              <w:rPr>
                <w:rFonts w:cs="Tahoma"/>
                <w:color w:val="auto"/>
                <w:sz w:val="20"/>
                <w:szCs w:val="20"/>
              </w:rPr>
              <w:t>More frequent cold waves</w:t>
            </w:r>
          </w:p>
        </w:tc>
        <w:tc>
          <w:tcPr>
            <w:tcW w:w="668" w:type="pct"/>
            <w:shd w:val="clear" w:color="auto" w:fill="auto"/>
            <w:hideMark/>
          </w:tcPr>
          <w:p w14:paraId="2AC51ADC" w14:textId="4BBBC5EB" w:rsidR="00275A02" w:rsidRPr="00230397" w:rsidRDefault="00275A02" w:rsidP="0034385D">
            <w:pPr>
              <w:spacing w:before="0" w:after="0" w:line="240" w:lineRule="auto"/>
              <w:rPr>
                <w:rFonts w:cs="Tahoma"/>
                <w:color w:val="auto"/>
                <w:sz w:val="20"/>
                <w:szCs w:val="20"/>
              </w:rPr>
            </w:pPr>
            <w:r w:rsidRPr="00230397">
              <w:rPr>
                <w:rFonts w:cs="Tahoma"/>
                <w:color w:val="auto"/>
                <w:sz w:val="20"/>
                <w:szCs w:val="20"/>
              </w:rPr>
              <w:t xml:space="preserve">Medium </w:t>
            </w:r>
          </w:p>
        </w:tc>
        <w:tc>
          <w:tcPr>
            <w:tcW w:w="522" w:type="pct"/>
            <w:shd w:val="clear" w:color="auto" w:fill="auto"/>
          </w:tcPr>
          <w:p w14:paraId="66A42410" w14:textId="1141AD8D" w:rsidR="00275A02" w:rsidRPr="00230397" w:rsidRDefault="00275A02" w:rsidP="0034385D">
            <w:pPr>
              <w:spacing w:before="0" w:after="0" w:line="240" w:lineRule="auto"/>
              <w:rPr>
                <w:rFonts w:cs="Tahoma"/>
                <w:color w:val="auto"/>
                <w:sz w:val="20"/>
                <w:szCs w:val="20"/>
              </w:rPr>
            </w:pPr>
            <w:r w:rsidRPr="00230397">
              <w:rPr>
                <w:rFonts w:cs="Tahoma"/>
                <w:color w:val="auto"/>
                <w:sz w:val="20"/>
                <w:szCs w:val="20"/>
              </w:rPr>
              <w:t>Low</w:t>
            </w:r>
          </w:p>
        </w:tc>
        <w:tc>
          <w:tcPr>
            <w:tcW w:w="740" w:type="pct"/>
            <w:shd w:val="clear" w:color="auto" w:fill="auto"/>
            <w:hideMark/>
          </w:tcPr>
          <w:p w14:paraId="42087837" w14:textId="3EDA20DD" w:rsidR="00275A02" w:rsidRPr="00230397" w:rsidRDefault="00275A02" w:rsidP="0034385D">
            <w:pPr>
              <w:spacing w:before="0" w:after="0" w:line="240" w:lineRule="auto"/>
              <w:rPr>
                <w:rFonts w:cs="Tahoma"/>
                <w:color w:val="auto"/>
                <w:sz w:val="20"/>
                <w:szCs w:val="20"/>
              </w:rPr>
            </w:pPr>
            <w:r w:rsidRPr="00230397">
              <w:rPr>
                <w:rFonts w:cs="Tahoma"/>
                <w:color w:val="auto"/>
                <w:sz w:val="20"/>
                <w:szCs w:val="20"/>
              </w:rPr>
              <w:t>Low</w:t>
            </w:r>
          </w:p>
        </w:tc>
      </w:tr>
      <w:tr w:rsidR="00A43635" w:rsidRPr="00230397" w14:paraId="7ED13593" w14:textId="77777777" w:rsidTr="0031738C">
        <w:trPr>
          <w:cnfStyle w:val="000000100000" w:firstRow="0" w:lastRow="0" w:firstColumn="0" w:lastColumn="0" w:oddVBand="0" w:evenVBand="0" w:oddHBand="1" w:evenHBand="0" w:firstRowFirstColumn="0" w:firstRowLastColumn="0" w:lastRowFirstColumn="0" w:lastRowLastColumn="0"/>
        </w:trPr>
        <w:tc>
          <w:tcPr>
            <w:tcW w:w="1215" w:type="pct"/>
            <w:vMerge w:val="restart"/>
            <w:shd w:val="clear" w:color="auto" w:fill="auto"/>
            <w:hideMark/>
          </w:tcPr>
          <w:p w14:paraId="31CF38D0" w14:textId="18469462" w:rsidR="00A43635" w:rsidRPr="00230397" w:rsidRDefault="00A43635" w:rsidP="0034385D">
            <w:pPr>
              <w:spacing w:before="0" w:after="0" w:line="240" w:lineRule="auto"/>
              <w:rPr>
                <w:rFonts w:cs="Tahoma"/>
                <w:color w:val="auto"/>
                <w:sz w:val="20"/>
                <w:szCs w:val="20"/>
              </w:rPr>
            </w:pPr>
            <w:r w:rsidRPr="00230397">
              <w:rPr>
                <w:rFonts w:cs="Tahoma"/>
                <w:color w:val="auto"/>
                <w:sz w:val="20"/>
                <w:szCs w:val="20"/>
              </w:rPr>
              <w:t>Precipitation</w:t>
            </w:r>
          </w:p>
        </w:tc>
        <w:tc>
          <w:tcPr>
            <w:tcW w:w="1855" w:type="pct"/>
            <w:shd w:val="clear" w:color="auto" w:fill="auto"/>
          </w:tcPr>
          <w:p w14:paraId="5B30553D" w14:textId="3598BE28" w:rsidR="00A43635" w:rsidRPr="00230397" w:rsidRDefault="00A43635" w:rsidP="00275A02">
            <w:pPr>
              <w:spacing w:before="0" w:after="0" w:line="240" w:lineRule="auto"/>
              <w:jc w:val="left"/>
              <w:rPr>
                <w:rFonts w:cs="Tahoma"/>
                <w:color w:val="auto"/>
                <w:sz w:val="20"/>
                <w:szCs w:val="20"/>
              </w:rPr>
            </w:pPr>
            <w:r w:rsidRPr="00230397">
              <w:rPr>
                <w:rFonts w:cs="Tahoma"/>
                <w:color w:val="auto"/>
                <w:sz w:val="20"/>
                <w:szCs w:val="20"/>
              </w:rPr>
              <w:t>Change in extreme rainfall</w:t>
            </w:r>
          </w:p>
        </w:tc>
        <w:tc>
          <w:tcPr>
            <w:tcW w:w="668" w:type="pct"/>
            <w:shd w:val="clear" w:color="auto" w:fill="auto"/>
            <w:hideMark/>
          </w:tcPr>
          <w:p w14:paraId="75C3571B" w14:textId="4078EF62" w:rsidR="00A43635" w:rsidRPr="00230397" w:rsidRDefault="00A43635" w:rsidP="0034385D">
            <w:pPr>
              <w:spacing w:before="0" w:after="0" w:line="240" w:lineRule="auto"/>
              <w:rPr>
                <w:rFonts w:cs="Tahoma"/>
                <w:color w:val="auto"/>
                <w:sz w:val="20"/>
                <w:szCs w:val="20"/>
              </w:rPr>
            </w:pPr>
            <w:r w:rsidRPr="00230397">
              <w:rPr>
                <w:rFonts w:cs="Tahoma"/>
                <w:color w:val="auto"/>
                <w:sz w:val="20"/>
                <w:szCs w:val="20"/>
              </w:rPr>
              <w:t>Low</w:t>
            </w:r>
          </w:p>
        </w:tc>
        <w:tc>
          <w:tcPr>
            <w:tcW w:w="522" w:type="pct"/>
            <w:shd w:val="clear" w:color="auto" w:fill="auto"/>
          </w:tcPr>
          <w:p w14:paraId="61F194F4" w14:textId="77777777" w:rsidR="00A43635" w:rsidRPr="00230397" w:rsidRDefault="00A43635" w:rsidP="0034385D">
            <w:pPr>
              <w:spacing w:before="0" w:after="0" w:line="240" w:lineRule="auto"/>
              <w:rPr>
                <w:rFonts w:cs="Tahoma"/>
                <w:color w:val="auto"/>
                <w:sz w:val="20"/>
                <w:szCs w:val="20"/>
              </w:rPr>
            </w:pPr>
            <w:r w:rsidRPr="00230397">
              <w:rPr>
                <w:rFonts w:cs="Tahoma"/>
                <w:color w:val="auto"/>
                <w:sz w:val="20"/>
                <w:szCs w:val="20"/>
              </w:rPr>
              <w:t>Medium</w:t>
            </w:r>
          </w:p>
        </w:tc>
        <w:tc>
          <w:tcPr>
            <w:tcW w:w="740" w:type="pct"/>
            <w:shd w:val="clear" w:color="auto" w:fill="auto"/>
            <w:hideMark/>
          </w:tcPr>
          <w:p w14:paraId="0BEC2EEF" w14:textId="77777777" w:rsidR="00A43635" w:rsidRPr="00230397" w:rsidRDefault="00A43635" w:rsidP="0034385D">
            <w:pPr>
              <w:spacing w:before="0" w:after="0" w:line="240" w:lineRule="auto"/>
              <w:rPr>
                <w:rFonts w:cs="Tahoma"/>
                <w:color w:val="auto"/>
                <w:sz w:val="20"/>
                <w:szCs w:val="20"/>
              </w:rPr>
            </w:pPr>
            <w:r w:rsidRPr="00230397">
              <w:rPr>
                <w:rFonts w:cs="Tahoma"/>
                <w:color w:val="auto"/>
                <w:sz w:val="20"/>
                <w:szCs w:val="20"/>
              </w:rPr>
              <w:t>Low</w:t>
            </w:r>
          </w:p>
        </w:tc>
      </w:tr>
      <w:tr w:rsidR="00A43635" w:rsidRPr="00230397" w14:paraId="7393A645" w14:textId="77777777" w:rsidTr="0031738C">
        <w:tc>
          <w:tcPr>
            <w:tcW w:w="1215" w:type="pct"/>
            <w:vMerge/>
            <w:shd w:val="clear" w:color="auto" w:fill="auto"/>
          </w:tcPr>
          <w:p w14:paraId="6CC18661" w14:textId="77777777" w:rsidR="00A43635" w:rsidRPr="00230397" w:rsidRDefault="00A43635" w:rsidP="0034385D">
            <w:pPr>
              <w:spacing w:before="0" w:after="0" w:line="240" w:lineRule="auto"/>
              <w:rPr>
                <w:rFonts w:cs="Tahoma"/>
                <w:color w:val="auto"/>
                <w:sz w:val="20"/>
                <w:szCs w:val="20"/>
              </w:rPr>
            </w:pPr>
          </w:p>
        </w:tc>
        <w:tc>
          <w:tcPr>
            <w:tcW w:w="1855" w:type="pct"/>
            <w:shd w:val="clear" w:color="auto" w:fill="auto"/>
          </w:tcPr>
          <w:p w14:paraId="6B715224" w14:textId="3FC3E15E" w:rsidR="00A43635" w:rsidRPr="00230397" w:rsidRDefault="00A43635" w:rsidP="00275A02">
            <w:pPr>
              <w:spacing w:before="0" w:after="0" w:line="240" w:lineRule="auto"/>
              <w:jc w:val="left"/>
              <w:rPr>
                <w:rFonts w:cs="Tahoma"/>
                <w:color w:val="auto"/>
                <w:sz w:val="20"/>
                <w:szCs w:val="20"/>
              </w:rPr>
            </w:pPr>
            <w:r w:rsidRPr="00230397">
              <w:rPr>
                <w:rFonts w:cs="Tahoma"/>
                <w:color w:val="auto"/>
                <w:sz w:val="20"/>
                <w:szCs w:val="20"/>
              </w:rPr>
              <w:t>More frequent extreme flooding events</w:t>
            </w:r>
          </w:p>
        </w:tc>
        <w:tc>
          <w:tcPr>
            <w:tcW w:w="668" w:type="pct"/>
            <w:shd w:val="clear" w:color="auto" w:fill="auto"/>
          </w:tcPr>
          <w:p w14:paraId="20C1642C" w14:textId="77777777" w:rsidR="00A43635" w:rsidRPr="00230397" w:rsidRDefault="00A43635" w:rsidP="0034385D">
            <w:pPr>
              <w:spacing w:before="0" w:after="0" w:line="240" w:lineRule="auto"/>
              <w:rPr>
                <w:rFonts w:cs="Tahoma"/>
                <w:color w:val="auto"/>
                <w:sz w:val="20"/>
                <w:szCs w:val="20"/>
              </w:rPr>
            </w:pPr>
            <w:r w:rsidRPr="00230397">
              <w:rPr>
                <w:rFonts w:cs="Tahoma"/>
                <w:color w:val="auto"/>
                <w:sz w:val="20"/>
                <w:szCs w:val="20"/>
              </w:rPr>
              <w:t>High</w:t>
            </w:r>
          </w:p>
          <w:p w14:paraId="574D211C" w14:textId="38737809" w:rsidR="0031738C" w:rsidRPr="00230397" w:rsidRDefault="0031738C" w:rsidP="0034385D">
            <w:pPr>
              <w:spacing w:before="0" w:after="0" w:line="240" w:lineRule="auto"/>
              <w:rPr>
                <w:rFonts w:cs="Tahoma"/>
                <w:color w:val="auto"/>
                <w:sz w:val="20"/>
                <w:szCs w:val="20"/>
              </w:rPr>
            </w:pPr>
            <w:r w:rsidRPr="00230397">
              <w:rPr>
                <w:rFonts w:cs="Tahoma"/>
                <w:color w:val="auto"/>
                <w:sz w:val="20"/>
                <w:szCs w:val="20"/>
              </w:rPr>
              <w:t>(substation)</w:t>
            </w:r>
          </w:p>
        </w:tc>
        <w:tc>
          <w:tcPr>
            <w:tcW w:w="522" w:type="pct"/>
            <w:shd w:val="clear" w:color="auto" w:fill="auto"/>
          </w:tcPr>
          <w:p w14:paraId="44FC2256" w14:textId="1A0528C0" w:rsidR="00A43635" w:rsidRPr="00230397" w:rsidRDefault="00A43635" w:rsidP="0034385D">
            <w:pPr>
              <w:spacing w:before="0" w:after="0" w:line="240" w:lineRule="auto"/>
              <w:rPr>
                <w:rFonts w:cs="Tahoma"/>
                <w:color w:val="auto"/>
                <w:sz w:val="20"/>
                <w:szCs w:val="20"/>
              </w:rPr>
            </w:pPr>
            <w:r w:rsidRPr="00230397">
              <w:rPr>
                <w:rFonts w:cs="Tahoma"/>
                <w:color w:val="auto"/>
                <w:sz w:val="20"/>
                <w:szCs w:val="20"/>
              </w:rPr>
              <w:t>High</w:t>
            </w:r>
          </w:p>
        </w:tc>
        <w:tc>
          <w:tcPr>
            <w:tcW w:w="740" w:type="pct"/>
            <w:shd w:val="clear" w:color="auto" w:fill="FF0000"/>
          </w:tcPr>
          <w:p w14:paraId="17BE1E0D" w14:textId="0CF3DBD2" w:rsidR="00A43635" w:rsidRPr="00230397" w:rsidRDefault="00A43635" w:rsidP="0034385D">
            <w:pPr>
              <w:spacing w:before="0" w:after="0" w:line="240" w:lineRule="auto"/>
              <w:rPr>
                <w:rFonts w:cs="Tahoma"/>
                <w:color w:val="auto"/>
                <w:sz w:val="20"/>
                <w:szCs w:val="20"/>
              </w:rPr>
            </w:pPr>
            <w:r w:rsidRPr="00230397">
              <w:rPr>
                <w:rFonts w:cs="Tahoma"/>
                <w:color w:val="auto"/>
                <w:sz w:val="20"/>
                <w:szCs w:val="20"/>
              </w:rPr>
              <w:t>High</w:t>
            </w:r>
          </w:p>
        </w:tc>
      </w:tr>
      <w:tr w:rsidR="00275A02" w:rsidRPr="00230397" w14:paraId="47D16399" w14:textId="77777777" w:rsidTr="0031738C">
        <w:trPr>
          <w:cnfStyle w:val="000000100000" w:firstRow="0" w:lastRow="0" w:firstColumn="0" w:lastColumn="0" w:oddVBand="0" w:evenVBand="0" w:oddHBand="1" w:evenHBand="0" w:firstRowFirstColumn="0" w:firstRowLastColumn="0" w:lastRowFirstColumn="0" w:lastRowLastColumn="0"/>
        </w:trPr>
        <w:tc>
          <w:tcPr>
            <w:tcW w:w="1215" w:type="pct"/>
            <w:shd w:val="clear" w:color="auto" w:fill="auto"/>
            <w:hideMark/>
          </w:tcPr>
          <w:p w14:paraId="1D8DC2FB" w14:textId="77777777" w:rsidR="00275A02" w:rsidRPr="00230397" w:rsidRDefault="00275A02" w:rsidP="00AD52EF">
            <w:pPr>
              <w:spacing w:before="0" w:after="0" w:line="240" w:lineRule="auto"/>
              <w:jc w:val="left"/>
              <w:rPr>
                <w:rFonts w:cs="Tahoma"/>
                <w:color w:val="auto"/>
                <w:sz w:val="20"/>
                <w:szCs w:val="20"/>
              </w:rPr>
            </w:pPr>
            <w:r w:rsidRPr="00230397">
              <w:rPr>
                <w:rFonts w:cs="Tahoma"/>
                <w:color w:val="auto"/>
                <w:sz w:val="20"/>
                <w:szCs w:val="20"/>
              </w:rPr>
              <w:t xml:space="preserve">Wind </w:t>
            </w:r>
          </w:p>
          <w:p w14:paraId="4CCE99BE" w14:textId="66B73589" w:rsidR="00275A02" w:rsidRPr="00230397" w:rsidRDefault="00275A02" w:rsidP="0034385D">
            <w:pPr>
              <w:spacing w:before="0" w:after="0" w:line="240" w:lineRule="auto"/>
              <w:rPr>
                <w:rFonts w:cs="Tahoma"/>
                <w:color w:val="auto"/>
                <w:sz w:val="20"/>
                <w:szCs w:val="20"/>
              </w:rPr>
            </w:pPr>
          </w:p>
        </w:tc>
        <w:tc>
          <w:tcPr>
            <w:tcW w:w="1855" w:type="pct"/>
            <w:shd w:val="clear" w:color="auto" w:fill="auto"/>
          </w:tcPr>
          <w:p w14:paraId="58A9AF02" w14:textId="77777777" w:rsidR="00275A02" w:rsidRPr="00230397" w:rsidRDefault="00275A02" w:rsidP="00275A02">
            <w:pPr>
              <w:spacing w:before="0" w:after="0" w:line="240" w:lineRule="auto"/>
              <w:jc w:val="left"/>
              <w:rPr>
                <w:rFonts w:cs="Tahoma"/>
                <w:color w:val="auto"/>
                <w:sz w:val="20"/>
                <w:szCs w:val="20"/>
              </w:rPr>
            </w:pPr>
            <w:r w:rsidRPr="00230397">
              <w:rPr>
                <w:rFonts w:cs="Tahoma"/>
                <w:color w:val="auto"/>
                <w:sz w:val="20"/>
                <w:szCs w:val="20"/>
              </w:rPr>
              <w:t>Increased wind speed and storms</w:t>
            </w:r>
          </w:p>
          <w:p w14:paraId="5B4B3CBD" w14:textId="00ABD418" w:rsidR="00275A02" w:rsidRPr="00230397" w:rsidRDefault="00275A02" w:rsidP="00275A02">
            <w:pPr>
              <w:spacing w:before="0" w:after="0" w:line="240" w:lineRule="auto"/>
              <w:jc w:val="left"/>
              <w:rPr>
                <w:rFonts w:cs="Tahoma"/>
                <w:color w:val="auto"/>
                <w:sz w:val="20"/>
                <w:szCs w:val="20"/>
              </w:rPr>
            </w:pPr>
            <w:r w:rsidRPr="00230397">
              <w:rPr>
                <w:rFonts w:cs="Tahoma"/>
                <w:color w:val="auto"/>
                <w:sz w:val="20"/>
                <w:szCs w:val="20"/>
              </w:rPr>
              <w:t>(over 100 km/hour)</w:t>
            </w:r>
          </w:p>
        </w:tc>
        <w:tc>
          <w:tcPr>
            <w:tcW w:w="668" w:type="pct"/>
            <w:shd w:val="clear" w:color="auto" w:fill="auto"/>
            <w:hideMark/>
          </w:tcPr>
          <w:p w14:paraId="2CECDF3F" w14:textId="756914AE" w:rsidR="00275A02" w:rsidRPr="00230397" w:rsidRDefault="00275A02" w:rsidP="0034385D">
            <w:pPr>
              <w:spacing w:before="0" w:after="0" w:line="240" w:lineRule="auto"/>
              <w:rPr>
                <w:rFonts w:cs="Tahoma"/>
                <w:color w:val="auto"/>
                <w:sz w:val="20"/>
                <w:szCs w:val="20"/>
              </w:rPr>
            </w:pPr>
            <w:r w:rsidRPr="00230397">
              <w:rPr>
                <w:rFonts w:cs="Tahoma"/>
                <w:color w:val="auto"/>
                <w:sz w:val="20"/>
                <w:szCs w:val="20"/>
              </w:rPr>
              <w:t>High</w:t>
            </w:r>
          </w:p>
        </w:tc>
        <w:tc>
          <w:tcPr>
            <w:tcW w:w="522" w:type="pct"/>
            <w:shd w:val="clear" w:color="auto" w:fill="auto"/>
          </w:tcPr>
          <w:p w14:paraId="163D49D5" w14:textId="77777777" w:rsidR="00275A02" w:rsidRPr="00230397" w:rsidRDefault="00275A02" w:rsidP="0034385D">
            <w:pPr>
              <w:spacing w:before="0" w:after="0" w:line="240" w:lineRule="auto"/>
              <w:rPr>
                <w:rFonts w:cs="Tahoma"/>
                <w:color w:val="auto"/>
                <w:sz w:val="20"/>
                <w:szCs w:val="20"/>
              </w:rPr>
            </w:pPr>
            <w:r w:rsidRPr="00230397">
              <w:rPr>
                <w:rFonts w:cs="Tahoma"/>
                <w:color w:val="auto"/>
                <w:sz w:val="20"/>
                <w:szCs w:val="20"/>
              </w:rPr>
              <w:t>Low</w:t>
            </w:r>
          </w:p>
        </w:tc>
        <w:tc>
          <w:tcPr>
            <w:tcW w:w="740" w:type="pct"/>
            <w:shd w:val="clear" w:color="auto" w:fill="auto"/>
            <w:hideMark/>
          </w:tcPr>
          <w:p w14:paraId="484630F8" w14:textId="77777777" w:rsidR="00275A02" w:rsidRPr="00230397" w:rsidRDefault="00275A02" w:rsidP="0034385D">
            <w:pPr>
              <w:spacing w:before="0" w:after="0" w:line="240" w:lineRule="auto"/>
              <w:rPr>
                <w:rFonts w:cs="Tahoma"/>
                <w:color w:val="auto"/>
                <w:sz w:val="20"/>
                <w:szCs w:val="20"/>
              </w:rPr>
            </w:pPr>
            <w:r w:rsidRPr="00230397">
              <w:rPr>
                <w:rFonts w:cs="Tahoma"/>
                <w:color w:val="auto"/>
                <w:sz w:val="20"/>
                <w:szCs w:val="20"/>
              </w:rPr>
              <w:t>Low</w:t>
            </w:r>
          </w:p>
        </w:tc>
      </w:tr>
      <w:tr w:rsidR="00275A02" w:rsidRPr="00230397" w14:paraId="5DD5651D" w14:textId="77777777" w:rsidTr="0031738C">
        <w:tc>
          <w:tcPr>
            <w:tcW w:w="1215" w:type="pct"/>
            <w:shd w:val="clear" w:color="auto" w:fill="auto"/>
          </w:tcPr>
          <w:p w14:paraId="65B70834" w14:textId="05577762" w:rsidR="00275A02" w:rsidRPr="00230397" w:rsidRDefault="00275A02" w:rsidP="00AD52EF">
            <w:pPr>
              <w:spacing w:before="0" w:after="0" w:line="240" w:lineRule="auto"/>
              <w:jc w:val="left"/>
              <w:rPr>
                <w:rFonts w:cs="Tahoma"/>
                <w:color w:val="auto"/>
                <w:sz w:val="20"/>
                <w:szCs w:val="20"/>
              </w:rPr>
            </w:pPr>
            <w:r w:rsidRPr="00230397">
              <w:rPr>
                <w:rFonts w:cs="Tahoma"/>
                <w:color w:val="auto"/>
                <w:sz w:val="20"/>
                <w:szCs w:val="20"/>
              </w:rPr>
              <w:t>Lightning</w:t>
            </w:r>
          </w:p>
        </w:tc>
        <w:tc>
          <w:tcPr>
            <w:tcW w:w="1855" w:type="pct"/>
            <w:shd w:val="clear" w:color="auto" w:fill="auto"/>
          </w:tcPr>
          <w:p w14:paraId="13B30FE6" w14:textId="5AF45391" w:rsidR="00275A02" w:rsidRPr="00230397" w:rsidRDefault="00275A02" w:rsidP="00275A02">
            <w:pPr>
              <w:spacing w:before="0" w:after="0" w:line="240" w:lineRule="auto"/>
              <w:jc w:val="left"/>
              <w:rPr>
                <w:rFonts w:cs="Tahoma"/>
                <w:color w:val="auto"/>
                <w:sz w:val="20"/>
                <w:szCs w:val="20"/>
              </w:rPr>
            </w:pPr>
            <w:r w:rsidRPr="00230397">
              <w:rPr>
                <w:rFonts w:cs="Tahoma"/>
                <w:color w:val="auto"/>
                <w:sz w:val="20"/>
                <w:szCs w:val="20"/>
              </w:rPr>
              <w:t>More frequent lightning strikes</w:t>
            </w:r>
          </w:p>
        </w:tc>
        <w:tc>
          <w:tcPr>
            <w:tcW w:w="668" w:type="pct"/>
            <w:shd w:val="clear" w:color="auto" w:fill="auto"/>
          </w:tcPr>
          <w:p w14:paraId="39C2993E" w14:textId="40CA4485" w:rsidR="00275A02" w:rsidRPr="00230397" w:rsidRDefault="00275A02" w:rsidP="0034385D">
            <w:pPr>
              <w:spacing w:before="0" w:after="0" w:line="240" w:lineRule="auto"/>
              <w:rPr>
                <w:rFonts w:cs="Tahoma"/>
                <w:color w:val="auto"/>
                <w:sz w:val="20"/>
                <w:szCs w:val="20"/>
              </w:rPr>
            </w:pPr>
            <w:r w:rsidRPr="00230397">
              <w:rPr>
                <w:rFonts w:cs="Tahoma"/>
                <w:color w:val="auto"/>
                <w:sz w:val="20"/>
                <w:szCs w:val="20"/>
              </w:rPr>
              <w:t>Low</w:t>
            </w:r>
          </w:p>
        </w:tc>
        <w:tc>
          <w:tcPr>
            <w:tcW w:w="522" w:type="pct"/>
            <w:shd w:val="clear" w:color="auto" w:fill="auto"/>
          </w:tcPr>
          <w:p w14:paraId="797DBE01" w14:textId="390F38F2" w:rsidR="00275A02" w:rsidRPr="00230397" w:rsidRDefault="00275A02" w:rsidP="0034385D">
            <w:pPr>
              <w:spacing w:before="0" w:after="0" w:line="240" w:lineRule="auto"/>
              <w:rPr>
                <w:rFonts w:cs="Tahoma"/>
                <w:color w:val="auto"/>
                <w:sz w:val="20"/>
                <w:szCs w:val="20"/>
              </w:rPr>
            </w:pPr>
            <w:r w:rsidRPr="00230397">
              <w:rPr>
                <w:rFonts w:cs="Tahoma"/>
                <w:color w:val="auto"/>
                <w:sz w:val="20"/>
                <w:szCs w:val="20"/>
              </w:rPr>
              <w:t>Medium</w:t>
            </w:r>
          </w:p>
        </w:tc>
        <w:tc>
          <w:tcPr>
            <w:tcW w:w="740" w:type="pct"/>
            <w:shd w:val="clear" w:color="auto" w:fill="auto"/>
          </w:tcPr>
          <w:p w14:paraId="67EF2E70" w14:textId="0F724576" w:rsidR="00275A02" w:rsidRPr="00230397" w:rsidRDefault="00A43635" w:rsidP="0034385D">
            <w:pPr>
              <w:spacing w:before="0" w:after="0" w:line="240" w:lineRule="auto"/>
              <w:rPr>
                <w:rFonts w:cs="Tahoma"/>
                <w:color w:val="auto"/>
                <w:sz w:val="20"/>
                <w:szCs w:val="20"/>
              </w:rPr>
            </w:pPr>
            <w:r w:rsidRPr="00230397">
              <w:rPr>
                <w:rFonts w:cs="Tahoma"/>
                <w:color w:val="auto"/>
                <w:sz w:val="20"/>
                <w:szCs w:val="20"/>
              </w:rPr>
              <w:t>Low</w:t>
            </w:r>
          </w:p>
        </w:tc>
      </w:tr>
    </w:tbl>
    <w:p w14:paraId="337F60AC" w14:textId="46B8F9F8" w:rsidR="00A43635" w:rsidRPr="0068236B" w:rsidRDefault="00A43635" w:rsidP="00A43635">
      <w:pPr>
        <w:spacing w:before="60" w:after="240"/>
        <w:jc w:val="left"/>
        <w:rPr>
          <w:rFonts w:cs="Tahoma"/>
          <w:sz w:val="18"/>
          <w:szCs w:val="18"/>
        </w:rPr>
      </w:pPr>
      <w:bookmarkStart w:id="328" w:name="_Toc113018203"/>
      <w:bookmarkEnd w:id="310"/>
      <w:r w:rsidRPr="0068236B">
        <w:rPr>
          <w:rFonts w:cs="Tahoma"/>
          <w:sz w:val="18"/>
          <w:szCs w:val="18"/>
        </w:rPr>
        <w:t xml:space="preserve">Table </w:t>
      </w:r>
      <w:r w:rsidRPr="0068236B">
        <w:rPr>
          <w:rFonts w:cs="Tahoma"/>
          <w:sz w:val="18"/>
          <w:szCs w:val="18"/>
        </w:rPr>
        <w:fldChar w:fldCharType="begin"/>
      </w:r>
      <w:r w:rsidRPr="0068236B">
        <w:rPr>
          <w:rFonts w:cs="Tahoma"/>
          <w:sz w:val="18"/>
          <w:szCs w:val="18"/>
        </w:rPr>
        <w:instrText xml:space="preserve"> STYLEREF 1 \s </w:instrText>
      </w:r>
      <w:r w:rsidRPr="0068236B">
        <w:rPr>
          <w:rFonts w:cs="Tahoma"/>
          <w:sz w:val="18"/>
          <w:szCs w:val="18"/>
        </w:rPr>
        <w:fldChar w:fldCharType="separate"/>
      </w:r>
      <w:r w:rsidR="00FD57E6">
        <w:rPr>
          <w:rFonts w:cs="Tahoma"/>
          <w:noProof/>
          <w:sz w:val="18"/>
          <w:szCs w:val="18"/>
        </w:rPr>
        <w:t>8</w:t>
      </w:r>
      <w:r w:rsidRPr="0068236B">
        <w:rPr>
          <w:rFonts w:cs="Tahoma"/>
          <w:sz w:val="18"/>
          <w:szCs w:val="18"/>
        </w:rPr>
        <w:fldChar w:fldCharType="end"/>
      </w:r>
      <w:r w:rsidR="0087135B" w:rsidRPr="0068236B">
        <w:rPr>
          <w:rFonts w:cs="Tahoma"/>
          <w:sz w:val="18"/>
          <w:szCs w:val="18"/>
        </w:rPr>
        <w:t>.</w:t>
      </w:r>
      <w:r w:rsidRPr="0068236B">
        <w:rPr>
          <w:rFonts w:cs="Tahoma"/>
          <w:sz w:val="18"/>
          <w:szCs w:val="18"/>
        </w:rPr>
        <w:fldChar w:fldCharType="begin"/>
      </w:r>
      <w:r w:rsidRPr="0068236B">
        <w:rPr>
          <w:rFonts w:cs="Tahoma"/>
          <w:sz w:val="18"/>
          <w:szCs w:val="18"/>
        </w:rPr>
        <w:instrText xml:space="preserve"> SEQ Table \* ARABIC \s 1 </w:instrText>
      </w:r>
      <w:r w:rsidRPr="0068236B">
        <w:rPr>
          <w:rFonts w:cs="Tahoma"/>
          <w:sz w:val="18"/>
          <w:szCs w:val="18"/>
        </w:rPr>
        <w:fldChar w:fldCharType="separate"/>
      </w:r>
      <w:r w:rsidR="00FD57E6">
        <w:rPr>
          <w:rFonts w:cs="Tahoma"/>
          <w:noProof/>
          <w:sz w:val="18"/>
          <w:szCs w:val="18"/>
        </w:rPr>
        <w:t>7</w:t>
      </w:r>
      <w:r w:rsidRPr="0068236B">
        <w:rPr>
          <w:rFonts w:cs="Tahoma"/>
          <w:sz w:val="18"/>
          <w:szCs w:val="18"/>
        </w:rPr>
        <w:fldChar w:fldCharType="end"/>
      </w:r>
      <w:r w:rsidRPr="0068236B">
        <w:rPr>
          <w:rFonts w:cs="Tahoma"/>
          <w:sz w:val="18"/>
          <w:szCs w:val="18"/>
        </w:rPr>
        <w:t>:</w:t>
      </w:r>
      <w:r w:rsidRPr="0068236B">
        <w:rPr>
          <w:rFonts w:cs="Tahoma"/>
          <w:bCs/>
          <w:sz w:val="18"/>
          <w:szCs w:val="18"/>
        </w:rPr>
        <w:t xml:space="preserve"> Vulnerability of the Project to climate change, during operation</w:t>
      </w:r>
      <w:bookmarkEnd w:id="328"/>
      <w:r w:rsidRPr="0068236B">
        <w:rPr>
          <w:rFonts w:cs="Tahoma"/>
          <w:sz w:val="18"/>
          <w:szCs w:val="18"/>
        </w:rPr>
        <w:t xml:space="preserve"> </w:t>
      </w:r>
    </w:p>
    <w:p w14:paraId="460DBCFF" w14:textId="1C9FE76D" w:rsidR="00A43635" w:rsidRPr="0068236B" w:rsidRDefault="00A43635" w:rsidP="00A43635">
      <w:pPr>
        <w:rPr>
          <w:rFonts w:cs="Tahoma"/>
          <w:sz w:val="20"/>
          <w:szCs w:val="20"/>
        </w:rPr>
      </w:pPr>
      <w:r w:rsidRPr="0068236B">
        <w:rPr>
          <w:rFonts w:cs="Tahoma"/>
          <w:sz w:val="20"/>
          <w:szCs w:val="20"/>
        </w:rPr>
        <w:t>Based on this vulnerability assessment, the following climate variables are taken to further consideration:</w:t>
      </w:r>
    </w:p>
    <w:p w14:paraId="619F4303" w14:textId="77777777" w:rsidR="00AE3455" w:rsidRPr="0068236B" w:rsidRDefault="00A43635" w:rsidP="00D24CEF">
      <w:pPr>
        <w:pStyle w:val="ListBullet"/>
        <w:numPr>
          <w:ilvl w:val="0"/>
          <w:numId w:val="75"/>
        </w:numPr>
        <w:spacing w:before="120" w:after="120"/>
        <w:rPr>
          <w:rFonts w:cs="Tahoma"/>
          <w:sz w:val="20"/>
          <w:szCs w:val="20"/>
        </w:rPr>
      </w:pPr>
      <w:r w:rsidRPr="0068236B">
        <w:rPr>
          <w:rFonts w:cs="Tahoma"/>
          <w:sz w:val="20"/>
          <w:szCs w:val="20"/>
        </w:rPr>
        <w:t xml:space="preserve">Temperature increase, associated with extreme </w:t>
      </w:r>
      <w:r w:rsidR="00AE3455" w:rsidRPr="0068236B">
        <w:rPr>
          <w:rFonts w:cs="Tahoma"/>
          <w:sz w:val="20"/>
          <w:szCs w:val="20"/>
        </w:rPr>
        <w:t>temperature (more frequent heat waves), and</w:t>
      </w:r>
    </w:p>
    <w:p w14:paraId="5C1E910D" w14:textId="32A4A478" w:rsidR="00A43635" w:rsidRPr="0068236B" w:rsidRDefault="00AE3455" w:rsidP="00D24CEF">
      <w:pPr>
        <w:pStyle w:val="ListBullet"/>
        <w:numPr>
          <w:ilvl w:val="0"/>
          <w:numId w:val="75"/>
        </w:numPr>
        <w:spacing w:before="120" w:after="120"/>
        <w:rPr>
          <w:rFonts w:cs="Tahoma"/>
          <w:sz w:val="20"/>
          <w:szCs w:val="20"/>
        </w:rPr>
      </w:pPr>
      <w:r w:rsidRPr="0068236B">
        <w:rPr>
          <w:rFonts w:cs="Tahoma"/>
          <w:sz w:val="20"/>
          <w:szCs w:val="20"/>
        </w:rPr>
        <w:t>Precipitation, associated with more frequent extreme flooding events</w:t>
      </w:r>
      <w:r w:rsidR="00A313E5" w:rsidRPr="0068236B">
        <w:rPr>
          <w:rFonts w:cs="Tahoma"/>
          <w:sz w:val="20"/>
          <w:szCs w:val="20"/>
        </w:rPr>
        <w:t xml:space="preserve"> </w:t>
      </w:r>
    </w:p>
    <w:p w14:paraId="5F10FC73" w14:textId="77777777" w:rsidR="00E770F1" w:rsidRPr="0068236B" w:rsidRDefault="00E770F1" w:rsidP="00E770F1">
      <w:pPr>
        <w:ind w:firstLine="720"/>
        <w:rPr>
          <w:rFonts w:cs="Tahoma"/>
          <w:sz w:val="20"/>
          <w:szCs w:val="20"/>
          <w:u w:val="single"/>
        </w:rPr>
      </w:pPr>
      <w:r w:rsidRPr="0068236B">
        <w:rPr>
          <w:rFonts w:cs="Tahoma"/>
          <w:sz w:val="20"/>
          <w:szCs w:val="20"/>
          <w:u w:val="single"/>
        </w:rPr>
        <w:t>Potential Impacts and their Significance</w:t>
      </w:r>
    </w:p>
    <w:p w14:paraId="205DE761" w14:textId="0C36D458" w:rsidR="00E770F1" w:rsidRPr="0068236B" w:rsidRDefault="00E770F1" w:rsidP="002304EC">
      <w:pPr>
        <w:rPr>
          <w:rFonts w:cs="Tahoma"/>
          <w:sz w:val="20"/>
          <w:szCs w:val="20"/>
        </w:rPr>
      </w:pPr>
      <w:r w:rsidRPr="0068236B">
        <w:rPr>
          <w:rFonts w:cs="Tahoma"/>
          <w:sz w:val="20"/>
          <w:szCs w:val="20"/>
        </w:rPr>
        <w:t>The potential likely impacts to the Project from the selected climate variables as well as the significance of these impacts, without design-based mitigation, as a function of the likelihood of occurrence and expected consequence are presented in the Table below.</w:t>
      </w:r>
    </w:p>
    <w:tbl>
      <w:tblPr>
        <w:tblStyle w:val="WSP"/>
        <w:tblW w:w="9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Look w:val="04A0" w:firstRow="1" w:lastRow="0" w:firstColumn="1" w:lastColumn="0" w:noHBand="0" w:noVBand="1"/>
      </w:tblPr>
      <w:tblGrid>
        <w:gridCol w:w="2063"/>
        <w:gridCol w:w="4231"/>
        <w:gridCol w:w="1023"/>
        <w:gridCol w:w="1304"/>
        <w:gridCol w:w="1164"/>
      </w:tblGrid>
      <w:tr w:rsidR="00F55D61" w:rsidRPr="00230397" w14:paraId="6C581246" w14:textId="77777777" w:rsidTr="00F55D61">
        <w:trPr>
          <w:cnfStyle w:val="100000000000" w:firstRow="1" w:lastRow="0" w:firstColumn="0" w:lastColumn="0" w:oddVBand="0" w:evenVBand="0" w:oddHBand="0" w:evenHBand="0" w:firstRowFirstColumn="0" w:firstRowLastColumn="0" w:lastRowFirstColumn="0" w:lastRowLastColumn="0"/>
          <w:trHeight w:val="20"/>
          <w:tblHeader/>
        </w:trPr>
        <w:tc>
          <w:tcPr>
            <w:tcW w:w="2063" w:type="dxa"/>
            <w:shd w:val="clear" w:color="auto" w:fill="44697D"/>
            <w:hideMark/>
          </w:tcPr>
          <w:p w14:paraId="4EE62E86" w14:textId="77777777" w:rsidR="00F55D61" w:rsidRPr="00230397" w:rsidRDefault="00F55D61" w:rsidP="00AD52EF">
            <w:pPr>
              <w:spacing w:before="0" w:after="0" w:line="240" w:lineRule="auto"/>
              <w:jc w:val="left"/>
              <w:rPr>
                <w:rFonts w:ascii="Segoe UI" w:hAnsi="Segoe UI" w:cs="Segoe UI"/>
                <w:color w:val="auto"/>
                <w:sz w:val="20"/>
                <w:szCs w:val="20"/>
              </w:rPr>
            </w:pPr>
            <w:r w:rsidRPr="00230397">
              <w:rPr>
                <w:rFonts w:ascii="Segoe UI" w:hAnsi="Segoe UI" w:cs="Segoe UI"/>
                <w:color w:val="auto"/>
                <w:sz w:val="20"/>
                <w:szCs w:val="20"/>
              </w:rPr>
              <w:t>Climate variable</w:t>
            </w:r>
          </w:p>
        </w:tc>
        <w:tc>
          <w:tcPr>
            <w:tcW w:w="4231" w:type="dxa"/>
            <w:shd w:val="clear" w:color="auto" w:fill="44697D"/>
            <w:hideMark/>
          </w:tcPr>
          <w:p w14:paraId="6F93A4BE" w14:textId="77777777" w:rsidR="00F55D61" w:rsidRPr="00230397" w:rsidRDefault="00F55D61" w:rsidP="00AD52EF">
            <w:pPr>
              <w:spacing w:before="0" w:after="0" w:line="240" w:lineRule="auto"/>
              <w:jc w:val="left"/>
              <w:rPr>
                <w:rFonts w:ascii="Segoe UI" w:hAnsi="Segoe UI" w:cs="Segoe UI"/>
                <w:color w:val="auto"/>
                <w:sz w:val="20"/>
                <w:szCs w:val="20"/>
              </w:rPr>
            </w:pPr>
            <w:r w:rsidRPr="00230397">
              <w:rPr>
                <w:rFonts w:ascii="Segoe UI" w:hAnsi="Segoe UI" w:cs="Segoe UI"/>
                <w:color w:val="auto"/>
                <w:sz w:val="20"/>
                <w:szCs w:val="20"/>
              </w:rPr>
              <w:t>Potential impact</w:t>
            </w:r>
          </w:p>
        </w:tc>
        <w:tc>
          <w:tcPr>
            <w:tcW w:w="0" w:type="auto"/>
            <w:shd w:val="clear" w:color="auto" w:fill="44697D"/>
            <w:hideMark/>
          </w:tcPr>
          <w:p w14:paraId="0E23F39B" w14:textId="77777777" w:rsidR="00F55D61" w:rsidRPr="00230397" w:rsidRDefault="00F55D61" w:rsidP="00AD52EF">
            <w:pPr>
              <w:spacing w:before="0" w:after="0" w:line="240" w:lineRule="auto"/>
              <w:rPr>
                <w:rFonts w:ascii="Segoe UI" w:hAnsi="Segoe UI" w:cs="Segoe UI"/>
                <w:color w:val="auto"/>
                <w:sz w:val="20"/>
                <w:szCs w:val="20"/>
              </w:rPr>
            </w:pPr>
            <w:r w:rsidRPr="00230397">
              <w:rPr>
                <w:rFonts w:ascii="Segoe UI" w:hAnsi="Segoe UI" w:cs="Segoe UI"/>
                <w:color w:val="auto"/>
                <w:sz w:val="20"/>
                <w:szCs w:val="20"/>
              </w:rPr>
              <w:t>Likelihood</w:t>
            </w:r>
          </w:p>
        </w:tc>
        <w:tc>
          <w:tcPr>
            <w:tcW w:w="0" w:type="auto"/>
            <w:shd w:val="clear" w:color="auto" w:fill="44697D"/>
            <w:hideMark/>
          </w:tcPr>
          <w:p w14:paraId="1445280D" w14:textId="77777777" w:rsidR="00F55D61" w:rsidRPr="00230397" w:rsidRDefault="00F55D61" w:rsidP="00AD52EF">
            <w:pPr>
              <w:spacing w:before="0" w:after="0" w:line="240" w:lineRule="auto"/>
              <w:rPr>
                <w:rFonts w:ascii="Segoe UI" w:hAnsi="Segoe UI" w:cs="Segoe UI"/>
                <w:color w:val="auto"/>
                <w:sz w:val="20"/>
                <w:szCs w:val="20"/>
              </w:rPr>
            </w:pPr>
            <w:r w:rsidRPr="00230397">
              <w:rPr>
                <w:rFonts w:ascii="Segoe UI" w:hAnsi="Segoe UI" w:cs="Segoe UI"/>
                <w:color w:val="auto"/>
                <w:sz w:val="20"/>
                <w:szCs w:val="20"/>
              </w:rPr>
              <w:t>Consequence</w:t>
            </w:r>
          </w:p>
        </w:tc>
        <w:tc>
          <w:tcPr>
            <w:tcW w:w="0" w:type="auto"/>
            <w:shd w:val="clear" w:color="auto" w:fill="44697D"/>
            <w:hideMark/>
          </w:tcPr>
          <w:p w14:paraId="3C1E2AAD" w14:textId="77777777" w:rsidR="00F55D61" w:rsidRPr="00230397" w:rsidRDefault="00F55D61" w:rsidP="00AD52EF">
            <w:pPr>
              <w:spacing w:before="0" w:after="0" w:line="240" w:lineRule="auto"/>
              <w:rPr>
                <w:rFonts w:ascii="Segoe UI" w:hAnsi="Segoe UI" w:cs="Segoe UI"/>
                <w:color w:val="auto"/>
                <w:sz w:val="20"/>
                <w:szCs w:val="20"/>
              </w:rPr>
            </w:pPr>
            <w:r w:rsidRPr="00230397">
              <w:rPr>
                <w:rFonts w:ascii="Segoe UI" w:hAnsi="Segoe UI" w:cs="Segoe UI"/>
                <w:color w:val="auto"/>
                <w:sz w:val="20"/>
                <w:szCs w:val="20"/>
              </w:rPr>
              <w:t xml:space="preserve">Significance </w:t>
            </w:r>
          </w:p>
        </w:tc>
      </w:tr>
      <w:tr w:rsidR="00F55D61" w:rsidRPr="00230397" w14:paraId="77ADA9FF" w14:textId="77777777" w:rsidTr="00F55D61">
        <w:trPr>
          <w:cnfStyle w:val="000000100000" w:firstRow="0" w:lastRow="0" w:firstColumn="0" w:lastColumn="0" w:oddVBand="0" w:evenVBand="0" w:oddHBand="1" w:evenHBand="0" w:firstRowFirstColumn="0" w:firstRowLastColumn="0" w:lastRowFirstColumn="0" w:lastRowLastColumn="0"/>
          <w:trHeight w:val="1417"/>
        </w:trPr>
        <w:tc>
          <w:tcPr>
            <w:tcW w:w="2063" w:type="dxa"/>
            <w:shd w:val="clear" w:color="auto" w:fill="auto"/>
            <w:hideMark/>
          </w:tcPr>
          <w:p w14:paraId="73E24110" w14:textId="06053A8F" w:rsidR="00F55D61" w:rsidRPr="00230397" w:rsidRDefault="00F55D61" w:rsidP="00AD52EF">
            <w:pPr>
              <w:spacing w:before="0" w:after="0" w:line="240" w:lineRule="auto"/>
              <w:jc w:val="left"/>
              <w:rPr>
                <w:rFonts w:cs="Tahoma"/>
                <w:color w:val="auto"/>
                <w:sz w:val="20"/>
                <w:szCs w:val="20"/>
              </w:rPr>
            </w:pPr>
            <w:r w:rsidRPr="00230397">
              <w:rPr>
                <w:rFonts w:cs="Tahoma"/>
                <w:color w:val="auto"/>
                <w:sz w:val="20"/>
                <w:szCs w:val="20"/>
              </w:rPr>
              <w:t>Temperature increase</w:t>
            </w:r>
          </w:p>
        </w:tc>
        <w:tc>
          <w:tcPr>
            <w:tcW w:w="4231" w:type="dxa"/>
            <w:shd w:val="clear" w:color="auto" w:fill="auto"/>
            <w:hideMark/>
          </w:tcPr>
          <w:p w14:paraId="1D304CD5" w14:textId="77777777" w:rsidR="00F55D61" w:rsidRPr="00230397" w:rsidRDefault="00F55D61" w:rsidP="00D24CEF">
            <w:pPr>
              <w:pStyle w:val="ListParagraph"/>
              <w:numPr>
                <w:ilvl w:val="0"/>
                <w:numId w:val="79"/>
              </w:numPr>
              <w:tabs>
                <w:tab w:val="clear" w:pos="1440"/>
                <w:tab w:val="num" w:pos="205"/>
              </w:tabs>
              <w:spacing w:before="0" w:after="0" w:line="240" w:lineRule="auto"/>
              <w:ind w:left="205" w:hanging="205"/>
              <w:jc w:val="left"/>
              <w:rPr>
                <w:rFonts w:cs="Tahoma"/>
                <w:color w:val="auto"/>
                <w:sz w:val="20"/>
                <w:szCs w:val="20"/>
              </w:rPr>
            </w:pPr>
            <w:r w:rsidRPr="00230397">
              <w:rPr>
                <w:rFonts w:cs="Tahoma"/>
                <w:color w:val="auto"/>
                <w:sz w:val="20"/>
                <w:szCs w:val="20"/>
              </w:rPr>
              <w:t>De-rating of transformers (loses within su</w:t>
            </w:r>
            <w:r w:rsidRPr="00230397">
              <w:rPr>
                <w:rFonts w:cs="Tahoma"/>
                <w:color w:val="auto"/>
                <w:sz w:val="20"/>
                <w:szCs w:val="20"/>
              </w:rPr>
              <w:t>b</w:t>
            </w:r>
            <w:r w:rsidRPr="00230397">
              <w:rPr>
                <w:rFonts w:cs="Tahoma"/>
                <w:color w:val="auto"/>
                <w:sz w:val="20"/>
                <w:szCs w:val="20"/>
              </w:rPr>
              <w:t>stations)</w:t>
            </w:r>
          </w:p>
          <w:p w14:paraId="61004F02" w14:textId="77777777" w:rsidR="00F55D61" w:rsidRPr="00230397" w:rsidRDefault="00F55D61" w:rsidP="00D24CEF">
            <w:pPr>
              <w:pStyle w:val="ListParagraph"/>
              <w:numPr>
                <w:ilvl w:val="0"/>
                <w:numId w:val="79"/>
              </w:numPr>
              <w:tabs>
                <w:tab w:val="clear" w:pos="1440"/>
                <w:tab w:val="num" w:pos="205"/>
              </w:tabs>
              <w:spacing w:before="0" w:after="0" w:line="240" w:lineRule="auto"/>
              <w:ind w:left="205" w:hanging="205"/>
              <w:jc w:val="left"/>
              <w:rPr>
                <w:rFonts w:cs="Tahoma"/>
                <w:color w:val="auto"/>
                <w:sz w:val="20"/>
                <w:szCs w:val="20"/>
              </w:rPr>
            </w:pPr>
            <w:r w:rsidRPr="00230397">
              <w:rPr>
                <w:rFonts w:cs="Tahoma"/>
                <w:color w:val="auto"/>
                <w:sz w:val="20"/>
                <w:szCs w:val="20"/>
              </w:rPr>
              <w:t>Decreased conductivity (electricity carrying capacity of lines)</w:t>
            </w:r>
          </w:p>
          <w:p w14:paraId="63E3F271" w14:textId="77777777" w:rsidR="00F55D61" w:rsidRPr="00230397" w:rsidRDefault="00F55D61" w:rsidP="00D24CEF">
            <w:pPr>
              <w:pStyle w:val="ListParagraph"/>
              <w:numPr>
                <w:ilvl w:val="0"/>
                <w:numId w:val="79"/>
              </w:numPr>
              <w:tabs>
                <w:tab w:val="clear" w:pos="1440"/>
                <w:tab w:val="num" w:pos="205"/>
              </w:tabs>
              <w:spacing w:before="0" w:after="0" w:line="240" w:lineRule="auto"/>
              <w:ind w:left="205" w:hanging="205"/>
              <w:jc w:val="left"/>
              <w:rPr>
                <w:rFonts w:cs="Tahoma"/>
                <w:color w:val="auto"/>
                <w:sz w:val="20"/>
                <w:szCs w:val="20"/>
              </w:rPr>
            </w:pPr>
            <w:r w:rsidRPr="00230397">
              <w:rPr>
                <w:rFonts w:cs="Tahoma"/>
                <w:color w:val="auto"/>
                <w:sz w:val="20"/>
                <w:szCs w:val="20"/>
              </w:rPr>
              <w:t>Sagging – increased sag of conductors</w:t>
            </w:r>
          </w:p>
          <w:p w14:paraId="49E700FE" w14:textId="3AD8B669" w:rsidR="00F55D61" w:rsidRPr="00230397" w:rsidRDefault="00F55D61" w:rsidP="00D24CEF">
            <w:pPr>
              <w:pStyle w:val="ListParagraph"/>
              <w:numPr>
                <w:ilvl w:val="0"/>
                <w:numId w:val="79"/>
              </w:numPr>
              <w:tabs>
                <w:tab w:val="clear" w:pos="1440"/>
                <w:tab w:val="num" w:pos="205"/>
              </w:tabs>
              <w:spacing w:before="0" w:after="0" w:line="240" w:lineRule="auto"/>
              <w:ind w:left="205" w:hanging="205"/>
              <w:jc w:val="left"/>
              <w:rPr>
                <w:rFonts w:cs="Tahoma"/>
                <w:color w:val="auto"/>
                <w:sz w:val="20"/>
                <w:szCs w:val="20"/>
              </w:rPr>
            </w:pPr>
            <w:r w:rsidRPr="00230397">
              <w:rPr>
                <w:rFonts w:cs="Tahoma"/>
                <w:color w:val="auto"/>
                <w:sz w:val="20"/>
                <w:szCs w:val="20"/>
              </w:rPr>
              <w:t>Thawing permafrost – loss of supply</w:t>
            </w:r>
          </w:p>
        </w:tc>
        <w:tc>
          <w:tcPr>
            <w:tcW w:w="0" w:type="auto"/>
            <w:shd w:val="clear" w:color="auto" w:fill="auto"/>
            <w:hideMark/>
          </w:tcPr>
          <w:p w14:paraId="3E1DE59E" w14:textId="77777777" w:rsidR="00F55D61" w:rsidRPr="00230397" w:rsidRDefault="00F55D61" w:rsidP="00AD52EF">
            <w:pPr>
              <w:spacing w:before="0" w:after="0" w:line="240" w:lineRule="auto"/>
              <w:rPr>
                <w:rFonts w:cs="Tahoma"/>
                <w:color w:val="auto"/>
                <w:sz w:val="20"/>
                <w:szCs w:val="20"/>
              </w:rPr>
            </w:pPr>
            <w:r w:rsidRPr="00230397">
              <w:rPr>
                <w:rFonts w:cs="Tahoma"/>
                <w:color w:val="auto"/>
                <w:sz w:val="20"/>
                <w:szCs w:val="20"/>
              </w:rPr>
              <w:t>Medium</w:t>
            </w:r>
          </w:p>
        </w:tc>
        <w:tc>
          <w:tcPr>
            <w:tcW w:w="0" w:type="auto"/>
            <w:shd w:val="clear" w:color="auto" w:fill="auto"/>
            <w:hideMark/>
          </w:tcPr>
          <w:p w14:paraId="1BFEB3F8" w14:textId="77777777" w:rsidR="00F55D61" w:rsidRPr="00230397" w:rsidRDefault="00F55D61" w:rsidP="00AD52EF">
            <w:pPr>
              <w:spacing w:before="0" w:after="0" w:line="240" w:lineRule="auto"/>
              <w:rPr>
                <w:rFonts w:cs="Tahoma"/>
                <w:color w:val="auto"/>
                <w:sz w:val="20"/>
                <w:szCs w:val="20"/>
              </w:rPr>
            </w:pPr>
            <w:r w:rsidRPr="00230397">
              <w:rPr>
                <w:rFonts w:cs="Tahoma"/>
                <w:color w:val="auto"/>
                <w:sz w:val="20"/>
                <w:szCs w:val="20"/>
              </w:rPr>
              <w:t xml:space="preserve">Moderate </w:t>
            </w:r>
          </w:p>
        </w:tc>
        <w:tc>
          <w:tcPr>
            <w:tcW w:w="0" w:type="auto"/>
            <w:shd w:val="clear" w:color="auto" w:fill="auto"/>
            <w:hideMark/>
          </w:tcPr>
          <w:p w14:paraId="154AF535" w14:textId="77777777" w:rsidR="00F55D61" w:rsidRPr="00230397" w:rsidRDefault="00F55D61" w:rsidP="00AD52EF">
            <w:pPr>
              <w:spacing w:before="0" w:after="0" w:line="240" w:lineRule="auto"/>
              <w:rPr>
                <w:rFonts w:cs="Tahoma"/>
                <w:color w:val="auto"/>
                <w:sz w:val="20"/>
                <w:szCs w:val="20"/>
              </w:rPr>
            </w:pPr>
            <w:r w:rsidRPr="00230397">
              <w:rPr>
                <w:rFonts w:cs="Tahoma"/>
                <w:color w:val="auto"/>
                <w:sz w:val="20"/>
                <w:szCs w:val="20"/>
              </w:rPr>
              <w:t xml:space="preserve">Significant </w:t>
            </w:r>
          </w:p>
        </w:tc>
      </w:tr>
      <w:tr w:rsidR="00F55D61" w:rsidRPr="00230397" w14:paraId="7EFDA828" w14:textId="77777777" w:rsidTr="00F55D61">
        <w:trPr>
          <w:trHeight w:val="20"/>
        </w:trPr>
        <w:tc>
          <w:tcPr>
            <w:tcW w:w="2063" w:type="dxa"/>
            <w:shd w:val="clear" w:color="auto" w:fill="auto"/>
            <w:hideMark/>
          </w:tcPr>
          <w:p w14:paraId="5BB94F8A" w14:textId="6030DB08" w:rsidR="00F55D61" w:rsidRPr="00230397" w:rsidRDefault="00F55D61" w:rsidP="00AD52EF">
            <w:pPr>
              <w:spacing w:before="0" w:after="0" w:line="240" w:lineRule="auto"/>
              <w:jc w:val="left"/>
              <w:rPr>
                <w:rFonts w:cs="Tahoma"/>
                <w:color w:val="auto"/>
                <w:sz w:val="20"/>
                <w:szCs w:val="20"/>
              </w:rPr>
            </w:pPr>
            <w:r w:rsidRPr="00230397">
              <w:rPr>
                <w:rFonts w:cs="Tahoma"/>
                <w:color w:val="auto"/>
                <w:sz w:val="20"/>
                <w:szCs w:val="20"/>
              </w:rPr>
              <w:t>Precipitation</w:t>
            </w:r>
          </w:p>
        </w:tc>
        <w:tc>
          <w:tcPr>
            <w:tcW w:w="4231" w:type="dxa"/>
            <w:shd w:val="clear" w:color="auto" w:fill="auto"/>
            <w:hideMark/>
          </w:tcPr>
          <w:p w14:paraId="6F2D4BAE" w14:textId="786FABC0" w:rsidR="00F55D61" w:rsidRPr="00230397" w:rsidRDefault="00F55D61" w:rsidP="00AD52EF">
            <w:pPr>
              <w:spacing w:before="0" w:after="0" w:line="240" w:lineRule="auto"/>
              <w:jc w:val="left"/>
              <w:rPr>
                <w:rFonts w:cs="Tahoma"/>
                <w:color w:val="auto"/>
                <w:sz w:val="20"/>
                <w:szCs w:val="20"/>
              </w:rPr>
            </w:pPr>
            <w:r w:rsidRPr="00230397">
              <w:rPr>
                <w:rFonts w:cs="Tahoma"/>
                <w:color w:val="auto"/>
                <w:sz w:val="20"/>
                <w:szCs w:val="20"/>
              </w:rPr>
              <w:t>Inundation of substations – loss of supply</w:t>
            </w:r>
          </w:p>
        </w:tc>
        <w:tc>
          <w:tcPr>
            <w:tcW w:w="0" w:type="auto"/>
            <w:shd w:val="clear" w:color="auto" w:fill="auto"/>
            <w:hideMark/>
          </w:tcPr>
          <w:p w14:paraId="37BD374A" w14:textId="77777777" w:rsidR="00F55D61" w:rsidRPr="00230397" w:rsidRDefault="00F55D61" w:rsidP="00AD52EF">
            <w:pPr>
              <w:spacing w:before="0" w:after="0" w:line="240" w:lineRule="auto"/>
              <w:rPr>
                <w:rFonts w:cs="Tahoma"/>
                <w:color w:val="auto"/>
                <w:sz w:val="20"/>
                <w:szCs w:val="20"/>
              </w:rPr>
            </w:pPr>
            <w:r w:rsidRPr="00230397">
              <w:rPr>
                <w:rFonts w:cs="Tahoma"/>
                <w:color w:val="auto"/>
                <w:sz w:val="20"/>
                <w:szCs w:val="20"/>
              </w:rPr>
              <w:t>Medium</w:t>
            </w:r>
          </w:p>
        </w:tc>
        <w:tc>
          <w:tcPr>
            <w:tcW w:w="0" w:type="auto"/>
            <w:shd w:val="clear" w:color="auto" w:fill="auto"/>
            <w:hideMark/>
          </w:tcPr>
          <w:p w14:paraId="70FEED11" w14:textId="77777777" w:rsidR="00F55D61" w:rsidRPr="00230397" w:rsidRDefault="00F55D61" w:rsidP="00AD52EF">
            <w:pPr>
              <w:spacing w:before="0" w:after="0" w:line="240" w:lineRule="auto"/>
              <w:rPr>
                <w:rFonts w:cs="Tahoma"/>
                <w:color w:val="auto"/>
                <w:sz w:val="20"/>
                <w:szCs w:val="20"/>
              </w:rPr>
            </w:pPr>
            <w:r w:rsidRPr="00230397">
              <w:rPr>
                <w:rFonts w:cs="Tahoma"/>
                <w:color w:val="auto"/>
                <w:sz w:val="20"/>
                <w:szCs w:val="20"/>
              </w:rPr>
              <w:t xml:space="preserve">Large </w:t>
            </w:r>
          </w:p>
        </w:tc>
        <w:tc>
          <w:tcPr>
            <w:tcW w:w="0" w:type="auto"/>
            <w:shd w:val="clear" w:color="auto" w:fill="auto"/>
            <w:hideMark/>
          </w:tcPr>
          <w:p w14:paraId="7ED9A78C" w14:textId="77777777" w:rsidR="00F55D61" w:rsidRPr="00230397" w:rsidRDefault="00F55D61" w:rsidP="00AD52EF">
            <w:pPr>
              <w:spacing w:before="0" w:after="0" w:line="240" w:lineRule="auto"/>
              <w:rPr>
                <w:rFonts w:cs="Tahoma"/>
                <w:color w:val="auto"/>
                <w:sz w:val="20"/>
                <w:szCs w:val="20"/>
              </w:rPr>
            </w:pPr>
            <w:r w:rsidRPr="00230397">
              <w:rPr>
                <w:rFonts w:cs="Tahoma"/>
                <w:color w:val="auto"/>
                <w:sz w:val="20"/>
                <w:szCs w:val="20"/>
              </w:rPr>
              <w:t>Significant</w:t>
            </w:r>
          </w:p>
        </w:tc>
      </w:tr>
    </w:tbl>
    <w:p w14:paraId="3E1E5957" w14:textId="445497B9" w:rsidR="00275A02" w:rsidRPr="0068236B" w:rsidRDefault="00E770F1" w:rsidP="00F55D61">
      <w:pPr>
        <w:spacing w:before="60" w:after="240"/>
        <w:rPr>
          <w:rFonts w:cs="Tahoma"/>
          <w:bCs/>
          <w:sz w:val="18"/>
          <w:szCs w:val="18"/>
        </w:rPr>
      </w:pPr>
      <w:bookmarkStart w:id="329" w:name="_Toc66476816"/>
      <w:bookmarkStart w:id="330" w:name="_Toc113018204"/>
      <w:r w:rsidRPr="0068236B">
        <w:rPr>
          <w:rFonts w:cs="Tahoma"/>
          <w:sz w:val="18"/>
          <w:szCs w:val="18"/>
        </w:rPr>
        <w:t xml:space="preserve">Table </w:t>
      </w:r>
      <w:r w:rsidRPr="0068236B">
        <w:rPr>
          <w:rFonts w:cs="Tahoma"/>
          <w:sz w:val="18"/>
          <w:szCs w:val="18"/>
        </w:rPr>
        <w:fldChar w:fldCharType="begin"/>
      </w:r>
      <w:r w:rsidRPr="0068236B">
        <w:rPr>
          <w:rFonts w:cs="Tahoma"/>
          <w:sz w:val="18"/>
          <w:szCs w:val="18"/>
        </w:rPr>
        <w:instrText xml:space="preserve"> STYLEREF 1 \s </w:instrText>
      </w:r>
      <w:r w:rsidRPr="0068236B">
        <w:rPr>
          <w:rFonts w:cs="Tahoma"/>
          <w:sz w:val="18"/>
          <w:szCs w:val="18"/>
        </w:rPr>
        <w:fldChar w:fldCharType="separate"/>
      </w:r>
      <w:r w:rsidR="00FD57E6">
        <w:rPr>
          <w:rFonts w:cs="Tahoma"/>
          <w:noProof/>
          <w:sz w:val="18"/>
          <w:szCs w:val="18"/>
        </w:rPr>
        <w:t>8</w:t>
      </w:r>
      <w:r w:rsidRPr="0068236B">
        <w:rPr>
          <w:rFonts w:cs="Tahoma"/>
          <w:sz w:val="18"/>
          <w:szCs w:val="18"/>
        </w:rPr>
        <w:fldChar w:fldCharType="end"/>
      </w:r>
      <w:r w:rsidR="0087135B" w:rsidRPr="0068236B">
        <w:rPr>
          <w:rFonts w:cs="Tahoma"/>
          <w:sz w:val="18"/>
          <w:szCs w:val="18"/>
        </w:rPr>
        <w:t>.</w:t>
      </w:r>
      <w:r w:rsidRPr="0068236B">
        <w:rPr>
          <w:rFonts w:cs="Tahoma"/>
          <w:sz w:val="18"/>
          <w:szCs w:val="18"/>
        </w:rPr>
        <w:fldChar w:fldCharType="begin"/>
      </w:r>
      <w:r w:rsidRPr="0068236B">
        <w:rPr>
          <w:rFonts w:cs="Tahoma"/>
          <w:sz w:val="18"/>
          <w:szCs w:val="18"/>
        </w:rPr>
        <w:instrText xml:space="preserve"> SEQ Table \* ARABIC \s 1 </w:instrText>
      </w:r>
      <w:r w:rsidRPr="0068236B">
        <w:rPr>
          <w:rFonts w:cs="Tahoma"/>
          <w:sz w:val="18"/>
          <w:szCs w:val="18"/>
        </w:rPr>
        <w:fldChar w:fldCharType="separate"/>
      </w:r>
      <w:r w:rsidR="00FD57E6">
        <w:rPr>
          <w:rFonts w:cs="Tahoma"/>
          <w:noProof/>
          <w:sz w:val="18"/>
          <w:szCs w:val="18"/>
        </w:rPr>
        <w:t>8</w:t>
      </w:r>
      <w:r w:rsidRPr="0068236B">
        <w:rPr>
          <w:rFonts w:cs="Tahoma"/>
          <w:sz w:val="18"/>
          <w:szCs w:val="18"/>
        </w:rPr>
        <w:fldChar w:fldCharType="end"/>
      </w:r>
      <w:r w:rsidR="00F55D61" w:rsidRPr="0068236B">
        <w:rPr>
          <w:rFonts w:cs="Tahoma"/>
          <w:sz w:val="18"/>
          <w:szCs w:val="18"/>
        </w:rPr>
        <w:t>:</w:t>
      </w:r>
      <w:r w:rsidRPr="0068236B">
        <w:rPr>
          <w:rFonts w:cs="Tahoma"/>
          <w:sz w:val="18"/>
          <w:szCs w:val="18"/>
        </w:rPr>
        <w:t xml:space="preserve"> </w:t>
      </w:r>
      <w:r w:rsidRPr="0068236B">
        <w:rPr>
          <w:rFonts w:cs="Tahoma"/>
          <w:bCs/>
          <w:sz w:val="18"/>
          <w:szCs w:val="18"/>
        </w:rPr>
        <w:t>Significance of the impact from climate change, during operation</w:t>
      </w:r>
      <w:bookmarkEnd w:id="329"/>
      <w:bookmarkEnd w:id="330"/>
    </w:p>
    <w:p w14:paraId="0B61280E" w14:textId="23786B8A" w:rsidR="002304EC" w:rsidRPr="0068236B" w:rsidRDefault="002304EC" w:rsidP="002304EC">
      <w:pPr>
        <w:pStyle w:val="Heading3"/>
      </w:pPr>
      <w:bookmarkStart w:id="331" w:name="_Toc112852263"/>
      <w:r w:rsidRPr="0068236B">
        <w:t>Mitigation</w:t>
      </w:r>
      <w:bookmarkEnd w:id="331"/>
    </w:p>
    <w:p w14:paraId="098B494C" w14:textId="487F2FD5" w:rsidR="002304EC" w:rsidRPr="0068236B" w:rsidRDefault="002304EC" w:rsidP="002304EC">
      <w:pPr>
        <w:pStyle w:val="Heading4"/>
      </w:pPr>
      <w:bookmarkStart w:id="332" w:name="_Toc481953543"/>
      <w:bookmarkStart w:id="333" w:name="_Toc93085929"/>
      <w:r w:rsidRPr="0068236B">
        <w:t>Resilience of the Electricity Transmission Sector</w:t>
      </w:r>
      <w:bookmarkEnd w:id="332"/>
      <w:bookmarkEnd w:id="333"/>
    </w:p>
    <w:p w14:paraId="0ECC73A6" w14:textId="215747F6" w:rsidR="002304EC" w:rsidRPr="0068236B" w:rsidRDefault="002304EC" w:rsidP="002304EC">
      <w:pPr>
        <w:autoSpaceDE w:val="0"/>
        <w:autoSpaceDN w:val="0"/>
        <w:adjustRightInd w:val="0"/>
        <w:rPr>
          <w:rFonts w:cs="Tahoma"/>
          <w:iCs/>
          <w:sz w:val="20"/>
          <w:szCs w:val="20"/>
        </w:rPr>
      </w:pPr>
      <w:r w:rsidRPr="0068236B">
        <w:rPr>
          <w:rFonts w:cs="Tahoma"/>
          <w:sz w:val="20"/>
          <w:szCs w:val="20"/>
        </w:rPr>
        <w:t>Adaptation refers to the measures taken to reduce the vulnerability and build resilience and it can be defined as “the process of adjustment to actual or expected climate and its effects, in order to moderate harm or exploit b</w:t>
      </w:r>
      <w:r w:rsidR="003B4434" w:rsidRPr="0068236B">
        <w:rPr>
          <w:rFonts w:cs="Tahoma"/>
          <w:sz w:val="20"/>
          <w:szCs w:val="20"/>
        </w:rPr>
        <w:t>eneficial opportunities” [Ref.24</w:t>
      </w:r>
      <w:r w:rsidRPr="0068236B">
        <w:rPr>
          <w:rFonts w:cs="Tahoma"/>
          <w:sz w:val="20"/>
          <w:szCs w:val="20"/>
        </w:rPr>
        <w:t>].</w:t>
      </w:r>
    </w:p>
    <w:p w14:paraId="547D4E7E" w14:textId="77777777" w:rsidR="002304EC" w:rsidRPr="0068236B" w:rsidRDefault="002304EC" w:rsidP="002304EC">
      <w:pPr>
        <w:pStyle w:val="Default"/>
        <w:spacing w:before="120" w:after="120" w:line="276" w:lineRule="auto"/>
        <w:jc w:val="both"/>
        <w:rPr>
          <w:rFonts w:ascii="Tahoma" w:hAnsi="Tahoma" w:cs="Tahoma"/>
          <w:sz w:val="20"/>
          <w:szCs w:val="20"/>
        </w:rPr>
      </w:pPr>
      <w:r w:rsidRPr="0068236B">
        <w:rPr>
          <w:rFonts w:ascii="Tahoma" w:hAnsi="Tahoma" w:cs="Tahoma"/>
          <w:sz w:val="20"/>
          <w:szCs w:val="20"/>
        </w:rPr>
        <w:t xml:space="preserve">For the transmission lines, which are amongst the critical infrastructures of modern societies, it is crucially important to boost their resilience to severe weather and to any future challenges that may arise due to the climate change. </w:t>
      </w:r>
    </w:p>
    <w:p w14:paraId="66391189" w14:textId="26B836D4" w:rsidR="002304EC" w:rsidRPr="0068236B" w:rsidRDefault="002304EC" w:rsidP="002304EC">
      <w:pPr>
        <w:pStyle w:val="Default"/>
        <w:spacing w:before="120" w:after="120" w:line="276" w:lineRule="auto"/>
        <w:jc w:val="both"/>
        <w:rPr>
          <w:rFonts w:ascii="Tahoma" w:hAnsi="Tahoma" w:cs="Tahoma"/>
          <w:color w:val="auto"/>
          <w:sz w:val="20"/>
          <w:szCs w:val="20"/>
        </w:rPr>
      </w:pPr>
      <w:r w:rsidRPr="0068236B">
        <w:rPr>
          <w:rFonts w:ascii="Tahoma" w:hAnsi="Tahoma" w:cs="Tahoma"/>
          <w:sz w:val="20"/>
          <w:szCs w:val="20"/>
        </w:rPr>
        <w:lastRenderedPageBreak/>
        <w:t>If the rate of this change is lower than the rate of the development of power systems, then the power sy</w:t>
      </w:r>
      <w:r w:rsidRPr="0068236B">
        <w:rPr>
          <w:rFonts w:ascii="Tahoma" w:hAnsi="Tahoma" w:cs="Tahoma"/>
          <w:sz w:val="20"/>
          <w:szCs w:val="20"/>
        </w:rPr>
        <w:t>s</w:t>
      </w:r>
      <w:r w:rsidRPr="0068236B">
        <w:rPr>
          <w:rFonts w:ascii="Tahoma" w:hAnsi="Tahoma" w:cs="Tahoma"/>
          <w:sz w:val="20"/>
          <w:szCs w:val="20"/>
        </w:rPr>
        <w:t xml:space="preserve">tem should be able to adapt to the change in the weather pattern. However, if the rate of climate change is higher, then it may impose a threat </w:t>
      </w:r>
      <w:r w:rsidRPr="0068236B">
        <w:rPr>
          <w:rFonts w:ascii="Tahoma" w:hAnsi="Tahoma" w:cs="Tahoma"/>
          <w:color w:val="auto"/>
          <w:sz w:val="20"/>
          <w:szCs w:val="20"/>
        </w:rPr>
        <w:t>to the resilience of power systems because they have been traditionally designed to be robust for relatively normal and stable weat</w:t>
      </w:r>
      <w:r w:rsidR="003B4434" w:rsidRPr="0068236B">
        <w:rPr>
          <w:rFonts w:ascii="Tahoma" w:hAnsi="Tahoma" w:cs="Tahoma"/>
          <w:color w:val="auto"/>
          <w:sz w:val="20"/>
          <w:szCs w:val="20"/>
        </w:rPr>
        <w:t>her and loading patterns [</w:t>
      </w:r>
      <w:r w:rsidR="008853B5" w:rsidRPr="0068236B">
        <w:rPr>
          <w:rFonts w:ascii="Tahoma" w:hAnsi="Tahoma" w:cs="Tahoma"/>
          <w:color w:val="auto"/>
          <w:sz w:val="20"/>
          <w:szCs w:val="20"/>
        </w:rPr>
        <w:t>Ref.31</w:t>
      </w:r>
      <w:r w:rsidRPr="0068236B">
        <w:rPr>
          <w:rFonts w:ascii="Tahoma" w:hAnsi="Tahoma" w:cs="Tahoma"/>
          <w:color w:val="auto"/>
          <w:sz w:val="20"/>
          <w:szCs w:val="20"/>
        </w:rPr>
        <w:t xml:space="preserve">]. </w:t>
      </w:r>
    </w:p>
    <w:p w14:paraId="3662A5D6" w14:textId="1DA3418D" w:rsidR="002304EC" w:rsidRPr="0068236B" w:rsidRDefault="002304EC" w:rsidP="002304EC">
      <w:pPr>
        <w:pStyle w:val="Default"/>
        <w:spacing w:before="120" w:after="120" w:line="276" w:lineRule="auto"/>
        <w:jc w:val="both"/>
        <w:rPr>
          <w:rFonts w:ascii="Tahoma" w:hAnsi="Tahoma" w:cs="Tahoma"/>
          <w:sz w:val="20"/>
          <w:szCs w:val="20"/>
        </w:rPr>
      </w:pPr>
      <w:r w:rsidRPr="0068236B">
        <w:rPr>
          <w:rFonts w:ascii="Tahoma" w:hAnsi="Tahoma" w:cs="Tahoma"/>
          <w:sz w:val="20"/>
          <w:szCs w:val="20"/>
        </w:rPr>
        <w:t>In this context, ‘</w:t>
      </w:r>
      <w:r w:rsidRPr="0068236B">
        <w:rPr>
          <w:rFonts w:ascii="Tahoma" w:hAnsi="Tahoma" w:cs="Tahoma"/>
          <w:i/>
          <w:iCs/>
          <w:sz w:val="20"/>
          <w:szCs w:val="20"/>
        </w:rPr>
        <w:t xml:space="preserve">resilience’ </w:t>
      </w:r>
      <w:r w:rsidRPr="0068236B">
        <w:rPr>
          <w:rFonts w:ascii="Tahoma" w:hAnsi="Tahoma" w:cs="Tahoma"/>
          <w:sz w:val="20"/>
          <w:szCs w:val="20"/>
        </w:rPr>
        <w:t>is defined as the ability of a transmission line and, in wider context a power sy</w:t>
      </w:r>
      <w:r w:rsidRPr="0068236B">
        <w:rPr>
          <w:rFonts w:ascii="Tahoma" w:hAnsi="Tahoma" w:cs="Tahoma"/>
          <w:sz w:val="20"/>
          <w:szCs w:val="20"/>
        </w:rPr>
        <w:t>s</w:t>
      </w:r>
      <w:r w:rsidRPr="0068236B">
        <w:rPr>
          <w:rFonts w:ascii="Tahoma" w:hAnsi="Tahoma" w:cs="Tahoma"/>
          <w:sz w:val="20"/>
          <w:szCs w:val="20"/>
        </w:rPr>
        <w:t xml:space="preserve">tem, to withstand extraordinary and high impact - low probability weather events, </w:t>
      </w:r>
      <w:r w:rsidRPr="0068236B">
        <w:rPr>
          <w:rFonts w:ascii="Tahoma" w:hAnsi="Tahoma" w:cs="Tahoma"/>
          <w:color w:val="221E1F"/>
          <w:sz w:val="20"/>
          <w:szCs w:val="20"/>
        </w:rPr>
        <w:t xml:space="preserve">responding in ways that maintain its essential function </w:t>
      </w:r>
      <w:r w:rsidRPr="0068236B">
        <w:rPr>
          <w:rFonts w:ascii="Tahoma" w:hAnsi="Tahoma" w:cs="Tahoma"/>
          <w:sz w:val="20"/>
          <w:szCs w:val="20"/>
        </w:rPr>
        <w:t>and to rapidly recover from such disruptive events. It also includes the ability to absorb lessons for transforming and adapting its operation and structure to prevent or mitigate the impact of simi</w:t>
      </w:r>
      <w:r w:rsidR="008853B5" w:rsidRPr="0068236B">
        <w:rPr>
          <w:rFonts w:ascii="Tahoma" w:hAnsi="Tahoma" w:cs="Tahoma"/>
          <w:sz w:val="20"/>
          <w:szCs w:val="20"/>
        </w:rPr>
        <w:t>lar events in the future [Ref.31</w:t>
      </w:r>
      <w:r w:rsidRPr="0068236B">
        <w:rPr>
          <w:rFonts w:ascii="Tahoma" w:hAnsi="Tahoma" w:cs="Tahoma"/>
          <w:sz w:val="20"/>
          <w:szCs w:val="20"/>
        </w:rPr>
        <w:t xml:space="preserve">]. </w:t>
      </w:r>
    </w:p>
    <w:p w14:paraId="0180E042" w14:textId="13A14D13" w:rsidR="002304EC" w:rsidRPr="0068236B" w:rsidRDefault="002304EC" w:rsidP="002304EC">
      <w:pPr>
        <w:rPr>
          <w:rFonts w:cs="Tahoma"/>
          <w:sz w:val="20"/>
          <w:szCs w:val="20"/>
        </w:rPr>
      </w:pPr>
      <w:r w:rsidRPr="0068236B">
        <w:rPr>
          <w:rFonts w:cs="Tahoma"/>
          <w:sz w:val="20"/>
          <w:szCs w:val="20"/>
        </w:rPr>
        <w:t>Therefore, the resilience ‘value chain’ integrates robustness, resourcefulness and recovery</w:t>
      </w:r>
      <w:r w:rsidRPr="0068236B">
        <w:rPr>
          <w:rStyle w:val="FootnoteReference"/>
          <w:rFonts w:cs="Tahoma"/>
          <w:sz w:val="20"/>
          <w:szCs w:val="20"/>
        </w:rPr>
        <w:footnoteReference w:id="102"/>
      </w:r>
      <w:r w:rsidRPr="0068236B">
        <w:rPr>
          <w:rFonts w:cs="Tahoma"/>
          <w:sz w:val="20"/>
          <w:szCs w:val="20"/>
        </w:rPr>
        <w:t>:</w:t>
      </w:r>
    </w:p>
    <w:p w14:paraId="4827EB77" w14:textId="77777777" w:rsidR="002304EC" w:rsidRPr="0068236B" w:rsidRDefault="002304EC" w:rsidP="00D24CEF">
      <w:pPr>
        <w:pStyle w:val="ListBullet"/>
        <w:numPr>
          <w:ilvl w:val="0"/>
          <w:numId w:val="97"/>
        </w:numPr>
        <w:jc w:val="left"/>
        <w:rPr>
          <w:sz w:val="20"/>
          <w:szCs w:val="20"/>
        </w:rPr>
      </w:pPr>
      <w:r w:rsidRPr="0068236B">
        <w:rPr>
          <w:rFonts w:cs="Tahoma"/>
          <w:i/>
          <w:iCs/>
          <w:sz w:val="20"/>
          <w:szCs w:val="20"/>
        </w:rPr>
        <w:t>‘Robustness’</w:t>
      </w:r>
      <w:r w:rsidRPr="0068236B">
        <w:rPr>
          <w:rFonts w:cs="Tahoma"/>
          <w:sz w:val="20"/>
          <w:szCs w:val="20"/>
        </w:rPr>
        <w:t>: the ability of an energy system to withstand extreme weather events as well as gradual changes and continue operating.</w:t>
      </w:r>
    </w:p>
    <w:p w14:paraId="3E810382" w14:textId="77777777" w:rsidR="002304EC" w:rsidRPr="0068236B" w:rsidRDefault="002304EC" w:rsidP="00D24CEF">
      <w:pPr>
        <w:pStyle w:val="ListBullet"/>
        <w:numPr>
          <w:ilvl w:val="0"/>
          <w:numId w:val="97"/>
        </w:numPr>
        <w:jc w:val="left"/>
        <w:rPr>
          <w:sz w:val="20"/>
          <w:szCs w:val="20"/>
        </w:rPr>
      </w:pPr>
      <w:r w:rsidRPr="0068236B">
        <w:rPr>
          <w:i/>
          <w:iCs/>
          <w:sz w:val="20"/>
          <w:szCs w:val="20"/>
        </w:rPr>
        <w:t>‘Resourcefulness’</w:t>
      </w:r>
      <w:r w:rsidRPr="0068236B">
        <w:rPr>
          <w:sz w:val="20"/>
          <w:szCs w:val="20"/>
        </w:rPr>
        <w:t>: the ability to effectively manage operations during extreme weather events.</w:t>
      </w:r>
    </w:p>
    <w:p w14:paraId="767057E8" w14:textId="77777777" w:rsidR="002304EC" w:rsidRPr="0068236B" w:rsidRDefault="002304EC" w:rsidP="00D24CEF">
      <w:pPr>
        <w:pStyle w:val="ListBullet"/>
        <w:numPr>
          <w:ilvl w:val="0"/>
          <w:numId w:val="97"/>
        </w:numPr>
        <w:jc w:val="left"/>
        <w:rPr>
          <w:sz w:val="20"/>
          <w:szCs w:val="20"/>
        </w:rPr>
      </w:pPr>
      <w:r w:rsidRPr="0068236B">
        <w:rPr>
          <w:i/>
          <w:iCs/>
          <w:sz w:val="20"/>
          <w:szCs w:val="20"/>
        </w:rPr>
        <w:t>‘Recovery’</w:t>
      </w:r>
      <w:r w:rsidRPr="0068236B">
        <w:rPr>
          <w:sz w:val="20"/>
          <w:szCs w:val="20"/>
        </w:rPr>
        <w:t>: the ability to restore operations to desired performance levels following a disruption.</w:t>
      </w:r>
    </w:p>
    <w:p w14:paraId="288F2C09" w14:textId="1B3DC05F" w:rsidR="009A701B" w:rsidRPr="0068236B" w:rsidRDefault="009A701B" w:rsidP="009A701B">
      <w:pPr>
        <w:pStyle w:val="Heading4"/>
      </w:pPr>
      <w:bookmarkStart w:id="334" w:name="_Toc481953544"/>
      <w:bookmarkStart w:id="335" w:name="_Toc93085930"/>
      <w:r w:rsidRPr="0068236B">
        <w:t>Sector-wide Adaptation Measures and Practices</w:t>
      </w:r>
      <w:bookmarkEnd w:id="334"/>
      <w:bookmarkEnd w:id="335"/>
    </w:p>
    <w:p w14:paraId="070B9383" w14:textId="4563DBCC" w:rsidR="009A701B" w:rsidRPr="0068236B" w:rsidRDefault="009A701B" w:rsidP="009A701B">
      <w:pPr>
        <w:pStyle w:val="Pa11"/>
        <w:spacing w:before="120" w:after="120" w:line="276" w:lineRule="auto"/>
        <w:jc w:val="both"/>
        <w:rPr>
          <w:rFonts w:ascii="Tahoma" w:hAnsi="Tahoma" w:cs="Tahoma"/>
          <w:color w:val="221E1F"/>
          <w:sz w:val="20"/>
          <w:szCs w:val="20"/>
          <w:lang w:val="en-GB"/>
        </w:rPr>
      </w:pPr>
      <w:r w:rsidRPr="0068236B">
        <w:rPr>
          <w:rFonts w:ascii="Tahoma" w:hAnsi="Tahoma" w:cs="Tahoma"/>
          <w:color w:val="221E1F"/>
          <w:sz w:val="20"/>
          <w:szCs w:val="20"/>
          <w:lang w:val="en-GB"/>
        </w:rPr>
        <w:t>Adaptive actions by transmission sector to respond to various threats posed by the changing climate could be categorised as management and technical measures to prevent risks; technological and structural measures to prevent risks; training; and recovery actions. It is important to document experiences from around the world and to share best practices. Below are examples of emerging adaptive p</w:t>
      </w:r>
      <w:r w:rsidR="008853B5" w:rsidRPr="0068236B">
        <w:rPr>
          <w:rFonts w:ascii="Tahoma" w:hAnsi="Tahoma" w:cs="Tahoma"/>
          <w:color w:val="221E1F"/>
          <w:sz w:val="20"/>
          <w:szCs w:val="20"/>
          <w:lang w:val="en-GB"/>
        </w:rPr>
        <w:t>ractices on sector level [Ref.27</w:t>
      </w:r>
      <w:r w:rsidRPr="0068236B">
        <w:rPr>
          <w:rFonts w:ascii="Tahoma" w:hAnsi="Tahoma" w:cs="Tahoma"/>
          <w:color w:val="221E1F"/>
          <w:sz w:val="20"/>
          <w:szCs w:val="20"/>
          <w:lang w:val="en-GB"/>
        </w:rPr>
        <w:t>]:</w:t>
      </w:r>
    </w:p>
    <w:p w14:paraId="6226C774" w14:textId="77777777" w:rsidR="009A701B" w:rsidRPr="0068236B" w:rsidRDefault="009A701B" w:rsidP="00D24CEF">
      <w:pPr>
        <w:pStyle w:val="ListBullet"/>
        <w:numPr>
          <w:ilvl w:val="0"/>
          <w:numId w:val="97"/>
        </w:numPr>
        <w:jc w:val="left"/>
        <w:rPr>
          <w:sz w:val="20"/>
          <w:szCs w:val="20"/>
        </w:rPr>
      </w:pPr>
      <w:r w:rsidRPr="0068236B">
        <w:rPr>
          <w:rStyle w:val="A2"/>
          <w:rFonts w:cs="Tahoma"/>
          <w:color w:val="auto"/>
          <w:sz w:val="20"/>
          <w:szCs w:val="20"/>
        </w:rPr>
        <w:t>Management and technical measures</w:t>
      </w:r>
    </w:p>
    <w:p w14:paraId="04BE9632" w14:textId="77777777" w:rsidR="009A701B" w:rsidRPr="0068236B" w:rsidRDefault="009A701B" w:rsidP="009A701B">
      <w:pPr>
        <w:pStyle w:val="Pa22"/>
        <w:spacing w:before="120" w:after="120" w:line="276" w:lineRule="auto"/>
        <w:jc w:val="both"/>
        <w:rPr>
          <w:rFonts w:ascii="Tahoma" w:hAnsi="Tahoma" w:cs="Tahoma"/>
          <w:sz w:val="20"/>
          <w:szCs w:val="20"/>
          <w:lang w:val="en-GB"/>
        </w:rPr>
      </w:pPr>
      <w:r w:rsidRPr="0068236B">
        <w:rPr>
          <w:rFonts w:ascii="Tahoma" w:hAnsi="Tahoma" w:cs="Tahoma"/>
          <w:sz w:val="20"/>
          <w:szCs w:val="20"/>
          <w:lang w:val="en-GB"/>
        </w:rPr>
        <w:t>Examples include actions for sound transmission line routing to avoid areas prone to extreme weather and modelling climate impacts on existing and planned infrastructure in collaboration with meteorological se</w:t>
      </w:r>
      <w:r w:rsidRPr="0068236B">
        <w:rPr>
          <w:rFonts w:ascii="Tahoma" w:hAnsi="Tahoma" w:cs="Tahoma"/>
          <w:sz w:val="20"/>
          <w:szCs w:val="20"/>
          <w:lang w:val="en-GB"/>
        </w:rPr>
        <w:t>r</w:t>
      </w:r>
      <w:r w:rsidRPr="0068236B">
        <w:rPr>
          <w:rFonts w:ascii="Tahoma" w:hAnsi="Tahoma" w:cs="Tahoma"/>
          <w:sz w:val="20"/>
          <w:szCs w:val="20"/>
          <w:lang w:val="en-GB"/>
        </w:rPr>
        <w:t>vices; undertaking load forecasting using climate information; pruning and managing trees near transmission lines; placing the infrastructure underground (where practical and cost-effective); manufacturing reinforced towers (where required).</w:t>
      </w:r>
    </w:p>
    <w:p w14:paraId="1E94A29B" w14:textId="77777777" w:rsidR="009A701B" w:rsidRPr="0068236B" w:rsidRDefault="009A701B" w:rsidP="00D24CEF">
      <w:pPr>
        <w:pStyle w:val="ListBullet"/>
        <w:numPr>
          <w:ilvl w:val="0"/>
          <w:numId w:val="97"/>
        </w:numPr>
        <w:jc w:val="left"/>
        <w:rPr>
          <w:sz w:val="20"/>
          <w:szCs w:val="20"/>
        </w:rPr>
      </w:pPr>
      <w:r w:rsidRPr="0068236B">
        <w:rPr>
          <w:rStyle w:val="A2"/>
          <w:rFonts w:cs="Tahoma"/>
          <w:color w:val="auto"/>
          <w:sz w:val="20"/>
          <w:szCs w:val="20"/>
        </w:rPr>
        <w:t>Technological and structural measures</w:t>
      </w:r>
    </w:p>
    <w:p w14:paraId="472ECEC1" w14:textId="77777777" w:rsidR="009A701B" w:rsidRPr="0068236B" w:rsidRDefault="009A701B" w:rsidP="009A701B">
      <w:pPr>
        <w:pStyle w:val="Pa22"/>
        <w:spacing w:before="120" w:after="120" w:line="276" w:lineRule="auto"/>
        <w:jc w:val="both"/>
        <w:rPr>
          <w:rFonts w:ascii="Tahoma" w:hAnsi="Tahoma" w:cs="Tahoma"/>
          <w:sz w:val="20"/>
          <w:szCs w:val="20"/>
          <w:lang w:val="en-GB"/>
        </w:rPr>
      </w:pPr>
      <w:r w:rsidRPr="0068236B">
        <w:rPr>
          <w:rFonts w:ascii="Tahoma" w:hAnsi="Tahoma" w:cs="Tahoma"/>
          <w:sz w:val="20"/>
          <w:szCs w:val="20"/>
          <w:lang w:val="en-GB"/>
        </w:rPr>
        <w:t xml:space="preserve">Examples include fortifying flood-prone infrastructure against flooding and use of materials to withstand extreme weather events and temperature fluctuations. </w:t>
      </w:r>
    </w:p>
    <w:p w14:paraId="69BE8FA9" w14:textId="77777777" w:rsidR="009A701B" w:rsidRPr="0068236B" w:rsidRDefault="009A701B" w:rsidP="00D24CEF">
      <w:pPr>
        <w:pStyle w:val="ListBullet"/>
        <w:numPr>
          <w:ilvl w:val="0"/>
          <w:numId w:val="97"/>
        </w:numPr>
        <w:jc w:val="left"/>
        <w:rPr>
          <w:sz w:val="20"/>
          <w:szCs w:val="20"/>
        </w:rPr>
      </w:pPr>
      <w:r w:rsidRPr="0068236B">
        <w:rPr>
          <w:rStyle w:val="A2"/>
          <w:rFonts w:cs="Tahoma"/>
          <w:color w:val="auto"/>
          <w:sz w:val="20"/>
          <w:szCs w:val="20"/>
        </w:rPr>
        <w:t>Training and education</w:t>
      </w:r>
    </w:p>
    <w:p w14:paraId="4E9A4685" w14:textId="77777777" w:rsidR="009A701B" w:rsidRPr="0068236B" w:rsidRDefault="009A701B" w:rsidP="009A701B">
      <w:pPr>
        <w:pStyle w:val="Pa22"/>
        <w:spacing w:before="120" w:after="120" w:line="276" w:lineRule="auto"/>
        <w:jc w:val="both"/>
        <w:rPr>
          <w:rFonts w:ascii="Tahoma" w:hAnsi="Tahoma" w:cs="Tahoma"/>
          <w:sz w:val="20"/>
          <w:szCs w:val="20"/>
          <w:lang w:val="en-GB"/>
        </w:rPr>
      </w:pPr>
      <w:r w:rsidRPr="0068236B">
        <w:rPr>
          <w:rFonts w:ascii="Tahoma" w:hAnsi="Tahoma" w:cs="Tahoma"/>
          <w:sz w:val="20"/>
          <w:szCs w:val="20"/>
          <w:lang w:val="en-GB"/>
        </w:rPr>
        <w:t>Training emergency response teams is imperative for a fast and proper response in the case of a disaster, and also for quick repair and restoration actions. Training for data management, modelling and forecasting is necessary to start integrating climate forecasts into transmission system planning. These activities can be organised in co-operation with government-led capacity-building programmes.</w:t>
      </w:r>
    </w:p>
    <w:p w14:paraId="0F904D63" w14:textId="77777777" w:rsidR="009A701B" w:rsidRPr="0068236B" w:rsidRDefault="009A701B" w:rsidP="00D24CEF">
      <w:pPr>
        <w:pStyle w:val="ListBullet"/>
        <w:numPr>
          <w:ilvl w:val="0"/>
          <w:numId w:val="97"/>
        </w:numPr>
        <w:jc w:val="left"/>
        <w:rPr>
          <w:sz w:val="20"/>
          <w:szCs w:val="20"/>
        </w:rPr>
      </w:pPr>
      <w:r w:rsidRPr="0068236B">
        <w:rPr>
          <w:rStyle w:val="A2"/>
          <w:rFonts w:cs="Tahoma"/>
          <w:color w:val="auto"/>
          <w:sz w:val="20"/>
          <w:szCs w:val="20"/>
        </w:rPr>
        <w:t>Recovery and resourcefulness in addition to robustness</w:t>
      </w:r>
    </w:p>
    <w:p w14:paraId="2DF5861D" w14:textId="77777777" w:rsidR="009A701B" w:rsidRPr="0068236B" w:rsidRDefault="009A701B" w:rsidP="009A701B">
      <w:pPr>
        <w:rPr>
          <w:rFonts w:cs="Tahoma"/>
          <w:sz w:val="20"/>
          <w:szCs w:val="20"/>
        </w:rPr>
      </w:pPr>
      <w:r w:rsidRPr="0068236B">
        <w:rPr>
          <w:rFonts w:cs="Tahoma"/>
          <w:sz w:val="20"/>
          <w:szCs w:val="20"/>
        </w:rPr>
        <w:t>While robustness (the ability to withstand the event) is an important element of resilience, supply-side di</w:t>
      </w:r>
      <w:r w:rsidRPr="0068236B">
        <w:rPr>
          <w:rFonts w:cs="Tahoma"/>
          <w:sz w:val="20"/>
          <w:szCs w:val="20"/>
        </w:rPr>
        <w:t>s</w:t>
      </w:r>
      <w:r w:rsidRPr="0068236B">
        <w:rPr>
          <w:rFonts w:cs="Tahoma"/>
          <w:sz w:val="20"/>
          <w:szCs w:val="20"/>
        </w:rPr>
        <w:t>ruptions may be unavoidable in certain cases. Thus, resourcefulness (the ability to manage operations du</w:t>
      </w:r>
      <w:r w:rsidRPr="0068236B">
        <w:rPr>
          <w:rFonts w:cs="Tahoma"/>
          <w:sz w:val="20"/>
          <w:szCs w:val="20"/>
        </w:rPr>
        <w:t>r</w:t>
      </w:r>
      <w:r w:rsidRPr="0068236B">
        <w:rPr>
          <w:rFonts w:cs="Tahoma"/>
          <w:sz w:val="20"/>
          <w:szCs w:val="20"/>
        </w:rPr>
        <w:t xml:space="preserve">ing an extreme weather event) and efficient recovery actions are important and need to be thought through in advance. An important strategy for the transmission sector is to develop logistical and back-up plans to provide for a rapid recovery from supply interruptions. These include pre-deploying emergency response </w:t>
      </w:r>
      <w:r w:rsidRPr="0068236B">
        <w:rPr>
          <w:rFonts w:cs="Tahoma"/>
          <w:sz w:val="20"/>
          <w:szCs w:val="20"/>
        </w:rPr>
        <w:lastRenderedPageBreak/>
        <w:t>vehicles, training teams for specific recovery actions and developing recovery strategies. Activities in this area focus on shortening the period needed to recover from an extreme weather event. New management practices using smart meters and automated switching devices that allow for much quicker recovery times from disruptions have also been used.</w:t>
      </w:r>
    </w:p>
    <w:p w14:paraId="2D922197" w14:textId="04B2073E" w:rsidR="009A701B" w:rsidRPr="0068236B" w:rsidRDefault="009A701B" w:rsidP="009A701B">
      <w:pPr>
        <w:pStyle w:val="Heading4"/>
      </w:pPr>
      <w:r w:rsidRPr="0068236B">
        <w:t>Design-based Mitigation</w:t>
      </w:r>
    </w:p>
    <w:p w14:paraId="6A87856B" w14:textId="409E3853" w:rsidR="009A701B" w:rsidRPr="0068236B" w:rsidRDefault="009A701B" w:rsidP="009A701B">
      <w:pPr>
        <w:rPr>
          <w:rFonts w:cs="Tahoma"/>
          <w:sz w:val="20"/>
          <w:szCs w:val="20"/>
        </w:rPr>
      </w:pPr>
      <w:r w:rsidRPr="0068236B">
        <w:rPr>
          <w:rFonts w:cs="Tahoma"/>
          <w:sz w:val="20"/>
          <w:szCs w:val="20"/>
        </w:rPr>
        <w:t>The climate resilience strategy of the Project takes into account measures incorporated into the present feasibility design of the Project (Conceptual Solution) as well as assumptions and principles to be incorp</w:t>
      </w:r>
      <w:r w:rsidRPr="0068236B">
        <w:rPr>
          <w:rFonts w:cs="Tahoma"/>
          <w:sz w:val="20"/>
          <w:szCs w:val="20"/>
        </w:rPr>
        <w:t>o</w:t>
      </w:r>
      <w:r w:rsidRPr="0068236B">
        <w:rPr>
          <w:rFonts w:cs="Tahoma"/>
          <w:sz w:val="20"/>
          <w:szCs w:val="20"/>
        </w:rPr>
        <w:t xml:space="preserve">rated during the next Project’s development stages (e.g. Preliminary Design and Detailed Design). These design measures for mitigation of the likely significant impacts have been adopted based on the national design requirements and international standards as a precautionary approach to ensure that future-proofing design is achieved, so that the key Project assets will perform satisfactorily throughout their design life in the event of extreme climatic events. The </w:t>
      </w:r>
      <w:r w:rsidR="00292DCB" w:rsidRPr="0068236B">
        <w:rPr>
          <w:rFonts w:cs="Tahoma"/>
          <w:sz w:val="20"/>
          <w:szCs w:val="20"/>
        </w:rPr>
        <w:t xml:space="preserve">climate-related Project approach, </w:t>
      </w:r>
      <w:r w:rsidR="005E6643" w:rsidRPr="0068236B">
        <w:rPr>
          <w:rFonts w:cs="Tahoma"/>
          <w:sz w:val="20"/>
          <w:szCs w:val="20"/>
        </w:rPr>
        <w:t>i.e.</w:t>
      </w:r>
      <w:r w:rsidR="00292DCB" w:rsidRPr="0068236B">
        <w:rPr>
          <w:rFonts w:cs="Tahoma"/>
          <w:sz w:val="20"/>
          <w:szCs w:val="20"/>
        </w:rPr>
        <w:t xml:space="preserve"> the </w:t>
      </w:r>
      <w:r w:rsidRPr="0068236B">
        <w:rPr>
          <w:rFonts w:cs="Tahoma"/>
          <w:sz w:val="20"/>
          <w:szCs w:val="20"/>
        </w:rPr>
        <w:t>key climate resil</w:t>
      </w:r>
      <w:r w:rsidR="00AD52EF" w:rsidRPr="0068236B">
        <w:rPr>
          <w:rFonts w:cs="Tahoma"/>
          <w:sz w:val="20"/>
          <w:szCs w:val="20"/>
        </w:rPr>
        <w:t>i</w:t>
      </w:r>
      <w:r w:rsidR="00292DCB" w:rsidRPr="0068236B">
        <w:rPr>
          <w:rFonts w:cs="Tahoma"/>
          <w:sz w:val="20"/>
          <w:szCs w:val="20"/>
        </w:rPr>
        <w:t xml:space="preserve">ence </w:t>
      </w:r>
      <w:r w:rsidR="00AD52EF" w:rsidRPr="0068236B">
        <w:rPr>
          <w:rFonts w:cs="Tahoma"/>
          <w:sz w:val="20"/>
          <w:szCs w:val="20"/>
        </w:rPr>
        <w:t xml:space="preserve">measures </w:t>
      </w:r>
      <w:r w:rsidR="00292DCB" w:rsidRPr="0068236B">
        <w:rPr>
          <w:rFonts w:cs="Tahoma"/>
          <w:sz w:val="20"/>
          <w:szCs w:val="20"/>
        </w:rPr>
        <w:t xml:space="preserve">related to the Project’s technical design </w:t>
      </w:r>
      <w:r w:rsidR="005E6643" w:rsidRPr="0068236B">
        <w:rPr>
          <w:rFonts w:cs="Tahoma"/>
          <w:sz w:val="20"/>
          <w:szCs w:val="20"/>
        </w:rPr>
        <w:t>is</w:t>
      </w:r>
      <w:r w:rsidR="00AD52EF" w:rsidRPr="0068236B">
        <w:rPr>
          <w:rFonts w:cs="Tahoma"/>
          <w:sz w:val="20"/>
          <w:szCs w:val="20"/>
        </w:rPr>
        <w:t xml:space="preserve"> presented </w:t>
      </w:r>
      <w:r w:rsidRPr="0068236B">
        <w:rPr>
          <w:rFonts w:cs="Tahoma"/>
          <w:sz w:val="20"/>
          <w:szCs w:val="20"/>
        </w:rPr>
        <w:t>below.</w:t>
      </w:r>
    </w:p>
    <w:p w14:paraId="75D67E7A" w14:textId="708D41D7" w:rsidR="00AD52EF" w:rsidRPr="0068236B" w:rsidRDefault="00292DCB" w:rsidP="00D24CEF">
      <w:pPr>
        <w:pStyle w:val="ListBullet"/>
        <w:numPr>
          <w:ilvl w:val="0"/>
          <w:numId w:val="97"/>
        </w:numPr>
        <w:rPr>
          <w:rFonts w:cs="Tahoma"/>
          <w:sz w:val="20"/>
          <w:szCs w:val="20"/>
        </w:rPr>
      </w:pPr>
      <w:bookmarkStart w:id="336" w:name="_Toc481953474"/>
      <w:r w:rsidRPr="0068236B">
        <w:rPr>
          <w:rFonts w:cs="Tahoma"/>
          <w:iCs/>
          <w:sz w:val="20"/>
          <w:szCs w:val="20"/>
        </w:rPr>
        <w:t xml:space="preserve">Present Technical </w:t>
      </w:r>
      <w:r w:rsidR="00AD52EF" w:rsidRPr="0068236B">
        <w:rPr>
          <w:rFonts w:cs="Tahoma"/>
          <w:iCs/>
          <w:sz w:val="20"/>
          <w:szCs w:val="20"/>
        </w:rPr>
        <w:t xml:space="preserve">Design </w:t>
      </w:r>
      <w:bookmarkEnd w:id="336"/>
      <w:r w:rsidRPr="0068236B">
        <w:rPr>
          <w:rFonts w:cs="Tahoma"/>
          <w:iCs/>
          <w:sz w:val="20"/>
          <w:szCs w:val="20"/>
        </w:rPr>
        <w:t>(Feasibility Design / Conceptual Solution)</w:t>
      </w:r>
    </w:p>
    <w:p w14:paraId="5B0879FE" w14:textId="77777777" w:rsidR="00AD52EF" w:rsidRPr="0068236B" w:rsidRDefault="00AD52EF" w:rsidP="00AD52EF">
      <w:pPr>
        <w:rPr>
          <w:rFonts w:cs="Tahoma"/>
          <w:sz w:val="20"/>
          <w:szCs w:val="20"/>
        </w:rPr>
      </w:pPr>
      <w:r w:rsidRPr="0068236B">
        <w:rPr>
          <w:rFonts w:cs="Tahoma"/>
          <w:sz w:val="20"/>
          <w:szCs w:val="20"/>
        </w:rPr>
        <w:t>There are several existing transmission lines, within the area of the Project, including:</w:t>
      </w:r>
    </w:p>
    <w:p w14:paraId="6F3CE03C" w14:textId="77777777" w:rsidR="00AD52EF" w:rsidRPr="0068236B" w:rsidRDefault="00AD52EF" w:rsidP="00D24CEF">
      <w:pPr>
        <w:pStyle w:val="ListBullet2"/>
        <w:numPr>
          <w:ilvl w:val="1"/>
          <w:numId w:val="97"/>
        </w:numPr>
        <w:rPr>
          <w:sz w:val="20"/>
          <w:szCs w:val="20"/>
        </w:rPr>
      </w:pPr>
      <w:r w:rsidRPr="0068236B">
        <w:rPr>
          <w:sz w:val="20"/>
          <w:szCs w:val="20"/>
        </w:rPr>
        <w:t>400 kV OHL from SS Dubrovo to Thessalonica (Greece)</w:t>
      </w:r>
    </w:p>
    <w:p w14:paraId="0D734B45" w14:textId="0D4D4CE9" w:rsidR="00AD52EF" w:rsidRPr="0068236B" w:rsidRDefault="00AD52EF" w:rsidP="00D24CEF">
      <w:pPr>
        <w:pStyle w:val="ListBullet2"/>
        <w:numPr>
          <w:ilvl w:val="1"/>
          <w:numId w:val="97"/>
        </w:numPr>
        <w:rPr>
          <w:sz w:val="20"/>
          <w:szCs w:val="20"/>
        </w:rPr>
      </w:pPr>
      <w:r w:rsidRPr="0068236B">
        <w:rPr>
          <w:sz w:val="20"/>
          <w:szCs w:val="20"/>
        </w:rPr>
        <w:t>110 kV OHL from SS Valandovo</w:t>
      </w:r>
      <w:r w:rsidR="00562E86" w:rsidRPr="0068236B">
        <w:rPr>
          <w:sz w:val="20"/>
          <w:szCs w:val="20"/>
        </w:rPr>
        <w:t xml:space="preserve"> </w:t>
      </w:r>
      <w:r w:rsidRPr="0068236B">
        <w:rPr>
          <w:sz w:val="20"/>
          <w:szCs w:val="20"/>
        </w:rPr>
        <w:t xml:space="preserve">to SS ‘EVP’ Miletkovo (subject to reconstruction and part of the Project) </w:t>
      </w:r>
    </w:p>
    <w:p w14:paraId="1B1B5815" w14:textId="48C4E1E8" w:rsidR="00AD52EF" w:rsidRPr="0068236B" w:rsidRDefault="00AD52EF" w:rsidP="00D24CEF">
      <w:pPr>
        <w:pStyle w:val="ListBullet2"/>
        <w:numPr>
          <w:ilvl w:val="1"/>
          <w:numId w:val="97"/>
        </w:numPr>
        <w:rPr>
          <w:sz w:val="20"/>
          <w:szCs w:val="20"/>
        </w:rPr>
      </w:pPr>
      <w:r w:rsidRPr="0068236B">
        <w:rPr>
          <w:sz w:val="20"/>
          <w:szCs w:val="20"/>
        </w:rPr>
        <w:t xml:space="preserve">110 kV OHL from SS Valandovo to SS Strumica (subject to reconstruction and part of the wider development scheme for strengthening the transmission network in the Southeast Region of </w:t>
      </w:r>
      <w:r w:rsidR="00462949" w:rsidRPr="0068236B">
        <w:rPr>
          <w:sz w:val="20"/>
          <w:szCs w:val="20"/>
        </w:rPr>
        <w:t>Macedonia</w:t>
      </w:r>
      <w:r w:rsidRPr="0068236B">
        <w:rPr>
          <w:sz w:val="20"/>
          <w:szCs w:val="20"/>
        </w:rPr>
        <w:t>)</w:t>
      </w:r>
    </w:p>
    <w:p w14:paraId="030ED215" w14:textId="77777777" w:rsidR="00AD52EF" w:rsidRPr="0068236B" w:rsidRDefault="00AD52EF" w:rsidP="00D24CEF">
      <w:pPr>
        <w:pStyle w:val="ListBullet2"/>
        <w:numPr>
          <w:ilvl w:val="1"/>
          <w:numId w:val="97"/>
        </w:numPr>
        <w:rPr>
          <w:sz w:val="20"/>
          <w:szCs w:val="20"/>
        </w:rPr>
      </w:pPr>
      <w:r w:rsidRPr="0068236B">
        <w:rPr>
          <w:sz w:val="20"/>
          <w:szCs w:val="20"/>
        </w:rPr>
        <w:t>110 kV OHL from SS Valandovo to SS Miravci</w:t>
      </w:r>
    </w:p>
    <w:p w14:paraId="6A9E28CC" w14:textId="77777777" w:rsidR="00AD52EF" w:rsidRPr="0068236B" w:rsidRDefault="00AD52EF" w:rsidP="00D24CEF">
      <w:pPr>
        <w:pStyle w:val="ListBullet2"/>
        <w:numPr>
          <w:ilvl w:val="1"/>
          <w:numId w:val="97"/>
        </w:numPr>
        <w:rPr>
          <w:sz w:val="20"/>
          <w:szCs w:val="20"/>
        </w:rPr>
      </w:pPr>
      <w:r w:rsidRPr="0068236B">
        <w:rPr>
          <w:sz w:val="20"/>
          <w:szCs w:val="20"/>
        </w:rPr>
        <w:t>110 kV OHL from SS Valandovo to SS Gevgelija</w:t>
      </w:r>
    </w:p>
    <w:p w14:paraId="50900AA7" w14:textId="77777777" w:rsidR="00AD52EF" w:rsidRPr="0068236B" w:rsidRDefault="00AD52EF" w:rsidP="00AD52EF">
      <w:pPr>
        <w:rPr>
          <w:rFonts w:cs="Tahoma"/>
          <w:sz w:val="20"/>
          <w:szCs w:val="20"/>
        </w:rPr>
      </w:pPr>
      <w:r w:rsidRPr="0068236B">
        <w:rPr>
          <w:rFonts w:cs="Tahoma"/>
          <w:sz w:val="20"/>
          <w:szCs w:val="20"/>
        </w:rPr>
        <w:t>In addition, the following operational substations are situated in the Project area:</w:t>
      </w:r>
    </w:p>
    <w:p w14:paraId="40F592C4" w14:textId="77777777" w:rsidR="00AD52EF" w:rsidRPr="0068236B" w:rsidRDefault="00AD52EF" w:rsidP="00D24CEF">
      <w:pPr>
        <w:pStyle w:val="ListBullet2"/>
        <w:numPr>
          <w:ilvl w:val="1"/>
          <w:numId w:val="97"/>
        </w:numPr>
        <w:rPr>
          <w:sz w:val="20"/>
          <w:szCs w:val="20"/>
        </w:rPr>
      </w:pPr>
      <w:r w:rsidRPr="0068236B">
        <w:rPr>
          <w:sz w:val="20"/>
          <w:szCs w:val="20"/>
        </w:rPr>
        <w:t xml:space="preserve">400/110 kV SS Dubrovo, Negotino municipality </w:t>
      </w:r>
    </w:p>
    <w:p w14:paraId="280C4AD6" w14:textId="77777777" w:rsidR="00AD52EF" w:rsidRPr="0068236B" w:rsidRDefault="00AD52EF" w:rsidP="00D24CEF">
      <w:pPr>
        <w:pStyle w:val="ListBullet2"/>
        <w:numPr>
          <w:ilvl w:val="1"/>
          <w:numId w:val="97"/>
        </w:numPr>
        <w:rPr>
          <w:sz w:val="20"/>
          <w:szCs w:val="20"/>
        </w:rPr>
      </w:pPr>
      <w:r w:rsidRPr="0068236B">
        <w:rPr>
          <w:sz w:val="20"/>
          <w:szCs w:val="20"/>
        </w:rPr>
        <w:t>110/20 kV SS ‘EVP’ Miletkovo, Gevgelija municipality</w:t>
      </w:r>
    </w:p>
    <w:p w14:paraId="7A9FC137" w14:textId="77777777" w:rsidR="00AD52EF" w:rsidRPr="0068236B" w:rsidRDefault="00AD52EF" w:rsidP="00D24CEF">
      <w:pPr>
        <w:pStyle w:val="ListBullet2"/>
        <w:numPr>
          <w:ilvl w:val="1"/>
          <w:numId w:val="97"/>
        </w:numPr>
        <w:rPr>
          <w:sz w:val="20"/>
          <w:szCs w:val="20"/>
        </w:rPr>
      </w:pPr>
      <w:r w:rsidRPr="0068236B">
        <w:rPr>
          <w:sz w:val="20"/>
          <w:szCs w:val="20"/>
        </w:rPr>
        <w:t>110/35 kV Valandovo, Valandovo municipality</w:t>
      </w:r>
    </w:p>
    <w:p w14:paraId="5DC45423" w14:textId="77777777" w:rsidR="00AD52EF" w:rsidRPr="0068236B" w:rsidRDefault="00AD52EF" w:rsidP="00AD52EF">
      <w:pPr>
        <w:rPr>
          <w:rFonts w:cs="Tahoma"/>
          <w:sz w:val="20"/>
          <w:szCs w:val="20"/>
        </w:rPr>
      </w:pPr>
      <w:r w:rsidRPr="0068236B">
        <w:rPr>
          <w:rFonts w:cs="Tahoma"/>
          <w:sz w:val="20"/>
          <w:szCs w:val="20"/>
        </w:rPr>
        <w:t>These transmission lines and substations have been in service from between 20 and over 50 years. Climate data and design parameters used for design of these lines and substations, as well as collected statistic data and experience, gained by MEPSO during the operation and maintenance of these facilities were valuable information used for definition of the climate and other design parameters for the proposed Project. Accor</w:t>
      </w:r>
      <w:r w:rsidRPr="0068236B">
        <w:rPr>
          <w:rFonts w:cs="Tahoma"/>
          <w:sz w:val="20"/>
          <w:szCs w:val="20"/>
        </w:rPr>
        <w:t>d</w:t>
      </w:r>
      <w:r w:rsidRPr="0068236B">
        <w:rPr>
          <w:rFonts w:cs="Tahoma"/>
          <w:sz w:val="20"/>
          <w:szCs w:val="20"/>
        </w:rPr>
        <w:t>ing to this information, and based on the national technical standards, the following climate parameters were proposed for each of the Project elements, as defined below.</w:t>
      </w:r>
    </w:p>
    <w:p w14:paraId="4FDCB7FA" w14:textId="4BF124B7" w:rsidR="00AD52EF" w:rsidRPr="0068236B" w:rsidRDefault="00AD52EF" w:rsidP="00D24CEF">
      <w:pPr>
        <w:pStyle w:val="ListParagraph"/>
        <w:numPr>
          <w:ilvl w:val="0"/>
          <w:numId w:val="80"/>
        </w:numPr>
        <w:rPr>
          <w:rFonts w:cs="Tahoma"/>
          <w:sz w:val="20"/>
          <w:szCs w:val="20"/>
        </w:rPr>
      </w:pPr>
      <w:r w:rsidRPr="0068236B">
        <w:rPr>
          <w:rFonts w:cs="Tahoma"/>
          <w:sz w:val="20"/>
          <w:szCs w:val="20"/>
        </w:rPr>
        <w:t xml:space="preserve">400/110 kV SS Dubrovo, Negotino municipality </w:t>
      </w:r>
    </w:p>
    <w:tbl>
      <w:tblPr>
        <w:tblW w:w="8992" w:type="dxa"/>
        <w:tblInd w:w="108" w:type="dxa"/>
        <w:tblCellMar>
          <w:left w:w="28" w:type="dxa"/>
          <w:right w:w="28" w:type="dxa"/>
        </w:tblCellMar>
        <w:tblLook w:val="04A0" w:firstRow="1" w:lastRow="0" w:firstColumn="1" w:lastColumn="0" w:noHBand="0" w:noVBand="1"/>
      </w:tblPr>
      <w:tblGrid>
        <w:gridCol w:w="2897"/>
        <w:gridCol w:w="1560"/>
        <w:gridCol w:w="1381"/>
        <w:gridCol w:w="1728"/>
        <w:gridCol w:w="1426"/>
      </w:tblGrid>
      <w:tr w:rsidR="00AD52EF" w:rsidRPr="0068236B" w14:paraId="4848D439" w14:textId="77777777" w:rsidTr="00410837">
        <w:trPr>
          <w:trHeight w:val="259"/>
        </w:trPr>
        <w:tc>
          <w:tcPr>
            <w:tcW w:w="2897" w:type="dxa"/>
            <w:vMerge w:val="restart"/>
            <w:tcBorders>
              <w:top w:val="double" w:sz="4" w:space="0" w:color="auto"/>
              <w:left w:val="double" w:sz="4" w:space="0" w:color="auto"/>
              <w:right w:val="double" w:sz="4" w:space="0" w:color="auto"/>
            </w:tcBorders>
            <w:shd w:val="clear" w:color="auto" w:fill="B4C6E7" w:themeFill="accent1" w:themeFillTint="66"/>
            <w:vAlign w:val="center"/>
            <w:hideMark/>
          </w:tcPr>
          <w:p w14:paraId="618AD5EC"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Project element</w:t>
            </w:r>
          </w:p>
        </w:tc>
        <w:tc>
          <w:tcPr>
            <w:tcW w:w="2941" w:type="dxa"/>
            <w:gridSpan w:val="2"/>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263DB25A"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Temperature</w:t>
            </w:r>
          </w:p>
        </w:tc>
        <w:tc>
          <w:tcPr>
            <w:tcW w:w="1728" w:type="dxa"/>
            <w:vMerge w:val="restart"/>
            <w:tcBorders>
              <w:top w:val="double" w:sz="4" w:space="0" w:color="auto"/>
              <w:left w:val="double" w:sz="4" w:space="0" w:color="auto"/>
              <w:right w:val="double" w:sz="4" w:space="0" w:color="auto"/>
            </w:tcBorders>
            <w:shd w:val="clear" w:color="auto" w:fill="B4C6E7" w:themeFill="accent1" w:themeFillTint="66"/>
          </w:tcPr>
          <w:p w14:paraId="27EFE496"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Relative ambient humidity</w:t>
            </w:r>
          </w:p>
        </w:tc>
        <w:tc>
          <w:tcPr>
            <w:tcW w:w="1426" w:type="dxa"/>
            <w:vMerge w:val="restart"/>
            <w:tcBorders>
              <w:top w:val="double" w:sz="4" w:space="0" w:color="auto"/>
              <w:left w:val="double" w:sz="4" w:space="0" w:color="auto"/>
              <w:right w:val="double" w:sz="4" w:space="0" w:color="auto"/>
            </w:tcBorders>
            <w:shd w:val="clear" w:color="auto" w:fill="B4C6E7" w:themeFill="accent1" w:themeFillTint="66"/>
          </w:tcPr>
          <w:p w14:paraId="392129AE"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Wind velocity</w:t>
            </w:r>
          </w:p>
        </w:tc>
      </w:tr>
      <w:tr w:rsidR="00AD52EF" w:rsidRPr="0068236B" w14:paraId="53B4DFFE" w14:textId="77777777" w:rsidTr="00410837">
        <w:trPr>
          <w:trHeight w:val="239"/>
        </w:trPr>
        <w:tc>
          <w:tcPr>
            <w:tcW w:w="2897" w:type="dxa"/>
            <w:vMerge/>
            <w:tcBorders>
              <w:left w:val="double" w:sz="4" w:space="0" w:color="auto"/>
              <w:bottom w:val="double" w:sz="4" w:space="0" w:color="auto"/>
              <w:right w:val="double" w:sz="4" w:space="0" w:color="auto"/>
            </w:tcBorders>
            <w:shd w:val="clear" w:color="auto" w:fill="B4C6E7" w:themeFill="accent1" w:themeFillTint="66"/>
            <w:vAlign w:val="center"/>
            <w:hideMark/>
          </w:tcPr>
          <w:p w14:paraId="2D026AA5" w14:textId="77777777" w:rsidR="00AD52EF" w:rsidRPr="0068236B" w:rsidRDefault="00AD52EF" w:rsidP="00AD52EF">
            <w:pPr>
              <w:spacing w:before="0" w:after="0" w:line="240" w:lineRule="auto"/>
              <w:jc w:val="center"/>
              <w:rPr>
                <w:rFonts w:cs="Tahoma"/>
                <w:sz w:val="20"/>
                <w:szCs w:val="20"/>
              </w:rPr>
            </w:pPr>
          </w:p>
        </w:tc>
        <w:tc>
          <w:tcPr>
            <w:tcW w:w="1560"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50C210E9"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Maximum</w:t>
            </w:r>
          </w:p>
        </w:tc>
        <w:tc>
          <w:tcPr>
            <w:tcW w:w="1381"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400F93BC"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Minimum</w:t>
            </w:r>
          </w:p>
        </w:tc>
        <w:tc>
          <w:tcPr>
            <w:tcW w:w="1728" w:type="dxa"/>
            <w:vMerge/>
            <w:tcBorders>
              <w:left w:val="double" w:sz="4" w:space="0" w:color="auto"/>
              <w:bottom w:val="double" w:sz="4" w:space="0" w:color="auto"/>
              <w:right w:val="double" w:sz="4" w:space="0" w:color="auto"/>
            </w:tcBorders>
            <w:shd w:val="clear" w:color="auto" w:fill="B4C6E7" w:themeFill="accent1" w:themeFillTint="66"/>
          </w:tcPr>
          <w:p w14:paraId="30A36C03" w14:textId="77777777" w:rsidR="00AD52EF" w:rsidRPr="0068236B" w:rsidRDefault="00AD52EF" w:rsidP="00AD52EF">
            <w:pPr>
              <w:spacing w:before="0" w:after="0" w:line="240" w:lineRule="auto"/>
              <w:jc w:val="center"/>
              <w:rPr>
                <w:rFonts w:cs="Tahoma"/>
                <w:sz w:val="20"/>
                <w:szCs w:val="20"/>
              </w:rPr>
            </w:pPr>
          </w:p>
        </w:tc>
        <w:tc>
          <w:tcPr>
            <w:tcW w:w="1426" w:type="dxa"/>
            <w:vMerge/>
            <w:tcBorders>
              <w:left w:val="double" w:sz="4" w:space="0" w:color="auto"/>
              <w:bottom w:val="double" w:sz="4" w:space="0" w:color="auto"/>
              <w:right w:val="double" w:sz="4" w:space="0" w:color="auto"/>
            </w:tcBorders>
            <w:shd w:val="clear" w:color="auto" w:fill="B4C6E7" w:themeFill="accent1" w:themeFillTint="66"/>
          </w:tcPr>
          <w:p w14:paraId="08738B55" w14:textId="77777777" w:rsidR="00AD52EF" w:rsidRPr="0068236B" w:rsidRDefault="00AD52EF" w:rsidP="00AD52EF">
            <w:pPr>
              <w:spacing w:before="0" w:after="0" w:line="240" w:lineRule="auto"/>
              <w:jc w:val="center"/>
              <w:rPr>
                <w:rFonts w:cs="Tahoma"/>
                <w:sz w:val="20"/>
                <w:szCs w:val="20"/>
              </w:rPr>
            </w:pPr>
          </w:p>
        </w:tc>
      </w:tr>
      <w:tr w:rsidR="00AD52EF" w:rsidRPr="0068236B" w14:paraId="29A17878" w14:textId="77777777" w:rsidTr="00AD52EF">
        <w:trPr>
          <w:trHeight w:val="238"/>
        </w:trPr>
        <w:tc>
          <w:tcPr>
            <w:tcW w:w="2897" w:type="dxa"/>
            <w:tcBorders>
              <w:top w:val="double" w:sz="4" w:space="0" w:color="auto"/>
              <w:left w:val="double" w:sz="4" w:space="0" w:color="auto"/>
              <w:bottom w:val="double" w:sz="4" w:space="0" w:color="auto"/>
              <w:right w:val="single" w:sz="8" w:space="0" w:color="auto"/>
            </w:tcBorders>
            <w:shd w:val="clear" w:color="auto" w:fill="auto"/>
            <w:vAlign w:val="center"/>
          </w:tcPr>
          <w:p w14:paraId="5D02023E" w14:textId="77777777" w:rsidR="00AD52EF" w:rsidRPr="0068236B" w:rsidRDefault="00AD52EF" w:rsidP="00AD52EF">
            <w:pPr>
              <w:spacing w:before="0" w:after="0" w:line="240" w:lineRule="auto"/>
              <w:rPr>
                <w:rFonts w:eastAsiaTheme="minorHAnsi" w:cs="Tahoma"/>
                <w:sz w:val="20"/>
                <w:szCs w:val="20"/>
                <w:lang w:eastAsia="en-US"/>
              </w:rPr>
            </w:pPr>
            <w:r w:rsidRPr="0068236B">
              <w:rPr>
                <w:rFonts w:cs="Tahoma"/>
                <w:sz w:val="20"/>
                <w:szCs w:val="20"/>
              </w:rPr>
              <w:t>New 400/110 kV SS Miletkovo</w:t>
            </w:r>
          </w:p>
        </w:tc>
        <w:tc>
          <w:tcPr>
            <w:tcW w:w="1560" w:type="dxa"/>
            <w:tcBorders>
              <w:top w:val="double" w:sz="4" w:space="0" w:color="auto"/>
              <w:left w:val="nil"/>
              <w:bottom w:val="double" w:sz="4" w:space="0" w:color="auto"/>
              <w:right w:val="single" w:sz="4" w:space="0" w:color="auto"/>
            </w:tcBorders>
          </w:tcPr>
          <w:p w14:paraId="311CDEBD"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+45ºC</w:t>
            </w:r>
          </w:p>
        </w:tc>
        <w:tc>
          <w:tcPr>
            <w:tcW w:w="1381" w:type="dxa"/>
            <w:tcBorders>
              <w:top w:val="double" w:sz="4" w:space="0" w:color="auto"/>
              <w:left w:val="single" w:sz="4" w:space="0" w:color="auto"/>
              <w:bottom w:val="double" w:sz="4" w:space="0" w:color="auto"/>
              <w:right w:val="single" w:sz="4" w:space="0" w:color="auto"/>
            </w:tcBorders>
          </w:tcPr>
          <w:p w14:paraId="3B99C6D0"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-40ºC</w:t>
            </w:r>
          </w:p>
        </w:tc>
        <w:tc>
          <w:tcPr>
            <w:tcW w:w="1728" w:type="dxa"/>
            <w:tcBorders>
              <w:top w:val="double" w:sz="4" w:space="0" w:color="auto"/>
              <w:left w:val="single" w:sz="4" w:space="0" w:color="auto"/>
              <w:bottom w:val="double" w:sz="4" w:space="0" w:color="auto"/>
              <w:right w:val="single" w:sz="4" w:space="0" w:color="auto"/>
            </w:tcBorders>
          </w:tcPr>
          <w:p w14:paraId="156CDE59"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≥90%</w:t>
            </w:r>
          </w:p>
        </w:tc>
        <w:tc>
          <w:tcPr>
            <w:tcW w:w="1426" w:type="dxa"/>
            <w:tcBorders>
              <w:top w:val="double" w:sz="4" w:space="0" w:color="auto"/>
              <w:left w:val="single" w:sz="4" w:space="0" w:color="auto"/>
              <w:bottom w:val="double" w:sz="4" w:space="0" w:color="auto"/>
              <w:right w:val="double" w:sz="4" w:space="0" w:color="auto"/>
            </w:tcBorders>
          </w:tcPr>
          <w:p w14:paraId="0C9ACC6F" w14:textId="6DA3243E" w:rsidR="00AD52EF" w:rsidRPr="0068236B" w:rsidRDefault="00AD52EF" w:rsidP="00D24CEF">
            <w:pPr>
              <w:pStyle w:val="ListParagraph"/>
              <w:numPr>
                <w:ilvl w:val="0"/>
                <w:numId w:val="81"/>
              </w:numPr>
              <w:spacing w:before="0" w:after="0" w:line="240" w:lineRule="auto"/>
              <w:jc w:val="center"/>
              <w:rPr>
                <w:rFonts w:cs="Tahoma"/>
                <w:sz w:val="20"/>
                <w:szCs w:val="20"/>
              </w:rPr>
            </w:pPr>
            <w:r w:rsidRPr="0068236B">
              <w:rPr>
                <w:rFonts w:cs="Tahoma"/>
                <w:sz w:val="20"/>
                <w:szCs w:val="20"/>
              </w:rPr>
              <w:t>/h</w:t>
            </w:r>
          </w:p>
        </w:tc>
      </w:tr>
    </w:tbl>
    <w:p w14:paraId="26E4CDF0" w14:textId="42EF30D3" w:rsidR="00AD52EF" w:rsidRPr="0068236B" w:rsidRDefault="00AD52EF" w:rsidP="00AD52EF">
      <w:pPr>
        <w:spacing w:before="60" w:after="240" w:line="240" w:lineRule="auto"/>
        <w:rPr>
          <w:rFonts w:cs="Tahoma"/>
          <w:sz w:val="18"/>
          <w:szCs w:val="18"/>
        </w:rPr>
      </w:pPr>
      <w:bookmarkStart w:id="337" w:name="_Toc113018205"/>
      <w:r w:rsidRPr="0068236B">
        <w:rPr>
          <w:rFonts w:cs="Tahoma"/>
          <w:bCs/>
          <w:sz w:val="18"/>
          <w:szCs w:val="18"/>
        </w:rPr>
        <w:t xml:space="preserve">Table </w:t>
      </w:r>
      <w:r w:rsidRPr="0068236B">
        <w:rPr>
          <w:rFonts w:cs="Tahoma"/>
          <w:bCs/>
          <w:sz w:val="18"/>
          <w:szCs w:val="18"/>
        </w:rPr>
        <w:fldChar w:fldCharType="begin"/>
      </w:r>
      <w:r w:rsidRPr="0068236B">
        <w:rPr>
          <w:rFonts w:cs="Tahoma"/>
          <w:bCs/>
          <w:sz w:val="18"/>
          <w:szCs w:val="18"/>
        </w:rPr>
        <w:instrText xml:space="preserve"> STYLEREF 1 \s </w:instrText>
      </w:r>
      <w:r w:rsidRPr="0068236B">
        <w:rPr>
          <w:rFonts w:cs="Tahoma"/>
          <w:bCs/>
          <w:sz w:val="18"/>
          <w:szCs w:val="18"/>
        </w:rPr>
        <w:fldChar w:fldCharType="separate"/>
      </w:r>
      <w:r w:rsidR="00FD57E6">
        <w:rPr>
          <w:rFonts w:cs="Tahoma"/>
          <w:bCs/>
          <w:noProof/>
          <w:sz w:val="18"/>
          <w:szCs w:val="18"/>
        </w:rPr>
        <w:t>8</w:t>
      </w:r>
      <w:r w:rsidRPr="0068236B">
        <w:rPr>
          <w:rFonts w:cs="Tahoma"/>
          <w:bCs/>
          <w:sz w:val="18"/>
          <w:szCs w:val="18"/>
        </w:rPr>
        <w:fldChar w:fldCharType="end"/>
      </w:r>
      <w:r w:rsidR="0087135B" w:rsidRPr="0068236B">
        <w:rPr>
          <w:rFonts w:cs="Tahoma"/>
          <w:bCs/>
          <w:sz w:val="18"/>
          <w:szCs w:val="18"/>
        </w:rPr>
        <w:t>.</w:t>
      </w:r>
      <w:r w:rsidRPr="0068236B">
        <w:rPr>
          <w:rFonts w:cs="Tahoma"/>
          <w:bCs/>
          <w:sz w:val="18"/>
          <w:szCs w:val="18"/>
        </w:rPr>
        <w:fldChar w:fldCharType="begin"/>
      </w:r>
      <w:r w:rsidRPr="0068236B">
        <w:rPr>
          <w:rFonts w:cs="Tahoma"/>
          <w:bCs/>
          <w:sz w:val="18"/>
          <w:szCs w:val="18"/>
        </w:rPr>
        <w:instrText xml:space="preserve"> SEQ Table \* ARABIC \s 1 </w:instrText>
      </w:r>
      <w:r w:rsidRPr="0068236B">
        <w:rPr>
          <w:rFonts w:cs="Tahoma"/>
          <w:bCs/>
          <w:sz w:val="18"/>
          <w:szCs w:val="18"/>
        </w:rPr>
        <w:fldChar w:fldCharType="separate"/>
      </w:r>
      <w:r w:rsidR="00FD57E6">
        <w:rPr>
          <w:rFonts w:cs="Tahoma"/>
          <w:bCs/>
          <w:noProof/>
          <w:sz w:val="18"/>
          <w:szCs w:val="18"/>
        </w:rPr>
        <w:t>9</w:t>
      </w:r>
      <w:r w:rsidRPr="0068236B">
        <w:rPr>
          <w:rFonts w:cs="Tahoma"/>
          <w:bCs/>
          <w:sz w:val="18"/>
          <w:szCs w:val="18"/>
        </w:rPr>
        <w:fldChar w:fldCharType="end"/>
      </w:r>
      <w:r w:rsidRPr="0068236B">
        <w:rPr>
          <w:rFonts w:cs="Tahoma"/>
          <w:bCs/>
          <w:sz w:val="18"/>
          <w:szCs w:val="18"/>
        </w:rPr>
        <w:t>: Proposed design climate parameters for the new 400/110 kV substation Miletkovo</w:t>
      </w:r>
      <w:bookmarkEnd w:id="337"/>
      <w:r w:rsidR="00562E86" w:rsidRPr="0068236B">
        <w:rPr>
          <w:rFonts w:cs="Tahoma"/>
          <w:bCs/>
          <w:sz w:val="18"/>
          <w:szCs w:val="18"/>
        </w:rPr>
        <w:t xml:space="preserve"> </w:t>
      </w:r>
    </w:p>
    <w:p w14:paraId="6E4C4CDB" w14:textId="77777777" w:rsidR="00410837" w:rsidRPr="0068236B" w:rsidRDefault="00410837">
      <w:pPr>
        <w:spacing w:before="0" w:after="0" w:line="240" w:lineRule="auto"/>
        <w:jc w:val="left"/>
        <w:rPr>
          <w:rFonts w:cs="Tahoma"/>
          <w:sz w:val="20"/>
          <w:szCs w:val="20"/>
        </w:rPr>
      </w:pPr>
      <w:r w:rsidRPr="0068236B">
        <w:rPr>
          <w:rFonts w:cs="Tahoma"/>
          <w:sz w:val="20"/>
          <w:szCs w:val="20"/>
        </w:rPr>
        <w:br w:type="page"/>
      </w:r>
    </w:p>
    <w:p w14:paraId="76091019" w14:textId="6642F331" w:rsidR="00AD52EF" w:rsidRPr="0068236B" w:rsidRDefault="00AD52EF" w:rsidP="00D24CEF">
      <w:pPr>
        <w:pStyle w:val="ListBullet"/>
        <w:numPr>
          <w:ilvl w:val="0"/>
          <w:numId w:val="80"/>
        </w:numPr>
        <w:rPr>
          <w:rFonts w:cs="Tahoma"/>
          <w:sz w:val="20"/>
          <w:szCs w:val="20"/>
        </w:rPr>
      </w:pPr>
      <w:r w:rsidRPr="0068236B">
        <w:rPr>
          <w:rFonts w:cs="Tahoma"/>
          <w:sz w:val="20"/>
          <w:szCs w:val="20"/>
        </w:rPr>
        <w:lastRenderedPageBreak/>
        <w:t xml:space="preserve">Transmission lines </w:t>
      </w:r>
    </w:p>
    <w:tbl>
      <w:tblPr>
        <w:tblW w:w="9701" w:type="dxa"/>
        <w:tblInd w:w="108" w:type="dxa"/>
        <w:tblCellMar>
          <w:left w:w="28" w:type="dxa"/>
          <w:right w:w="28" w:type="dxa"/>
        </w:tblCellMar>
        <w:tblLook w:val="04A0" w:firstRow="1" w:lastRow="0" w:firstColumn="1" w:lastColumn="0" w:noHBand="0" w:noVBand="1"/>
      </w:tblPr>
      <w:tblGrid>
        <w:gridCol w:w="4740"/>
        <w:gridCol w:w="1292"/>
        <w:gridCol w:w="2126"/>
        <w:gridCol w:w="1543"/>
      </w:tblGrid>
      <w:tr w:rsidR="00AD52EF" w:rsidRPr="0068236B" w14:paraId="1D0BECE8" w14:textId="77777777" w:rsidTr="00410837">
        <w:trPr>
          <w:trHeight w:val="259"/>
        </w:trPr>
        <w:tc>
          <w:tcPr>
            <w:tcW w:w="4740" w:type="dxa"/>
            <w:vMerge w:val="restart"/>
            <w:tcBorders>
              <w:top w:val="double" w:sz="4" w:space="0" w:color="auto"/>
              <w:left w:val="double" w:sz="4" w:space="0" w:color="auto"/>
              <w:right w:val="double" w:sz="4" w:space="0" w:color="auto"/>
            </w:tcBorders>
            <w:shd w:val="clear" w:color="auto" w:fill="B4C6E7" w:themeFill="accent1" w:themeFillTint="66"/>
            <w:vAlign w:val="center"/>
            <w:hideMark/>
          </w:tcPr>
          <w:p w14:paraId="54BB7EA6"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Project element</w:t>
            </w:r>
          </w:p>
        </w:tc>
        <w:tc>
          <w:tcPr>
            <w:tcW w:w="3418" w:type="dxa"/>
            <w:gridSpan w:val="2"/>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37F691FA"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Wind</w:t>
            </w:r>
          </w:p>
        </w:tc>
        <w:tc>
          <w:tcPr>
            <w:tcW w:w="1543"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094AFE56"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Ice</w:t>
            </w:r>
          </w:p>
        </w:tc>
      </w:tr>
      <w:tr w:rsidR="00AD52EF" w:rsidRPr="0068236B" w14:paraId="7CA6408D" w14:textId="77777777" w:rsidTr="00410837">
        <w:trPr>
          <w:trHeight w:val="525"/>
        </w:trPr>
        <w:tc>
          <w:tcPr>
            <w:tcW w:w="4740" w:type="dxa"/>
            <w:vMerge/>
            <w:tcBorders>
              <w:left w:val="double" w:sz="4" w:space="0" w:color="auto"/>
              <w:bottom w:val="double" w:sz="4" w:space="0" w:color="auto"/>
              <w:right w:val="double" w:sz="4" w:space="0" w:color="auto"/>
            </w:tcBorders>
            <w:shd w:val="clear" w:color="auto" w:fill="B4C6E7" w:themeFill="accent1" w:themeFillTint="66"/>
            <w:vAlign w:val="center"/>
            <w:hideMark/>
          </w:tcPr>
          <w:p w14:paraId="6D8C3494" w14:textId="77777777" w:rsidR="00AD52EF" w:rsidRPr="0068236B" w:rsidRDefault="00AD52EF" w:rsidP="00AD52EF">
            <w:pPr>
              <w:spacing w:before="0" w:after="0" w:line="240" w:lineRule="auto"/>
              <w:jc w:val="center"/>
              <w:rPr>
                <w:rFonts w:cs="Tahoma"/>
                <w:sz w:val="20"/>
                <w:szCs w:val="20"/>
              </w:rPr>
            </w:pPr>
          </w:p>
        </w:tc>
        <w:tc>
          <w:tcPr>
            <w:tcW w:w="1292"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36CA09BA"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 xml:space="preserve">Wind </w:t>
            </w:r>
          </w:p>
          <w:p w14:paraId="7FE3F710"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[daN/m</w:t>
            </w:r>
            <w:r w:rsidRPr="0068236B">
              <w:rPr>
                <w:rFonts w:cs="Tahoma"/>
                <w:sz w:val="20"/>
                <w:szCs w:val="20"/>
                <w:vertAlign w:val="superscript"/>
              </w:rPr>
              <w:t>2</w:t>
            </w:r>
            <w:r w:rsidRPr="0068236B">
              <w:rPr>
                <w:rFonts w:cs="Tahoma"/>
                <w:sz w:val="20"/>
                <w:szCs w:val="20"/>
              </w:rPr>
              <w:t>]</w:t>
            </w:r>
          </w:p>
          <w:p w14:paraId="678A207D"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(design wind pressure)</w:t>
            </w:r>
            <w:r w:rsidRPr="0068236B">
              <w:rPr>
                <w:rFonts w:cs="Tahoma"/>
                <w:sz w:val="20"/>
                <w:szCs w:val="20"/>
                <w:vertAlign w:val="superscript"/>
              </w:rPr>
              <w:t>*)</w:t>
            </w:r>
          </w:p>
        </w:tc>
        <w:tc>
          <w:tcPr>
            <w:tcW w:w="2126"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390D4908"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Maximum wind speed</w:t>
            </w:r>
          </w:p>
          <w:p w14:paraId="4DB787C8"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[km/h]</w:t>
            </w:r>
          </w:p>
          <w:p w14:paraId="14E0CF43"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(corresponding to the design wind pressure)</w:t>
            </w:r>
          </w:p>
        </w:tc>
        <w:tc>
          <w:tcPr>
            <w:tcW w:w="1543"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hideMark/>
          </w:tcPr>
          <w:p w14:paraId="0F7BFB62"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Additional ice loading</w:t>
            </w:r>
          </w:p>
          <w:p w14:paraId="2267A15D"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[daN/m]</w:t>
            </w:r>
          </w:p>
        </w:tc>
      </w:tr>
      <w:tr w:rsidR="00AD52EF" w:rsidRPr="0068236B" w14:paraId="1AD9FBEA" w14:textId="77777777" w:rsidTr="00292DCB">
        <w:trPr>
          <w:trHeight w:val="238"/>
        </w:trPr>
        <w:tc>
          <w:tcPr>
            <w:tcW w:w="4740" w:type="dxa"/>
            <w:tcBorders>
              <w:top w:val="double" w:sz="4" w:space="0" w:color="auto"/>
              <w:left w:val="double" w:sz="4" w:space="0" w:color="auto"/>
              <w:bottom w:val="single" w:sz="4" w:space="0" w:color="auto"/>
              <w:right w:val="single" w:sz="8" w:space="0" w:color="auto"/>
            </w:tcBorders>
            <w:shd w:val="clear" w:color="auto" w:fill="auto"/>
            <w:vAlign w:val="center"/>
          </w:tcPr>
          <w:p w14:paraId="11076447" w14:textId="77777777" w:rsidR="00AD52EF" w:rsidRPr="0068236B" w:rsidRDefault="00AD52EF" w:rsidP="00292DCB">
            <w:pPr>
              <w:spacing w:before="0" w:after="0" w:line="240" w:lineRule="auto"/>
              <w:jc w:val="left"/>
              <w:rPr>
                <w:rFonts w:cs="Tahoma"/>
                <w:sz w:val="20"/>
                <w:szCs w:val="20"/>
              </w:rPr>
            </w:pPr>
            <w:r w:rsidRPr="0068236B">
              <w:rPr>
                <w:rFonts w:eastAsia="Calibri" w:cs="Tahoma"/>
                <w:color w:val="000000"/>
                <w:sz w:val="20"/>
                <w:szCs w:val="20"/>
              </w:rPr>
              <w:t xml:space="preserve">New 400 kV in-out connection with </w:t>
            </w:r>
            <w:r w:rsidRPr="0068236B">
              <w:rPr>
                <w:rFonts w:cs="Tahoma"/>
                <w:sz w:val="20"/>
                <w:szCs w:val="20"/>
              </w:rPr>
              <w:t>the existing 400 kV OHL from SS Dubrovo to Thessalonica (GR)</w:t>
            </w:r>
          </w:p>
        </w:tc>
        <w:tc>
          <w:tcPr>
            <w:tcW w:w="1292" w:type="dxa"/>
            <w:tcBorders>
              <w:top w:val="double" w:sz="4" w:space="0" w:color="auto"/>
              <w:left w:val="nil"/>
              <w:bottom w:val="single" w:sz="4" w:space="0" w:color="auto"/>
              <w:right w:val="single" w:sz="8" w:space="0" w:color="auto"/>
            </w:tcBorders>
            <w:shd w:val="clear" w:color="auto" w:fill="auto"/>
            <w:vAlign w:val="center"/>
          </w:tcPr>
          <w:p w14:paraId="639E9F6E"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75</w:t>
            </w:r>
          </w:p>
        </w:tc>
        <w:tc>
          <w:tcPr>
            <w:tcW w:w="2126" w:type="dxa"/>
            <w:tcBorders>
              <w:top w:val="double" w:sz="4" w:space="0" w:color="auto"/>
              <w:left w:val="nil"/>
              <w:bottom w:val="single" w:sz="4" w:space="0" w:color="auto"/>
              <w:right w:val="single" w:sz="4" w:space="0" w:color="auto"/>
            </w:tcBorders>
            <w:vAlign w:val="center"/>
          </w:tcPr>
          <w:p w14:paraId="57571C2C"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125 km/h</w:t>
            </w:r>
          </w:p>
        </w:tc>
        <w:tc>
          <w:tcPr>
            <w:tcW w:w="1543" w:type="dxa"/>
            <w:tcBorders>
              <w:top w:val="double" w:sz="4" w:space="0" w:color="auto"/>
              <w:left w:val="single" w:sz="4" w:space="0" w:color="auto"/>
              <w:bottom w:val="single" w:sz="4" w:space="0" w:color="auto"/>
              <w:right w:val="double" w:sz="4" w:space="0" w:color="auto"/>
            </w:tcBorders>
            <w:shd w:val="clear" w:color="auto" w:fill="auto"/>
            <w:vAlign w:val="center"/>
          </w:tcPr>
          <w:p w14:paraId="43E09C53"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1.6 x 0.18 √d</w:t>
            </w:r>
          </w:p>
        </w:tc>
      </w:tr>
      <w:tr w:rsidR="00AD52EF" w:rsidRPr="0068236B" w14:paraId="51FDDEC3" w14:textId="77777777" w:rsidTr="00292DCB">
        <w:trPr>
          <w:trHeight w:val="217"/>
        </w:trPr>
        <w:tc>
          <w:tcPr>
            <w:tcW w:w="4740" w:type="dxa"/>
            <w:tcBorders>
              <w:top w:val="nil"/>
              <w:left w:val="double" w:sz="4" w:space="0" w:color="auto"/>
              <w:bottom w:val="single" w:sz="8" w:space="0" w:color="000000"/>
              <w:right w:val="single" w:sz="8" w:space="0" w:color="000000"/>
            </w:tcBorders>
            <w:shd w:val="clear" w:color="auto" w:fill="auto"/>
            <w:vAlign w:val="center"/>
          </w:tcPr>
          <w:p w14:paraId="37A1F8BB" w14:textId="77777777" w:rsidR="00AD52EF" w:rsidRPr="0068236B" w:rsidRDefault="00AD52EF" w:rsidP="00292DCB">
            <w:pPr>
              <w:spacing w:before="0" w:after="0" w:line="240" w:lineRule="auto"/>
              <w:jc w:val="left"/>
              <w:rPr>
                <w:rFonts w:cs="Tahoma"/>
                <w:sz w:val="20"/>
                <w:szCs w:val="20"/>
              </w:rPr>
            </w:pPr>
            <w:r w:rsidRPr="0068236B">
              <w:rPr>
                <w:rFonts w:cs="Tahoma"/>
                <w:sz w:val="20"/>
                <w:szCs w:val="20"/>
              </w:rPr>
              <w:t xml:space="preserve">Reconstruction of the existing 2x110 kV OHL from SS Valandovo to SS ‘EVP’ Miletkovo </w:t>
            </w:r>
            <w:r w:rsidRPr="0068236B">
              <w:rPr>
                <w:rFonts w:cs="Tahoma"/>
                <w:color w:val="000000" w:themeColor="text1"/>
                <w:sz w:val="20"/>
                <w:szCs w:val="20"/>
              </w:rPr>
              <w:t>and 1x110 kV extension the new 400/110 kV SS Miletkovo</w:t>
            </w:r>
          </w:p>
        </w:tc>
        <w:tc>
          <w:tcPr>
            <w:tcW w:w="1292" w:type="dxa"/>
            <w:tcBorders>
              <w:top w:val="nil"/>
              <w:left w:val="nil"/>
              <w:bottom w:val="single" w:sz="8" w:space="0" w:color="000000"/>
              <w:right w:val="single" w:sz="8" w:space="0" w:color="000000"/>
            </w:tcBorders>
            <w:shd w:val="clear" w:color="auto" w:fill="auto"/>
            <w:vAlign w:val="center"/>
            <w:hideMark/>
          </w:tcPr>
          <w:p w14:paraId="5BCFE4AA"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75</w:t>
            </w:r>
          </w:p>
        </w:tc>
        <w:tc>
          <w:tcPr>
            <w:tcW w:w="2126" w:type="dxa"/>
            <w:tcBorders>
              <w:top w:val="single" w:sz="4" w:space="0" w:color="auto"/>
              <w:left w:val="nil"/>
              <w:bottom w:val="single" w:sz="4" w:space="0" w:color="auto"/>
              <w:right w:val="single" w:sz="4" w:space="0" w:color="auto"/>
            </w:tcBorders>
            <w:vAlign w:val="center"/>
          </w:tcPr>
          <w:p w14:paraId="51843994"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125 km/h</w:t>
            </w:r>
          </w:p>
        </w:tc>
        <w:tc>
          <w:tcPr>
            <w:tcW w:w="1543" w:type="dxa"/>
            <w:tcBorders>
              <w:top w:val="single" w:sz="4" w:space="0" w:color="auto"/>
              <w:left w:val="single" w:sz="4" w:space="0" w:color="auto"/>
              <w:bottom w:val="single" w:sz="4" w:space="0" w:color="auto"/>
              <w:right w:val="double" w:sz="4" w:space="0" w:color="auto"/>
            </w:tcBorders>
            <w:shd w:val="clear" w:color="auto" w:fill="auto"/>
            <w:vAlign w:val="center"/>
            <w:hideMark/>
          </w:tcPr>
          <w:p w14:paraId="58A1CB37"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1.6 x 0.18 √d</w:t>
            </w:r>
          </w:p>
        </w:tc>
      </w:tr>
      <w:tr w:rsidR="00AD52EF" w:rsidRPr="0068236B" w14:paraId="7E31C17F" w14:textId="77777777" w:rsidTr="00292DCB">
        <w:trPr>
          <w:trHeight w:val="138"/>
        </w:trPr>
        <w:tc>
          <w:tcPr>
            <w:tcW w:w="4740" w:type="dxa"/>
            <w:tcBorders>
              <w:top w:val="nil"/>
              <w:left w:val="double" w:sz="4" w:space="0" w:color="auto"/>
              <w:bottom w:val="double" w:sz="4" w:space="0" w:color="auto"/>
              <w:right w:val="single" w:sz="8" w:space="0" w:color="000000"/>
            </w:tcBorders>
            <w:shd w:val="clear" w:color="auto" w:fill="auto"/>
            <w:vAlign w:val="center"/>
          </w:tcPr>
          <w:p w14:paraId="1357BA41" w14:textId="77777777" w:rsidR="00AD52EF" w:rsidRPr="0068236B" w:rsidRDefault="00AD52EF" w:rsidP="00292DCB">
            <w:pPr>
              <w:spacing w:before="0" w:after="0" w:line="240" w:lineRule="auto"/>
              <w:jc w:val="left"/>
              <w:rPr>
                <w:rFonts w:eastAsiaTheme="minorHAnsi" w:cs="Tahoma"/>
                <w:b/>
                <w:sz w:val="20"/>
                <w:szCs w:val="20"/>
                <w:lang w:eastAsia="en-US"/>
              </w:rPr>
            </w:pPr>
            <w:r w:rsidRPr="0068236B">
              <w:rPr>
                <w:rFonts w:cs="Tahoma"/>
                <w:sz w:val="20"/>
                <w:szCs w:val="20"/>
              </w:rPr>
              <w:t>New 2x110 kV OHL from SS 400/110 kV Miletkovo to SS 110/25 kV EVP Miletkovo</w:t>
            </w:r>
          </w:p>
        </w:tc>
        <w:tc>
          <w:tcPr>
            <w:tcW w:w="1292" w:type="dxa"/>
            <w:tcBorders>
              <w:top w:val="nil"/>
              <w:left w:val="nil"/>
              <w:bottom w:val="double" w:sz="4" w:space="0" w:color="auto"/>
              <w:right w:val="single" w:sz="8" w:space="0" w:color="000000"/>
            </w:tcBorders>
            <w:shd w:val="clear" w:color="auto" w:fill="auto"/>
            <w:vAlign w:val="center"/>
          </w:tcPr>
          <w:p w14:paraId="27911A2B"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75</w:t>
            </w:r>
          </w:p>
        </w:tc>
        <w:tc>
          <w:tcPr>
            <w:tcW w:w="2126" w:type="dxa"/>
            <w:tcBorders>
              <w:top w:val="single" w:sz="4" w:space="0" w:color="auto"/>
              <w:left w:val="nil"/>
              <w:bottom w:val="double" w:sz="4" w:space="0" w:color="auto"/>
              <w:right w:val="single" w:sz="4" w:space="0" w:color="auto"/>
            </w:tcBorders>
            <w:vAlign w:val="center"/>
          </w:tcPr>
          <w:p w14:paraId="04A5B333"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125 km/h</w:t>
            </w:r>
          </w:p>
        </w:tc>
        <w:tc>
          <w:tcPr>
            <w:tcW w:w="1543" w:type="dxa"/>
            <w:tcBorders>
              <w:top w:val="single" w:sz="4" w:space="0" w:color="auto"/>
              <w:left w:val="single" w:sz="4" w:space="0" w:color="auto"/>
              <w:bottom w:val="double" w:sz="4" w:space="0" w:color="auto"/>
              <w:right w:val="double" w:sz="4" w:space="0" w:color="auto"/>
            </w:tcBorders>
            <w:shd w:val="clear" w:color="auto" w:fill="auto"/>
            <w:vAlign w:val="center"/>
          </w:tcPr>
          <w:p w14:paraId="63D85B41" w14:textId="77777777" w:rsidR="00AD52EF" w:rsidRPr="0068236B" w:rsidRDefault="00AD52EF" w:rsidP="00AD52EF">
            <w:pPr>
              <w:spacing w:before="0" w:after="0" w:line="240" w:lineRule="auto"/>
              <w:jc w:val="center"/>
              <w:rPr>
                <w:rFonts w:cs="Tahoma"/>
                <w:sz w:val="20"/>
                <w:szCs w:val="20"/>
              </w:rPr>
            </w:pPr>
            <w:r w:rsidRPr="0068236B">
              <w:rPr>
                <w:rFonts w:cs="Tahoma"/>
                <w:sz w:val="20"/>
                <w:szCs w:val="20"/>
              </w:rPr>
              <w:t>1.6 x 0.18 √d</w:t>
            </w:r>
          </w:p>
        </w:tc>
      </w:tr>
    </w:tbl>
    <w:p w14:paraId="55D93320" w14:textId="05B079D7" w:rsidR="00AD52EF" w:rsidRPr="0068236B" w:rsidRDefault="00AD52EF" w:rsidP="00AD52EF">
      <w:pPr>
        <w:spacing w:before="60" w:after="60" w:line="240" w:lineRule="auto"/>
        <w:rPr>
          <w:rFonts w:cs="Tahoma"/>
          <w:sz w:val="18"/>
          <w:szCs w:val="18"/>
        </w:rPr>
      </w:pPr>
      <w:bookmarkStart w:id="338" w:name="_Toc113018206"/>
      <w:bookmarkStart w:id="339" w:name="_Toc472694581"/>
      <w:bookmarkStart w:id="340" w:name="_Toc481953689"/>
      <w:r w:rsidRPr="0068236B">
        <w:rPr>
          <w:rFonts w:cs="Tahoma"/>
          <w:bCs/>
          <w:sz w:val="18"/>
          <w:szCs w:val="18"/>
        </w:rPr>
        <w:t xml:space="preserve">Table </w:t>
      </w:r>
      <w:r w:rsidRPr="0068236B">
        <w:rPr>
          <w:rFonts w:cs="Tahoma"/>
          <w:bCs/>
          <w:sz w:val="18"/>
          <w:szCs w:val="18"/>
        </w:rPr>
        <w:fldChar w:fldCharType="begin"/>
      </w:r>
      <w:r w:rsidRPr="0068236B">
        <w:rPr>
          <w:rFonts w:cs="Tahoma"/>
          <w:bCs/>
          <w:sz w:val="18"/>
          <w:szCs w:val="18"/>
        </w:rPr>
        <w:instrText xml:space="preserve"> STYLEREF 1 \s </w:instrText>
      </w:r>
      <w:r w:rsidRPr="0068236B">
        <w:rPr>
          <w:rFonts w:cs="Tahoma"/>
          <w:bCs/>
          <w:sz w:val="18"/>
          <w:szCs w:val="18"/>
        </w:rPr>
        <w:fldChar w:fldCharType="separate"/>
      </w:r>
      <w:r w:rsidR="00FD57E6">
        <w:rPr>
          <w:rFonts w:cs="Tahoma"/>
          <w:bCs/>
          <w:noProof/>
          <w:sz w:val="18"/>
          <w:szCs w:val="18"/>
        </w:rPr>
        <w:t>8</w:t>
      </w:r>
      <w:r w:rsidRPr="0068236B">
        <w:rPr>
          <w:rFonts w:cs="Tahoma"/>
          <w:bCs/>
          <w:sz w:val="18"/>
          <w:szCs w:val="18"/>
        </w:rPr>
        <w:fldChar w:fldCharType="end"/>
      </w:r>
      <w:r w:rsidR="0087135B" w:rsidRPr="0068236B">
        <w:rPr>
          <w:rFonts w:cs="Tahoma"/>
          <w:bCs/>
          <w:sz w:val="18"/>
          <w:szCs w:val="18"/>
        </w:rPr>
        <w:t>.</w:t>
      </w:r>
      <w:r w:rsidRPr="0068236B">
        <w:rPr>
          <w:rFonts w:cs="Tahoma"/>
          <w:bCs/>
          <w:sz w:val="18"/>
          <w:szCs w:val="18"/>
        </w:rPr>
        <w:fldChar w:fldCharType="begin"/>
      </w:r>
      <w:r w:rsidRPr="0068236B">
        <w:rPr>
          <w:rFonts w:cs="Tahoma"/>
          <w:bCs/>
          <w:sz w:val="18"/>
          <w:szCs w:val="18"/>
        </w:rPr>
        <w:instrText xml:space="preserve"> SEQ Table \* ARABIC \s 1 </w:instrText>
      </w:r>
      <w:r w:rsidRPr="0068236B">
        <w:rPr>
          <w:rFonts w:cs="Tahoma"/>
          <w:bCs/>
          <w:sz w:val="18"/>
          <w:szCs w:val="18"/>
        </w:rPr>
        <w:fldChar w:fldCharType="separate"/>
      </w:r>
      <w:r w:rsidR="00FD57E6">
        <w:rPr>
          <w:rFonts w:cs="Tahoma"/>
          <w:bCs/>
          <w:noProof/>
          <w:sz w:val="18"/>
          <w:szCs w:val="18"/>
        </w:rPr>
        <w:t>10</w:t>
      </w:r>
      <w:r w:rsidRPr="0068236B">
        <w:rPr>
          <w:rFonts w:cs="Tahoma"/>
          <w:bCs/>
          <w:sz w:val="18"/>
          <w:szCs w:val="18"/>
        </w:rPr>
        <w:fldChar w:fldCharType="end"/>
      </w:r>
      <w:r w:rsidRPr="0068236B">
        <w:rPr>
          <w:rFonts w:cs="Tahoma"/>
          <w:bCs/>
          <w:sz w:val="18"/>
          <w:szCs w:val="18"/>
        </w:rPr>
        <w:t>: Proposed design climate parameters for transmission lines</w:t>
      </w:r>
      <w:bookmarkEnd w:id="338"/>
      <w:r w:rsidR="00562E86" w:rsidRPr="0068236B">
        <w:rPr>
          <w:rFonts w:cs="Tahoma"/>
          <w:bCs/>
          <w:sz w:val="18"/>
          <w:szCs w:val="18"/>
        </w:rPr>
        <w:t xml:space="preserve"> </w:t>
      </w:r>
      <w:bookmarkEnd w:id="339"/>
      <w:bookmarkEnd w:id="340"/>
    </w:p>
    <w:p w14:paraId="088B348F" w14:textId="5B7A81C8" w:rsidR="00AD52EF" w:rsidRPr="0068236B" w:rsidRDefault="00AD52EF" w:rsidP="00AD52EF">
      <w:pPr>
        <w:widowControl w:val="0"/>
        <w:spacing w:before="60" w:after="240" w:line="240" w:lineRule="auto"/>
        <w:rPr>
          <w:rFonts w:cs="Tahoma"/>
          <w:sz w:val="16"/>
          <w:szCs w:val="16"/>
        </w:rPr>
      </w:pPr>
      <w:r w:rsidRPr="0068236B">
        <w:rPr>
          <w:rFonts w:cs="Tahoma"/>
          <w:sz w:val="16"/>
          <w:szCs w:val="16"/>
          <w:vertAlign w:val="superscript"/>
        </w:rPr>
        <w:t>*)</w:t>
      </w:r>
      <w:r w:rsidRPr="0068236B">
        <w:rPr>
          <w:rFonts w:cs="Tahoma"/>
          <w:sz w:val="16"/>
          <w:szCs w:val="16"/>
        </w:rPr>
        <w:t xml:space="preserve"> The design wind pressure on towers, conductors and insulators is obtained by the following relationship: p = v</w:t>
      </w:r>
      <w:r w:rsidRPr="0068236B">
        <w:rPr>
          <w:rFonts w:cs="Tahoma"/>
          <w:sz w:val="16"/>
          <w:szCs w:val="16"/>
          <w:vertAlign w:val="superscript"/>
        </w:rPr>
        <w:t>2</w:t>
      </w:r>
      <w:r w:rsidRPr="0068236B">
        <w:rPr>
          <w:rFonts w:cs="Tahoma"/>
          <w:sz w:val="16"/>
          <w:szCs w:val="16"/>
        </w:rPr>
        <w:t xml:space="preserve">/16, where ‘v’ is the wind speed in [m/s], which is the ‘maximum wind speed that </w:t>
      </w:r>
      <w:r w:rsidR="00292DCB" w:rsidRPr="0068236B">
        <w:rPr>
          <w:rFonts w:cs="Tahoma"/>
          <w:sz w:val="16"/>
          <w:szCs w:val="16"/>
        </w:rPr>
        <w:t>occurs along the respective transmission lune</w:t>
      </w:r>
      <w:r w:rsidRPr="0068236B">
        <w:rPr>
          <w:rFonts w:cs="Tahoma"/>
          <w:sz w:val="16"/>
          <w:szCs w:val="16"/>
        </w:rPr>
        <w:t xml:space="preserve"> on average every five years, and for 400 kV lines in longer term’</w:t>
      </w:r>
      <w:r w:rsidRPr="0068236B">
        <w:rPr>
          <w:rStyle w:val="FootnoteReference"/>
          <w:rFonts w:cs="Tahoma"/>
          <w:sz w:val="16"/>
          <w:szCs w:val="16"/>
        </w:rPr>
        <w:footnoteReference w:id="103"/>
      </w:r>
      <w:r w:rsidRPr="0068236B">
        <w:rPr>
          <w:rFonts w:cs="Tahoma"/>
          <w:sz w:val="16"/>
          <w:szCs w:val="16"/>
        </w:rPr>
        <w:t>.</w:t>
      </w:r>
    </w:p>
    <w:p w14:paraId="49C6016E" w14:textId="677E3EA6" w:rsidR="00292DCB" w:rsidRPr="0068236B" w:rsidRDefault="00292DCB" w:rsidP="00D24CEF">
      <w:pPr>
        <w:pStyle w:val="ListBullet"/>
        <w:numPr>
          <w:ilvl w:val="0"/>
          <w:numId w:val="97"/>
        </w:numPr>
        <w:rPr>
          <w:rStyle w:val="A2"/>
          <w:rFonts w:cs="Tahoma"/>
          <w:color w:val="auto"/>
          <w:sz w:val="20"/>
          <w:szCs w:val="20"/>
        </w:rPr>
      </w:pPr>
      <w:r w:rsidRPr="0068236B">
        <w:rPr>
          <w:rFonts w:cs="Tahoma"/>
          <w:iCs/>
          <w:sz w:val="20"/>
          <w:szCs w:val="20"/>
        </w:rPr>
        <w:t>Further Technical Design (</w:t>
      </w:r>
      <w:r w:rsidRPr="0068236B">
        <w:rPr>
          <w:rFonts w:cs="Tahoma"/>
          <w:sz w:val="20"/>
          <w:szCs w:val="20"/>
        </w:rPr>
        <w:t>Preliminary Design and Detailed Design)</w:t>
      </w:r>
    </w:p>
    <w:p w14:paraId="67C1BE4B" w14:textId="5AB83298" w:rsidR="00AD52EF" w:rsidRPr="0068236B" w:rsidRDefault="00AD52EF" w:rsidP="000B5936">
      <w:pPr>
        <w:rPr>
          <w:rFonts w:cs="Tahoma"/>
          <w:sz w:val="20"/>
          <w:szCs w:val="20"/>
        </w:rPr>
      </w:pPr>
      <w:r w:rsidRPr="0068236B">
        <w:rPr>
          <w:rStyle w:val="A2"/>
          <w:rFonts w:cs="Tahoma"/>
          <w:color w:val="auto"/>
          <w:sz w:val="20"/>
          <w:szCs w:val="20"/>
        </w:rPr>
        <w:t xml:space="preserve">In order to ensure adequate robustness of the </w:t>
      </w:r>
      <w:r w:rsidRPr="0068236B">
        <w:rPr>
          <w:rFonts w:cs="Tahoma"/>
          <w:sz w:val="20"/>
          <w:szCs w:val="20"/>
        </w:rPr>
        <w:t>Project, these climate parameters are to be reconsidered and confirmed in the subsequent project’s development stages. The detailed technical design will need to ensure that the Project incorporates the risks related to the forecasted climate change for the whole operational lifespan of the line and, as such, it is adapted to them and provides appropriate level of climate resilience.</w:t>
      </w:r>
    </w:p>
    <w:p w14:paraId="55CB14DE" w14:textId="6AEC5E37" w:rsidR="00232AE9" w:rsidRPr="0068236B" w:rsidRDefault="00232AE9" w:rsidP="00232AE9">
      <w:pPr>
        <w:rPr>
          <w:rFonts w:cs="Tahoma"/>
          <w:sz w:val="20"/>
          <w:szCs w:val="20"/>
        </w:rPr>
      </w:pPr>
      <w:r w:rsidRPr="0068236B">
        <w:rPr>
          <w:rFonts w:cs="Tahoma"/>
          <w:sz w:val="20"/>
          <w:szCs w:val="20"/>
        </w:rPr>
        <w:t>The specific measures which are to be included into the upcoming more advanced design stages should take into consideration the latest national / local projections of future relevant climate variables in time of prep</w:t>
      </w:r>
      <w:r w:rsidRPr="0068236B">
        <w:rPr>
          <w:rFonts w:cs="Tahoma"/>
          <w:sz w:val="20"/>
          <w:szCs w:val="20"/>
        </w:rPr>
        <w:t>a</w:t>
      </w:r>
      <w:r w:rsidRPr="0068236B">
        <w:rPr>
          <w:rFonts w:cs="Tahoma"/>
          <w:sz w:val="20"/>
          <w:szCs w:val="20"/>
        </w:rPr>
        <w:t>ration of the design. In that regard, the emphasis should be given to the key p</w:t>
      </w:r>
      <w:r w:rsidRPr="0068236B">
        <w:rPr>
          <w:rFonts w:cs="Tahoma"/>
          <w:sz w:val="20"/>
          <w:szCs w:val="20"/>
          <w:lang w:eastAsia="en-US"/>
        </w:rPr>
        <w:t>otential impacts as a result of more extreme temperature fluctuations, the risk of more flash flooding and an increase in the frequency of storms, which were identified as most relevant for the design of the Project.</w:t>
      </w:r>
    </w:p>
    <w:p w14:paraId="24FB90A5" w14:textId="77777777" w:rsidR="000B5936" w:rsidRPr="0068236B" w:rsidRDefault="000B5936" w:rsidP="000B5936">
      <w:pPr>
        <w:rPr>
          <w:rFonts w:cs="Tahoma"/>
          <w:sz w:val="20"/>
          <w:szCs w:val="20"/>
        </w:rPr>
      </w:pPr>
      <w:r w:rsidRPr="0068236B">
        <w:rPr>
          <w:rFonts w:cs="Tahoma"/>
          <w:sz w:val="20"/>
          <w:szCs w:val="20"/>
        </w:rPr>
        <w:t>It is expected that such ‘mitigation through design’ approach will reduce the vulnerability of the Project to extreme weather conditions:</w:t>
      </w:r>
    </w:p>
    <w:p w14:paraId="3A864EB9" w14:textId="4F228C4A" w:rsidR="000B5936" w:rsidRPr="0068236B" w:rsidRDefault="000B5936" w:rsidP="00D24CEF">
      <w:pPr>
        <w:pStyle w:val="ListParagraph"/>
        <w:numPr>
          <w:ilvl w:val="0"/>
          <w:numId w:val="82"/>
        </w:numPr>
        <w:spacing w:before="60" w:after="60"/>
        <w:ind w:hanging="357"/>
        <w:contextualSpacing w:val="0"/>
        <w:rPr>
          <w:rFonts w:cs="Tahoma"/>
          <w:bCs/>
          <w:color w:val="252525"/>
          <w:sz w:val="20"/>
          <w:szCs w:val="20"/>
          <w:shd w:val="clear" w:color="auto" w:fill="FFFFFF"/>
        </w:rPr>
      </w:pPr>
      <w:r w:rsidRPr="0068236B">
        <w:rPr>
          <w:rFonts w:cs="Tahoma"/>
          <w:sz w:val="20"/>
          <w:szCs w:val="20"/>
        </w:rPr>
        <w:t>Temperature increase. In regard to the heat waves – temperature increase - the technical design method incorporates a design parameter related to the maximum expected temper</w:t>
      </w:r>
      <w:r w:rsidRPr="0068236B">
        <w:rPr>
          <w:rFonts w:cs="Tahoma"/>
          <w:sz w:val="20"/>
          <w:szCs w:val="20"/>
        </w:rPr>
        <w:t>a</w:t>
      </w:r>
      <w:r w:rsidRPr="0068236B">
        <w:rPr>
          <w:rFonts w:cs="Tahoma"/>
          <w:sz w:val="20"/>
          <w:szCs w:val="20"/>
        </w:rPr>
        <w:t xml:space="preserve">ture (+45°C) on which the maximum working temperature of the OHL conductors will not exceed +80°C (also used to determine the required ground clearances). According to the climate scenarios (see Section 7.1.1), an increase of up to 45°C during the summer months, in the Project region, is forecasted. This increase does not imply pronounced increase of temperature in the Project region significantly above the design maximum temperature (+45°C) that would ensure the maximum working temperature of the OHL conductors (+80°C). </w:t>
      </w:r>
    </w:p>
    <w:p w14:paraId="4D86DD48" w14:textId="7B6CD9C2" w:rsidR="000B5936" w:rsidRPr="0068236B" w:rsidRDefault="000B5936" w:rsidP="00D24CEF">
      <w:pPr>
        <w:pStyle w:val="ListParagraph"/>
        <w:numPr>
          <w:ilvl w:val="0"/>
          <w:numId w:val="82"/>
        </w:numPr>
        <w:spacing w:before="60" w:after="60"/>
        <w:ind w:hanging="357"/>
        <w:contextualSpacing w:val="0"/>
        <w:rPr>
          <w:rFonts w:cs="Tahoma"/>
          <w:bCs/>
          <w:color w:val="252525"/>
          <w:sz w:val="20"/>
          <w:szCs w:val="20"/>
          <w:shd w:val="clear" w:color="auto" w:fill="FFFFFF"/>
        </w:rPr>
      </w:pPr>
      <w:r w:rsidRPr="0068236B">
        <w:rPr>
          <w:rFonts w:cs="Tahoma"/>
          <w:sz w:val="20"/>
          <w:szCs w:val="20"/>
        </w:rPr>
        <w:t>Temperature decrease. With regard to the cold waves and accumulation of ice, the technical design method involves a requirement of setting an additional ice loading to ensure stability of the transmission infrastructure during cold waves. In that respect, in accordance with the OHL design technical requirements</w:t>
      </w:r>
      <w:r w:rsidRPr="0068236B">
        <w:rPr>
          <w:rStyle w:val="FootnoteReference"/>
          <w:rFonts w:cs="Tahoma"/>
          <w:sz w:val="20"/>
          <w:szCs w:val="20"/>
        </w:rPr>
        <w:footnoteReference w:id="104"/>
      </w:r>
      <w:r w:rsidRPr="0068236B">
        <w:rPr>
          <w:rFonts w:cs="Tahoma"/>
          <w:sz w:val="20"/>
          <w:szCs w:val="20"/>
          <w:vertAlign w:val="superscript"/>
        </w:rPr>
        <w:t>)</w:t>
      </w:r>
      <w:r w:rsidRPr="0068236B">
        <w:rPr>
          <w:rFonts w:cs="Tahoma"/>
          <w:sz w:val="20"/>
          <w:szCs w:val="20"/>
        </w:rPr>
        <w:t xml:space="preserve"> and based on existing statistical weather data for the Project region, this additional loading is calculated as added loading to the gravitational load </w:t>
      </w:r>
      <w:r w:rsidRPr="0068236B">
        <w:rPr>
          <w:rFonts w:cs="Tahoma"/>
          <w:sz w:val="20"/>
          <w:szCs w:val="20"/>
        </w:rPr>
        <w:lastRenderedPageBreak/>
        <w:t>of the respective OHL elements (conductors and protective wires) via appropriate safety c</w:t>
      </w:r>
      <w:r w:rsidRPr="0068236B">
        <w:rPr>
          <w:rFonts w:cs="Tahoma"/>
          <w:sz w:val="20"/>
          <w:szCs w:val="20"/>
        </w:rPr>
        <w:t>o</w:t>
      </w:r>
      <w:r w:rsidRPr="0068236B">
        <w:rPr>
          <w:rFonts w:cs="Tahoma"/>
          <w:sz w:val="20"/>
          <w:szCs w:val="20"/>
        </w:rPr>
        <w:t>efficient which depends on the local weather particularities (geographical position, altitude (lowland or mountainous area), etc.). The proposed design additional ice loading for the Project, as presented above, corresponds to additional loading of 60% in lowlands (coeff</w:t>
      </w:r>
      <w:r w:rsidRPr="0068236B">
        <w:rPr>
          <w:rFonts w:cs="Tahoma"/>
          <w:sz w:val="20"/>
          <w:szCs w:val="20"/>
        </w:rPr>
        <w:t>i</w:t>
      </w:r>
      <w:r w:rsidRPr="0068236B">
        <w:rPr>
          <w:rFonts w:cs="Tahoma"/>
          <w:sz w:val="20"/>
          <w:szCs w:val="20"/>
        </w:rPr>
        <w:t xml:space="preserve">cient of 1.6), which in turn implies that ice loading has been incorporated in the present technical design of the Project based on the altitude (lowland), weather zone and respective meteorological data. </w:t>
      </w:r>
    </w:p>
    <w:p w14:paraId="49E3F756" w14:textId="6048D81A" w:rsidR="000B5936" w:rsidRPr="0068236B" w:rsidRDefault="000B5936" w:rsidP="00D24CEF">
      <w:pPr>
        <w:pStyle w:val="ListParagraph"/>
        <w:numPr>
          <w:ilvl w:val="0"/>
          <w:numId w:val="82"/>
        </w:numPr>
        <w:spacing w:before="60" w:after="60"/>
        <w:ind w:hanging="357"/>
        <w:contextualSpacing w:val="0"/>
        <w:rPr>
          <w:rFonts w:cs="Tahoma"/>
          <w:bCs/>
          <w:color w:val="252525"/>
          <w:sz w:val="20"/>
          <w:szCs w:val="20"/>
          <w:shd w:val="clear" w:color="auto" w:fill="FFFFFF"/>
        </w:rPr>
      </w:pPr>
      <w:r w:rsidRPr="0068236B">
        <w:rPr>
          <w:rFonts w:cs="Tahoma"/>
          <w:sz w:val="20"/>
          <w:szCs w:val="20"/>
        </w:rPr>
        <w:t>Precipitation:</w:t>
      </w:r>
    </w:p>
    <w:p w14:paraId="41D77CCE" w14:textId="4B4C43B8" w:rsidR="000B5936" w:rsidRPr="0068236B" w:rsidRDefault="000B5936" w:rsidP="00D24CEF">
      <w:pPr>
        <w:pStyle w:val="ListParagraph"/>
        <w:numPr>
          <w:ilvl w:val="2"/>
          <w:numId w:val="82"/>
        </w:numPr>
        <w:spacing w:before="60" w:after="60"/>
        <w:ind w:hanging="357"/>
        <w:contextualSpacing w:val="0"/>
        <w:rPr>
          <w:rFonts w:cs="Tahoma"/>
          <w:bCs/>
          <w:color w:val="252525"/>
          <w:sz w:val="20"/>
          <w:szCs w:val="20"/>
          <w:shd w:val="clear" w:color="auto" w:fill="FFFFFF"/>
        </w:rPr>
      </w:pPr>
      <w:r w:rsidRPr="0068236B">
        <w:rPr>
          <w:rFonts w:cs="Tahoma"/>
          <w:sz w:val="20"/>
          <w:szCs w:val="20"/>
        </w:rPr>
        <w:t xml:space="preserve">The intensive precipitation and the associated flooding hazard pose an operational risk to substation equipment, such as switchgear and control cubicles. </w:t>
      </w:r>
      <w:r w:rsidRPr="0068236B">
        <w:rPr>
          <w:rFonts w:cs="Tahoma"/>
          <w:color w:val="000000"/>
          <w:sz w:val="20"/>
          <w:szCs w:val="20"/>
          <w:shd w:val="clear" w:color="auto" w:fill="FFFFFF"/>
        </w:rPr>
        <w:t>In fact, floo</w:t>
      </w:r>
      <w:r w:rsidRPr="0068236B">
        <w:rPr>
          <w:rFonts w:cs="Tahoma"/>
          <w:color w:val="000000"/>
          <w:sz w:val="20"/>
          <w:szCs w:val="20"/>
          <w:shd w:val="clear" w:color="auto" w:fill="FFFFFF"/>
        </w:rPr>
        <w:t>d</w:t>
      </w:r>
      <w:r w:rsidRPr="0068236B">
        <w:rPr>
          <w:rFonts w:cs="Tahoma"/>
          <w:color w:val="000000"/>
          <w:sz w:val="20"/>
          <w:szCs w:val="20"/>
          <w:shd w:val="clear" w:color="auto" w:fill="FFFFFF"/>
        </w:rPr>
        <w:t xml:space="preserve">ing is considered as a major resilience and climate change adaptation risk for the electricity substations that could </w:t>
      </w:r>
      <w:r w:rsidRPr="0068236B">
        <w:rPr>
          <w:rFonts w:cs="Tahoma"/>
          <w:sz w:val="20"/>
          <w:szCs w:val="20"/>
        </w:rPr>
        <w:t xml:space="preserve">lead to short-circuiting and eventually to shutting down for a period of time required for adequate response and </w:t>
      </w:r>
      <w:r w:rsidR="005E6643" w:rsidRPr="0068236B">
        <w:rPr>
          <w:rFonts w:cs="Tahoma"/>
          <w:sz w:val="20"/>
          <w:szCs w:val="20"/>
        </w:rPr>
        <w:t>recovery. Therefore</w:t>
      </w:r>
      <w:r w:rsidRPr="0068236B">
        <w:rPr>
          <w:rFonts w:cs="Tahoma"/>
          <w:sz w:val="20"/>
          <w:szCs w:val="20"/>
        </w:rPr>
        <w:t xml:space="preserve">, flood mitigation solutions and protection systems to reduce </w:t>
      </w:r>
      <w:r w:rsidR="00962A8F" w:rsidRPr="0068236B">
        <w:rPr>
          <w:rFonts w:cs="Tahoma"/>
          <w:sz w:val="20"/>
          <w:szCs w:val="20"/>
        </w:rPr>
        <w:t>consequence of pote</w:t>
      </w:r>
      <w:r w:rsidR="00962A8F" w:rsidRPr="0068236B">
        <w:rPr>
          <w:rFonts w:cs="Tahoma"/>
          <w:sz w:val="20"/>
          <w:szCs w:val="20"/>
        </w:rPr>
        <w:t>n</w:t>
      </w:r>
      <w:r w:rsidR="00962A8F" w:rsidRPr="0068236B">
        <w:rPr>
          <w:rFonts w:cs="Tahoma"/>
          <w:sz w:val="20"/>
          <w:szCs w:val="20"/>
        </w:rPr>
        <w:t xml:space="preserve">tial </w:t>
      </w:r>
      <w:r w:rsidRPr="0068236B">
        <w:rPr>
          <w:rFonts w:cs="Tahoma"/>
          <w:sz w:val="20"/>
          <w:szCs w:val="20"/>
        </w:rPr>
        <w:t xml:space="preserve">floods </w:t>
      </w:r>
      <w:r w:rsidR="00962A8F" w:rsidRPr="0068236B">
        <w:rPr>
          <w:rFonts w:cs="Tahoma"/>
          <w:sz w:val="20"/>
          <w:szCs w:val="20"/>
        </w:rPr>
        <w:t xml:space="preserve">to the substation </w:t>
      </w:r>
      <w:r w:rsidRPr="0068236B">
        <w:rPr>
          <w:rFonts w:cs="Tahoma"/>
          <w:sz w:val="20"/>
          <w:szCs w:val="20"/>
        </w:rPr>
        <w:t xml:space="preserve">will need to be included in </w:t>
      </w:r>
      <w:r w:rsidR="00962A8F" w:rsidRPr="0068236B">
        <w:rPr>
          <w:rFonts w:cs="Tahoma"/>
          <w:sz w:val="20"/>
          <w:szCs w:val="20"/>
        </w:rPr>
        <w:t xml:space="preserve">the further Project technical design </w:t>
      </w:r>
      <w:r w:rsidRPr="0068236B">
        <w:rPr>
          <w:rFonts w:cs="Tahoma"/>
          <w:sz w:val="20"/>
          <w:szCs w:val="20"/>
        </w:rPr>
        <w:t>and enforced on site</w:t>
      </w:r>
      <w:r w:rsidR="00962A8F" w:rsidRPr="0068236B">
        <w:rPr>
          <w:rFonts w:cs="Tahoma"/>
          <w:sz w:val="20"/>
          <w:szCs w:val="20"/>
        </w:rPr>
        <w:t>.</w:t>
      </w:r>
      <w:r w:rsidRPr="0068236B">
        <w:rPr>
          <w:rFonts w:cs="Tahoma"/>
          <w:sz w:val="20"/>
          <w:szCs w:val="20"/>
        </w:rPr>
        <w:t xml:space="preserve"> Such specific ‘mitigation through design’ measures </w:t>
      </w:r>
      <w:r w:rsidR="00962A8F" w:rsidRPr="0068236B">
        <w:rPr>
          <w:rFonts w:cs="Tahoma"/>
          <w:sz w:val="20"/>
          <w:szCs w:val="20"/>
        </w:rPr>
        <w:t>would</w:t>
      </w:r>
      <w:r w:rsidRPr="0068236B">
        <w:rPr>
          <w:rFonts w:cs="Arial"/>
          <w:sz w:val="20"/>
          <w:szCs w:val="20"/>
        </w:rPr>
        <w:t xml:space="preserve"> ensure that they are safe from flooding events. It is important to prevent the flooding of plant and equipment for the purposes of avoiding asset damage and to reduce the time customers are off supply following a flood event. Possible mitigation solutions in this respect include drainage systems, raising the substation equipment above the predicted flood level and protecting / bunding critical equipment, based on appropriate flooding risk assessment</w:t>
      </w:r>
      <w:r w:rsidR="00962A8F" w:rsidRPr="0068236B">
        <w:rPr>
          <w:rFonts w:cs="Arial"/>
          <w:sz w:val="20"/>
          <w:szCs w:val="20"/>
        </w:rPr>
        <w:t>.</w:t>
      </w:r>
    </w:p>
    <w:p w14:paraId="2796E77A" w14:textId="05D4EA9A" w:rsidR="000B5936" w:rsidRPr="0068236B" w:rsidRDefault="000B5936" w:rsidP="00D24CEF">
      <w:pPr>
        <w:pStyle w:val="ListParagraph"/>
        <w:numPr>
          <w:ilvl w:val="0"/>
          <w:numId w:val="82"/>
        </w:numPr>
        <w:spacing w:before="60" w:after="60"/>
        <w:ind w:hanging="357"/>
        <w:contextualSpacing w:val="0"/>
        <w:rPr>
          <w:rFonts w:cs="Tahoma"/>
          <w:bCs/>
          <w:color w:val="252525"/>
          <w:sz w:val="20"/>
          <w:szCs w:val="20"/>
          <w:shd w:val="clear" w:color="auto" w:fill="FFFFFF"/>
        </w:rPr>
      </w:pPr>
      <w:r w:rsidRPr="0068236B">
        <w:rPr>
          <w:rFonts w:cs="Tahoma"/>
          <w:sz w:val="20"/>
          <w:szCs w:val="20"/>
        </w:rPr>
        <w:t>Extreme winds. In regard to the extreme winds, the technical design method of the Project elements includes a significant level of conservatism in terms to determining the design wind pressure based on the expected maximum wind speed. The proposed design wind pressures for different Project elements, as presented above, correspond to maximum wind speeds of 140 km/h and 125 km/h, respectively for the new substation and new and reco</w:t>
      </w:r>
      <w:r w:rsidRPr="0068236B">
        <w:rPr>
          <w:rFonts w:cs="Tahoma"/>
          <w:sz w:val="20"/>
          <w:szCs w:val="20"/>
        </w:rPr>
        <w:t>n</w:t>
      </w:r>
      <w:r w:rsidRPr="0068236B">
        <w:rPr>
          <w:rFonts w:cs="Tahoma"/>
          <w:sz w:val="20"/>
          <w:szCs w:val="20"/>
        </w:rPr>
        <w:t>structed transmission lines, which in turn implies that extreme violent gusts have been i</w:t>
      </w:r>
      <w:r w:rsidRPr="0068236B">
        <w:rPr>
          <w:rFonts w:cs="Tahoma"/>
          <w:sz w:val="20"/>
          <w:szCs w:val="20"/>
        </w:rPr>
        <w:t>n</w:t>
      </w:r>
      <w:r w:rsidRPr="0068236B">
        <w:rPr>
          <w:rFonts w:cs="Tahoma"/>
          <w:sz w:val="20"/>
          <w:szCs w:val="20"/>
        </w:rPr>
        <w:t>corporated in the present technical design of the Project based on weather zone and r</w:t>
      </w:r>
      <w:r w:rsidRPr="0068236B">
        <w:rPr>
          <w:rFonts w:cs="Tahoma"/>
          <w:sz w:val="20"/>
          <w:szCs w:val="20"/>
        </w:rPr>
        <w:t>e</w:t>
      </w:r>
      <w:r w:rsidRPr="0068236B">
        <w:rPr>
          <w:rFonts w:cs="Tahoma"/>
          <w:sz w:val="20"/>
          <w:szCs w:val="20"/>
        </w:rPr>
        <w:t xml:space="preserve">gional meteorological data in the Project region. The aforementioned maximum wind speeds correspond to the highest wind category according to the </w:t>
      </w:r>
      <w:r w:rsidRPr="0068236B">
        <w:rPr>
          <w:rFonts w:cs="Tahoma"/>
          <w:bCs/>
          <w:color w:val="252525"/>
          <w:sz w:val="20"/>
          <w:szCs w:val="20"/>
          <w:shd w:val="clear" w:color="auto" w:fill="FFFFFF"/>
        </w:rPr>
        <w:t>Beaufort wind force scale</w:t>
      </w:r>
      <w:r w:rsidRPr="0068236B">
        <w:rPr>
          <w:rStyle w:val="FootnoteReference"/>
          <w:rFonts w:cs="Tahoma"/>
          <w:bCs/>
          <w:color w:val="252525"/>
          <w:sz w:val="20"/>
          <w:szCs w:val="20"/>
          <w:shd w:val="clear" w:color="auto" w:fill="FFFFFF"/>
        </w:rPr>
        <w:footnoteReference w:id="105"/>
      </w:r>
      <w:r w:rsidRPr="0068236B">
        <w:rPr>
          <w:rFonts w:cs="Tahoma"/>
          <w:bCs/>
          <w:color w:val="252525"/>
          <w:sz w:val="20"/>
          <w:szCs w:val="20"/>
          <w:shd w:val="clear" w:color="auto" w:fill="FFFFFF"/>
        </w:rPr>
        <w:t xml:space="preserve"> (Beaufort level 12, for which the wind speed is higher than 118 km/h) which are very rarely expe</w:t>
      </w:r>
      <w:r w:rsidR="00962A8F" w:rsidRPr="0068236B">
        <w:rPr>
          <w:rFonts w:cs="Tahoma"/>
          <w:bCs/>
          <w:color w:val="252525"/>
          <w:sz w:val="20"/>
          <w:szCs w:val="20"/>
          <w:shd w:val="clear" w:color="auto" w:fill="FFFFFF"/>
        </w:rPr>
        <w:t>rienced in the Project region.</w:t>
      </w:r>
    </w:p>
    <w:p w14:paraId="167C1C26" w14:textId="64668591" w:rsidR="003B3263" w:rsidRPr="0068236B" w:rsidRDefault="000B5936" w:rsidP="00D24CEF">
      <w:pPr>
        <w:pStyle w:val="ListParagraph"/>
        <w:numPr>
          <w:ilvl w:val="0"/>
          <w:numId w:val="82"/>
        </w:numPr>
        <w:spacing w:before="60" w:after="60"/>
        <w:ind w:hanging="357"/>
        <w:rPr>
          <w:rFonts w:cs="Tahoma"/>
          <w:sz w:val="20"/>
          <w:szCs w:val="20"/>
        </w:rPr>
      </w:pPr>
      <w:r w:rsidRPr="0068236B">
        <w:rPr>
          <w:rFonts w:cs="Tahoma"/>
          <w:sz w:val="20"/>
          <w:szCs w:val="20"/>
        </w:rPr>
        <w:t>Lightning. Lightning hazard is considered as an important factor affecting the transmission networks and, consequently, the reliability of the power supply.</w:t>
      </w:r>
      <w:r w:rsidR="00962A8F" w:rsidRPr="0068236B">
        <w:rPr>
          <w:rFonts w:cs="Tahoma"/>
          <w:sz w:val="20"/>
          <w:szCs w:val="20"/>
        </w:rPr>
        <w:t xml:space="preserve"> </w:t>
      </w:r>
      <w:r w:rsidRPr="0068236B">
        <w:rPr>
          <w:rFonts w:cs="Tahoma"/>
          <w:sz w:val="20"/>
          <w:szCs w:val="20"/>
        </w:rPr>
        <w:t>Numerous technical public</w:t>
      </w:r>
      <w:r w:rsidRPr="0068236B">
        <w:rPr>
          <w:rFonts w:cs="Tahoma"/>
          <w:sz w:val="20"/>
          <w:szCs w:val="20"/>
        </w:rPr>
        <w:t>a</w:t>
      </w:r>
      <w:r w:rsidRPr="0068236B">
        <w:rPr>
          <w:rFonts w:cs="Tahoma"/>
          <w:sz w:val="20"/>
          <w:szCs w:val="20"/>
        </w:rPr>
        <w:t xml:space="preserve">tions have stated that lightning is responsible for dominant number of the non-scheduled outages occurring on transmission lines. The main potential impact due to direct strokes to a transmission line is tripping which </w:t>
      </w:r>
      <w:r w:rsidRPr="0068236B">
        <w:rPr>
          <w:rStyle w:val="Emphasis"/>
          <w:rFonts w:cs="Tahoma"/>
          <w:sz w:val="20"/>
          <w:szCs w:val="20"/>
          <w:bdr w:val="none" w:sz="0" w:space="0" w:color="auto" w:frame="1"/>
          <w:shd w:val="clear" w:color="auto" w:fill="FFFFFF"/>
        </w:rPr>
        <w:t xml:space="preserve">generally arises from insulator flashovers, since in such event - the OHL tower is no longer at earth potential but, due to the lightning stroke, is at a higher voltage than the conductor. </w:t>
      </w:r>
      <w:r w:rsidRPr="0068236B">
        <w:rPr>
          <w:rFonts w:cs="Tahoma"/>
          <w:sz w:val="20"/>
          <w:szCs w:val="20"/>
        </w:rPr>
        <w:t>Although, it is a fact that most of such outages are tra</w:t>
      </w:r>
      <w:r w:rsidRPr="0068236B">
        <w:rPr>
          <w:rFonts w:cs="Tahoma"/>
          <w:sz w:val="20"/>
          <w:szCs w:val="20"/>
        </w:rPr>
        <w:t>n</w:t>
      </w:r>
      <w:r w:rsidRPr="0068236B">
        <w:rPr>
          <w:rFonts w:cs="Tahoma"/>
          <w:sz w:val="20"/>
          <w:szCs w:val="20"/>
        </w:rPr>
        <w:t>sient</w:t>
      </w:r>
      <w:r w:rsidRPr="0068236B">
        <w:rPr>
          <w:rStyle w:val="FootnoteReference"/>
          <w:rFonts w:cs="Tahoma"/>
          <w:sz w:val="20"/>
          <w:szCs w:val="20"/>
        </w:rPr>
        <w:footnoteReference w:id="106"/>
      </w:r>
      <w:r w:rsidRPr="0068236B">
        <w:rPr>
          <w:rFonts w:cs="Tahoma"/>
          <w:sz w:val="20"/>
          <w:szCs w:val="20"/>
        </w:rPr>
        <w:t xml:space="preserve"> in nature, with a fault time in a scale of several seconds and shorter than one m</w:t>
      </w:r>
      <w:r w:rsidRPr="0068236B">
        <w:rPr>
          <w:rFonts w:cs="Tahoma"/>
          <w:sz w:val="20"/>
          <w:szCs w:val="20"/>
        </w:rPr>
        <w:t>i</w:t>
      </w:r>
      <w:r w:rsidRPr="0068236B">
        <w:rPr>
          <w:rFonts w:cs="Tahoma"/>
          <w:sz w:val="20"/>
          <w:szCs w:val="20"/>
        </w:rPr>
        <w:t xml:space="preserve">nute, in many cases this is still deemed to be critical, e.g. for many modern industries or </w:t>
      </w:r>
      <w:r w:rsidRPr="0068236B">
        <w:rPr>
          <w:rFonts w:cs="Tahoma"/>
          <w:sz w:val="20"/>
          <w:szCs w:val="20"/>
        </w:rPr>
        <w:lastRenderedPageBreak/>
        <w:t>processes sensitive to momentary disturbances on the system or entities reliant on sophist</w:t>
      </w:r>
      <w:r w:rsidRPr="0068236B">
        <w:rPr>
          <w:rFonts w:cs="Tahoma"/>
          <w:sz w:val="20"/>
          <w:szCs w:val="20"/>
        </w:rPr>
        <w:t>i</w:t>
      </w:r>
      <w:r w:rsidRPr="0068236B">
        <w:rPr>
          <w:rFonts w:cs="Tahoma"/>
          <w:sz w:val="20"/>
          <w:szCs w:val="20"/>
        </w:rPr>
        <w:t xml:space="preserve">cated electronic equipment. Therefore, appropriate and proven design solution is envisaged for protection of proposed transmission line in order to minimize interrupted power supply events. According to the </w:t>
      </w:r>
      <w:r w:rsidR="00962A8F" w:rsidRPr="0068236B">
        <w:rPr>
          <w:rFonts w:cs="Tahoma"/>
          <w:sz w:val="20"/>
          <w:szCs w:val="20"/>
        </w:rPr>
        <w:t>Macedonian</w:t>
      </w:r>
      <w:r w:rsidRPr="0068236B">
        <w:rPr>
          <w:rFonts w:cs="Tahoma"/>
          <w:sz w:val="20"/>
          <w:szCs w:val="20"/>
        </w:rPr>
        <w:t xml:space="preserve"> technical requirements</w:t>
      </w:r>
      <w:r w:rsidRPr="0068236B">
        <w:rPr>
          <w:rStyle w:val="FootnoteReference"/>
          <w:rFonts w:cs="Tahoma"/>
          <w:sz w:val="20"/>
          <w:szCs w:val="20"/>
        </w:rPr>
        <w:footnoteReference w:id="107"/>
      </w:r>
      <w:r w:rsidRPr="0068236B">
        <w:rPr>
          <w:rFonts w:cs="Tahoma"/>
          <w:sz w:val="20"/>
          <w:szCs w:val="20"/>
        </w:rPr>
        <w:t xml:space="preserve"> the lightning protection for the </w:t>
      </w:r>
      <w:r w:rsidR="00962A8F" w:rsidRPr="0068236B">
        <w:rPr>
          <w:rFonts w:cs="Tahoma"/>
          <w:sz w:val="20"/>
          <w:szCs w:val="20"/>
        </w:rPr>
        <w:t xml:space="preserve">Project </w:t>
      </w:r>
      <w:r w:rsidRPr="0068236B">
        <w:rPr>
          <w:rFonts w:cs="Tahoma"/>
          <w:sz w:val="20"/>
          <w:szCs w:val="20"/>
        </w:rPr>
        <w:t>will be provided by installation of two earth wires that would improve its perfo</w:t>
      </w:r>
      <w:r w:rsidRPr="0068236B">
        <w:rPr>
          <w:rFonts w:cs="Tahoma"/>
          <w:sz w:val="20"/>
          <w:szCs w:val="20"/>
        </w:rPr>
        <w:t>r</w:t>
      </w:r>
      <w:r w:rsidRPr="0068236B">
        <w:rPr>
          <w:rFonts w:cs="Tahoma"/>
          <w:sz w:val="20"/>
          <w:szCs w:val="20"/>
        </w:rPr>
        <w:t>mance due to lightning at satisfactory level.</w:t>
      </w:r>
      <w:r w:rsidR="00962A8F" w:rsidRPr="0068236B">
        <w:rPr>
          <w:rFonts w:cs="Tahoma"/>
          <w:sz w:val="20"/>
          <w:szCs w:val="20"/>
        </w:rPr>
        <w:t xml:space="preserve"> </w:t>
      </w:r>
      <w:r w:rsidRPr="0068236B">
        <w:rPr>
          <w:rFonts w:cs="Tahoma"/>
          <w:sz w:val="20"/>
          <w:szCs w:val="20"/>
        </w:rPr>
        <w:t>In general terms, the main potential effects of direct strokes to a substation include: possible insulation damage; damage and possible fai</w:t>
      </w:r>
      <w:r w:rsidRPr="0068236B">
        <w:rPr>
          <w:rFonts w:cs="Tahoma"/>
          <w:sz w:val="20"/>
          <w:szCs w:val="20"/>
        </w:rPr>
        <w:t>l</w:t>
      </w:r>
      <w:r w:rsidRPr="0068236B">
        <w:rPr>
          <w:rFonts w:cs="Tahoma"/>
          <w:sz w:val="20"/>
          <w:szCs w:val="20"/>
        </w:rPr>
        <w:t>ure to major substation equipment; and substation outage. Depending on the stroke magn</w:t>
      </w:r>
      <w:r w:rsidRPr="0068236B">
        <w:rPr>
          <w:rFonts w:cs="Tahoma"/>
          <w:sz w:val="20"/>
          <w:szCs w:val="20"/>
        </w:rPr>
        <w:t>i</w:t>
      </w:r>
      <w:r w:rsidRPr="0068236B">
        <w:rPr>
          <w:rFonts w:cs="Tahoma"/>
          <w:sz w:val="20"/>
          <w:szCs w:val="20"/>
        </w:rPr>
        <w:t xml:space="preserve">tude, these effects may impose significant operational problems for the affected substation, assuming that no shielding and no surge protective devices are put in place. Therefore, the </w:t>
      </w:r>
      <w:r w:rsidR="00962A8F" w:rsidRPr="0068236B">
        <w:rPr>
          <w:rFonts w:cs="Tahoma"/>
          <w:sz w:val="20"/>
          <w:szCs w:val="20"/>
        </w:rPr>
        <w:t>further Project</w:t>
      </w:r>
      <w:r w:rsidRPr="0068236B">
        <w:rPr>
          <w:rFonts w:cs="Tahoma"/>
          <w:sz w:val="20"/>
          <w:szCs w:val="20"/>
        </w:rPr>
        <w:t xml:space="preserve"> technical design for the</w:t>
      </w:r>
      <w:r w:rsidR="00962A8F" w:rsidRPr="0068236B">
        <w:rPr>
          <w:rFonts w:cs="Tahoma"/>
          <w:sz w:val="20"/>
          <w:szCs w:val="20"/>
        </w:rPr>
        <w:t xml:space="preserve"> new</w:t>
      </w:r>
      <w:r w:rsidRPr="0068236B">
        <w:rPr>
          <w:rFonts w:cs="Tahoma"/>
          <w:sz w:val="20"/>
          <w:szCs w:val="20"/>
        </w:rPr>
        <w:t xml:space="preserve"> substa</w:t>
      </w:r>
      <w:r w:rsidR="00962A8F" w:rsidRPr="0068236B">
        <w:rPr>
          <w:rFonts w:cs="Tahoma"/>
          <w:sz w:val="20"/>
          <w:szCs w:val="20"/>
        </w:rPr>
        <w:t>tion</w:t>
      </w:r>
      <w:r w:rsidRPr="0068236B">
        <w:rPr>
          <w:rFonts w:cs="Tahoma"/>
          <w:sz w:val="20"/>
          <w:szCs w:val="20"/>
        </w:rPr>
        <w:t xml:space="preserve"> would need to incorporate and apply shielding methods </w:t>
      </w:r>
      <w:r w:rsidR="003B3263" w:rsidRPr="0068236B">
        <w:rPr>
          <w:rFonts w:cs="Tahoma"/>
          <w:sz w:val="20"/>
          <w:szCs w:val="20"/>
        </w:rPr>
        <w:t xml:space="preserve">and proper grounding system </w:t>
      </w:r>
      <w:r w:rsidRPr="0068236B">
        <w:rPr>
          <w:rFonts w:cs="Tahoma"/>
          <w:sz w:val="20"/>
          <w:szCs w:val="20"/>
        </w:rPr>
        <w:t>in order to minimize direct lightning strokes to equipment within the sub</w:t>
      </w:r>
      <w:r w:rsidR="00962A8F" w:rsidRPr="0068236B">
        <w:rPr>
          <w:rFonts w:cs="Tahoma"/>
          <w:sz w:val="20"/>
          <w:szCs w:val="20"/>
        </w:rPr>
        <w:t>station</w:t>
      </w:r>
      <w:r w:rsidRPr="0068236B">
        <w:rPr>
          <w:rFonts w:cs="Tahoma"/>
          <w:sz w:val="20"/>
          <w:szCs w:val="20"/>
        </w:rPr>
        <w:t xml:space="preserve"> and, in that way, to reduce </w:t>
      </w:r>
      <w:r w:rsidR="00962A8F" w:rsidRPr="0068236B">
        <w:rPr>
          <w:rFonts w:cs="Tahoma"/>
          <w:sz w:val="20"/>
          <w:szCs w:val="20"/>
        </w:rPr>
        <w:t>its</w:t>
      </w:r>
      <w:r w:rsidRPr="0068236B">
        <w:rPr>
          <w:rFonts w:cs="Tahoma"/>
          <w:sz w:val="20"/>
          <w:szCs w:val="20"/>
        </w:rPr>
        <w:t xml:space="preserve"> vulnerability to this weather event. </w:t>
      </w:r>
      <w:r w:rsidR="003B3263" w:rsidRPr="0068236B">
        <w:rPr>
          <w:rFonts w:cs="Arial"/>
          <w:sz w:val="20"/>
          <w:szCs w:val="20"/>
        </w:rPr>
        <w:t xml:space="preserve">This should also include use of </w:t>
      </w:r>
      <w:r w:rsidR="003B3263" w:rsidRPr="0068236B">
        <w:rPr>
          <w:rFonts w:cs="Arial"/>
          <w:bCs/>
          <w:sz w:val="20"/>
          <w:szCs w:val="20"/>
        </w:rPr>
        <w:t xml:space="preserve">surge arresters added to strategic locations in the substation to minimize the possibility of damage of the substation major equipment and outage. </w:t>
      </w:r>
      <w:r w:rsidRPr="0068236B">
        <w:rPr>
          <w:rFonts w:cs="Tahoma"/>
          <w:sz w:val="20"/>
          <w:szCs w:val="20"/>
        </w:rPr>
        <w:t>Provided that appropriate lightning protection, based on proven and widely used engineering methods of shielding</w:t>
      </w:r>
      <w:r w:rsidRPr="0068236B">
        <w:rPr>
          <w:rStyle w:val="FootnoteReference"/>
          <w:rFonts w:cs="Tahoma"/>
          <w:sz w:val="20"/>
          <w:szCs w:val="20"/>
        </w:rPr>
        <w:footnoteReference w:id="108"/>
      </w:r>
      <w:r w:rsidRPr="0068236B">
        <w:rPr>
          <w:rFonts w:cs="Tahoma"/>
          <w:sz w:val="20"/>
          <w:szCs w:val="20"/>
        </w:rPr>
        <w:t>, is designed and enforced on site as well as maintained in sound manner, no significant system-wide effects are likely.</w:t>
      </w:r>
    </w:p>
    <w:p w14:paraId="437DF154" w14:textId="220B6BAE" w:rsidR="003B3263" w:rsidRPr="0068236B" w:rsidRDefault="003B3263" w:rsidP="003B3263">
      <w:pPr>
        <w:pStyle w:val="Heading4"/>
      </w:pPr>
      <w:r w:rsidRPr="0068236B">
        <w:t>Residual Effects</w:t>
      </w:r>
    </w:p>
    <w:p w14:paraId="00B64A05" w14:textId="515687FE" w:rsidR="003B3263" w:rsidRPr="0068236B" w:rsidRDefault="003B3263" w:rsidP="003B3263">
      <w:pPr>
        <w:rPr>
          <w:sz w:val="20"/>
          <w:szCs w:val="20"/>
        </w:rPr>
      </w:pPr>
      <w:r w:rsidRPr="0068236B">
        <w:rPr>
          <w:rFonts w:cs="Tahoma"/>
          <w:sz w:val="20"/>
          <w:szCs w:val="20"/>
        </w:rPr>
        <w:t>Assuming that the design-based mitigation measures described in this E&amp;S assessment are incorporated into the design of the Project, the residual significance of all impacts is considered as not significant.</w:t>
      </w:r>
    </w:p>
    <w:p w14:paraId="029A7210" w14:textId="7800D85A" w:rsidR="00275A02" w:rsidRPr="0068236B" w:rsidRDefault="00275A02" w:rsidP="00275A02">
      <w:pPr>
        <w:pStyle w:val="Heading2"/>
        <w:spacing w:before="480" w:after="240"/>
        <w:ind w:left="576" w:hanging="576"/>
        <w:rPr>
          <w:rFonts w:cs="Arial"/>
          <w:szCs w:val="28"/>
        </w:rPr>
      </w:pPr>
      <w:bookmarkStart w:id="341" w:name="_Toc112852264"/>
      <w:r w:rsidRPr="0068236B">
        <w:rPr>
          <w:rFonts w:cs="Arial"/>
          <w:szCs w:val="28"/>
        </w:rPr>
        <w:t>Construction Noise</w:t>
      </w:r>
      <w:bookmarkEnd w:id="341"/>
    </w:p>
    <w:p w14:paraId="5054C93C" w14:textId="5FB8E207" w:rsidR="003F0D91" w:rsidRPr="0068236B" w:rsidRDefault="003F0D91" w:rsidP="003F0D91">
      <w:pPr>
        <w:pStyle w:val="Heading3"/>
      </w:pPr>
      <w:bookmarkStart w:id="342" w:name="_Toc112852265"/>
      <w:r w:rsidRPr="0068236B">
        <w:t>Noise Limit Standards</w:t>
      </w:r>
      <w:bookmarkEnd w:id="342"/>
    </w:p>
    <w:p w14:paraId="381D39E3" w14:textId="661073BB" w:rsidR="00815E91" w:rsidRPr="0068236B" w:rsidRDefault="00815E91" w:rsidP="00815E91">
      <w:pPr>
        <w:rPr>
          <w:rFonts w:cs="Arial"/>
          <w:sz w:val="20"/>
          <w:szCs w:val="20"/>
        </w:rPr>
      </w:pPr>
      <w:r w:rsidRPr="0068236B">
        <w:rPr>
          <w:rFonts w:cs="Arial"/>
          <w:sz w:val="20"/>
          <w:szCs w:val="20"/>
        </w:rPr>
        <w:t xml:space="preserve">Noise limit values in the environment in Macedonia </w:t>
      </w:r>
      <w:r w:rsidRPr="0068236B">
        <w:rPr>
          <w:sz w:val="20"/>
          <w:szCs w:val="20"/>
        </w:rPr>
        <w:t>determined in the Rulebook on environmental noise l</w:t>
      </w:r>
      <w:r w:rsidR="00381854" w:rsidRPr="0068236B">
        <w:rPr>
          <w:sz w:val="20"/>
          <w:szCs w:val="20"/>
        </w:rPr>
        <w:t>evel limit values (Official Gaz</w:t>
      </w:r>
      <w:r w:rsidRPr="0068236B">
        <w:rPr>
          <w:sz w:val="20"/>
          <w:szCs w:val="20"/>
        </w:rPr>
        <w:t xml:space="preserve">ette of RM no. </w:t>
      </w:r>
      <w:r w:rsidR="00FE4D07" w:rsidRPr="0068236B">
        <w:rPr>
          <w:sz w:val="20"/>
          <w:szCs w:val="20"/>
        </w:rPr>
        <w:t>147/</w:t>
      </w:r>
      <w:r w:rsidRPr="0068236B">
        <w:rPr>
          <w:sz w:val="20"/>
          <w:szCs w:val="20"/>
        </w:rPr>
        <w:t xml:space="preserve">08). </w:t>
      </w:r>
      <w:r w:rsidRPr="0068236B">
        <w:rPr>
          <w:rFonts w:cs="Arial"/>
          <w:sz w:val="20"/>
          <w:szCs w:val="20"/>
        </w:rPr>
        <w:t>The noise limit values according to this regulation are given in the following Table.</w:t>
      </w:r>
    </w:p>
    <w:tbl>
      <w:tblPr>
        <w:tblW w:w="6988" w:type="dxa"/>
        <w:tblInd w:w="5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4111"/>
        <w:gridCol w:w="1034"/>
        <w:gridCol w:w="992"/>
        <w:gridCol w:w="851"/>
      </w:tblGrid>
      <w:tr w:rsidR="00815E91" w:rsidRPr="0068236B" w14:paraId="5BC3E742" w14:textId="77777777" w:rsidTr="00880A7C">
        <w:trPr>
          <w:cantSplit/>
          <w:trHeight w:hRule="exact" w:val="337"/>
        </w:trPr>
        <w:tc>
          <w:tcPr>
            <w:tcW w:w="4111" w:type="dxa"/>
            <w:vMerge w:val="restart"/>
            <w:tcBorders>
              <w:top w:val="double" w:sz="4" w:space="0" w:color="auto"/>
              <w:bottom w:val="double" w:sz="4" w:space="0" w:color="auto"/>
              <w:right w:val="double" w:sz="4" w:space="0" w:color="auto"/>
            </w:tcBorders>
            <w:shd w:val="clear" w:color="auto" w:fill="B4C6E7" w:themeFill="accent1" w:themeFillTint="66"/>
            <w:vAlign w:val="center"/>
          </w:tcPr>
          <w:p w14:paraId="18032CB3" w14:textId="01D54F1E" w:rsidR="00815E91" w:rsidRPr="0068236B" w:rsidRDefault="00880A7C" w:rsidP="00880A7C">
            <w:pPr>
              <w:pStyle w:val="WW-Default"/>
              <w:snapToGrid w:val="0"/>
              <w:rPr>
                <w:rFonts w:ascii="Tahoma" w:hAnsi="Tahoma" w:cs="Tahoma"/>
                <w:sz w:val="20"/>
                <w:szCs w:val="20"/>
                <w:lang w:val="en-GB"/>
              </w:rPr>
            </w:pPr>
            <w:r w:rsidRPr="0068236B">
              <w:rPr>
                <w:rFonts w:ascii="Tahoma" w:hAnsi="Tahoma" w:cs="Tahoma"/>
                <w:sz w:val="20"/>
                <w:szCs w:val="20"/>
                <w:lang w:val="en-GB"/>
              </w:rPr>
              <w:t xml:space="preserve">Area - </w:t>
            </w:r>
            <w:r w:rsidR="00815E91" w:rsidRPr="0068236B">
              <w:rPr>
                <w:rFonts w:ascii="Tahoma" w:hAnsi="Tahoma" w:cs="Tahoma"/>
                <w:sz w:val="20"/>
                <w:szCs w:val="20"/>
                <w:lang w:val="en-GB"/>
              </w:rPr>
              <w:t>defined in relation to the degree of protection from noise</w:t>
            </w:r>
          </w:p>
        </w:tc>
        <w:tc>
          <w:tcPr>
            <w:tcW w:w="2877" w:type="dxa"/>
            <w:gridSpan w:val="3"/>
            <w:tcBorders>
              <w:top w:val="double" w:sz="4" w:space="0" w:color="auto"/>
              <w:left w:val="double" w:sz="4" w:space="0" w:color="auto"/>
              <w:bottom w:val="double" w:sz="4" w:space="0" w:color="auto"/>
            </w:tcBorders>
            <w:shd w:val="clear" w:color="auto" w:fill="B4C6E7" w:themeFill="accent1" w:themeFillTint="66"/>
            <w:vAlign w:val="center"/>
          </w:tcPr>
          <w:p w14:paraId="4CD67E9B" w14:textId="77777777" w:rsidR="00815E91" w:rsidRPr="0068236B" w:rsidRDefault="00815E91" w:rsidP="00880A7C">
            <w:pPr>
              <w:pStyle w:val="WW-Default"/>
              <w:snapToGrid w:val="0"/>
              <w:jc w:val="both"/>
              <w:rPr>
                <w:rFonts w:ascii="Tahoma" w:hAnsi="Tahoma" w:cs="Tahoma"/>
                <w:sz w:val="20"/>
                <w:szCs w:val="20"/>
                <w:lang w:val="en-GB"/>
              </w:rPr>
            </w:pPr>
            <w:r w:rsidRPr="0068236B">
              <w:rPr>
                <w:rFonts w:ascii="Tahoma" w:hAnsi="Tahoma" w:cs="Tahoma"/>
                <w:sz w:val="20"/>
                <w:szCs w:val="20"/>
                <w:lang w:val="en-GB"/>
              </w:rPr>
              <w:t>Noise level [dBA]</w:t>
            </w:r>
          </w:p>
        </w:tc>
      </w:tr>
      <w:tr w:rsidR="00815E91" w:rsidRPr="0068236B" w14:paraId="0F9C8ED1" w14:textId="77777777" w:rsidTr="00880A7C">
        <w:trPr>
          <w:cantSplit/>
        </w:trPr>
        <w:tc>
          <w:tcPr>
            <w:tcW w:w="4111" w:type="dxa"/>
            <w:vMerge/>
            <w:tcBorders>
              <w:top w:val="double" w:sz="4" w:space="0" w:color="auto"/>
              <w:bottom w:val="double" w:sz="4" w:space="0" w:color="auto"/>
              <w:right w:val="double" w:sz="4" w:space="0" w:color="auto"/>
            </w:tcBorders>
            <w:shd w:val="clear" w:color="auto" w:fill="B4C6E7" w:themeFill="accent1" w:themeFillTint="66"/>
            <w:vAlign w:val="center"/>
          </w:tcPr>
          <w:p w14:paraId="058BBED9" w14:textId="77777777" w:rsidR="00815E91" w:rsidRPr="0068236B" w:rsidRDefault="00815E91" w:rsidP="00880A7C">
            <w:pPr>
              <w:spacing w:before="0" w:after="0" w:line="240" w:lineRule="auto"/>
              <w:jc w:val="left"/>
              <w:rPr>
                <w:rFonts w:cs="Tahoma"/>
                <w:sz w:val="20"/>
                <w:szCs w:val="20"/>
              </w:rPr>
            </w:pPr>
          </w:p>
        </w:tc>
        <w:tc>
          <w:tcPr>
            <w:tcW w:w="1034"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5D254593" w14:textId="77777777" w:rsidR="00815E91" w:rsidRPr="0068236B" w:rsidRDefault="00815E91" w:rsidP="00880A7C">
            <w:pPr>
              <w:pStyle w:val="WW-Default"/>
              <w:snapToGrid w:val="0"/>
              <w:jc w:val="both"/>
              <w:rPr>
                <w:rFonts w:ascii="Tahoma" w:hAnsi="Tahoma" w:cs="Tahoma"/>
                <w:sz w:val="20"/>
                <w:szCs w:val="20"/>
                <w:vertAlign w:val="subscript"/>
                <w:lang w:val="en-GB"/>
              </w:rPr>
            </w:pPr>
            <w:r w:rsidRPr="0068236B">
              <w:rPr>
                <w:rFonts w:ascii="Tahoma" w:hAnsi="Tahoma" w:cs="Tahoma"/>
                <w:sz w:val="20"/>
                <w:szCs w:val="20"/>
                <w:lang w:val="en-GB"/>
              </w:rPr>
              <w:t>L</w:t>
            </w:r>
            <w:r w:rsidRPr="0068236B">
              <w:rPr>
                <w:rFonts w:ascii="Tahoma" w:hAnsi="Tahoma" w:cs="Tahoma"/>
                <w:sz w:val="20"/>
                <w:szCs w:val="20"/>
                <w:vertAlign w:val="subscript"/>
                <w:lang w:val="en-GB"/>
              </w:rPr>
              <w:t>D</w:t>
            </w:r>
          </w:p>
        </w:tc>
        <w:tc>
          <w:tcPr>
            <w:tcW w:w="992"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79EB01D3" w14:textId="77777777" w:rsidR="00815E91" w:rsidRPr="0068236B" w:rsidRDefault="00815E91" w:rsidP="00880A7C">
            <w:pPr>
              <w:pStyle w:val="WW-Default"/>
              <w:snapToGrid w:val="0"/>
              <w:jc w:val="both"/>
              <w:rPr>
                <w:rFonts w:ascii="Tahoma" w:hAnsi="Tahoma" w:cs="Tahoma"/>
                <w:sz w:val="20"/>
                <w:szCs w:val="20"/>
                <w:vertAlign w:val="subscript"/>
                <w:lang w:val="en-GB"/>
              </w:rPr>
            </w:pPr>
            <w:r w:rsidRPr="0068236B">
              <w:rPr>
                <w:rFonts w:ascii="Tahoma" w:hAnsi="Tahoma" w:cs="Tahoma"/>
                <w:sz w:val="20"/>
                <w:szCs w:val="20"/>
                <w:lang w:val="en-GB"/>
              </w:rPr>
              <w:t>L</w:t>
            </w:r>
            <w:r w:rsidRPr="0068236B">
              <w:rPr>
                <w:rFonts w:ascii="Tahoma" w:hAnsi="Tahoma" w:cs="Tahoma"/>
                <w:sz w:val="20"/>
                <w:szCs w:val="20"/>
                <w:vertAlign w:val="subscript"/>
                <w:lang w:val="en-GB"/>
              </w:rPr>
              <w:t>E</w:t>
            </w:r>
          </w:p>
        </w:tc>
        <w:tc>
          <w:tcPr>
            <w:tcW w:w="851" w:type="dxa"/>
            <w:tcBorders>
              <w:top w:val="double" w:sz="4" w:space="0" w:color="auto"/>
              <w:left w:val="double" w:sz="4" w:space="0" w:color="auto"/>
              <w:bottom w:val="double" w:sz="4" w:space="0" w:color="auto"/>
            </w:tcBorders>
            <w:shd w:val="clear" w:color="auto" w:fill="B4C6E7" w:themeFill="accent1" w:themeFillTint="66"/>
            <w:vAlign w:val="center"/>
          </w:tcPr>
          <w:p w14:paraId="47B1EB4C" w14:textId="77777777" w:rsidR="00815E91" w:rsidRPr="0068236B" w:rsidRDefault="00815E91" w:rsidP="00880A7C">
            <w:pPr>
              <w:pStyle w:val="WW-Default"/>
              <w:snapToGrid w:val="0"/>
              <w:jc w:val="both"/>
              <w:rPr>
                <w:rFonts w:ascii="Tahoma" w:hAnsi="Tahoma" w:cs="Tahoma"/>
                <w:sz w:val="20"/>
                <w:szCs w:val="20"/>
                <w:vertAlign w:val="subscript"/>
                <w:lang w:val="en-GB"/>
              </w:rPr>
            </w:pPr>
            <w:r w:rsidRPr="0068236B">
              <w:rPr>
                <w:rFonts w:ascii="Tahoma" w:hAnsi="Tahoma" w:cs="Tahoma"/>
                <w:sz w:val="20"/>
                <w:szCs w:val="20"/>
                <w:lang w:val="en-GB"/>
              </w:rPr>
              <w:t>L</w:t>
            </w:r>
            <w:r w:rsidRPr="0068236B">
              <w:rPr>
                <w:rFonts w:ascii="Tahoma" w:hAnsi="Tahoma" w:cs="Tahoma"/>
                <w:sz w:val="20"/>
                <w:szCs w:val="20"/>
                <w:vertAlign w:val="subscript"/>
                <w:lang w:val="en-GB"/>
              </w:rPr>
              <w:t>N</w:t>
            </w:r>
          </w:p>
        </w:tc>
      </w:tr>
      <w:tr w:rsidR="00815E91" w:rsidRPr="0068236B" w14:paraId="64B3AE92" w14:textId="77777777" w:rsidTr="00880A7C">
        <w:tc>
          <w:tcPr>
            <w:tcW w:w="4111" w:type="dxa"/>
            <w:tcBorders>
              <w:top w:val="double" w:sz="4" w:space="0" w:color="auto"/>
            </w:tcBorders>
            <w:vAlign w:val="center"/>
          </w:tcPr>
          <w:p w14:paraId="041F90FE" w14:textId="7B394470" w:rsidR="00815E91" w:rsidRPr="0068236B" w:rsidRDefault="00815E91" w:rsidP="00D24CEF">
            <w:pPr>
              <w:pStyle w:val="WW-Default"/>
              <w:numPr>
                <w:ilvl w:val="3"/>
                <w:numId w:val="82"/>
              </w:numPr>
              <w:snapToGrid w:val="0"/>
              <w:ind w:left="510" w:hanging="425"/>
              <w:rPr>
                <w:rFonts w:ascii="Tahoma" w:hAnsi="Tahoma" w:cs="Tahoma"/>
                <w:sz w:val="20"/>
                <w:szCs w:val="20"/>
                <w:lang w:val="en-GB"/>
              </w:rPr>
            </w:pPr>
            <w:r w:rsidRPr="0068236B">
              <w:rPr>
                <w:rFonts w:ascii="Tahoma" w:hAnsi="Tahoma" w:cs="Tahoma"/>
                <w:sz w:val="20"/>
                <w:szCs w:val="20"/>
                <w:lang w:val="en-GB"/>
              </w:rPr>
              <w:t>Area with first degree</w:t>
            </w:r>
          </w:p>
        </w:tc>
        <w:tc>
          <w:tcPr>
            <w:tcW w:w="1034" w:type="dxa"/>
            <w:tcBorders>
              <w:top w:val="double" w:sz="4" w:space="0" w:color="auto"/>
            </w:tcBorders>
            <w:vAlign w:val="center"/>
          </w:tcPr>
          <w:p w14:paraId="4A0A0211" w14:textId="77777777" w:rsidR="00815E91" w:rsidRPr="0068236B" w:rsidRDefault="00815E91" w:rsidP="00880A7C">
            <w:pPr>
              <w:pStyle w:val="WW-Default"/>
              <w:snapToGrid w:val="0"/>
              <w:jc w:val="both"/>
              <w:rPr>
                <w:rFonts w:ascii="Tahoma" w:hAnsi="Tahoma" w:cs="Tahoma"/>
                <w:sz w:val="20"/>
                <w:szCs w:val="20"/>
                <w:lang w:val="en-GB"/>
              </w:rPr>
            </w:pPr>
            <w:r w:rsidRPr="0068236B">
              <w:rPr>
                <w:rFonts w:ascii="Tahoma" w:hAnsi="Tahoma" w:cs="Tahoma"/>
                <w:sz w:val="20"/>
                <w:szCs w:val="20"/>
                <w:lang w:val="en-GB"/>
              </w:rPr>
              <w:t>50</w:t>
            </w:r>
          </w:p>
        </w:tc>
        <w:tc>
          <w:tcPr>
            <w:tcW w:w="992" w:type="dxa"/>
            <w:tcBorders>
              <w:top w:val="double" w:sz="4" w:space="0" w:color="auto"/>
            </w:tcBorders>
            <w:vAlign w:val="center"/>
          </w:tcPr>
          <w:p w14:paraId="7CFE1CF0" w14:textId="77777777" w:rsidR="00815E91" w:rsidRPr="0068236B" w:rsidRDefault="00815E91" w:rsidP="00880A7C">
            <w:pPr>
              <w:pStyle w:val="WW-Default"/>
              <w:snapToGrid w:val="0"/>
              <w:jc w:val="both"/>
              <w:rPr>
                <w:rFonts w:ascii="Tahoma" w:hAnsi="Tahoma" w:cs="Tahoma"/>
                <w:sz w:val="20"/>
                <w:szCs w:val="20"/>
                <w:lang w:val="en-GB"/>
              </w:rPr>
            </w:pPr>
            <w:r w:rsidRPr="0068236B">
              <w:rPr>
                <w:rFonts w:ascii="Tahoma" w:hAnsi="Tahoma" w:cs="Tahoma"/>
                <w:sz w:val="20"/>
                <w:szCs w:val="20"/>
                <w:lang w:val="en-GB"/>
              </w:rPr>
              <w:t>50</w:t>
            </w:r>
          </w:p>
        </w:tc>
        <w:tc>
          <w:tcPr>
            <w:tcW w:w="851" w:type="dxa"/>
            <w:tcBorders>
              <w:top w:val="double" w:sz="4" w:space="0" w:color="auto"/>
            </w:tcBorders>
            <w:vAlign w:val="center"/>
          </w:tcPr>
          <w:p w14:paraId="3BA9306E" w14:textId="77777777" w:rsidR="00815E91" w:rsidRPr="0068236B" w:rsidRDefault="00815E91" w:rsidP="00880A7C">
            <w:pPr>
              <w:pStyle w:val="WW-Default"/>
              <w:snapToGrid w:val="0"/>
              <w:jc w:val="both"/>
              <w:rPr>
                <w:rFonts w:ascii="Tahoma" w:hAnsi="Tahoma" w:cs="Tahoma"/>
                <w:sz w:val="20"/>
                <w:szCs w:val="20"/>
                <w:lang w:val="en-GB"/>
              </w:rPr>
            </w:pPr>
            <w:r w:rsidRPr="0068236B">
              <w:rPr>
                <w:rFonts w:ascii="Tahoma" w:hAnsi="Tahoma" w:cs="Tahoma"/>
                <w:sz w:val="20"/>
                <w:szCs w:val="20"/>
                <w:lang w:val="en-GB"/>
              </w:rPr>
              <w:t>40</w:t>
            </w:r>
          </w:p>
        </w:tc>
      </w:tr>
      <w:tr w:rsidR="00815E91" w:rsidRPr="0068236B" w14:paraId="6F8D9ACA" w14:textId="77777777" w:rsidTr="00880A7C">
        <w:tc>
          <w:tcPr>
            <w:tcW w:w="4111" w:type="dxa"/>
          </w:tcPr>
          <w:p w14:paraId="5C3D033C" w14:textId="13C3AB06" w:rsidR="00815E91" w:rsidRPr="0068236B" w:rsidRDefault="00815E91" w:rsidP="00D24CEF">
            <w:pPr>
              <w:pStyle w:val="ListParagraph"/>
              <w:numPr>
                <w:ilvl w:val="3"/>
                <w:numId w:val="82"/>
              </w:numPr>
              <w:snapToGrid w:val="0"/>
              <w:spacing w:before="0" w:after="0" w:line="240" w:lineRule="auto"/>
              <w:ind w:left="510" w:hanging="425"/>
              <w:jc w:val="left"/>
              <w:rPr>
                <w:rFonts w:cs="Tahoma"/>
                <w:sz w:val="20"/>
                <w:szCs w:val="20"/>
              </w:rPr>
            </w:pPr>
            <w:r w:rsidRPr="0068236B">
              <w:rPr>
                <w:rFonts w:cs="Tahoma"/>
                <w:sz w:val="20"/>
                <w:szCs w:val="20"/>
              </w:rPr>
              <w:t>Area with second degree</w:t>
            </w:r>
          </w:p>
        </w:tc>
        <w:tc>
          <w:tcPr>
            <w:tcW w:w="1034" w:type="dxa"/>
            <w:vAlign w:val="center"/>
          </w:tcPr>
          <w:p w14:paraId="2BB1F9BA" w14:textId="77777777" w:rsidR="00815E91" w:rsidRPr="0068236B" w:rsidRDefault="00815E91" w:rsidP="00880A7C">
            <w:pPr>
              <w:pStyle w:val="WW-Default"/>
              <w:snapToGrid w:val="0"/>
              <w:jc w:val="both"/>
              <w:rPr>
                <w:rFonts w:ascii="Tahoma" w:hAnsi="Tahoma" w:cs="Tahoma"/>
                <w:sz w:val="20"/>
                <w:szCs w:val="20"/>
                <w:lang w:val="en-GB"/>
              </w:rPr>
            </w:pPr>
            <w:r w:rsidRPr="0068236B">
              <w:rPr>
                <w:rFonts w:ascii="Tahoma" w:hAnsi="Tahoma" w:cs="Tahoma"/>
                <w:sz w:val="20"/>
                <w:szCs w:val="20"/>
                <w:lang w:val="en-GB"/>
              </w:rPr>
              <w:t>55</w:t>
            </w:r>
          </w:p>
        </w:tc>
        <w:tc>
          <w:tcPr>
            <w:tcW w:w="992" w:type="dxa"/>
            <w:vAlign w:val="center"/>
          </w:tcPr>
          <w:p w14:paraId="65C621BF" w14:textId="77777777" w:rsidR="00815E91" w:rsidRPr="0068236B" w:rsidRDefault="00815E91" w:rsidP="00880A7C">
            <w:pPr>
              <w:pStyle w:val="WW-Default"/>
              <w:snapToGrid w:val="0"/>
              <w:jc w:val="both"/>
              <w:rPr>
                <w:rFonts w:ascii="Tahoma" w:hAnsi="Tahoma" w:cs="Tahoma"/>
                <w:sz w:val="20"/>
                <w:szCs w:val="20"/>
                <w:lang w:val="en-GB"/>
              </w:rPr>
            </w:pPr>
            <w:r w:rsidRPr="0068236B">
              <w:rPr>
                <w:rFonts w:ascii="Tahoma" w:hAnsi="Tahoma" w:cs="Tahoma"/>
                <w:sz w:val="20"/>
                <w:szCs w:val="20"/>
                <w:lang w:val="en-GB"/>
              </w:rPr>
              <w:t>55</w:t>
            </w:r>
          </w:p>
        </w:tc>
        <w:tc>
          <w:tcPr>
            <w:tcW w:w="851" w:type="dxa"/>
            <w:vAlign w:val="center"/>
          </w:tcPr>
          <w:p w14:paraId="7D0979AB" w14:textId="77777777" w:rsidR="00815E91" w:rsidRPr="0068236B" w:rsidRDefault="00815E91" w:rsidP="00880A7C">
            <w:pPr>
              <w:pStyle w:val="WW-Default"/>
              <w:snapToGrid w:val="0"/>
              <w:jc w:val="both"/>
              <w:rPr>
                <w:rFonts w:ascii="Tahoma" w:hAnsi="Tahoma" w:cs="Tahoma"/>
                <w:sz w:val="20"/>
                <w:szCs w:val="20"/>
                <w:lang w:val="en-GB"/>
              </w:rPr>
            </w:pPr>
            <w:r w:rsidRPr="0068236B">
              <w:rPr>
                <w:rFonts w:ascii="Tahoma" w:hAnsi="Tahoma" w:cs="Tahoma"/>
                <w:sz w:val="20"/>
                <w:szCs w:val="20"/>
                <w:lang w:val="en-GB"/>
              </w:rPr>
              <w:t>45</w:t>
            </w:r>
          </w:p>
        </w:tc>
      </w:tr>
      <w:tr w:rsidR="00815E91" w:rsidRPr="0068236B" w14:paraId="56F78B37" w14:textId="77777777" w:rsidTr="00880A7C">
        <w:tc>
          <w:tcPr>
            <w:tcW w:w="4111" w:type="dxa"/>
          </w:tcPr>
          <w:p w14:paraId="26783963" w14:textId="398D1A2B" w:rsidR="00815E91" w:rsidRPr="0068236B" w:rsidRDefault="00815E91" w:rsidP="00D24CEF">
            <w:pPr>
              <w:pStyle w:val="ListParagraph"/>
              <w:numPr>
                <w:ilvl w:val="3"/>
                <w:numId w:val="82"/>
              </w:numPr>
              <w:snapToGrid w:val="0"/>
              <w:spacing w:before="0" w:after="0" w:line="240" w:lineRule="auto"/>
              <w:ind w:left="510" w:hanging="425"/>
              <w:jc w:val="left"/>
              <w:rPr>
                <w:rFonts w:cs="Tahoma"/>
                <w:sz w:val="20"/>
                <w:szCs w:val="20"/>
              </w:rPr>
            </w:pPr>
            <w:r w:rsidRPr="0068236B">
              <w:rPr>
                <w:rFonts w:cs="Tahoma"/>
                <w:sz w:val="20"/>
                <w:szCs w:val="20"/>
              </w:rPr>
              <w:t>Area with third degree</w:t>
            </w:r>
          </w:p>
        </w:tc>
        <w:tc>
          <w:tcPr>
            <w:tcW w:w="1034" w:type="dxa"/>
            <w:vAlign w:val="center"/>
          </w:tcPr>
          <w:p w14:paraId="6D3E4422" w14:textId="77777777" w:rsidR="00815E91" w:rsidRPr="0068236B" w:rsidRDefault="00815E91" w:rsidP="00880A7C">
            <w:pPr>
              <w:pStyle w:val="WW-Default"/>
              <w:snapToGrid w:val="0"/>
              <w:jc w:val="both"/>
              <w:rPr>
                <w:rFonts w:ascii="Tahoma" w:hAnsi="Tahoma" w:cs="Tahoma"/>
                <w:sz w:val="20"/>
                <w:szCs w:val="20"/>
                <w:lang w:val="en-GB"/>
              </w:rPr>
            </w:pPr>
            <w:r w:rsidRPr="0068236B">
              <w:rPr>
                <w:rFonts w:ascii="Tahoma" w:hAnsi="Tahoma" w:cs="Tahoma"/>
                <w:sz w:val="20"/>
                <w:szCs w:val="20"/>
                <w:lang w:val="en-GB"/>
              </w:rPr>
              <w:t>60</w:t>
            </w:r>
          </w:p>
        </w:tc>
        <w:tc>
          <w:tcPr>
            <w:tcW w:w="992" w:type="dxa"/>
            <w:vAlign w:val="center"/>
          </w:tcPr>
          <w:p w14:paraId="08C8BCE6" w14:textId="77777777" w:rsidR="00815E91" w:rsidRPr="0068236B" w:rsidRDefault="00815E91" w:rsidP="00880A7C">
            <w:pPr>
              <w:pStyle w:val="WW-Default"/>
              <w:snapToGrid w:val="0"/>
              <w:jc w:val="both"/>
              <w:rPr>
                <w:rFonts w:ascii="Tahoma" w:hAnsi="Tahoma" w:cs="Tahoma"/>
                <w:sz w:val="20"/>
                <w:szCs w:val="20"/>
                <w:lang w:val="en-GB"/>
              </w:rPr>
            </w:pPr>
            <w:r w:rsidRPr="0068236B">
              <w:rPr>
                <w:rFonts w:ascii="Tahoma" w:hAnsi="Tahoma" w:cs="Tahoma"/>
                <w:sz w:val="20"/>
                <w:szCs w:val="20"/>
                <w:lang w:val="en-GB"/>
              </w:rPr>
              <w:t>60</w:t>
            </w:r>
          </w:p>
        </w:tc>
        <w:tc>
          <w:tcPr>
            <w:tcW w:w="851" w:type="dxa"/>
            <w:vAlign w:val="center"/>
          </w:tcPr>
          <w:p w14:paraId="1803704A" w14:textId="77777777" w:rsidR="00815E91" w:rsidRPr="0068236B" w:rsidRDefault="00815E91" w:rsidP="00880A7C">
            <w:pPr>
              <w:pStyle w:val="WW-Default"/>
              <w:snapToGrid w:val="0"/>
              <w:jc w:val="both"/>
              <w:rPr>
                <w:rFonts w:ascii="Tahoma" w:hAnsi="Tahoma" w:cs="Tahoma"/>
                <w:sz w:val="20"/>
                <w:szCs w:val="20"/>
                <w:lang w:val="en-GB"/>
              </w:rPr>
            </w:pPr>
            <w:r w:rsidRPr="0068236B">
              <w:rPr>
                <w:rFonts w:ascii="Tahoma" w:hAnsi="Tahoma" w:cs="Tahoma"/>
                <w:sz w:val="20"/>
                <w:szCs w:val="20"/>
                <w:lang w:val="en-GB"/>
              </w:rPr>
              <w:t>55</w:t>
            </w:r>
          </w:p>
        </w:tc>
      </w:tr>
      <w:tr w:rsidR="00815E91" w:rsidRPr="0068236B" w14:paraId="46BC9A20" w14:textId="77777777" w:rsidTr="00880A7C">
        <w:tc>
          <w:tcPr>
            <w:tcW w:w="4111" w:type="dxa"/>
          </w:tcPr>
          <w:p w14:paraId="71A4AFFE" w14:textId="553D395C" w:rsidR="00815E91" w:rsidRPr="0068236B" w:rsidRDefault="00815E91" w:rsidP="00D24CEF">
            <w:pPr>
              <w:pStyle w:val="ListParagraph"/>
              <w:numPr>
                <w:ilvl w:val="3"/>
                <w:numId w:val="82"/>
              </w:numPr>
              <w:snapToGrid w:val="0"/>
              <w:spacing w:before="0" w:after="0" w:line="240" w:lineRule="auto"/>
              <w:ind w:left="510" w:hanging="425"/>
              <w:jc w:val="left"/>
              <w:rPr>
                <w:rFonts w:cs="Tahoma"/>
                <w:sz w:val="20"/>
                <w:szCs w:val="20"/>
              </w:rPr>
            </w:pPr>
            <w:r w:rsidRPr="0068236B">
              <w:rPr>
                <w:rFonts w:cs="Tahoma"/>
                <w:sz w:val="20"/>
                <w:szCs w:val="20"/>
              </w:rPr>
              <w:t>Area with fourth degree</w:t>
            </w:r>
          </w:p>
        </w:tc>
        <w:tc>
          <w:tcPr>
            <w:tcW w:w="1034" w:type="dxa"/>
            <w:vAlign w:val="center"/>
          </w:tcPr>
          <w:p w14:paraId="56009C82" w14:textId="77777777" w:rsidR="00815E91" w:rsidRPr="0068236B" w:rsidRDefault="00815E91" w:rsidP="00880A7C">
            <w:pPr>
              <w:pStyle w:val="WW-Default"/>
              <w:snapToGrid w:val="0"/>
              <w:jc w:val="both"/>
              <w:rPr>
                <w:rFonts w:ascii="Tahoma" w:hAnsi="Tahoma" w:cs="Tahoma"/>
                <w:sz w:val="20"/>
                <w:szCs w:val="20"/>
                <w:lang w:val="en-GB"/>
              </w:rPr>
            </w:pPr>
            <w:r w:rsidRPr="0068236B">
              <w:rPr>
                <w:rFonts w:ascii="Tahoma" w:hAnsi="Tahoma" w:cs="Tahoma"/>
                <w:sz w:val="20"/>
                <w:szCs w:val="20"/>
                <w:lang w:val="en-GB"/>
              </w:rPr>
              <w:t>70</w:t>
            </w:r>
          </w:p>
        </w:tc>
        <w:tc>
          <w:tcPr>
            <w:tcW w:w="992" w:type="dxa"/>
            <w:vAlign w:val="center"/>
          </w:tcPr>
          <w:p w14:paraId="7080FD04" w14:textId="77777777" w:rsidR="00815E91" w:rsidRPr="0068236B" w:rsidRDefault="00815E91" w:rsidP="00880A7C">
            <w:pPr>
              <w:pStyle w:val="WW-Default"/>
              <w:snapToGrid w:val="0"/>
              <w:jc w:val="both"/>
              <w:rPr>
                <w:rFonts w:ascii="Tahoma" w:hAnsi="Tahoma" w:cs="Tahoma"/>
                <w:sz w:val="20"/>
                <w:szCs w:val="20"/>
                <w:lang w:val="en-GB"/>
              </w:rPr>
            </w:pPr>
            <w:r w:rsidRPr="0068236B">
              <w:rPr>
                <w:rFonts w:ascii="Tahoma" w:hAnsi="Tahoma" w:cs="Tahoma"/>
                <w:sz w:val="20"/>
                <w:szCs w:val="20"/>
                <w:lang w:val="en-GB"/>
              </w:rPr>
              <w:t>70</w:t>
            </w:r>
          </w:p>
        </w:tc>
        <w:tc>
          <w:tcPr>
            <w:tcW w:w="851" w:type="dxa"/>
            <w:vAlign w:val="center"/>
          </w:tcPr>
          <w:p w14:paraId="1F7781D5" w14:textId="77777777" w:rsidR="00815E91" w:rsidRPr="0068236B" w:rsidRDefault="00815E91" w:rsidP="00880A7C">
            <w:pPr>
              <w:pStyle w:val="WW-Default"/>
              <w:snapToGrid w:val="0"/>
              <w:jc w:val="both"/>
              <w:rPr>
                <w:rFonts w:ascii="Tahoma" w:hAnsi="Tahoma" w:cs="Tahoma"/>
                <w:sz w:val="20"/>
                <w:szCs w:val="20"/>
                <w:lang w:val="en-GB"/>
              </w:rPr>
            </w:pPr>
            <w:r w:rsidRPr="0068236B">
              <w:rPr>
                <w:rFonts w:ascii="Tahoma" w:hAnsi="Tahoma" w:cs="Tahoma"/>
                <w:sz w:val="20"/>
                <w:szCs w:val="20"/>
                <w:lang w:val="en-GB"/>
              </w:rPr>
              <w:t>60</w:t>
            </w:r>
          </w:p>
        </w:tc>
      </w:tr>
    </w:tbl>
    <w:p w14:paraId="0B33C67C" w14:textId="13D736D7" w:rsidR="0047585A" w:rsidRPr="0068236B" w:rsidRDefault="0047585A" w:rsidP="0047585A">
      <w:pPr>
        <w:autoSpaceDE w:val="0"/>
        <w:autoSpaceDN w:val="0"/>
        <w:adjustRightInd w:val="0"/>
        <w:spacing w:after="60"/>
        <w:rPr>
          <w:rFonts w:cs="Arial"/>
          <w:sz w:val="18"/>
          <w:szCs w:val="18"/>
        </w:rPr>
      </w:pPr>
      <w:bookmarkStart w:id="343" w:name="_Toc113018207"/>
      <w:r w:rsidRPr="0068236B">
        <w:rPr>
          <w:rFonts w:cs="Arial"/>
          <w:sz w:val="18"/>
          <w:szCs w:val="18"/>
        </w:rPr>
        <w:t xml:space="preserve">Table </w:t>
      </w:r>
      <w:r w:rsidRPr="0068236B">
        <w:rPr>
          <w:rFonts w:cs="Arial"/>
          <w:i/>
          <w:sz w:val="18"/>
          <w:szCs w:val="18"/>
        </w:rPr>
        <w:fldChar w:fldCharType="begin"/>
      </w:r>
      <w:r w:rsidRPr="0068236B">
        <w:rPr>
          <w:rFonts w:cs="Arial"/>
          <w:sz w:val="18"/>
          <w:szCs w:val="18"/>
        </w:rPr>
        <w:instrText xml:space="preserve"> STYLEREF 1 \s </w:instrText>
      </w:r>
      <w:r w:rsidRPr="0068236B">
        <w:rPr>
          <w:rFonts w:cs="Arial"/>
          <w:i/>
          <w:sz w:val="18"/>
          <w:szCs w:val="18"/>
        </w:rPr>
        <w:fldChar w:fldCharType="separate"/>
      </w:r>
      <w:r w:rsidR="00FD57E6">
        <w:rPr>
          <w:rFonts w:cs="Arial"/>
          <w:noProof/>
          <w:sz w:val="18"/>
          <w:szCs w:val="18"/>
        </w:rPr>
        <w:t>8</w:t>
      </w:r>
      <w:r w:rsidRPr="0068236B">
        <w:rPr>
          <w:rFonts w:cs="Arial"/>
          <w:i/>
          <w:sz w:val="18"/>
          <w:szCs w:val="18"/>
        </w:rPr>
        <w:fldChar w:fldCharType="end"/>
      </w:r>
      <w:r w:rsidRPr="0068236B">
        <w:rPr>
          <w:rFonts w:cs="Arial"/>
          <w:i/>
          <w:sz w:val="18"/>
          <w:szCs w:val="18"/>
        </w:rPr>
        <w:t>.</w:t>
      </w:r>
      <w:r w:rsidRPr="0068236B">
        <w:rPr>
          <w:rFonts w:cs="Arial"/>
          <w:i/>
          <w:sz w:val="18"/>
          <w:szCs w:val="18"/>
        </w:rPr>
        <w:fldChar w:fldCharType="begin"/>
      </w:r>
      <w:r w:rsidRPr="0068236B">
        <w:rPr>
          <w:rFonts w:cs="Arial"/>
          <w:sz w:val="18"/>
          <w:szCs w:val="18"/>
        </w:rPr>
        <w:instrText xml:space="preserve"> SEQ Table \* ARABIC \s 1 </w:instrText>
      </w:r>
      <w:r w:rsidRPr="0068236B">
        <w:rPr>
          <w:rFonts w:cs="Arial"/>
          <w:i/>
          <w:sz w:val="18"/>
          <w:szCs w:val="18"/>
        </w:rPr>
        <w:fldChar w:fldCharType="separate"/>
      </w:r>
      <w:r w:rsidR="00FD57E6">
        <w:rPr>
          <w:rFonts w:cs="Arial"/>
          <w:noProof/>
          <w:sz w:val="18"/>
          <w:szCs w:val="18"/>
        </w:rPr>
        <w:t>11</w:t>
      </w:r>
      <w:r w:rsidRPr="0068236B">
        <w:rPr>
          <w:rFonts w:cs="Arial"/>
          <w:i/>
          <w:sz w:val="18"/>
          <w:szCs w:val="18"/>
        </w:rPr>
        <w:fldChar w:fldCharType="end"/>
      </w:r>
      <w:r w:rsidRPr="0068236B">
        <w:rPr>
          <w:rFonts w:cs="Arial"/>
          <w:sz w:val="18"/>
          <w:szCs w:val="18"/>
        </w:rPr>
        <w:t xml:space="preserve">: Limit values of noise for various zones as per </w:t>
      </w:r>
      <w:r w:rsidR="008853B5" w:rsidRPr="0068236B">
        <w:rPr>
          <w:rFonts w:cs="Arial"/>
          <w:sz w:val="18"/>
          <w:szCs w:val="18"/>
        </w:rPr>
        <w:t>Macedonian</w:t>
      </w:r>
      <w:r w:rsidRPr="0068236B">
        <w:rPr>
          <w:rFonts w:cs="Arial"/>
          <w:sz w:val="18"/>
          <w:szCs w:val="18"/>
        </w:rPr>
        <w:t xml:space="preserve"> legislation</w:t>
      </w:r>
      <w:bookmarkEnd w:id="343"/>
    </w:p>
    <w:p w14:paraId="5C52425C" w14:textId="608C7562" w:rsidR="0047585A" w:rsidRPr="0068236B" w:rsidRDefault="0047585A" w:rsidP="0047585A">
      <w:pPr>
        <w:pStyle w:val="Default"/>
        <w:spacing w:before="60"/>
        <w:rPr>
          <w:rFonts w:ascii="Tahoma" w:hAnsi="Tahoma" w:cs="Tahoma"/>
          <w:sz w:val="16"/>
          <w:szCs w:val="16"/>
        </w:rPr>
      </w:pPr>
      <w:r w:rsidRPr="0068236B">
        <w:rPr>
          <w:rFonts w:ascii="Tahoma" w:hAnsi="Tahoma" w:cs="Tahoma"/>
          <w:color w:val="auto"/>
          <w:sz w:val="16"/>
          <w:szCs w:val="16"/>
        </w:rPr>
        <w:t xml:space="preserve">Source: </w:t>
      </w:r>
      <w:r w:rsidRPr="0068236B">
        <w:rPr>
          <w:rFonts w:ascii="Tahoma" w:hAnsi="Tahoma" w:cs="Tahoma"/>
          <w:sz w:val="16"/>
          <w:szCs w:val="16"/>
        </w:rPr>
        <w:t xml:space="preserve">Rulebook on environmental noise level limit values (Official </w:t>
      </w:r>
      <w:r w:rsidR="005E6643" w:rsidRPr="0068236B">
        <w:rPr>
          <w:rFonts w:ascii="Tahoma" w:hAnsi="Tahoma" w:cs="Tahoma"/>
          <w:sz w:val="16"/>
          <w:szCs w:val="16"/>
        </w:rPr>
        <w:t>Gazette</w:t>
      </w:r>
      <w:r w:rsidRPr="0068236B">
        <w:rPr>
          <w:rFonts w:ascii="Tahoma" w:hAnsi="Tahoma" w:cs="Tahoma"/>
          <w:sz w:val="16"/>
          <w:szCs w:val="16"/>
        </w:rPr>
        <w:t xml:space="preserve"> of RM no. 147/2008)</w:t>
      </w:r>
    </w:p>
    <w:p w14:paraId="5AC8AFEB" w14:textId="77777777" w:rsidR="0047585A" w:rsidRPr="0068236B" w:rsidRDefault="0047585A" w:rsidP="00D24CEF">
      <w:pPr>
        <w:pStyle w:val="Default"/>
        <w:numPr>
          <w:ilvl w:val="0"/>
          <w:numId w:val="83"/>
        </w:numPr>
        <w:tabs>
          <w:tab w:val="clear" w:pos="1440"/>
          <w:tab w:val="num" w:pos="567"/>
        </w:tabs>
        <w:ind w:left="567" w:hanging="283"/>
        <w:jc w:val="both"/>
        <w:rPr>
          <w:rFonts w:ascii="Tahoma" w:hAnsi="Tahoma" w:cs="Tahoma"/>
          <w:color w:val="auto"/>
          <w:sz w:val="16"/>
          <w:szCs w:val="16"/>
        </w:rPr>
      </w:pPr>
      <w:r w:rsidRPr="0068236B">
        <w:rPr>
          <w:rFonts w:ascii="Tahoma" w:hAnsi="Tahoma" w:cs="Tahoma"/>
          <w:color w:val="auto"/>
          <w:sz w:val="16"/>
          <w:szCs w:val="16"/>
        </w:rPr>
        <w:t>Ld – day (period from 07,00 to 19,00 h)</w:t>
      </w:r>
    </w:p>
    <w:p w14:paraId="6011A4CF" w14:textId="77777777" w:rsidR="0047585A" w:rsidRPr="0068236B" w:rsidRDefault="0047585A" w:rsidP="00D24CEF">
      <w:pPr>
        <w:pStyle w:val="Default"/>
        <w:numPr>
          <w:ilvl w:val="0"/>
          <w:numId w:val="83"/>
        </w:numPr>
        <w:tabs>
          <w:tab w:val="clear" w:pos="1440"/>
          <w:tab w:val="num" w:pos="567"/>
        </w:tabs>
        <w:ind w:left="567" w:hanging="283"/>
        <w:jc w:val="both"/>
        <w:rPr>
          <w:rFonts w:ascii="Tahoma" w:hAnsi="Tahoma" w:cs="Tahoma"/>
          <w:color w:val="auto"/>
          <w:sz w:val="16"/>
          <w:szCs w:val="16"/>
        </w:rPr>
      </w:pPr>
      <w:r w:rsidRPr="0068236B">
        <w:rPr>
          <w:rFonts w:ascii="Tahoma" w:hAnsi="Tahoma" w:cs="Tahoma"/>
          <w:color w:val="auto"/>
          <w:sz w:val="16"/>
          <w:szCs w:val="16"/>
        </w:rPr>
        <w:t>Le – evening (period from 19,00 to 23,00 h)</w:t>
      </w:r>
    </w:p>
    <w:p w14:paraId="1FEC7C42" w14:textId="77777777" w:rsidR="0047585A" w:rsidRPr="0068236B" w:rsidRDefault="0047585A" w:rsidP="00D24CEF">
      <w:pPr>
        <w:pStyle w:val="Default"/>
        <w:numPr>
          <w:ilvl w:val="0"/>
          <w:numId w:val="83"/>
        </w:numPr>
        <w:tabs>
          <w:tab w:val="clear" w:pos="1440"/>
          <w:tab w:val="num" w:pos="567"/>
        </w:tabs>
        <w:spacing w:after="240"/>
        <w:ind w:left="568" w:hanging="284"/>
        <w:jc w:val="both"/>
        <w:rPr>
          <w:rFonts w:ascii="Tahoma" w:hAnsi="Tahoma" w:cs="Tahoma"/>
          <w:color w:val="auto"/>
          <w:sz w:val="16"/>
          <w:szCs w:val="16"/>
        </w:rPr>
      </w:pPr>
      <w:r w:rsidRPr="0068236B">
        <w:rPr>
          <w:rFonts w:ascii="Tahoma" w:hAnsi="Tahoma" w:cs="Tahoma"/>
          <w:color w:val="auto"/>
          <w:sz w:val="16"/>
          <w:szCs w:val="16"/>
        </w:rPr>
        <w:t>Ln – night (period from 23,00 to 07.00 h)</w:t>
      </w:r>
    </w:p>
    <w:p w14:paraId="3DC696A7" w14:textId="11A5DACE" w:rsidR="00815E91" w:rsidRPr="0068236B" w:rsidRDefault="00815E91" w:rsidP="0047585A">
      <w:pPr>
        <w:rPr>
          <w:sz w:val="20"/>
          <w:szCs w:val="20"/>
        </w:rPr>
      </w:pPr>
      <w:r w:rsidRPr="0068236B">
        <w:rPr>
          <w:sz w:val="20"/>
          <w:szCs w:val="20"/>
        </w:rPr>
        <w:lastRenderedPageBreak/>
        <w:t>The areas in regard to their degree of protection against noise are determined in the Rulebook for locations of the measuring stations and measuring spots (</w:t>
      </w:r>
      <w:r w:rsidR="0047585A" w:rsidRPr="0068236B">
        <w:rPr>
          <w:sz w:val="20"/>
          <w:szCs w:val="20"/>
        </w:rPr>
        <w:t xml:space="preserve">Official Gazette of RM </w:t>
      </w:r>
      <w:r w:rsidR="00FE4D07" w:rsidRPr="0068236B">
        <w:rPr>
          <w:sz w:val="20"/>
          <w:szCs w:val="20"/>
        </w:rPr>
        <w:t>no. 120/</w:t>
      </w:r>
      <w:r w:rsidRPr="0068236B">
        <w:rPr>
          <w:sz w:val="20"/>
          <w:szCs w:val="20"/>
        </w:rPr>
        <w:t>08):</w:t>
      </w:r>
    </w:p>
    <w:p w14:paraId="068E50CD" w14:textId="77777777" w:rsidR="00815E91" w:rsidRPr="0068236B" w:rsidRDefault="00815E91" w:rsidP="00D24CEF">
      <w:pPr>
        <w:numPr>
          <w:ilvl w:val="0"/>
          <w:numId w:val="84"/>
        </w:numPr>
        <w:spacing w:before="60" w:after="60"/>
        <w:ind w:left="714" w:hanging="357"/>
        <w:rPr>
          <w:sz w:val="20"/>
          <w:szCs w:val="20"/>
        </w:rPr>
      </w:pPr>
      <w:r w:rsidRPr="0068236B">
        <w:rPr>
          <w:sz w:val="20"/>
          <w:szCs w:val="20"/>
        </w:rPr>
        <w:t>Area with first degree of protection from noise is touristic and recreational area, an area in immed</w:t>
      </w:r>
      <w:r w:rsidRPr="0068236B">
        <w:rPr>
          <w:sz w:val="20"/>
          <w:szCs w:val="20"/>
        </w:rPr>
        <w:t>i</w:t>
      </w:r>
      <w:r w:rsidRPr="0068236B">
        <w:rPr>
          <w:sz w:val="20"/>
          <w:szCs w:val="20"/>
        </w:rPr>
        <w:t>ate vicinity to health-care institutions and core areas in natural protected areas.</w:t>
      </w:r>
    </w:p>
    <w:p w14:paraId="1CBE6A91" w14:textId="77777777" w:rsidR="00815E91" w:rsidRPr="0068236B" w:rsidRDefault="00815E91" w:rsidP="00D24CEF">
      <w:pPr>
        <w:numPr>
          <w:ilvl w:val="0"/>
          <w:numId w:val="84"/>
        </w:numPr>
        <w:spacing w:before="60" w:after="60"/>
        <w:ind w:left="714" w:hanging="357"/>
        <w:rPr>
          <w:sz w:val="20"/>
          <w:szCs w:val="20"/>
        </w:rPr>
      </w:pPr>
      <w:r w:rsidRPr="0068236B">
        <w:rPr>
          <w:sz w:val="20"/>
          <w:szCs w:val="20"/>
        </w:rPr>
        <w:t>Area with second degree of protection from noise is an area which primary purpose is accommod</w:t>
      </w:r>
      <w:r w:rsidRPr="0068236B">
        <w:rPr>
          <w:sz w:val="20"/>
          <w:szCs w:val="20"/>
        </w:rPr>
        <w:t>a</w:t>
      </w:r>
      <w:r w:rsidRPr="0068236B">
        <w:rPr>
          <w:sz w:val="20"/>
          <w:szCs w:val="20"/>
        </w:rPr>
        <w:t>tion - residential area, area around educational buildings and buildings for social care and health care, area around playgrounds and public parks and public green areas.</w:t>
      </w:r>
    </w:p>
    <w:p w14:paraId="500B08F4" w14:textId="77777777" w:rsidR="00815E91" w:rsidRPr="0068236B" w:rsidRDefault="00815E91" w:rsidP="00D24CEF">
      <w:pPr>
        <w:numPr>
          <w:ilvl w:val="0"/>
          <w:numId w:val="84"/>
        </w:numPr>
        <w:spacing w:before="60" w:after="60"/>
        <w:ind w:left="714" w:hanging="357"/>
        <w:rPr>
          <w:sz w:val="20"/>
          <w:szCs w:val="20"/>
        </w:rPr>
      </w:pPr>
      <w:r w:rsidRPr="0068236B">
        <w:rPr>
          <w:sz w:val="20"/>
          <w:szCs w:val="20"/>
        </w:rPr>
        <w:t>Area with third degree of protection from noise is business - trade area, area with public buildings for administrative, trade, service and similar purposes and an agricultural area.</w:t>
      </w:r>
    </w:p>
    <w:p w14:paraId="52634F08" w14:textId="77777777" w:rsidR="00815E91" w:rsidRPr="0068236B" w:rsidRDefault="00815E91" w:rsidP="00D24CEF">
      <w:pPr>
        <w:numPr>
          <w:ilvl w:val="0"/>
          <w:numId w:val="84"/>
        </w:numPr>
        <w:spacing w:before="60" w:after="60"/>
        <w:ind w:left="714" w:hanging="357"/>
        <w:rPr>
          <w:sz w:val="20"/>
          <w:szCs w:val="20"/>
        </w:rPr>
      </w:pPr>
      <w:r w:rsidRPr="0068236B">
        <w:rPr>
          <w:sz w:val="20"/>
          <w:szCs w:val="20"/>
        </w:rPr>
        <w:t>Area with fourth degree of protection from noise is an area without residential buildings, an area for industrial and other production activities, transport activities, storage and other service activities and communal activities which produce significant noise.</w:t>
      </w:r>
    </w:p>
    <w:p w14:paraId="7BE3180A" w14:textId="77777777" w:rsidR="004D308A" w:rsidRPr="0068236B" w:rsidRDefault="004D308A" w:rsidP="004D308A">
      <w:pPr>
        <w:rPr>
          <w:sz w:val="20"/>
          <w:szCs w:val="20"/>
        </w:rPr>
      </w:pPr>
      <w:r w:rsidRPr="0068236B">
        <w:rPr>
          <w:sz w:val="20"/>
          <w:szCs w:val="20"/>
        </w:rPr>
        <w:t>Based on the land use forms in the study area, it can be categorised as an area with third degree of prote</w:t>
      </w:r>
      <w:r w:rsidRPr="0068236B">
        <w:rPr>
          <w:sz w:val="20"/>
          <w:szCs w:val="20"/>
        </w:rPr>
        <w:t>c</w:t>
      </w:r>
      <w:r w:rsidRPr="0068236B">
        <w:rPr>
          <w:sz w:val="20"/>
          <w:szCs w:val="20"/>
        </w:rPr>
        <w:t xml:space="preserve">tion from noise. </w:t>
      </w:r>
    </w:p>
    <w:p w14:paraId="46DBD04E" w14:textId="1A4FFE49" w:rsidR="00815E91" w:rsidRPr="0068236B" w:rsidRDefault="00815E91" w:rsidP="0047585A">
      <w:pPr>
        <w:rPr>
          <w:sz w:val="20"/>
          <w:szCs w:val="20"/>
        </w:rPr>
      </w:pPr>
      <w:r w:rsidRPr="0068236B">
        <w:rPr>
          <w:sz w:val="20"/>
          <w:szCs w:val="20"/>
        </w:rPr>
        <w:t>Cases as well as the conditions when it is considered that the peace of the citizens is disturbed by noise are defined in the Governmental decision no. 19-6920/1 (</w:t>
      </w:r>
      <w:r w:rsidR="00410837" w:rsidRPr="0068236B">
        <w:rPr>
          <w:sz w:val="20"/>
          <w:szCs w:val="20"/>
        </w:rPr>
        <w:t>Official Gaz</w:t>
      </w:r>
      <w:r w:rsidR="0047585A" w:rsidRPr="0068236B">
        <w:rPr>
          <w:sz w:val="20"/>
          <w:szCs w:val="20"/>
        </w:rPr>
        <w:t>ette of RM</w:t>
      </w:r>
      <w:r w:rsidR="00FE4D07" w:rsidRPr="0068236B">
        <w:rPr>
          <w:sz w:val="20"/>
          <w:szCs w:val="20"/>
        </w:rPr>
        <w:t xml:space="preserve"> no. 01/</w:t>
      </w:r>
      <w:r w:rsidRPr="0068236B">
        <w:rPr>
          <w:sz w:val="20"/>
          <w:szCs w:val="20"/>
        </w:rPr>
        <w:t>09).</w:t>
      </w:r>
    </w:p>
    <w:p w14:paraId="1D7EF5AC" w14:textId="79A5B618" w:rsidR="0047585A" w:rsidRPr="0068236B" w:rsidRDefault="0047585A" w:rsidP="0047585A">
      <w:pPr>
        <w:pStyle w:val="Default"/>
        <w:spacing w:before="120" w:after="120" w:line="276" w:lineRule="auto"/>
        <w:jc w:val="both"/>
        <w:rPr>
          <w:rFonts w:ascii="Tahoma" w:hAnsi="Tahoma" w:cs="Tahoma"/>
          <w:color w:val="auto"/>
          <w:sz w:val="20"/>
          <w:szCs w:val="20"/>
        </w:rPr>
      </w:pPr>
      <w:r w:rsidRPr="0068236B">
        <w:rPr>
          <w:rFonts w:ascii="Tahoma" w:hAnsi="Tahoma" w:cs="Tahoma"/>
          <w:color w:val="auto"/>
          <w:sz w:val="20"/>
          <w:szCs w:val="20"/>
        </w:rPr>
        <w:t xml:space="preserve">The requirements relating to noise emission standards as well as </w:t>
      </w:r>
      <w:r w:rsidRPr="0068236B">
        <w:rPr>
          <w:rFonts w:ascii="Tahoma" w:hAnsi="Tahoma" w:cs="Tahoma"/>
          <w:color w:val="auto"/>
          <w:sz w:val="20"/>
          <w:szCs w:val="20"/>
          <w:shd w:val="clear" w:color="auto" w:fill="FFFFFF"/>
        </w:rPr>
        <w:t>conformity assessment procedures</w:t>
      </w:r>
      <w:r w:rsidRPr="0068236B">
        <w:rPr>
          <w:rFonts w:ascii="Tahoma" w:hAnsi="Tahoma" w:cs="Tahoma"/>
          <w:color w:val="auto"/>
          <w:sz w:val="20"/>
          <w:szCs w:val="20"/>
        </w:rPr>
        <w:t xml:space="preserve"> and technical documentation of </w:t>
      </w:r>
      <w:r w:rsidRPr="0068236B">
        <w:rPr>
          <w:rFonts w:ascii="Tahoma" w:hAnsi="Tahoma" w:cs="Tahoma"/>
          <w:color w:val="auto"/>
          <w:sz w:val="20"/>
          <w:szCs w:val="20"/>
          <w:shd w:val="clear" w:color="auto" w:fill="FFFFFF"/>
        </w:rPr>
        <w:t xml:space="preserve">equipment for use outdoors in Macedonia are regulated by the </w:t>
      </w:r>
      <w:r w:rsidRPr="0068236B">
        <w:rPr>
          <w:rFonts w:ascii="Tahoma" w:hAnsi="Tahoma" w:cs="Tahoma"/>
          <w:sz w:val="20"/>
          <w:szCs w:val="20"/>
        </w:rPr>
        <w:t>Rulebook on the types of specific noise sources as well as the requirements to be met by installations, equipment, install</w:t>
      </w:r>
      <w:r w:rsidRPr="0068236B">
        <w:rPr>
          <w:rFonts w:ascii="Tahoma" w:hAnsi="Tahoma" w:cs="Tahoma"/>
          <w:sz w:val="20"/>
          <w:szCs w:val="20"/>
        </w:rPr>
        <w:t>a</w:t>
      </w:r>
      <w:r w:rsidRPr="0068236B">
        <w:rPr>
          <w:rFonts w:ascii="Tahoma" w:hAnsi="Tahoma" w:cs="Tahoma"/>
          <w:sz w:val="20"/>
          <w:szCs w:val="20"/>
        </w:rPr>
        <w:t>tions and devices used outdoors for noise emission and noise protection standards (Official Gazette of RM no. 142/13)</w:t>
      </w:r>
      <w:r w:rsidRPr="0068236B">
        <w:rPr>
          <w:rFonts w:ascii="Tahoma" w:hAnsi="Tahoma" w:cs="Tahoma"/>
          <w:color w:val="auto"/>
          <w:sz w:val="20"/>
          <w:szCs w:val="20"/>
        </w:rPr>
        <w:t xml:space="preserve">. It names the types of equipment referring </w:t>
      </w:r>
      <w:r w:rsidRPr="0068236B">
        <w:rPr>
          <w:rFonts w:ascii="Tahoma" w:hAnsi="Tahoma" w:cs="Tahoma"/>
          <w:sz w:val="20"/>
          <w:szCs w:val="20"/>
          <w:shd w:val="clear" w:color="auto" w:fill="FFFFFF"/>
        </w:rPr>
        <w:t xml:space="preserve">mainly to outdoor machinery, such as those used on construction sites: compacting machines, compressors, concrete-breakers, dozers, dumpers, excavators, excavator-loaders, loaders, cranes, mixers, saws, etc. </w:t>
      </w:r>
      <w:r w:rsidRPr="0068236B">
        <w:rPr>
          <w:rFonts w:ascii="Tahoma" w:hAnsi="Tahoma" w:cs="Tahoma"/>
          <w:color w:val="auto"/>
          <w:sz w:val="20"/>
          <w:szCs w:val="20"/>
        </w:rPr>
        <w:t>This regulation transposes the EU’s Outdoor Equi</w:t>
      </w:r>
      <w:r w:rsidRPr="0068236B">
        <w:rPr>
          <w:rFonts w:ascii="Tahoma" w:hAnsi="Tahoma" w:cs="Tahoma"/>
          <w:color w:val="auto"/>
          <w:sz w:val="20"/>
          <w:szCs w:val="20"/>
        </w:rPr>
        <w:t>p</w:t>
      </w:r>
      <w:r w:rsidRPr="0068236B">
        <w:rPr>
          <w:rFonts w:ascii="Tahoma" w:hAnsi="Tahoma" w:cs="Tahoma"/>
          <w:color w:val="auto"/>
          <w:sz w:val="20"/>
          <w:szCs w:val="20"/>
        </w:rPr>
        <w:t>ment Directive</w:t>
      </w:r>
      <w:r w:rsidRPr="0068236B">
        <w:rPr>
          <w:rStyle w:val="FootnoteReference"/>
          <w:rFonts w:ascii="Tahoma" w:hAnsi="Tahoma" w:cs="Tahoma"/>
          <w:color w:val="auto"/>
          <w:sz w:val="20"/>
          <w:szCs w:val="20"/>
        </w:rPr>
        <w:footnoteReference w:id="109"/>
      </w:r>
      <w:r w:rsidRPr="0068236B">
        <w:rPr>
          <w:rFonts w:ascii="Tahoma" w:hAnsi="Tahoma" w:cs="Tahoma"/>
          <w:color w:val="auto"/>
          <w:sz w:val="20"/>
          <w:szCs w:val="20"/>
        </w:rPr>
        <w:t xml:space="preserve"> into the Macedonian national legislation.</w:t>
      </w:r>
    </w:p>
    <w:p w14:paraId="2AA38CDF" w14:textId="7C3FCCC4" w:rsidR="0047585A" w:rsidRPr="0068236B" w:rsidRDefault="0047585A" w:rsidP="0047585A">
      <w:pPr>
        <w:pStyle w:val="Default"/>
        <w:spacing w:before="120" w:after="120" w:line="276" w:lineRule="auto"/>
        <w:jc w:val="both"/>
        <w:rPr>
          <w:rFonts w:ascii="Tahoma" w:hAnsi="Tahoma" w:cs="Tahoma"/>
          <w:color w:val="auto"/>
          <w:sz w:val="20"/>
          <w:szCs w:val="20"/>
        </w:rPr>
      </w:pPr>
      <w:r w:rsidRPr="0068236B">
        <w:rPr>
          <w:rFonts w:ascii="Tahoma" w:hAnsi="Tahoma" w:cs="Tahoma"/>
          <w:color w:val="auto"/>
          <w:sz w:val="20"/>
          <w:szCs w:val="20"/>
        </w:rPr>
        <w:t>The guaranteed sound power level of the typical construction equipment as determined by this national re</w:t>
      </w:r>
      <w:r w:rsidRPr="0068236B">
        <w:rPr>
          <w:rFonts w:ascii="Tahoma" w:hAnsi="Tahoma" w:cs="Tahoma"/>
          <w:color w:val="auto"/>
          <w:sz w:val="20"/>
          <w:szCs w:val="20"/>
        </w:rPr>
        <w:t>g</w:t>
      </w:r>
      <w:r w:rsidRPr="0068236B">
        <w:rPr>
          <w:rFonts w:ascii="Tahoma" w:hAnsi="Tahoma" w:cs="Tahoma"/>
          <w:color w:val="auto"/>
          <w:sz w:val="20"/>
          <w:szCs w:val="20"/>
        </w:rPr>
        <w:t>ulation may not exceed the limit values presented in the next Table.</w:t>
      </w:r>
    </w:p>
    <w:tbl>
      <w:tblPr>
        <w:tblW w:w="4987" w:type="pct"/>
        <w:tblCellSpacing w:w="0" w:type="dxa"/>
        <w:tblCellMar>
          <w:left w:w="28" w:type="dxa"/>
          <w:right w:w="28" w:type="dxa"/>
        </w:tblCellMar>
        <w:tblLook w:val="04A0" w:firstRow="1" w:lastRow="0" w:firstColumn="1" w:lastColumn="0" w:noHBand="0" w:noVBand="1"/>
      </w:tblPr>
      <w:tblGrid>
        <w:gridCol w:w="6631"/>
        <w:gridCol w:w="1409"/>
        <w:gridCol w:w="1689"/>
      </w:tblGrid>
      <w:tr w:rsidR="0047585A" w:rsidRPr="0068236B" w14:paraId="05ADF4DB" w14:textId="77777777" w:rsidTr="0047585A">
        <w:trPr>
          <w:tblHeader/>
          <w:tblCellSpacing w:w="0" w:type="dxa"/>
        </w:trPr>
        <w:tc>
          <w:tcPr>
            <w:tcW w:w="3408" w:type="pct"/>
            <w:tcBorders>
              <w:top w:val="double" w:sz="4" w:space="0" w:color="auto"/>
              <w:left w:val="double" w:sz="4" w:space="0" w:color="auto"/>
              <w:bottom w:val="double" w:sz="4" w:space="0" w:color="auto"/>
              <w:right w:val="double" w:sz="4" w:space="0" w:color="auto"/>
            </w:tcBorders>
            <w:shd w:val="clear" w:color="auto" w:fill="B4C6E7" w:themeFill="accent1" w:themeFillTint="66"/>
            <w:hideMark/>
          </w:tcPr>
          <w:p w14:paraId="5F600221" w14:textId="77777777" w:rsidR="0047585A" w:rsidRPr="0068236B" w:rsidRDefault="0047585A" w:rsidP="00FE4D07">
            <w:pPr>
              <w:spacing w:before="0" w:after="0" w:line="240" w:lineRule="auto"/>
              <w:jc w:val="center"/>
              <w:rPr>
                <w:rFonts w:cs="Tahoma"/>
                <w:sz w:val="20"/>
                <w:szCs w:val="20"/>
              </w:rPr>
            </w:pPr>
            <w:r w:rsidRPr="0068236B">
              <w:rPr>
                <w:rFonts w:cs="Tahoma"/>
                <w:bCs/>
                <w:sz w:val="20"/>
                <w:szCs w:val="20"/>
              </w:rPr>
              <w:t>Type of Equipment</w:t>
            </w:r>
          </w:p>
        </w:tc>
        <w:tc>
          <w:tcPr>
            <w:tcW w:w="724" w:type="pct"/>
            <w:tcBorders>
              <w:top w:val="double" w:sz="4" w:space="0" w:color="auto"/>
              <w:left w:val="double" w:sz="4" w:space="0" w:color="auto"/>
              <w:bottom w:val="double" w:sz="4" w:space="0" w:color="auto"/>
              <w:right w:val="double" w:sz="4" w:space="0" w:color="auto"/>
            </w:tcBorders>
            <w:shd w:val="clear" w:color="auto" w:fill="B4C6E7" w:themeFill="accent1" w:themeFillTint="66"/>
            <w:hideMark/>
          </w:tcPr>
          <w:p w14:paraId="013E91E5"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Parameter</w:t>
            </w:r>
          </w:p>
        </w:tc>
        <w:tc>
          <w:tcPr>
            <w:tcW w:w="868" w:type="pct"/>
            <w:tcBorders>
              <w:top w:val="double" w:sz="4" w:space="0" w:color="auto"/>
              <w:left w:val="double" w:sz="4" w:space="0" w:color="auto"/>
              <w:bottom w:val="double" w:sz="4" w:space="0" w:color="auto"/>
              <w:right w:val="double" w:sz="4" w:space="0" w:color="auto"/>
            </w:tcBorders>
            <w:shd w:val="clear" w:color="auto" w:fill="B4C6E7" w:themeFill="accent1" w:themeFillTint="66"/>
            <w:hideMark/>
          </w:tcPr>
          <w:p w14:paraId="586FB2DD"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Permissible sound power level</w:t>
            </w:r>
          </w:p>
          <w:p w14:paraId="502DBCB9" w14:textId="1071FD1F" w:rsidR="0047585A" w:rsidRPr="0068236B" w:rsidRDefault="0047585A" w:rsidP="0047585A">
            <w:pPr>
              <w:spacing w:before="0" w:after="0" w:line="240" w:lineRule="auto"/>
              <w:jc w:val="center"/>
              <w:rPr>
                <w:rFonts w:cs="Tahoma"/>
                <w:sz w:val="20"/>
                <w:szCs w:val="20"/>
              </w:rPr>
            </w:pPr>
            <w:r w:rsidRPr="0068236B">
              <w:rPr>
                <w:rFonts w:cs="Tahoma"/>
                <w:sz w:val="20"/>
                <w:szCs w:val="20"/>
              </w:rPr>
              <w:t>[in dB / 1 pW]</w:t>
            </w:r>
          </w:p>
        </w:tc>
      </w:tr>
      <w:tr w:rsidR="0047585A" w:rsidRPr="0068236B" w14:paraId="485A0BDF" w14:textId="77777777" w:rsidTr="0047585A">
        <w:trPr>
          <w:tblCellSpacing w:w="0" w:type="dxa"/>
        </w:trPr>
        <w:tc>
          <w:tcPr>
            <w:tcW w:w="3408" w:type="pct"/>
            <w:vMerge w:val="restart"/>
            <w:tcBorders>
              <w:left w:val="double" w:sz="4" w:space="0" w:color="auto"/>
              <w:bottom w:val="single" w:sz="4" w:space="0" w:color="auto"/>
              <w:right w:val="single" w:sz="4" w:space="0" w:color="auto"/>
            </w:tcBorders>
            <w:hideMark/>
          </w:tcPr>
          <w:p w14:paraId="7D971B65" w14:textId="77777777" w:rsidR="0047585A" w:rsidRPr="0068236B" w:rsidRDefault="0047585A" w:rsidP="00FE4D07">
            <w:pPr>
              <w:spacing w:before="0" w:after="0" w:line="240" w:lineRule="auto"/>
              <w:jc w:val="left"/>
              <w:rPr>
                <w:rFonts w:cs="Tahoma"/>
                <w:sz w:val="20"/>
                <w:szCs w:val="20"/>
              </w:rPr>
            </w:pPr>
            <w:r w:rsidRPr="0068236B">
              <w:rPr>
                <w:rFonts w:cs="Tahoma"/>
                <w:sz w:val="20"/>
                <w:szCs w:val="20"/>
              </w:rPr>
              <w:t>Compaction machines (vibrating rollers, vibratory plates, vibratory ra</w:t>
            </w:r>
            <w:r w:rsidRPr="0068236B">
              <w:rPr>
                <w:rFonts w:cs="Tahoma"/>
                <w:sz w:val="20"/>
                <w:szCs w:val="20"/>
              </w:rPr>
              <w:t>m</w:t>
            </w:r>
            <w:r w:rsidRPr="0068236B">
              <w:rPr>
                <w:rFonts w:cs="Tahoma"/>
                <w:sz w:val="20"/>
                <w:szCs w:val="20"/>
              </w:rPr>
              <w:t>mers)</w:t>
            </w:r>
          </w:p>
        </w:tc>
        <w:tc>
          <w:tcPr>
            <w:tcW w:w="724" w:type="pct"/>
            <w:tcBorders>
              <w:left w:val="single" w:sz="4" w:space="0" w:color="auto"/>
              <w:bottom w:val="single" w:sz="2" w:space="0" w:color="auto"/>
              <w:right w:val="single" w:sz="4" w:space="0" w:color="auto"/>
            </w:tcBorders>
            <w:hideMark/>
          </w:tcPr>
          <w:p w14:paraId="2902E77B"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P ≤ 8 </w:t>
            </w:r>
          </w:p>
        </w:tc>
        <w:tc>
          <w:tcPr>
            <w:tcW w:w="868" w:type="pct"/>
            <w:tcBorders>
              <w:left w:val="single" w:sz="2" w:space="0" w:color="auto"/>
              <w:bottom w:val="single" w:sz="2" w:space="0" w:color="auto"/>
              <w:right w:val="double" w:sz="4" w:space="0" w:color="auto"/>
            </w:tcBorders>
            <w:hideMark/>
          </w:tcPr>
          <w:p w14:paraId="6F7721D6"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108 </w:t>
            </w:r>
          </w:p>
        </w:tc>
      </w:tr>
      <w:tr w:rsidR="0047585A" w:rsidRPr="0068236B" w14:paraId="655B6223" w14:textId="77777777" w:rsidTr="0047585A">
        <w:trPr>
          <w:tblCellSpacing w:w="0" w:type="dxa"/>
        </w:trPr>
        <w:tc>
          <w:tcPr>
            <w:tcW w:w="3408" w:type="pct"/>
            <w:vMerge/>
            <w:tcBorders>
              <w:top w:val="single" w:sz="4" w:space="0" w:color="auto"/>
              <w:left w:val="double" w:sz="4" w:space="0" w:color="auto"/>
              <w:bottom w:val="single" w:sz="4" w:space="0" w:color="auto"/>
              <w:right w:val="single" w:sz="4" w:space="0" w:color="auto"/>
            </w:tcBorders>
            <w:vAlign w:val="center"/>
            <w:hideMark/>
          </w:tcPr>
          <w:p w14:paraId="418650E3" w14:textId="77777777" w:rsidR="0047585A" w:rsidRPr="0068236B" w:rsidRDefault="0047585A" w:rsidP="00FE4D07">
            <w:pPr>
              <w:spacing w:before="0" w:after="0" w:line="240" w:lineRule="auto"/>
              <w:jc w:val="left"/>
              <w:rPr>
                <w:rFonts w:cs="Tahoma"/>
                <w:sz w:val="20"/>
                <w:szCs w:val="20"/>
              </w:rPr>
            </w:pPr>
          </w:p>
        </w:tc>
        <w:tc>
          <w:tcPr>
            <w:tcW w:w="724" w:type="pct"/>
            <w:tcBorders>
              <w:top w:val="single" w:sz="4" w:space="0" w:color="auto"/>
              <w:left w:val="single" w:sz="4" w:space="0" w:color="auto"/>
              <w:bottom w:val="single" w:sz="2" w:space="0" w:color="auto"/>
              <w:right w:val="single" w:sz="4" w:space="0" w:color="auto"/>
            </w:tcBorders>
            <w:hideMark/>
          </w:tcPr>
          <w:p w14:paraId="58D9FD5D"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8 &lt; P ≤ 70 </w:t>
            </w:r>
          </w:p>
        </w:tc>
        <w:tc>
          <w:tcPr>
            <w:tcW w:w="868" w:type="pct"/>
            <w:tcBorders>
              <w:top w:val="single" w:sz="2" w:space="0" w:color="auto"/>
              <w:left w:val="single" w:sz="2" w:space="0" w:color="auto"/>
              <w:bottom w:val="single" w:sz="2" w:space="0" w:color="auto"/>
              <w:right w:val="double" w:sz="4" w:space="0" w:color="auto"/>
            </w:tcBorders>
            <w:hideMark/>
          </w:tcPr>
          <w:p w14:paraId="3DD9BE04"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109 </w:t>
            </w:r>
          </w:p>
        </w:tc>
      </w:tr>
      <w:tr w:rsidR="0047585A" w:rsidRPr="0068236B" w14:paraId="048B8CEA" w14:textId="77777777" w:rsidTr="0047585A">
        <w:trPr>
          <w:tblCellSpacing w:w="0" w:type="dxa"/>
        </w:trPr>
        <w:tc>
          <w:tcPr>
            <w:tcW w:w="3408" w:type="pct"/>
            <w:vMerge/>
            <w:tcBorders>
              <w:top w:val="single" w:sz="4" w:space="0" w:color="auto"/>
              <w:left w:val="double" w:sz="4" w:space="0" w:color="auto"/>
              <w:bottom w:val="single" w:sz="2" w:space="0" w:color="auto"/>
              <w:right w:val="single" w:sz="4" w:space="0" w:color="auto"/>
            </w:tcBorders>
            <w:vAlign w:val="center"/>
            <w:hideMark/>
          </w:tcPr>
          <w:p w14:paraId="7DD0CBE0" w14:textId="77777777" w:rsidR="0047585A" w:rsidRPr="0068236B" w:rsidRDefault="0047585A" w:rsidP="00FE4D07">
            <w:pPr>
              <w:spacing w:before="0" w:after="0" w:line="240" w:lineRule="auto"/>
              <w:jc w:val="left"/>
              <w:rPr>
                <w:rFonts w:cs="Tahoma"/>
                <w:sz w:val="20"/>
                <w:szCs w:val="20"/>
              </w:rPr>
            </w:pPr>
          </w:p>
        </w:tc>
        <w:tc>
          <w:tcPr>
            <w:tcW w:w="724" w:type="pct"/>
            <w:tcBorders>
              <w:top w:val="single" w:sz="2" w:space="0" w:color="auto"/>
              <w:left w:val="single" w:sz="2" w:space="0" w:color="auto"/>
              <w:bottom w:val="single" w:sz="2" w:space="0" w:color="auto"/>
              <w:right w:val="single" w:sz="4" w:space="0" w:color="auto"/>
            </w:tcBorders>
            <w:hideMark/>
          </w:tcPr>
          <w:p w14:paraId="4E2A578C"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P &gt; 70 </w:t>
            </w:r>
          </w:p>
        </w:tc>
        <w:tc>
          <w:tcPr>
            <w:tcW w:w="868" w:type="pct"/>
            <w:tcBorders>
              <w:top w:val="single" w:sz="2" w:space="0" w:color="auto"/>
              <w:left w:val="single" w:sz="2" w:space="0" w:color="auto"/>
              <w:bottom w:val="single" w:sz="2" w:space="0" w:color="auto"/>
              <w:right w:val="double" w:sz="4" w:space="0" w:color="auto"/>
            </w:tcBorders>
            <w:hideMark/>
          </w:tcPr>
          <w:p w14:paraId="496D6369"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89 + 11 lg P </w:t>
            </w:r>
          </w:p>
        </w:tc>
      </w:tr>
      <w:tr w:rsidR="0047585A" w:rsidRPr="0068236B" w14:paraId="32DAF510" w14:textId="77777777" w:rsidTr="0047585A">
        <w:trPr>
          <w:tblCellSpacing w:w="0" w:type="dxa"/>
        </w:trPr>
        <w:tc>
          <w:tcPr>
            <w:tcW w:w="3408" w:type="pct"/>
            <w:vMerge w:val="restart"/>
            <w:tcBorders>
              <w:top w:val="single" w:sz="4" w:space="0" w:color="auto"/>
              <w:left w:val="double" w:sz="4" w:space="0" w:color="auto"/>
              <w:bottom w:val="single" w:sz="4" w:space="0" w:color="auto"/>
              <w:right w:val="single" w:sz="4" w:space="0" w:color="auto"/>
            </w:tcBorders>
            <w:hideMark/>
          </w:tcPr>
          <w:p w14:paraId="78A99158" w14:textId="77777777" w:rsidR="0047585A" w:rsidRPr="0068236B" w:rsidRDefault="0047585A" w:rsidP="00FE4D07">
            <w:pPr>
              <w:spacing w:before="0" w:after="0" w:line="240" w:lineRule="auto"/>
              <w:jc w:val="left"/>
              <w:rPr>
                <w:rFonts w:cs="Tahoma"/>
                <w:sz w:val="20"/>
                <w:szCs w:val="20"/>
              </w:rPr>
            </w:pPr>
            <w:r w:rsidRPr="0068236B">
              <w:rPr>
                <w:rFonts w:cs="Tahoma"/>
                <w:sz w:val="20"/>
                <w:szCs w:val="20"/>
              </w:rPr>
              <w:t>Tracked dozers, tracked loaders, tracked excavator-loaders</w:t>
            </w:r>
          </w:p>
        </w:tc>
        <w:tc>
          <w:tcPr>
            <w:tcW w:w="724" w:type="pct"/>
            <w:tcBorders>
              <w:top w:val="single" w:sz="2" w:space="0" w:color="auto"/>
              <w:left w:val="single" w:sz="2" w:space="0" w:color="auto"/>
              <w:bottom w:val="single" w:sz="2" w:space="0" w:color="auto"/>
              <w:right w:val="single" w:sz="4" w:space="0" w:color="auto"/>
            </w:tcBorders>
            <w:hideMark/>
          </w:tcPr>
          <w:p w14:paraId="1C39E0D8"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P ≤ 55 </w:t>
            </w:r>
          </w:p>
        </w:tc>
        <w:tc>
          <w:tcPr>
            <w:tcW w:w="868" w:type="pct"/>
            <w:tcBorders>
              <w:top w:val="single" w:sz="2" w:space="0" w:color="auto"/>
              <w:left w:val="single" w:sz="2" w:space="0" w:color="auto"/>
              <w:bottom w:val="single" w:sz="2" w:space="0" w:color="auto"/>
              <w:right w:val="double" w:sz="4" w:space="0" w:color="auto"/>
            </w:tcBorders>
            <w:hideMark/>
          </w:tcPr>
          <w:p w14:paraId="73738C51"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106 </w:t>
            </w:r>
          </w:p>
        </w:tc>
      </w:tr>
      <w:tr w:rsidR="0047585A" w:rsidRPr="0068236B" w14:paraId="7802291C" w14:textId="77777777" w:rsidTr="0047585A">
        <w:trPr>
          <w:tblCellSpacing w:w="0" w:type="dxa"/>
        </w:trPr>
        <w:tc>
          <w:tcPr>
            <w:tcW w:w="3408" w:type="pct"/>
            <w:vMerge/>
            <w:tcBorders>
              <w:top w:val="single" w:sz="4" w:space="0" w:color="auto"/>
              <w:left w:val="double" w:sz="4" w:space="0" w:color="auto"/>
              <w:bottom w:val="single" w:sz="2" w:space="0" w:color="auto"/>
              <w:right w:val="single" w:sz="4" w:space="0" w:color="auto"/>
            </w:tcBorders>
            <w:vAlign w:val="center"/>
            <w:hideMark/>
          </w:tcPr>
          <w:p w14:paraId="14F84766" w14:textId="77777777" w:rsidR="0047585A" w:rsidRPr="0068236B" w:rsidRDefault="0047585A" w:rsidP="00FE4D07">
            <w:pPr>
              <w:spacing w:before="0" w:after="0" w:line="240" w:lineRule="auto"/>
              <w:jc w:val="left"/>
              <w:rPr>
                <w:rFonts w:cs="Tahoma"/>
                <w:sz w:val="20"/>
                <w:szCs w:val="20"/>
              </w:rPr>
            </w:pPr>
          </w:p>
        </w:tc>
        <w:tc>
          <w:tcPr>
            <w:tcW w:w="724" w:type="pct"/>
            <w:tcBorders>
              <w:top w:val="single" w:sz="2" w:space="0" w:color="auto"/>
              <w:left w:val="single" w:sz="4" w:space="0" w:color="auto"/>
              <w:bottom w:val="single" w:sz="2" w:space="0" w:color="auto"/>
              <w:right w:val="single" w:sz="4" w:space="0" w:color="auto"/>
            </w:tcBorders>
            <w:hideMark/>
          </w:tcPr>
          <w:p w14:paraId="13D7CCB4"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P &gt; 55 </w:t>
            </w:r>
          </w:p>
        </w:tc>
        <w:tc>
          <w:tcPr>
            <w:tcW w:w="868" w:type="pct"/>
            <w:tcBorders>
              <w:top w:val="single" w:sz="2" w:space="0" w:color="auto"/>
              <w:left w:val="single" w:sz="4" w:space="0" w:color="auto"/>
              <w:bottom w:val="single" w:sz="2" w:space="0" w:color="auto"/>
              <w:right w:val="double" w:sz="4" w:space="0" w:color="auto"/>
            </w:tcBorders>
            <w:hideMark/>
          </w:tcPr>
          <w:p w14:paraId="58D4D527"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87 + 11 lg P </w:t>
            </w:r>
          </w:p>
        </w:tc>
      </w:tr>
      <w:tr w:rsidR="0047585A" w:rsidRPr="0068236B" w14:paraId="128A3914" w14:textId="77777777" w:rsidTr="0047585A">
        <w:trPr>
          <w:tblCellSpacing w:w="0" w:type="dxa"/>
        </w:trPr>
        <w:tc>
          <w:tcPr>
            <w:tcW w:w="3408" w:type="pct"/>
            <w:vMerge w:val="restart"/>
            <w:tcBorders>
              <w:top w:val="single" w:sz="4" w:space="0" w:color="auto"/>
              <w:left w:val="double" w:sz="4" w:space="0" w:color="auto"/>
              <w:bottom w:val="single" w:sz="4" w:space="0" w:color="auto"/>
              <w:right w:val="single" w:sz="4" w:space="0" w:color="auto"/>
            </w:tcBorders>
            <w:hideMark/>
          </w:tcPr>
          <w:p w14:paraId="05EFFF40" w14:textId="77777777" w:rsidR="0047585A" w:rsidRPr="0068236B" w:rsidRDefault="0047585A" w:rsidP="00FE4D07">
            <w:pPr>
              <w:spacing w:before="0" w:after="0" w:line="240" w:lineRule="auto"/>
              <w:jc w:val="left"/>
              <w:rPr>
                <w:rFonts w:cs="Tahoma"/>
                <w:sz w:val="20"/>
                <w:szCs w:val="20"/>
              </w:rPr>
            </w:pPr>
            <w:r w:rsidRPr="0068236B">
              <w:rPr>
                <w:rFonts w:cs="Tahoma"/>
                <w:sz w:val="20"/>
                <w:szCs w:val="20"/>
              </w:rPr>
              <w:t>Wheeled dozers, wheeled loaders, wheeled excavator-loaders, dumpers, graders, loader-type landfill compactors, combustion engine driven cou</w:t>
            </w:r>
            <w:r w:rsidRPr="0068236B">
              <w:rPr>
                <w:rFonts w:cs="Tahoma"/>
                <w:sz w:val="20"/>
                <w:szCs w:val="20"/>
              </w:rPr>
              <w:t>n</w:t>
            </w:r>
            <w:r w:rsidRPr="0068236B">
              <w:rPr>
                <w:rFonts w:cs="Tahoma"/>
                <w:sz w:val="20"/>
                <w:szCs w:val="20"/>
              </w:rPr>
              <w:t>terbalanced lift trucks, mobile cranes, compaction machines (non-vibrating rollers), paver-finishers, hydraulic power packs</w:t>
            </w:r>
          </w:p>
        </w:tc>
        <w:tc>
          <w:tcPr>
            <w:tcW w:w="724" w:type="pct"/>
            <w:tcBorders>
              <w:top w:val="single" w:sz="2" w:space="0" w:color="auto"/>
              <w:left w:val="single" w:sz="4" w:space="0" w:color="auto"/>
              <w:bottom w:val="single" w:sz="2" w:space="0" w:color="auto"/>
              <w:right w:val="single" w:sz="4" w:space="0" w:color="auto"/>
            </w:tcBorders>
            <w:hideMark/>
          </w:tcPr>
          <w:p w14:paraId="631FF943"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P ≤ 55 </w:t>
            </w:r>
          </w:p>
        </w:tc>
        <w:tc>
          <w:tcPr>
            <w:tcW w:w="868" w:type="pct"/>
            <w:tcBorders>
              <w:top w:val="single" w:sz="4" w:space="0" w:color="auto"/>
              <w:left w:val="single" w:sz="4" w:space="0" w:color="auto"/>
              <w:bottom w:val="single" w:sz="2" w:space="0" w:color="auto"/>
              <w:right w:val="double" w:sz="4" w:space="0" w:color="auto"/>
            </w:tcBorders>
            <w:hideMark/>
          </w:tcPr>
          <w:p w14:paraId="5CAA7653"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104 </w:t>
            </w:r>
          </w:p>
        </w:tc>
      </w:tr>
      <w:tr w:rsidR="0047585A" w:rsidRPr="0068236B" w14:paraId="0F35F733" w14:textId="77777777" w:rsidTr="0047585A">
        <w:trPr>
          <w:tblCellSpacing w:w="0" w:type="dxa"/>
        </w:trPr>
        <w:tc>
          <w:tcPr>
            <w:tcW w:w="3408" w:type="pct"/>
            <w:vMerge/>
            <w:tcBorders>
              <w:top w:val="single" w:sz="4" w:space="0" w:color="auto"/>
              <w:left w:val="double" w:sz="4" w:space="0" w:color="auto"/>
              <w:bottom w:val="single" w:sz="2" w:space="0" w:color="auto"/>
              <w:right w:val="single" w:sz="4" w:space="0" w:color="auto"/>
            </w:tcBorders>
            <w:vAlign w:val="center"/>
            <w:hideMark/>
          </w:tcPr>
          <w:p w14:paraId="5BBC6F75" w14:textId="77777777" w:rsidR="0047585A" w:rsidRPr="0068236B" w:rsidRDefault="0047585A" w:rsidP="00FE4D07">
            <w:pPr>
              <w:spacing w:before="0" w:after="0" w:line="240" w:lineRule="auto"/>
              <w:jc w:val="left"/>
              <w:rPr>
                <w:rFonts w:cs="Tahoma"/>
                <w:sz w:val="20"/>
                <w:szCs w:val="20"/>
              </w:rPr>
            </w:pPr>
          </w:p>
        </w:tc>
        <w:tc>
          <w:tcPr>
            <w:tcW w:w="724" w:type="pct"/>
            <w:tcBorders>
              <w:top w:val="single" w:sz="2" w:space="0" w:color="auto"/>
              <w:left w:val="single" w:sz="4" w:space="0" w:color="auto"/>
              <w:bottom w:val="single" w:sz="2" w:space="0" w:color="auto"/>
              <w:right w:val="single" w:sz="4" w:space="0" w:color="auto"/>
            </w:tcBorders>
            <w:hideMark/>
          </w:tcPr>
          <w:p w14:paraId="670CC85F"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P &gt; 55 </w:t>
            </w:r>
          </w:p>
        </w:tc>
        <w:tc>
          <w:tcPr>
            <w:tcW w:w="868" w:type="pct"/>
            <w:tcBorders>
              <w:top w:val="single" w:sz="4" w:space="0" w:color="auto"/>
              <w:left w:val="single" w:sz="4" w:space="0" w:color="auto"/>
              <w:bottom w:val="single" w:sz="2" w:space="0" w:color="auto"/>
              <w:right w:val="double" w:sz="4" w:space="0" w:color="auto"/>
            </w:tcBorders>
            <w:hideMark/>
          </w:tcPr>
          <w:p w14:paraId="706FE1CA"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85 + 11 lg P </w:t>
            </w:r>
          </w:p>
        </w:tc>
      </w:tr>
      <w:tr w:rsidR="0047585A" w:rsidRPr="0068236B" w14:paraId="08033547" w14:textId="77777777" w:rsidTr="0047585A">
        <w:trPr>
          <w:tblCellSpacing w:w="0" w:type="dxa"/>
        </w:trPr>
        <w:tc>
          <w:tcPr>
            <w:tcW w:w="3408" w:type="pct"/>
            <w:vMerge w:val="restart"/>
            <w:tcBorders>
              <w:top w:val="single" w:sz="4" w:space="0" w:color="auto"/>
              <w:left w:val="double" w:sz="4" w:space="0" w:color="auto"/>
              <w:bottom w:val="single" w:sz="4" w:space="0" w:color="auto"/>
              <w:right w:val="single" w:sz="4" w:space="0" w:color="auto"/>
            </w:tcBorders>
            <w:hideMark/>
          </w:tcPr>
          <w:p w14:paraId="245919E6" w14:textId="77777777" w:rsidR="0047585A" w:rsidRPr="0068236B" w:rsidRDefault="0047585A" w:rsidP="00FE4D07">
            <w:pPr>
              <w:spacing w:before="0" w:after="0" w:line="240" w:lineRule="auto"/>
              <w:jc w:val="left"/>
              <w:rPr>
                <w:rFonts w:cs="Tahoma"/>
                <w:sz w:val="20"/>
                <w:szCs w:val="20"/>
              </w:rPr>
            </w:pPr>
            <w:r w:rsidRPr="0068236B">
              <w:rPr>
                <w:rFonts w:cs="Tahoma"/>
                <w:sz w:val="20"/>
                <w:szCs w:val="20"/>
              </w:rPr>
              <w:t xml:space="preserve">Excavators, builders’ hoists for the transport of goods, construction winches, motor hoes </w:t>
            </w:r>
          </w:p>
        </w:tc>
        <w:tc>
          <w:tcPr>
            <w:tcW w:w="724" w:type="pct"/>
            <w:tcBorders>
              <w:top w:val="single" w:sz="4" w:space="0" w:color="auto"/>
              <w:left w:val="single" w:sz="4" w:space="0" w:color="auto"/>
              <w:bottom w:val="single" w:sz="2" w:space="0" w:color="auto"/>
              <w:right w:val="single" w:sz="4" w:space="0" w:color="auto"/>
            </w:tcBorders>
            <w:hideMark/>
          </w:tcPr>
          <w:p w14:paraId="09435324"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P ≤ 15 </w:t>
            </w:r>
          </w:p>
        </w:tc>
        <w:tc>
          <w:tcPr>
            <w:tcW w:w="868" w:type="pct"/>
            <w:tcBorders>
              <w:top w:val="single" w:sz="4" w:space="0" w:color="auto"/>
              <w:left w:val="single" w:sz="4" w:space="0" w:color="auto"/>
              <w:bottom w:val="single" w:sz="2" w:space="0" w:color="auto"/>
              <w:right w:val="double" w:sz="4" w:space="0" w:color="auto"/>
            </w:tcBorders>
            <w:hideMark/>
          </w:tcPr>
          <w:p w14:paraId="76D94399"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93 </w:t>
            </w:r>
          </w:p>
        </w:tc>
      </w:tr>
      <w:tr w:rsidR="0047585A" w:rsidRPr="0068236B" w14:paraId="753E3069" w14:textId="77777777" w:rsidTr="0047585A">
        <w:trPr>
          <w:tblCellSpacing w:w="0" w:type="dxa"/>
        </w:trPr>
        <w:tc>
          <w:tcPr>
            <w:tcW w:w="3408" w:type="pct"/>
            <w:vMerge/>
            <w:tcBorders>
              <w:top w:val="single" w:sz="4" w:space="0" w:color="auto"/>
              <w:left w:val="double" w:sz="4" w:space="0" w:color="auto"/>
              <w:bottom w:val="single" w:sz="2" w:space="0" w:color="auto"/>
              <w:right w:val="single" w:sz="4" w:space="0" w:color="auto"/>
            </w:tcBorders>
            <w:vAlign w:val="center"/>
            <w:hideMark/>
          </w:tcPr>
          <w:p w14:paraId="7E1F9F75" w14:textId="77777777" w:rsidR="0047585A" w:rsidRPr="0068236B" w:rsidRDefault="0047585A" w:rsidP="00FE4D07">
            <w:pPr>
              <w:spacing w:before="0" w:after="0" w:line="240" w:lineRule="auto"/>
              <w:jc w:val="left"/>
              <w:rPr>
                <w:rFonts w:cs="Tahoma"/>
                <w:sz w:val="20"/>
                <w:szCs w:val="20"/>
              </w:rPr>
            </w:pPr>
          </w:p>
        </w:tc>
        <w:tc>
          <w:tcPr>
            <w:tcW w:w="724" w:type="pct"/>
            <w:tcBorders>
              <w:top w:val="single" w:sz="2" w:space="0" w:color="auto"/>
              <w:left w:val="single" w:sz="4" w:space="0" w:color="auto"/>
              <w:bottom w:val="single" w:sz="2" w:space="0" w:color="auto"/>
              <w:right w:val="single" w:sz="4" w:space="0" w:color="auto"/>
            </w:tcBorders>
            <w:hideMark/>
          </w:tcPr>
          <w:p w14:paraId="1E355453"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P &gt; 15 </w:t>
            </w:r>
          </w:p>
        </w:tc>
        <w:tc>
          <w:tcPr>
            <w:tcW w:w="868" w:type="pct"/>
            <w:tcBorders>
              <w:top w:val="single" w:sz="4" w:space="0" w:color="auto"/>
              <w:left w:val="single" w:sz="4" w:space="0" w:color="auto"/>
              <w:bottom w:val="single" w:sz="2" w:space="0" w:color="auto"/>
              <w:right w:val="double" w:sz="4" w:space="0" w:color="auto"/>
            </w:tcBorders>
            <w:hideMark/>
          </w:tcPr>
          <w:p w14:paraId="7EF0C18D"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80 + 11 lg P </w:t>
            </w:r>
          </w:p>
        </w:tc>
      </w:tr>
      <w:tr w:rsidR="0047585A" w:rsidRPr="0068236B" w14:paraId="362F1885" w14:textId="77777777" w:rsidTr="0047585A">
        <w:trPr>
          <w:tblCellSpacing w:w="0" w:type="dxa"/>
        </w:trPr>
        <w:tc>
          <w:tcPr>
            <w:tcW w:w="3408" w:type="pct"/>
            <w:vMerge w:val="restart"/>
            <w:tcBorders>
              <w:top w:val="single" w:sz="4" w:space="0" w:color="auto"/>
              <w:left w:val="double" w:sz="4" w:space="0" w:color="auto"/>
              <w:bottom w:val="single" w:sz="4" w:space="0" w:color="auto"/>
              <w:right w:val="single" w:sz="4" w:space="0" w:color="auto"/>
            </w:tcBorders>
            <w:hideMark/>
          </w:tcPr>
          <w:p w14:paraId="6DD42573" w14:textId="77777777" w:rsidR="0047585A" w:rsidRPr="0068236B" w:rsidRDefault="0047585A" w:rsidP="00FE4D07">
            <w:pPr>
              <w:spacing w:before="0" w:after="0" w:line="240" w:lineRule="auto"/>
              <w:jc w:val="left"/>
              <w:rPr>
                <w:rFonts w:cs="Tahoma"/>
                <w:sz w:val="20"/>
                <w:szCs w:val="20"/>
              </w:rPr>
            </w:pPr>
            <w:r w:rsidRPr="0068236B">
              <w:rPr>
                <w:rFonts w:cs="Tahoma"/>
                <w:sz w:val="20"/>
                <w:szCs w:val="20"/>
              </w:rPr>
              <w:t>Hand-held concrete-breakers and picks</w:t>
            </w:r>
          </w:p>
        </w:tc>
        <w:tc>
          <w:tcPr>
            <w:tcW w:w="724" w:type="pct"/>
            <w:tcBorders>
              <w:top w:val="single" w:sz="4" w:space="0" w:color="auto"/>
              <w:left w:val="single" w:sz="4" w:space="0" w:color="auto"/>
              <w:bottom w:val="single" w:sz="2" w:space="0" w:color="auto"/>
              <w:right w:val="single" w:sz="4" w:space="0" w:color="auto"/>
            </w:tcBorders>
            <w:hideMark/>
          </w:tcPr>
          <w:p w14:paraId="7EADAFF9"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m ≤ 15 </w:t>
            </w:r>
          </w:p>
        </w:tc>
        <w:tc>
          <w:tcPr>
            <w:tcW w:w="868" w:type="pct"/>
            <w:tcBorders>
              <w:top w:val="single" w:sz="4" w:space="0" w:color="auto"/>
              <w:left w:val="single" w:sz="4" w:space="0" w:color="auto"/>
              <w:bottom w:val="single" w:sz="2" w:space="0" w:color="auto"/>
              <w:right w:val="double" w:sz="4" w:space="0" w:color="auto"/>
            </w:tcBorders>
            <w:hideMark/>
          </w:tcPr>
          <w:p w14:paraId="6844E5C1"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105 </w:t>
            </w:r>
          </w:p>
        </w:tc>
      </w:tr>
      <w:tr w:rsidR="0047585A" w:rsidRPr="0068236B" w14:paraId="1400FD37" w14:textId="77777777" w:rsidTr="0047585A">
        <w:trPr>
          <w:tblCellSpacing w:w="0" w:type="dxa"/>
        </w:trPr>
        <w:tc>
          <w:tcPr>
            <w:tcW w:w="3408" w:type="pct"/>
            <w:vMerge/>
            <w:tcBorders>
              <w:top w:val="single" w:sz="4" w:space="0" w:color="auto"/>
              <w:left w:val="double" w:sz="4" w:space="0" w:color="auto"/>
              <w:bottom w:val="single" w:sz="4" w:space="0" w:color="auto"/>
              <w:right w:val="single" w:sz="4" w:space="0" w:color="auto"/>
            </w:tcBorders>
            <w:vAlign w:val="center"/>
            <w:hideMark/>
          </w:tcPr>
          <w:p w14:paraId="47CC8660" w14:textId="77777777" w:rsidR="0047585A" w:rsidRPr="0068236B" w:rsidRDefault="0047585A" w:rsidP="00FE4D07">
            <w:pPr>
              <w:spacing w:before="0" w:after="0" w:line="240" w:lineRule="auto"/>
              <w:jc w:val="left"/>
              <w:rPr>
                <w:rFonts w:cs="Tahoma"/>
                <w:sz w:val="20"/>
                <w:szCs w:val="20"/>
              </w:rPr>
            </w:pPr>
          </w:p>
        </w:tc>
        <w:tc>
          <w:tcPr>
            <w:tcW w:w="724" w:type="pct"/>
            <w:tcBorders>
              <w:top w:val="single" w:sz="4" w:space="0" w:color="auto"/>
              <w:left w:val="single" w:sz="4" w:space="0" w:color="auto"/>
              <w:bottom w:val="single" w:sz="2" w:space="0" w:color="auto"/>
              <w:right w:val="single" w:sz="4" w:space="0" w:color="auto"/>
            </w:tcBorders>
            <w:hideMark/>
          </w:tcPr>
          <w:p w14:paraId="0C4BE579"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15 &lt; m &lt; 30 </w:t>
            </w:r>
          </w:p>
        </w:tc>
        <w:tc>
          <w:tcPr>
            <w:tcW w:w="868" w:type="pct"/>
            <w:tcBorders>
              <w:top w:val="single" w:sz="4" w:space="0" w:color="auto"/>
              <w:left w:val="single" w:sz="4" w:space="0" w:color="auto"/>
              <w:bottom w:val="single" w:sz="2" w:space="0" w:color="auto"/>
              <w:right w:val="double" w:sz="4" w:space="0" w:color="auto"/>
            </w:tcBorders>
            <w:hideMark/>
          </w:tcPr>
          <w:p w14:paraId="56AF0934"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94 + 11 lg m </w:t>
            </w:r>
          </w:p>
        </w:tc>
      </w:tr>
      <w:tr w:rsidR="0047585A" w:rsidRPr="0068236B" w14:paraId="2B58194E" w14:textId="77777777" w:rsidTr="0047585A">
        <w:trPr>
          <w:tblCellSpacing w:w="0" w:type="dxa"/>
        </w:trPr>
        <w:tc>
          <w:tcPr>
            <w:tcW w:w="3408" w:type="pct"/>
            <w:vMerge/>
            <w:tcBorders>
              <w:top w:val="single" w:sz="4" w:space="0" w:color="auto"/>
              <w:left w:val="double" w:sz="4" w:space="0" w:color="auto"/>
              <w:bottom w:val="single" w:sz="2" w:space="0" w:color="auto"/>
              <w:right w:val="single" w:sz="4" w:space="0" w:color="auto"/>
            </w:tcBorders>
            <w:vAlign w:val="center"/>
            <w:hideMark/>
          </w:tcPr>
          <w:p w14:paraId="04FEDAFC" w14:textId="77777777" w:rsidR="0047585A" w:rsidRPr="0068236B" w:rsidRDefault="0047585A" w:rsidP="00FE4D07">
            <w:pPr>
              <w:spacing w:before="0" w:after="0" w:line="240" w:lineRule="auto"/>
              <w:jc w:val="left"/>
              <w:rPr>
                <w:rFonts w:cs="Tahoma"/>
                <w:sz w:val="20"/>
                <w:szCs w:val="20"/>
              </w:rPr>
            </w:pPr>
          </w:p>
        </w:tc>
        <w:tc>
          <w:tcPr>
            <w:tcW w:w="724" w:type="pct"/>
            <w:tcBorders>
              <w:top w:val="single" w:sz="4" w:space="0" w:color="auto"/>
              <w:left w:val="single" w:sz="2" w:space="0" w:color="auto"/>
              <w:bottom w:val="single" w:sz="2" w:space="0" w:color="auto"/>
              <w:right w:val="single" w:sz="4" w:space="0" w:color="auto"/>
            </w:tcBorders>
            <w:hideMark/>
          </w:tcPr>
          <w:p w14:paraId="4023AB45"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m ≥ 30 </w:t>
            </w:r>
          </w:p>
        </w:tc>
        <w:tc>
          <w:tcPr>
            <w:tcW w:w="868" w:type="pct"/>
            <w:tcBorders>
              <w:top w:val="single" w:sz="4" w:space="0" w:color="auto"/>
              <w:left w:val="single" w:sz="4" w:space="0" w:color="auto"/>
              <w:bottom w:val="single" w:sz="2" w:space="0" w:color="auto"/>
              <w:right w:val="double" w:sz="4" w:space="0" w:color="auto"/>
            </w:tcBorders>
            <w:hideMark/>
          </w:tcPr>
          <w:p w14:paraId="336E58F9"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94 + 11 lg m </w:t>
            </w:r>
          </w:p>
        </w:tc>
      </w:tr>
      <w:tr w:rsidR="0047585A" w:rsidRPr="0068236B" w14:paraId="6D32CE55" w14:textId="77777777" w:rsidTr="0047585A">
        <w:trPr>
          <w:tblCellSpacing w:w="0" w:type="dxa"/>
        </w:trPr>
        <w:tc>
          <w:tcPr>
            <w:tcW w:w="3408" w:type="pct"/>
            <w:tcBorders>
              <w:top w:val="single" w:sz="2" w:space="0" w:color="auto"/>
              <w:left w:val="double" w:sz="4" w:space="0" w:color="auto"/>
              <w:bottom w:val="single" w:sz="2" w:space="0" w:color="auto"/>
              <w:right w:val="single" w:sz="4" w:space="0" w:color="auto"/>
            </w:tcBorders>
            <w:hideMark/>
          </w:tcPr>
          <w:p w14:paraId="6DCF9ECC" w14:textId="77777777" w:rsidR="0047585A" w:rsidRPr="0068236B" w:rsidRDefault="0047585A" w:rsidP="00FE4D07">
            <w:pPr>
              <w:spacing w:before="0" w:after="0" w:line="240" w:lineRule="auto"/>
              <w:jc w:val="left"/>
              <w:rPr>
                <w:rFonts w:cs="Tahoma"/>
                <w:sz w:val="20"/>
                <w:szCs w:val="20"/>
              </w:rPr>
            </w:pPr>
            <w:r w:rsidRPr="0068236B">
              <w:rPr>
                <w:rFonts w:cs="Tahoma"/>
                <w:sz w:val="20"/>
                <w:szCs w:val="20"/>
              </w:rPr>
              <w:t>Tower cranes</w:t>
            </w:r>
          </w:p>
        </w:tc>
        <w:tc>
          <w:tcPr>
            <w:tcW w:w="724" w:type="pct"/>
            <w:tcBorders>
              <w:top w:val="single" w:sz="4" w:space="0" w:color="auto"/>
              <w:left w:val="single" w:sz="2" w:space="0" w:color="auto"/>
              <w:bottom w:val="single" w:sz="2" w:space="0" w:color="auto"/>
              <w:right w:val="single" w:sz="4" w:space="0" w:color="auto"/>
            </w:tcBorders>
            <w:hideMark/>
          </w:tcPr>
          <w:p w14:paraId="510BF3AA" w14:textId="77777777" w:rsidR="0047585A" w:rsidRPr="0068236B" w:rsidRDefault="0047585A" w:rsidP="0047585A">
            <w:pPr>
              <w:spacing w:before="0" w:after="0" w:line="240" w:lineRule="auto"/>
              <w:rPr>
                <w:rFonts w:cs="Tahoma"/>
                <w:sz w:val="20"/>
                <w:szCs w:val="20"/>
              </w:rPr>
            </w:pPr>
          </w:p>
        </w:tc>
        <w:tc>
          <w:tcPr>
            <w:tcW w:w="868" w:type="pct"/>
            <w:tcBorders>
              <w:top w:val="single" w:sz="4" w:space="0" w:color="auto"/>
              <w:left w:val="single" w:sz="4" w:space="0" w:color="auto"/>
              <w:bottom w:val="single" w:sz="2" w:space="0" w:color="auto"/>
              <w:right w:val="double" w:sz="4" w:space="0" w:color="auto"/>
            </w:tcBorders>
            <w:hideMark/>
          </w:tcPr>
          <w:p w14:paraId="528FAED4"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96 + lg P </w:t>
            </w:r>
          </w:p>
        </w:tc>
      </w:tr>
      <w:tr w:rsidR="0047585A" w:rsidRPr="0068236B" w14:paraId="78F56B47" w14:textId="77777777" w:rsidTr="0047585A">
        <w:trPr>
          <w:tblCellSpacing w:w="0" w:type="dxa"/>
        </w:trPr>
        <w:tc>
          <w:tcPr>
            <w:tcW w:w="3408" w:type="pct"/>
            <w:vMerge w:val="restart"/>
            <w:tcBorders>
              <w:top w:val="single" w:sz="4" w:space="0" w:color="auto"/>
              <w:left w:val="double" w:sz="4" w:space="0" w:color="auto"/>
              <w:bottom w:val="single" w:sz="4" w:space="0" w:color="auto"/>
              <w:right w:val="single" w:sz="4" w:space="0" w:color="auto"/>
            </w:tcBorders>
            <w:hideMark/>
          </w:tcPr>
          <w:p w14:paraId="5122927B" w14:textId="77777777" w:rsidR="0047585A" w:rsidRPr="0068236B" w:rsidRDefault="0047585A" w:rsidP="00FE4D07">
            <w:pPr>
              <w:spacing w:before="0" w:after="0" w:line="240" w:lineRule="auto"/>
              <w:jc w:val="left"/>
              <w:rPr>
                <w:rFonts w:cs="Tahoma"/>
                <w:sz w:val="20"/>
                <w:szCs w:val="20"/>
              </w:rPr>
            </w:pPr>
            <w:r w:rsidRPr="0068236B">
              <w:rPr>
                <w:rFonts w:cs="Tahoma"/>
                <w:sz w:val="20"/>
                <w:szCs w:val="20"/>
              </w:rPr>
              <w:lastRenderedPageBreak/>
              <w:t>Welding and power generators</w:t>
            </w:r>
          </w:p>
        </w:tc>
        <w:tc>
          <w:tcPr>
            <w:tcW w:w="724" w:type="pct"/>
            <w:tcBorders>
              <w:top w:val="single" w:sz="4" w:space="0" w:color="auto"/>
              <w:left w:val="single" w:sz="4" w:space="0" w:color="auto"/>
              <w:bottom w:val="single" w:sz="2" w:space="0" w:color="auto"/>
              <w:right w:val="single" w:sz="4" w:space="0" w:color="auto"/>
            </w:tcBorders>
            <w:hideMark/>
          </w:tcPr>
          <w:p w14:paraId="365A5F69"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Pel ≤ 2 </w:t>
            </w:r>
          </w:p>
        </w:tc>
        <w:tc>
          <w:tcPr>
            <w:tcW w:w="868" w:type="pct"/>
            <w:tcBorders>
              <w:top w:val="single" w:sz="4" w:space="0" w:color="auto"/>
              <w:left w:val="single" w:sz="4" w:space="0" w:color="auto"/>
              <w:bottom w:val="single" w:sz="2" w:space="0" w:color="auto"/>
              <w:right w:val="double" w:sz="4" w:space="0" w:color="auto"/>
            </w:tcBorders>
            <w:hideMark/>
          </w:tcPr>
          <w:p w14:paraId="440B1A1C"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95 + lg Pel </w:t>
            </w:r>
          </w:p>
        </w:tc>
      </w:tr>
      <w:tr w:rsidR="0047585A" w:rsidRPr="0068236B" w14:paraId="3743F1D8" w14:textId="77777777" w:rsidTr="0047585A">
        <w:trPr>
          <w:tblCellSpacing w:w="0" w:type="dxa"/>
        </w:trPr>
        <w:tc>
          <w:tcPr>
            <w:tcW w:w="3408" w:type="pct"/>
            <w:vMerge/>
            <w:tcBorders>
              <w:top w:val="single" w:sz="4" w:space="0" w:color="auto"/>
              <w:left w:val="double" w:sz="4" w:space="0" w:color="auto"/>
              <w:bottom w:val="single" w:sz="4" w:space="0" w:color="auto"/>
              <w:right w:val="single" w:sz="4" w:space="0" w:color="auto"/>
            </w:tcBorders>
            <w:vAlign w:val="center"/>
            <w:hideMark/>
          </w:tcPr>
          <w:p w14:paraId="7A216B17" w14:textId="77777777" w:rsidR="0047585A" w:rsidRPr="0068236B" w:rsidRDefault="0047585A" w:rsidP="00FE4D07">
            <w:pPr>
              <w:spacing w:before="0" w:after="0" w:line="240" w:lineRule="auto"/>
              <w:jc w:val="left"/>
              <w:rPr>
                <w:rFonts w:cs="Tahoma"/>
                <w:sz w:val="20"/>
                <w:szCs w:val="20"/>
              </w:rPr>
            </w:pPr>
          </w:p>
        </w:tc>
        <w:tc>
          <w:tcPr>
            <w:tcW w:w="724" w:type="pct"/>
            <w:tcBorders>
              <w:top w:val="single" w:sz="4" w:space="0" w:color="auto"/>
              <w:left w:val="single" w:sz="4" w:space="0" w:color="auto"/>
              <w:bottom w:val="single" w:sz="2" w:space="0" w:color="auto"/>
              <w:right w:val="single" w:sz="4" w:space="0" w:color="auto"/>
            </w:tcBorders>
            <w:hideMark/>
          </w:tcPr>
          <w:p w14:paraId="6F164B90"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2 &lt; Pel ≤ 10 </w:t>
            </w:r>
          </w:p>
        </w:tc>
        <w:tc>
          <w:tcPr>
            <w:tcW w:w="868" w:type="pct"/>
            <w:tcBorders>
              <w:top w:val="single" w:sz="4" w:space="0" w:color="auto"/>
              <w:left w:val="single" w:sz="4" w:space="0" w:color="auto"/>
              <w:bottom w:val="single" w:sz="2" w:space="0" w:color="auto"/>
              <w:right w:val="double" w:sz="4" w:space="0" w:color="auto"/>
            </w:tcBorders>
            <w:hideMark/>
          </w:tcPr>
          <w:p w14:paraId="455DB70B"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96 + lg Pel </w:t>
            </w:r>
          </w:p>
        </w:tc>
      </w:tr>
      <w:tr w:rsidR="0047585A" w:rsidRPr="0068236B" w14:paraId="531B3D21" w14:textId="77777777" w:rsidTr="0047585A">
        <w:trPr>
          <w:tblCellSpacing w:w="0" w:type="dxa"/>
        </w:trPr>
        <w:tc>
          <w:tcPr>
            <w:tcW w:w="3408" w:type="pct"/>
            <w:vMerge/>
            <w:tcBorders>
              <w:top w:val="single" w:sz="4" w:space="0" w:color="auto"/>
              <w:left w:val="double" w:sz="4" w:space="0" w:color="auto"/>
              <w:bottom w:val="single" w:sz="2" w:space="0" w:color="auto"/>
              <w:right w:val="single" w:sz="4" w:space="0" w:color="auto"/>
            </w:tcBorders>
            <w:vAlign w:val="center"/>
            <w:hideMark/>
          </w:tcPr>
          <w:p w14:paraId="44A1C4EF" w14:textId="77777777" w:rsidR="0047585A" w:rsidRPr="0068236B" w:rsidRDefault="0047585A" w:rsidP="00FE4D07">
            <w:pPr>
              <w:spacing w:before="0" w:after="0" w:line="240" w:lineRule="auto"/>
              <w:jc w:val="left"/>
              <w:rPr>
                <w:rFonts w:cs="Tahoma"/>
                <w:sz w:val="20"/>
                <w:szCs w:val="20"/>
              </w:rPr>
            </w:pPr>
          </w:p>
        </w:tc>
        <w:tc>
          <w:tcPr>
            <w:tcW w:w="724" w:type="pct"/>
            <w:tcBorders>
              <w:top w:val="single" w:sz="4" w:space="0" w:color="auto"/>
              <w:left w:val="single" w:sz="4" w:space="0" w:color="auto"/>
              <w:bottom w:val="single" w:sz="2" w:space="0" w:color="auto"/>
              <w:right w:val="single" w:sz="4" w:space="0" w:color="auto"/>
            </w:tcBorders>
            <w:hideMark/>
          </w:tcPr>
          <w:p w14:paraId="0D0CDA05"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Pel &gt; 10 </w:t>
            </w:r>
          </w:p>
        </w:tc>
        <w:tc>
          <w:tcPr>
            <w:tcW w:w="868" w:type="pct"/>
            <w:tcBorders>
              <w:top w:val="single" w:sz="4" w:space="0" w:color="auto"/>
              <w:left w:val="single" w:sz="4" w:space="0" w:color="auto"/>
              <w:bottom w:val="single" w:sz="2" w:space="0" w:color="auto"/>
              <w:right w:val="double" w:sz="4" w:space="0" w:color="auto"/>
            </w:tcBorders>
            <w:hideMark/>
          </w:tcPr>
          <w:p w14:paraId="4114B973"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95 + lg Pel </w:t>
            </w:r>
          </w:p>
        </w:tc>
      </w:tr>
      <w:tr w:rsidR="0047585A" w:rsidRPr="0068236B" w14:paraId="3E4A5D45" w14:textId="77777777" w:rsidTr="0047585A">
        <w:trPr>
          <w:tblCellSpacing w:w="0" w:type="dxa"/>
        </w:trPr>
        <w:tc>
          <w:tcPr>
            <w:tcW w:w="3408" w:type="pct"/>
            <w:vMerge w:val="restart"/>
            <w:tcBorders>
              <w:top w:val="single" w:sz="2" w:space="0" w:color="auto"/>
              <w:left w:val="double" w:sz="4" w:space="0" w:color="auto"/>
              <w:bottom w:val="single" w:sz="4" w:space="0" w:color="auto"/>
              <w:right w:val="single" w:sz="4" w:space="0" w:color="auto"/>
            </w:tcBorders>
            <w:hideMark/>
          </w:tcPr>
          <w:p w14:paraId="5704F859" w14:textId="77777777" w:rsidR="0047585A" w:rsidRPr="0068236B" w:rsidRDefault="0047585A" w:rsidP="00FE4D07">
            <w:pPr>
              <w:spacing w:before="0" w:after="0" w:line="240" w:lineRule="auto"/>
              <w:jc w:val="left"/>
              <w:rPr>
                <w:rFonts w:cs="Tahoma"/>
                <w:sz w:val="20"/>
                <w:szCs w:val="20"/>
              </w:rPr>
            </w:pPr>
            <w:r w:rsidRPr="0068236B">
              <w:rPr>
                <w:rFonts w:cs="Tahoma"/>
                <w:sz w:val="20"/>
                <w:szCs w:val="20"/>
              </w:rPr>
              <w:t>Compressors</w:t>
            </w:r>
          </w:p>
        </w:tc>
        <w:tc>
          <w:tcPr>
            <w:tcW w:w="724" w:type="pct"/>
            <w:tcBorders>
              <w:top w:val="single" w:sz="4" w:space="0" w:color="auto"/>
              <w:left w:val="single" w:sz="4" w:space="0" w:color="auto"/>
              <w:bottom w:val="single" w:sz="2" w:space="0" w:color="auto"/>
              <w:right w:val="single" w:sz="4" w:space="0" w:color="auto"/>
            </w:tcBorders>
            <w:hideMark/>
          </w:tcPr>
          <w:p w14:paraId="74B8549B"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P ≤ 15 </w:t>
            </w:r>
          </w:p>
        </w:tc>
        <w:tc>
          <w:tcPr>
            <w:tcW w:w="868" w:type="pct"/>
            <w:tcBorders>
              <w:top w:val="single" w:sz="4" w:space="0" w:color="auto"/>
              <w:left w:val="single" w:sz="4" w:space="0" w:color="auto"/>
              <w:bottom w:val="single" w:sz="2" w:space="0" w:color="auto"/>
              <w:right w:val="double" w:sz="4" w:space="0" w:color="auto"/>
            </w:tcBorders>
            <w:hideMark/>
          </w:tcPr>
          <w:p w14:paraId="5E92BC30"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97 </w:t>
            </w:r>
          </w:p>
        </w:tc>
      </w:tr>
      <w:tr w:rsidR="0047585A" w:rsidRPr="0068236B" w14:paraId="2AC66E2F" w14:textId="77777777" w:rsidTr="0047585A">
        <w:trPr>
          <w:tblCellSpacing w:w="0" w:type="dxa"/>
        </w:trPr>
        <w:tc>
          <w:tcPr>
            <w:tcW w:w="3408" w:type="pct"/>
            <w:vMerge/>
            <w:tcBorders>
              <w:top w:val="single" w:sz="4" w:space="0" w:color="auto"/>
              <w:left w:val="double" w:sz="4" w:space="0" w:color="auto"/>
              <w:bottom w:val="double" w:sz="4" w:space="0" w:color="auto"/>
              <w:right w:val="single" w:sz="4" w:space="0" w:color="auto"/>
            </w:tcBorders>
            <w:vAlign w:val="center"/>
            <w:hideMark/>
          </w:tcPr>
          <w:p w14:paraId="45E9061E" w14:textId="77777777" w:rsidR="0047585A" w:rsidRPr="0068236B" w:rsidRDefault="0047585A" w:rsidP="00FE4D07">
            <w:pPr>
              <w:spacing w:before="0" w:after="0" w:line="240" w:lineRule="auto"/>
              <w:jc w:val="left"/>
              <w:rPr>
                <w:rFonts w:cs="Tahoma"/>
                <w:sz w:val="20"/>
                <w:szCs w:val="20"/>
              </w:rPr>
            </w:pPr>
          </w:p>
        </w:tc>
        <w:tc>
          <w:tcPr>
            <w:tcW w:w="724" w:type="pct"/>
            <w:tcBorders>
              <w:top w:val="single" w:sz="4" w:space="0" w:color="auto"/>
              <w:left w:val="single" w:sz="4" w:space="0" w:color="auto"/>
              <w:bottom w:val="double" w:sz="4" w:space="0" w:color="auto"/>
              <w:right w:val="single" w:sz="4" w:space="0" w:color="auto"/>
            </w:tcBorders>
            <w:hideMark/>
          </w:tcPr>
          <w:p w14:paraId="179C95E0" w14:textId="77777777" w:rsidR="0047585A" w:rsidRPr="0068236B" w:rsidRDefault="0047585A" w:rsidP="0047585A">
            <w:pPr>
              <w:spacing w:before="0" w:after="0" w:line="240" w:lineRule="auto"/>
              <w:jc w:val="center"/>
              <w:rPr>
                <w:rFonts w:cs="Tahoma"/>
                <w:sz w:val="20"/>
                <w:szCs w:val="20"/>
              </w:rPr>
            </w:pPr>
            <w:r w:rsidRPr="0068236B">
              <w:rPr>
                <w:rFonts w:cs="Tahoma"/>
                <w:sz w:val="20"/>
                <w:szCs w:val="20"/>
              </w:rPr>
              <w:t xml:space="preserve">P &gt; 15 </w:t>
            </w:r>
          </w:p>
        </w:tc>
        <w:tc>
          <w:tcPr>
            <w:tcW w:w="868" w:type="pct"/>
            <w:tcBorders>
              <w:top w:val="single" w:sz="4" w:space="0" w:color="auto"/>
              <w:left w:val="single" w:sz="4" w:space="0" w:color="auto"/>
              <w:bottom w:val="double" w:sz="4" w:space="0" w:color="auto"/>
              <w:right w:val="double" w:sz="4" w:space="0" w:color="auto"/>
            </w:tcBorders>
            <w:hideMark/>
          </w:tcPr>
          <w:p w14:paraId="6D2E7835" w14:textId="5E42DECB" w:rsidR="0047585A" w:rsidRPr="0068236B" w:rsidRDefault="004D308A" w:rsidP="004D308A">
            <w:pPr>
              <w:pStyle w:val="ListParagraph"/>
              <w:spacing w:before="0" w:after="0" w:line="240" w:lineRule="auto"/>
              <w:ind w:left="60"/>
              <w:contextualSpacing w:val="0"/>
              <w:jc w:val="center"/>
              <w:rPr>
                <w:rFonts w:cs="Tahoma"/>
                <w:sz w:val="20"/>
                <w:szCs w:val="20"/>
              </w:rPr>
            </w:pPr>
            <w:r w:rsidRPr="0068236B">
              <w:rPr>
                <w:rFonts w:cs="Tahoma"/>
                <w:sz w:val="20"/>
                <w:szCs w:val="20"/>
              </w:rPr>
              <w:t xml:space="preserve">95 </w:t>
            </w:r>
            <w:r w:rsidR="0047585A" w:rsidRPr="0068236B">
              <w:rPr>
                <w:rFonts w:cs="Tahoma"/>
                <w:sz w:val="20"/>
                <w:szCs w:val="20"/>
              </w:rPr>
              <w:t>2 lg P</w:t>
            </w:r>
          </w:p>
        </w:tc>
      </w:tr>
    </w:tbl>
    <w:p w14:paraId="197DCE54" w14:textId="21CF6E90" w:rsidR="0047585A" w:rsidRPr="0068236B" w:rsidRDefault="0047585A" w:rsidP="0047585A">
      <w:pPr>
        <w:autoSpaceDE w:val="0"/>
        <w:autoSpaceDN w:val="0"/>
        <w:adjustRightInd w:val="0"/>
        <w:spacing w:before="60" w:after="60"/>
        <w:rPr>
          <w:rFonts w:cs="Arial"/>
          <w:sz w:val="18"/>
          <w:szCs w:val="18"/>
        </w:rPr>
      </w:pPr>
      <w:bookmarkStart w:id="344" w:name="_Toc65936941"/>
      <w:bookmarkStart w:id="345" w:name="_Toc74509159"/>
      <w:bookmarkStart w:id="346" w:name="_Toc113018208"/>
      <w:r w:rsidRPr="0068236B">
        <w:rPr>
          <w:rFonts w:cs="Arial"/>
          <w:sz w:val="18"/>
          <w:szCs w:val="18"/>
        </w:rPr>
        <w:t xml:space="preserve">Table </w:t>
      </w:r>
      <w:r w:rsidRPr="0068236B">
        <w:rPr>
          <w:rFonts w:cs="Arial"/>
          <w:i/>
          <w:sz w:val="18"/>
          <w:szCs w:val="18"/>
        </w:rPr>
        <w:fldChar w:fldCharType="begin"/>
      </w:r>
      <w:r w:rsidRPr="0068236B">
        <w:rPr>
          <w:rFonts w:cs="Arial"/>
          <w:sz w:val="18"/>
          <w:szCs w:val="18"/>
        </w:rPr>
        <w:instrText xml:space="preserve"> STYLEREF 1 \s </w:instrText>
      </w:r>
      <w:r w:rsidRPr="0068236B">
        <w:rPr>
          <w:rFonts w:cs="Arial"/>
          <w:i/>
          <w:sz w:val="18"/>
          <w:szCs w:val="18"/>
        </w:rPr>
        <w:fldChar w:fldCharType="separate"/>
      </w:r>
      <w:r w:rsidR="00FD57E6">
        <w:rPr>
          <w:rFonts w:cs="Arial"/>
          <w:noProof/>
          <w:sz w:val="18"/>
          <w:szCs w:val="18"/>
        </w:rPr>
        <w:t>8</w:t>
      </w:r>
      <w:r w:rsidRPr="0068236B">
        <w:rPr>
          <w:rFonts w:cs="Arial"/>
          <w:i/>
          <w:sz w:val="18"/>
          <w:szCs w:val="18"/>
        </w:rPr>
        <w:fldChar w:fldCharType="end"/>
      </w:r>
      <w:r w:rsidRPr="0068236B">
        <w:rPr>
          <w:rFonts w:cs="Arial"/>
          <w:sz w:val="18"/>
          <w:szCs w:val="18"/>
        </w:rPr>
        <w:t>.</w:t>
      </w:r>
      <w:r w:rsidRPr="0068236B">
        <w:rPr>
          <w:rFonts w:cs="Arial"/>
          <w:i/>
          <w:sz w:val="18"/>
          <w:szCs w:val="18"/>
        </w:rPr>
        <w:fldChar w:fldCharType="begin"/>
      </w:r>
      <w:r w:rsidRPr="0068236B">
        <w:rPr>
          <w:rFonts w:cs="Arial"/>
          <w:sz w:val="18"/>
          <w:szCs w:val="18"/>
        </w:rPr>
        <w:instrText xml:space="preserve"> SEQ Table \* ARABIC \s 1 </w:instrText>
      </w:r>
      <w:r w:rsidRPr="0068236B">
        <w:rPr>
          <w:rFonts w:cs="Arial"/>
          <w:i/>
          <w:sz w:val="18"/>
          <w:szCs w:val="18"/>
        </w:rPr>
        <w:fldChar w:fldCharType="separate"/>
      </w:r>
      <w:r w:rsidR="00FD57E6">
        <w:rPr>
          <w:rFonts w:cs="Arial"/>
          <w:noProof/>
          <w:sz w:val="18"/>
          <w:szCs w:val="18"/>
        </w:rPr>
        <w:t>12</w:t>
      </w:r>
      <w:r w:rsidRPr="0068236B">
        <w:rPr>
          <w:rFonts w:cs="Arial"/>
          <w:i/>
          <w:sz w:val="18"/>
          <w:szCs w:val="18"/>
        </w:rPr>
        <w:fldChar w:fldCharType="end"/>
      </w:r>
      <w:r w:rsidR="00653BF8" w:rsidRPr="0068236B">
        <w:rPr>
          <w:rFonts w:cs="Arial"/>
          <w:sz w:val="18"/>
          <w:szCs w:val="18"/>
        </w:rPr>
        <w:t>:</w:t>
      </w:r>
      <w:r w:rsidRPr="0068236B">
        <w:rPr>
          <w:rFonts w:cs="Arial"/>
          <w:sz w:val="18"/>
          <w:szCs w:val="18"/>
        </w:rPr>
        <w:t xml:space="preserve"> Limit values of noise </w:t>
      </w:r>
      <w:r w:rsidRPr="0068236B">
        <w:rPr>
          <w:rFonts w:cs="Tahoma"/>
          <w:iCs/>
          <w:sz w:val="18"/>
          <w:szCs w:val="18"/>
        </w:rPr>
        <w:t>emissions from equipment for use outdoors</w:t>
      </w:r>
      <w:bookmarkEnd w:id="344"/>
      <w:bookmarkEnd w:id="345"/>
      <w:bookmarkEnd w:id="346"/>
    </w:p>
    <w:p w14:paraId="0A612A69" w14:textId="77777777" w:rsidR="0047585A" w:rsidRPr="0068236B" w:rsidRDefault="0047585A" w:rsidP="00FE4D07">
      <w:pPr>
        <w:spacing w:before="60" w:after="60"/>
        <w:rPr>
          <w:rFonts w:cs="Tahoma"/>
          <w:sz w:val="16"/>
          <w:szCs w:val="16"/>
        </w:rPr>
      </w:pPr>
      <w:r w:rsidRPr="0068236B">
        <w:rPr>
          <w:rFonts w:cs="Tahoma"/>
          <w:sz w:val="16"/>
          <w:szCs w:val="16"/>
        </w:rPr>
        <w:t xml:space="preserve">Note: </w:t>
      </w:r>
      <w:r w:rsidRPr="0068236B">
        <w:rPr>
          <w:sz w:val="16"/>
          <w:szCs w:val="16"/>
        </w:rPr>
        <w:t xml:space="preserve">Net installed power ‘P’ (in kW); </w:t>
      </w:r>
      <w:r w:rsidRPr="0068236B">
        <w:rPr>
          <w:rFonts w:cs="Tahoma"/>
          <w:sz w:val="16"/>
          <w:szCs w:val="16"/>
        </w:rPr>
        <w:t>Electric power ‘Pel’ (in kW); Mass of appliance ‘m’ (in kg).</w:t>
      </w:r>
    </w:p>
    <w:p w14:paraId="4CA4B2F8" w14:textId="66B62EE8" w:rsidR="0047585A" w:rsidRPr="0068236B" w:rsidRDefault="0047585A" w:rsidP="00FE4D07">
      <w:pPr>
        <w:pStyle w:val="Default"/>
        <w:spacing w:before="60" w:after="240"/>
        <w:rPr>
          <w:rFonts w:ascii="Tahoma" w:hAnsi="Tahoma" w:cs="Tahoma"/>
          <w:sz w:val="16"/>
          <w:szCs w:val="16"/>
        </w:rPr>
      </w:pPr>
      <w:r w:rsidRPr="0068236B">
        <w:rPr>
          <w:rFonts w:ascii="Tahoma" w:hAnsi="Tahoma" w:cs="Tahoma"/>
          <w:color w:val="auto"/>
          <w:sz w:val="16"/>
          <w:szCs w:val="16"/>
        </w:rPr>
        <w:t xml:space="preserve">Source: </w:t>
      </w:r>
      <w:r w:rsidR="00FE4D07" w:rsidRPr="0068236B">
        <w:rPr>
          <w:rFonts w:ascii="Tahoma" w:hAnsi="Tahoma" w:cs="Tahoma"/>
          <w:sz w:val="16"/>
          <w:szCs w:val="16"/>
        </w:rPr>
        <w:t>Rulebook on the types of specific noise sources as well as the requirements to be met by installations, equipment, installations and devices used outdoors for noise emission and noise protection standards (Official Gazette of RM no. 142/13)</w:t>
      </w:r>
    </w:p>
    <w:p w14:paraId="2065D2B8" w14:textId="205A759E" w:rsidR="003F0D91" w:rsidRPr="0068236B" w:rsidRDefault="003F0D91" w:rsidP="003F0D91">
      <w:pPr>
        <w:pStyle w:val="Heading3"/>
      </w:pPr>
      <w:bookmarkStart w:id="347" w:name="_Toc112852266"/>
      <w:r w:rsidRPr="0068236B">
        <w:t>Construction Noise Emissions</w:t>
      </w:r>
      <w:bookmarkEnd w:id="347"/>
    </w:p>
    <w:p w14:paraId="13395471" w14:textId="143E599B" w:rsidR="00FE4D07" w:rsidRPr="0068236B" w:rsidRDefault="00FE4D07" w:rsidP="00FE4D07">
      <w:pPr>
        <w:autoSpaceDE w:val="0"/>
        <w:autoSpaceDN w:val="0"/>
        <w:adjustRightInd w:val="0"/>
        <w:rPr>
          <w:rFonts w:cs="Arial"/>
          <w:sz w:val="20"/>
          <w:szCs w:val="20"/>
        </w:rPr>
      </w:pPr>
      <w:r w:rsidRPr="0068236B">
        <w:rPr>
          <w:rFonts w:cs="Arial"/>
          <w:sz w:val="20"/>
          <w:szCs w:val="20"/>
        </w:rPr>
        <w:t>In a general context, construction of the Project can be divided into a number of distinct processes. They may be described as follows:</w:t>
      </w:r>
    </w:p>
    <w:p w14:paraId="196939C9" w14:textId="77777777" w:rsidR="00FE4D07" w:rsidRPr="0068236B" w:rsidRDefault="00FE4D07" w:rsidP="00D24CEF">
      <w:pPr>
        <w:pStyle w:val="ListBullet"/>
        <w:numPr>
          <w:ilvl w:val="0"/>
          <w:numId w:val="97"/>
        </w:numPr>
        <w:spacing w:line="240" w:lineRule="auto"/>
        <w:jc w:val="left"/>
        <w:rPr>
          <w:sz w:val="20"/>
          <w:szCs w:val="20"/>
        </w:rPr>
      </w:pPr>
      <w:r w:rsidRPr="0068236B">
        <w:rPr>
          <w:sz w:val="20"/>
          <w:szCs w:val="20"/>
        </w:rPr>
        <w:t>construction of the new substation,</w:t>
      </w:r>
    </w:p>
    <w:p w14:paraId="74DA997A" w14:textId="7D24EF88" w:rsidR="00FE4D07" w:rsidRPr="0068236B" w:rsidRDefault="00FE4D07" w:rsidP="00D24CEF">
      <w:pPr>
        <w:pStyle w:val="ListBullet"/>
        <w:numPr>
          <w:ilvl w:val="0"/>
          <w:numId w:val="97"/>
        </w:numPr>
        <w:spacing w:line="240" w:lineRule="auto"/>
        <w:jc w:val="left"/>
        <w:rPr>
          <w:sz w:val="20"/>
          <w:szCs w:val="20"/>
        </w:rPr>
      </w:pPr>
      <w:r w:rsidRPr="0068236B">
        <w:rPr>
          <w:sz w:val="20"/>
          <w:szCs w:val="20"/>
        </w:rPr>
        <w:t>construction of tower foundations (new transmission lines),</w:t>
      </w:r>
    </w:p>
    <w:p w14:paraId="013EC5C6" w14:textId="5A681167" w:rsidR="00FE4D07" w:rsidRPr="0068236B" w:rsidRDefault="00FE4D07" w:rsidP="00D24CEF">
      <w:pPr>
        <w:pStyle w:val="ListBullet"/>
        <w:numPr>
          <w:ilvl w:val="0"/>
          <w:numId w:val="97"/>
        </w:numPr>
        <w:spacing w:line="240" w:lineRule="auto"/>
        <w:jc w:val="left"/>
        <w:rPr>
          <w:sz w:val="20"/>
          <w:szCs w:val="20"/>
        </w:rPr>
      </w:pPr>
      <w:r w:rsidRPr="0068236B">
        <w:rPr>
          <w:sz w:val="20"/>
          <w:szCs w:val="20"/>
        </w:rPr>
        <w:t>tower assembly and erection (new transmission lines),</w:t>
      </w:r>
    </w:p>
    <w:p w14:paraId="6035F859" w14:textId="5140F6F5" w:rsidR="00FE4D07" w:rsidRPr="0068236B" w:rsidRDefault="00FE4D07" w:rsidP="00D24CEF">
      <w:pPr>
        <w:pStyle w:val="ListBullet"/>
        <w:numPr>
          <w:ilvl w:val="0"/>
          <w:numId w:val="97"/>
        </w:numPr>
        <w:spacing w:line="240" w:lineRule="auto"/>
        <w:jc w:val="left"/>
        <w:rPr>
          <w:sz w:val="20"/>
          <w:szCs w:val="20"/>
        </w:rPr>
      </w:pPr>
      <w:r w:rsidRPr="0068236B">
        <w:rPr>
          <w:sz w:val="20"/>
          <w:szCs w:val="20"/>
        </w:rPr>
        <w:t>stringing</w:t>
      </w:r>
      <w:r w:rsidR="00410837" w:rsidRPr="0068236B">
        <w:rPr>
          <w:sz w:val="20"/>
          <w:szCs w:val="20"/>
        </w:rPr>
        <w:t xml:space="preserve"> </w:t>
      </w:r>
      <w:r w:rsidRPr="0068236B">
        <w:rPr>
          <w:sz w:val="20"/>
          <w:szCs w:val="20"/>
        </w:rPr>
        <w:t xml:space="preserve">of conductors and </w:t>
      </w:r>
      <w:r w:rsidR="005E6643" w:rsidRPr="0068236B">
        <w:rPr>
          <w:sz w:val="20"/>
          <w:szCs w:val="20"/>
        </w:rPr>
        <w:t>earth wires</w:t>
      </w:r>
      <w:r w:rsidRPr="0068236B">
        <w:rPr>
          <w:sz w:val="20"/>
          <w:szCs w:val="20"/>
        </w:rPr>
        <w:t xml:space="preserve"> and</w:t>
      </w:r>
    </w:p>
    <w:p w14:paraId="118549C0" w14:textId="17B18156" w:rsidR="00FE4D07" w:rsidRPr="0068236B" w:rsidRDefault="00FE4D07" w:rsidP="00D24CEF">
      <w:pPr>
        <w:pStyle w:val="ListBullet"/>
        <w:numPr>
          <w:ilvl w:val="0"/>
          <w:numId w:val="97"/>
        </w:numPr>
        <w:spacing w:line="240" w:lineRule="auto"/>
        <w:jc w:val="left"/>
        <w:rPr>
          <w:sz w:val="20"/>
          <w:szCs w:val="20"/>
        </w:rPr>
      </w:pPr>
      <w:r w:rsidRPr="0068236B">
        <w:rPr>
          <w:sz w:val="20"/>
          <w:szCs w:val="20"/>
        </w:rPr>
        <w:t>new access roads for the new substation and new transmission lines, and other off-site co</w:t>
      </w:r>
      <w:r w:rsidRPr="0068236B">
        <w:rPr>
          <w:sz w:val="20"/>
          <w:szCs w:val="20"/>
        </w:rPr>
        <w:t>n</w:t>
      </w:r>
      <w:r w:rsidRPr="0068236B">
        <w:rPr>
          <w:sz w:val="20"/>
          <w:szCs w:val="20"/>
        </w:rPr>
        <w:t>struction works.</w:t>
      </w:r>
    </w:p>
    <w:p w14:paraId="416AFA68" w14:textId="2034BB01" w:rsidR="00FE4D07" w:rsidRPr="0068236B" w:rsidRDefault="00FE4D07" w:rsidP="00FE4D07">
      <w:pPr>
        <w:autoSpaceDE w:val="0"/>
        <w:autoSpaceDN w:val="0"/>
        <w:adjustRightInd w:val="0"/>
        <w:rPr>
          <w:rFonts w:cs="Arial"/>
          <w:sz w:val="20"/>
          <w:szCs w:val="20"/>
        </w:rPr>
      </w:pPr>
      <w:r w:rsidRPr="0068236B">
        <w:rPr>
          <w:rFonts w:cs="Arial"/>
          <w:sz w:val="20"/>
          <w:szCs w:val="20"/>
        </w:rPr>
        <w:t>There are no blasting requirements during the construction and noise and vibration effects associated with blasting are, therefore, not going to occur during construction activities. Similarly, use of helicopters during construction is not needed and, therefore no noise implications associated with helicopters are expected.</w:t>
      </w:r>
    </w:p>
    <w:p w14:paraId="07C5E1FE" w14:textId="75B3F3FB" w:rsidR="00FE4D07" w:rsidRPr="0068236B" w:rsidRDefault="00FE4D07" w:rsidP="00FE4D07">
      <w:pPr>
        <w:autoSpaceDE w:val="0"/>
        <w:autoSpaceDN w:val="0"/>
        <w:adjustRightInd w:val="0"/>
        <w:rPr>
          <w:rFonts w:cs="Arial"/>
          <w:sz w:val="20"/>
          <w:szCs w:val="20"/>
        </w:rPr>
      </w:pPr>
      <w:r w:rsidRPr="0068236B">
        <w:rPr>
          <w:rFonts w:cs="Arial"/>
          <w:sz w:val="20"/>
          <w:szCs w:val="20"/>
        </w:rPr>
        <w:t>The Table below presents noise predictions in the study area for the different construction processes prev</w:t>
      </w:r>
      <w:r w:rsidRPr="0068236B">
        <w:rPr>
          <w:rFonts w:cs="Arial"/>
          <w:sz w:val="20"/>
          <w:szCs w:val="20"/>
        </w:rPr>
        <w:t>i</w:t>
      </w:r>
      <w:r w:rsidRPr="0068236B">
        <w:rPr>
          <w:rFonts w:cs="Arial"/>
          <w:sz w:val="20"/>
          <w:szCs w:val="20"/>
        </w:rPr>
        <w:t>ously identified based on information available in relevant literature as well as in studies of transmission developments of similar size. These predictions represent a worst-case scenario as they do not consider eventual noise barriers or air absorption. It is likely that natural or man-made barriers will exist between the source and the noise-sensitive receptor particularly as distance from the source increases. Such barriers may consist of natural features in the landscape or buildings or structures between the source and the receptor.</w:t>
      </w:r>
    </w:p>
    <w:tbl>
      <w:tblPr>
        <w:tblW w:w="9552" w:type="dxa"/>
        <w:tblInd w:w="57"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418"/>
        <w:gridCol w:w="1674"/>
        <w:gridCol w:w="1643"/>
        <w:gridCol w:w="1774"/>
        <w:gridCol w:w="1636"/>
        <w:gridCol w:w="1407"/>
      </w:tblGrid>
      <w:tr w:rsidR="00FE4D07" w:rsidRPr="0068236B" w14:paraId="20DB9485" w14:textId="77777777" w:rsidTr="004147F3">
        <w:tc>
          <w:tcPr>
            <w:tcW w:w="1418" w:type="dxa"/>
            <w:tcBorders>
              <w:top w:val="double" w:sz="4" w:space="0" w:color="auto"/>
              <w:bottom w:val="double" w:sz="4" w:space="0" w:color="auto"/>
              <w:right w:val="double" w:sz="4" w:space="0" w:color="auto"/>
            </w:tcBorders>
            <w:shd w:val="clear" w:color="auto" w:fill="B4C6E7" w:themeFill="accent1" w:themeFillTint="66"/>
          </w:tcPr>
          <w:p w14:paraId="4D7B8864" w14:textId="77777777" w:rsidR="00FE4D07" w:rsidRPr="0068236B" w:rsidRDefault="00FE4D07" w:rsidP="00DA113D">
            <w:pPr>
              <w:spacing w:before="0" w:after="0" w:line="240" w:lineRule="auto"/>
              <w:jc w:val="left"/>
              <w:rPr>
                <w:rFonts w:cs="Tahoma"/>
                <w:sz w:val="20"/>
                <w:szCs w:val="20"/>
              </w:rPr>
            </w:pPr>
            <w:r w:rsidRPr="0068236B">
              <w:rPr>
                <w:rFonts w:cs="Tahoma"/>
                <w:sz w:val="20"/>
                <w:szCs w:val="20"/>
              </w:rPr>
              <w:t>Distance from the source</w:t>
            </w:r>
          </w:p>
          <w:p w14:paraId="172C4A3C" w14:textId="77777777" w:rsidR="00FE4D07" w:rsidRPr="0068236B" w:rsidRDefault="00FE4D07" w:rsidP="00DA113D">
            <w:pPr>
              <w:spacing w:before="0" w:after="0" w:line="240" w:lineRule="auto"/>
              <w:jc w:val="left"/>
              <w:rPr>
                <w:rFonts w:cs="Tahoma"/>
                <w:sz w:val="20"/>
                <w:szCs w:val="20"/>
              </w:rPr>
            </w:pPr>
            <w:r w:rsidRPr="0068236B">
              <w:rPr>
                <w:rFonts w:cs="Tahoma"/>
                <w:sz w:val="20"/>
                <w:szCs w:val="20"/>
              </w:rPr>
              <w:t>[m]</w:t>
            </w:r>
          </w:p>
        </w:tc>
        <w:tc>
          <w:tcPr>
            <w:tcW w:w="1674" w:type="dxa"/>
            <w:tcBorders>
              <w:top w:val="double" w:sz="4" w:space="0" w:color="auto"/>
              <w:bottom w:val="double" w:sz="4" w:space="0" w:color="auto"/>
            </w:tcBorders>
            <w:shd w:val="clear" w:color="auto" w:fill="B4C6E7" w:themeFill="accent1" w:themeFillTint="66"/>
          </w:tcPr>
          <w:p w14:paraId="19289479" w14:textId="77777777" w:rsidR="00FE4D07" w:rsidRPr="0068236B" w:rsidRDefault="00FE4D07" w:rsidP="00DA113D">
            <w:pPr>
              <w:spacing w:before="0" w:after="0" w:line="240" w:lineRule="auto"/>
              <w:jc w:val="left"/>
              <w:rPr>
                <w:rFonts w:cs="Tahoma"/>
                <w:sz w:val="20"/>
                <w:szCs w:val="20"/>
              </w:rPr>
            </w:pPr>
            <w:r w:rsidRPr="0068236B">
              <w:rPr>
                <w:rFonts w:cs="Tahoma"/>
                <w:sz w:val="20"/>
                <w:szCs w:val="20"/>
              </w:rPr>
              <w:t>Construction of new substation</w:t>
            </w:r>
          </w:p>
          <w:p w14:paraId="44D4B408" w14:textId="77777777" w:rsidR="00FE4D07" w:rsidRPr="0068236B" w:rsidRDefault="00FE4D07" w:rsidP="00DA113D">
            <w:pPr>
              <w:spacing w:before="0" w:after="0" w:line="240" w:lineRule="auto"/>
              <w:rPr>
                <w:rFonts w:cs="Tahoma"/>
                <w:sz w:val="20"/>
                <w:szCs w:val="20"/>
              </w:rPr>
            </w:pPr>
            <w:r w:rsidRPr="0068236B">
              <w:rPr>
                <w:rFonts w:cs="Tahoma"/>
                <w:sz w:val="20"/>
                <w:szCs w:val="20"/>
              </w:rPr>
              <w:t>[dB]</w:t>
            </w:r>
          </w:p>
        </w:tc>
        <w:tc>
          <w:tcPr>
            <w:tcW w:w="1643"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2F0B7B16" w14:textId="77777777" w:rsidR="00FE4D07" w:rsidRPr="0068236B" w:rsidRDefault="00FE4D07" w:rsidP="00DA113D">
            <w:pPr>
              <w:spacing w:before="0" w:after="0" w:line="240" w:lineRule="auto"/>
              <w:jc w:val="left"/>
              <w:rPr>
                <w:rFonts w:cs="Tahoma"/>
                <w:sz w:val="20"/>
                <w:szCs w:val="20"/>
              </w:rPr>
            </w:pPr>
            <w:r w:rsidRPr="0068236B">
              <w:rPr>
                <w:rFonts w:cs="Tahoma"/>
                <w:sz w:val="20"/>
                <w:szCs w:val="20"/>
              </w:rPr>
              <w:t>Construction of access tracks</w:t>
            </w:r>
          </w:p>
          <w:p w14:paraId="667DCF36" w14:textId="77777777" w:rsidR="00FE4D07" w:rsidRPr="0068236B" w:rsidRDefault="00FE4D07" w:rsidP="00DA113D">
            <w:pPr>
              <w:spacing w:before="0" w:after="0" w:line="240" w:lineRule="auto"/>
              <w:jc w:val="left"/>
              <w:rPr>
                <w:rFonts w:cs="Tahoma"/>
                <w:sz w:val="20"/>
                <w:szCs w:val="20"/>
              </w:rPr>
            </w:pPr>
            <w:r w:rsidRPr="0068236B">
              <w:rPr>
                <w:rFonts w:cs="Tahoma"/>
                <w:sz w:val="20"/>
                <w:szCs w:val="20"/>
              </w:rPr>
              <w:t>[dB]</w:t>
            </w:r>
          </w:p>
        </w:tc>
        <w:tc>
          <w:tcPr>
            <w:tcW w:w="1774"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03832AC1" w14:textId="77777777" w:rsidR="00FE4D07" w:rsidRPr="0068236B" w:rsidRDefault="00FE4D07" w:rsidP="00DA113D">
            <w:pPr>
              <w:spacing w:before="0" w:after="0" w:line="240" w:lineRule="auto"/>
              <w:jc w:val="left"/>
              <w:rPr>
                <w:rFonts w:cs="Tahoma"/>
                <w:sz w:val="20"/>
                <w:szCs w:val="20"/>
              </w:rPr>
            </w:pPr>
            <w:r w:rsidRPr="0068236B">
              <w:rPr>
                <w:rFonts w:cs="Tahoma"/>
                <w:sz w:val="20"/>
                <w:szCs w:val="20"/>
              </w:rPr>
              <w:t>Construction of tower foundations</w:t>
            </w:r>
          </w:p>
          <w:p w14:paraId="5A0BE350" w14:textId="77777777" w:rsidR="00FE4D07" w:rsidRPr="0068236B" w:rsidRDefault="00FE4D07" w:rsidP="00DA113D">
            <w:pPr>
              <w:spacing w:before="0" w:after="0" w:line="240" w:lineRule="auto"/>
              <w:jc w:val="left"/>
              <w:rPr>
                <w:rFonts w:cs="Tahoma"/>
                <w:sz w:val="20"/>
                <w:szCs w:val="20"/>
              </w:rPr>
            </w:pPr>
            <w:r w:rsidRPr="0068236B">
              <w:rPr>
                <w:rFonts w:cs="Tahoma"/>
                <w:sz w:val="20"/>
                <w:szCs w:val="20"/>
              </w:rPr>
              <w:t>[dB]</w:t>
            </w:r>
          </w:p>
        </w:tc>
        <w:tc>
          <w:tcPr>
            <w:tcW w:w="1636"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151C4C8E" w14:textId="77777777" w:rsidR="00FE4D07" w:rsidRPr="0068236B" w:rsidRDefault="00FE4D07" w:rsidP="00DA113D">
            <w:pPr>
              <w:spacing w:before="0" w:after="0" w:line="240" w:lineRule="auto"/>
              <w:jc w:val="left"/>
              <w:rPr>
                <w:rFonts w:cs="Tahoma"/>
                <w:sz w:val="20"/>
                <w:szCs w:val="20"/>
              </w:rPr>
            </w:pPr>
            <w:r w:rsidRPr="0068236B">
              <w:rPr>
                <w:rFonts w:cs="Tahoma"/>
                <w:sz w:val="20"/>
                <w:szCs w:val="20"/>
              </w:rPr>
              <w:t>Tower assembly and erection</w:t>
            </w:r>
          </w:p>
          <w:p w14:paraId="79B1AAEA" w14:textId="77777777" w:rsidR="00FE4D07" w:rsidRPr="0068236B" w:rsidRDefault="00FE4D07" w:rsidP="00DA113D">
            <w:pPr>
              <w:spacing w:before="0" w:after="0" w:line="240" w:lineRule="auto"/>
              <w:jc w:val="left"/>
              <w:rPr>
                <w:rFonts w:cs="Tahoma"/>
                <w:sz w:val="20"/>
                <w:szCs w:val="20"/>
              </w:rPr>
            </w:pPr>
            <w:r w:rsidRPr="0068236B">
              <w:rPr>
                <w:rFonts w:cs="Tahoma"/>
                <w:sz w:val="20"/>
                <w:szCs w:val="20"/>
              </w:rPr>
              <w:t>[dB]</w:t>
            </w:r>
          </w:p>
        </w:tc>
        <w:tc>
          <w:tcPr>
            <w:tcW w:w="1407"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2FF6D037" w14:textId="22B6C413" w:rsidR="00FE4D07" w:rsidRPr="0068236B" w:rsidRDefault="00FE4D07" w:rsidP="00DA113D">
            <w:pPr>
              <w:spacing w:before="0" w:after="0" w:line="240" w:lineRule="auto"/>
              <w:jc w:val="left"/>
              <w:rPr>
                <w:rFonts w:cs="Tahoma"/>
                <w:sz w:val="20"/>
                <w:szCs w:val="20"/>
              </w:rPr>
            </w:pPr>
            <w:r w:rsidRPr="0068236B">
              <w:rPr>
                <w:rFonts w:cs="Tahoma"/>
                <w:sz w:val="20"/>
                <w:szCs w:val="20"/>
              </w:rPr>
              <w:t>Stringing</w:t>
            </w:r>
            <w:r w:rsidR="004147F3" w:rsidRPr="0068236B">
              <w:rPr>
                <w:rFonts w:cs="Tahoma"/>
                <w:sz w:val="20"/>
                <w:szCs w:val="20"/>
              </w:rPr>
              <w:t xml:space="preserve"> </w:t>
            </w:r>
            <w:r w:rsidRPr="0068236B">
              <w:rPr>
                <w:rFonts w:cs="Tahoma"/>
                <w:sz w:val="20"/>
                <w:szCs w:val="20"/>
              </w:rPr>
              <w:t>of conductors</w:t>
            </w:r>
          </w:p>
          <w:p w14:paraId="2A9E958A" w14:textId="77777777" w:rsidR="00FE4D07" w:rsidRPr="0068236B" w:rsidRDefault="00FE4D07" w:rsidP="00DA113D">
            <w:pPr>
              <w:spacing w:before="0" w:after="0" w:line="240" w:lineRule="auto"/>
              <w:jc w:val="left"/>
              <w:rPr>
                <w:rFonts w:cs="Tahoma"/>
                <w:sz w:val="20"/>
                <w:szCs w:val="20"/>
              </w:rPr>
            </w:pPr>
            <w:r w:rsidRPr="0068236B">
              <w:rPr>
                <w:rFonts w:cs="Tahoma"/>
                <w:sz w:val="20"/>
                <w:szCs w:val="20"/>
              </w:rPr>
              <w:t>[dB]</w:t>
            </w:r>
          </w:p>
        </w:tc>
      </w:tr>
      <w:tr w:rsidR="00FE4D07" w:rsidRPr="0068236B" w14:paraId="2A54F133" w14:textId="77777777" w:rsidTr="00DA113D">
        <w:tc>
          <w:tcPr>
            <w:tcW w:w="1418" w:type="dxa"/>
            <w:tcBorders>
              <w:top w:val="double" w:sz="4" w:space="0" w:color="auto"/>
              <w:right w:val="double" w:sz="4" w:space="0" w:color="auto"/>
            </w:tcBorders>
          </w:tcPr>
          <w:p w14:paraId="22DD6D70"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0-50</w:t>
            </w:r>
          </w:p>
        </w:tc>
        <w:tc>
          <w:tcPr>
            <w:tcW w:w="1674" w:type="dxa"/>
            <w:tcBorders>
              <w:top w:val="double" w:sz="4" w:space="0" w:color="auto"/>
            </w:tcBorders>
            <w:shd w:val="clear" w:color="auto" w:fill="FF0000"/>
          </w:tcPr>
          <w:p w14:paraId="23BC213B"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≤75</w:t>
            </w:r>
          </w:p>
        </w:tc>
        <w:tc>
          <w:tcPr>
            <w:tcW w:w="1643" w:type="dxa"/>
            <w:tcBorders>
              <w:top w:val="double" w:sz="4" w:space="0" w:color="auto"/>
              <w:left w:val="double" w:sz="4" w:space="0" w:color="auto"/>
            </w:tcBorders>
            <w:shd w:val="clear" w:color="auto" w:fill="FF0000"/>
          </w:tcPr>
          <w:p w14:paraId="0353891D"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≤76</w:t>
            </w:r>
          </w:p>
        </w:tc>
        <w:tc>
          <w:tcPr>
            <w:tcW w:w="1774" w:type="dxa"/>
            <w:tcBorders>
              <w:top w:val="double" w:sz="4" w:space="0" w:color="auto"/>
            </w:tcBorders>
            <w:shd w:val="clear" w:color="auto" w:fill="FF0000"/>
          </w:tcPr>
          <w:p w14:paraId="36BFC540"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≤77</w:t>
            </w:r>
          </w:p>
        </w:tc>
        <w:tc>
          <w:tcPr>
            <w:tcW w:w="1636" w:type="dxa"/>
            <w:tcBorders>
              <w:top w:val="double" w:sz="4" w:space="0" w:color="auto"/>
            </w:tcBorders>
            <w:shd w:val="clear" w:color="auto" w:fill="FFFF00"/>
          </w:tcPr>
          <w:p w14:paraId="75FEE611" w14:textId="77777777" w:rsidR="00FE4D07" w:rsidRPr="0068236B" w:rsidRDefault="00FE4D07" w:rsidP="00DA113D">
            <w:pPr>
              <w:tabs>
                <w:tab w:val="center" w:pos="793"/>
                <w:tab w:val="right" w:pos="1513"/>
              </w:tabs>
              <w:spacing w:before="0" w:after="0" w:line="240" w:lineRule="auto"/>
              <w:rPr>
                <w:rFonts w:cs="Tahoma"/>
                <w:sz w:val="20"/>
                <w:szCs w:val="20"/>
              </w:rPr>
            </w:pPr>
            <w:r w:rsidRPr="0068236B">
              <w:rPr>
                <w:rFonts w:cs="Tahoma"/>
                <w:sz w:val="20"/>
                <w:szCs w:val="20"/>
              </w:rPr>
              <w:tab/>
            </w:r>
            <w:r w:rsidRPr="0068236B">
              <w:rPr>
                <w:rFonts w:cs="Tahoma"/>
                <w:sz w:val="20"/>
                <w:szCs w:val="20"/>
              </w:rPr>
              <w:tab/>
              <w:t>≤68</w:t>
            </w:r>
          </w:p>
        </w:tc>
        <w:tc>
          <w:tcPr>
            <w:tcW w:w="1407" w:type="dxa"/>
            <w:tcBorders>
              <w:top w:val="double" w:sz="4" w:space="0" w:color="auto"/>
            </w:tcBorders>
            <w:shd w:val="clear" w:color="auto" w:fill="FFFF00"/>
          </w:tcPr>
          <w:p w14:paraId="4ECD0566"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≤70</w:t>
            </w:r>
          </w:p>
        </w:tc>
      </w:tr>
      <w:tr w:rsidR="00FE4D07" w:rsidRPr="0068236B" w14:paraId="1B7788F6" w14:textId="77777777" w:rsidTr="00DA113D">
        <w:tc>
          <w:tcPr>
            <w:tcW w:w="1418" w:type="dxa"/>
            <w:tcBorders>
              <w:right w:val="double" w:sz="4" w:space="0" w:color="auto"/>
            </w:tcBorders>
          </w:tcPr>
          <w:p w14:paraId="17B5EE86"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50-100</w:t>
            </w:r>
          </w:p>
        </w:tc>
        <w:tc>
          <w:tcPr>
            <w:tcW w:w="1674" w:type="dxa"/>
            <w:shd w:val="clear" w:color="auto" w:fill="FFFF00"/>
          </w:tcPr>
          <w:p w14:paraId="398C389D"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≤68</w:t>
            </w:r>
          </w:p>
        </w:tc>
        <w:tc>
          <w:tcPr>
            <w:tcW w:w="1643" w:type="dxa"/>
            <w:tcBorders>
              <w:left w:val="double" w:sz="4" w:space="0" w:color="auto"/>
            </w:tcBorders>
            <w:shd w:val="clear" w:color="auto" w:fill="FFFF00"/>
          </w:tcPr>
          <w:p w14:paraId="53649FC6"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≤69</w:t>
            </w:r>
          </w:p>
        </w:tc>
        <w:tc>
          <w:tcPr>
            <w:tcW w:w="1774" w:type="dxa"/>
            <w:shd w:val="clear" w:color="auto" w:fill="FFFF00"/>
          </w:tcPr>
          <w:p w14:paraId="5652465F"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≤70</w:t>
            </w:r>
          </w:p>
        </w:tc>
        <w:tc>
          <w:tcPr>
            <w:tcW w:w="1636" w:type="dxa"/>
          </w:tcPr>
          <w:p w14:paraId="2D628361"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≤62</w:t>
            </w:r>
          </w:p>
        </w:tc>
        <w:tc>
          <w:tcPr>
            <w:tcW w:w="1407" w:type="dxa"/>
          </w:tcPr>
          <w:p w14:paraId="3756E40D"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≤63</w:t>
            </w:r>
          </w:p>
        </w:tc>
      </w:tr>
      <w:tr w:rsidR="00FE4D07" w:rsidRPr="0068236B" w14:paraId="01030272" w14:textId="77777777" w:rsidTr="00DA113D">
        <w:tc>
          <w:tcPr>
            <w:tcW w:w="1418" w:type="dxa"/>
            <w:tcBorders>
              <w:right w:val="double" w:sz="4" w:space="0" w:color="auto"/>
            </w:tcBorders>
          </w:tcPr>
          <w:p w14:paraId="53CE0EB9"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100-200</w:t>
            </w:r>
          </w:p>
        </w:tc>
        <w:tc>
          <w:tcPr>
            <w:tcW w:w="1674" w:type="dxa"/>
          </w:tcPr>
          <w:p w14:paraId="2317A261"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≤61</w:t>
            </w:r>
          </w:p>
        </w:tc>
        <w:tc>
          <w:tcPr>
            <w:tcW w:w="1643" w:type="dxa"/>
            <w:tcBorders>
              <w:left w:val="double" w:sz="4" w:space="0" w:color="auto"/>
            </w:tcBorders>
          </w:tcPr>
          <w:p w14:paraId="5CBD2E8A"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≤62</w:t>
            </w:r>
          </w:p>
        </w:tc>
        <w:tc>
          <w:tcPr>
            <w:tcW w:w="1774" w:type="dxa"/>
          </w:tcPr>
          <w:p w14:paraId="60AF5306"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≤63</w:t>
            </w:r>
          </w:p>
        </w:tc>
        <w:tc>
          <w:tcPr>
            <w:tcW w:w="1636" w:type="dxa"/>
          </w:tcPr>
          <w:p w14:paraId="411106CA"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≤56</w:t>
            </w:r>
          </w:p>
        </w:tc>
        <w:tc>
          <w:tcPr>
            <w:tcW w:w="1407" w:type="dxa"/>
          </w:tcPr>
          <w:p w14:paraId="453E45A7"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≤56</w:t>
            </w:r>
          </w:p>
        </w:tc>
      </w:tr>
      <w:tr w:rsidR="00FE4D07" w:rsidRPr="0068236B" w14:paraId="24AC7B26" w14:textId="77777777" w:rsidTr="00DA113D">
        <w:tc>
          <w:tcPr>
            <w:tcW w:w="1418" w:type="dxa"/>
            <w:tcBorders>
              <w:right w:val="double" w:sz="4" w:space="0" w:color="auto"/>
            </w:tcBorders>
          </w:tcPr>
          <w:p w14:paraId="6B817CAB"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200-400</w:t>
            </w:r>
          </w:p>
        </w:tc>
        <w:tc>
          <w:tcPr>
            <w:tcW w:w="1674" w:type="dxa"/>
          </w:tcPr>
          <w:p w14:paraId="6198A13C"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≤54</w:t>
            </w:r>
          </w:p>
        </w:tc>
        <w:tc>
          <w:tcPr>
            <w:tcW w:w="1643" w:type="dxa"/>
            <w:tcBorders>
              <w:left w:val="double" w:sz="4" w:space="0" w:color="auto"/>
            </w:tcBorders>
          </w:tcPr>
          <w:p w14:paraId="376E5C6E"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≤55</w:t>
            </w:r>
          </w:p>
        </w:tc>
        <w:tc>
          <w:tcPr>
            <w:tcW w:w="1774" w:type="dxa"/>
          </w:tcPr>
          <w:p w14:paraId="1FDCB570"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≤56</w:t>
            </w:r>
          </w:p>
        </w:tc>
        <w:tc>
          <w:tcPr>
            <w:tcW w:w="1636" w:type="dxa"/>
          </w:tcPr>
          <w:p w14:paraId="71295C7B"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≤50</w:t>
            </w:r>
          </w:p>
        </w:tc>
        <w:tc>
          <w:tcPr>
            <w:tcW w:w="1407" w:type="dxa"/>
          </w:tcPr>
          <w:p w14:paraId="5ACDCFDF"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≤48</w:t>
            </w:r>
          </w:p>
        </w:tc>
      </w:tr>
      <w:tr w:rsidR="00FE4D07" w:rsidRPr="0068236B" w14:paraId="52C400E8" w14:textId="77777777" w:rsidTr="00DA113D">
        <w:tc>
          <w:tcPr>
            <w:tcW w:w="1418" w:type="dxa"/>
            <w:tcBorders>
              <w:right w:val="double" w:sz="4" w:space="0" w:color="auto"/>
            </w:tcBorders>
          </w:tcPr>
          <w:p w14:paraId="07FD322E"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400-600</w:t>
            </w:r>
          </w:p>
        </w:tc>
        <w:tc>
          <w:tcPr>
            <w:tcW w:w="1674" w:type="dxa"/>
          </w:tcPr>
          <w:p w14:paraId="177ACC3B"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≤49</w:t>
            </w:r>
          </w:p>
        </w:tc>
        <w:tc>
          <w:tcPr>
            <w:tcW w:w="1643" w:type="dxa"/>
            <w:tcBorders>
              <w:left w:val="double" w:sz="4" w:space="0" w:color="auto"/>
            </w:tcBorders>
          </w:tcPr>
          <w:p w14:paraId="5CF9ABC7"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≤51</w:t>
            </w:r>
          </w:p>
        </w:tc>
        <w:tc>
          <w:tcPr>
            <w:tcW w:w="1774" w:type="dxa"/>
          </w:tcPr>
          <w:p w14:paraId="713FE1E8"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≤52</w:t>
            </w:r>
          </w:p>
        </w:tc>
        <w:tc>
          <w:tcPr>
            <w:tcW w:w="1636" w:type="dxa"/>
          </w:tcPr>
          <w:p w14:paraId="3ACA81B5"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≤46</w:t>
            </w:r>
          </w:p>
        </w:tc>
        <w:tc>
          <w:tcPr>
            <w:tcW w:w="1407" w:type="dxa"/>
          </w:tcPr>
          <w:p w14:paraId="05DEE356"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≤44</w:t>
            </w:r>
          </w:p>
        </w:tc>
      </w:tr>
      <w:tr w:rsidR="00FE4D07" w:rsidRPr="0068236B" w14:paraId="54CB7385" w14:textId="77777777" w:rsidTr="00DA113D">
        <w:tc>
          <w:tcPr>
            <w:tcW w:w="1418" w:type="dxa"/>
            <w:tcBorders>
              <w:right w:val="double" w:sz="4" w:space="0" w:color="auto"/>
            </w:tcBorders>
          </w:tcPr>
          <w:p w14:paraId="446393A1"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600-800</w:t>
            </w:r>
          </w:p>
        </w:tc>
        <w:tc>
          <w:tcPr>
            <w:tcW w:w="1674" w:type="dxa"/>
          </w:tcPr>
          <w:p w14:paraId="3B236F0A"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≤46</w:t>
            </w:r>
          </w:p>
        </w:tc>
        <w:tc>
          <w:tcPr>
            <w:tcW w:w="1643" w:type="dxa"/>
            <w:tcBorders>
              <w:left w:val="double" w:sz="4" w:space="0" w:color="auto"/>
            </w:tcBorders>
          </w:tcPr>
          <w:p w14:paraId="5967AD85"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≤48</w:t>
            </w:r>
          </w:p>
        </w:tc>
        <w:tc>
          <w:tcPr>
            <w:tcW w:w="1774" w:type="dxa"/>
          </w:tcPr>
          <w:p w14:paraId="7978ADD1"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≤49</w:t>
            </w:r>
          </w:p>
        </w:tc>
        <w:tc>
          <w:tcPr>
            <w:tcW w:w="1636" w:type="dxa"/>
          </w:tcPr>
          <w:p w14:paraId="25B11759"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≤43</w:t>
            </w:r>
          </w:p>
        </w:tc>
        <w:tc>
          <w:tcPr>
            <w:tcW w:w="1407" w:type="dxa"/>
          </w:tcPr>
          <w:p w14:paraId="15D984E1"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≤41</w:t>
            </w:r>
          </w:p>
        </w:tc>
      </w:tr>
      <w:tr w:rsidR="00FE4D07" w:rsidRPr="0068236B" w14:paraId="71190413" w14:textId="77777777" w:rsidTr="00DA113D">
        <w:tc>
          <w:tcPr>
            <w:tcW w:w="1418" w:type="dxa"/>
            <w:tcBorders>
              <w:bottom w:val="double" w:sz="4" w:space="0" w:color="auto"/>
              <w:right w:val="double" w:sz="4" w:space="0" w:color="auto"/>
            </w:tcBorders>
          </w:tcPr>
          <w:p w14:paraId="1C1B8F9C"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800-1,000</w:t>
            </w:r>
          </w:p>
        </w:tc>
        <w:tc>
          <w:tcPr>
            <w:tcW w:w="1674" w:type="dxa"/>
            <w:tcBorders>
              <w:bottom w:val="double" w:sz="4" w:space="0" w:color="auto"/>
            </w:tcBorders>
          </w:tcPr>
          <w:p w14:paraId="6861026D"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≤44</w:t>
            </w:r>
          </w:p>
        </w:tc>
        <w:tc>
          <w:tcPr>
            <w:tcW w:w="1643" w:type="dxa"/>
            <w:tcBorders>
              <w:left w:val="double" w:sz="4" w:space="0" w:color="auto"/>
              <w:bottom w:val="double" w:sz="4" w:space="0" w:color="auto"/>
            </w:tcBorders>
          </w:tcPr>
          <w:p w14:paraId="6CA6F69F"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≤46</w:t>
            </w:r>
          </w:p>
        </w:tc>
        <w:tc>
          <w:tcPr>
            <w:tcW w:w="1774" w:type="dxa"/>
            <w:tcBorders>
              <w:bottom w:val="double" w:sz="4" w:space="0" w:color="auto"/>
            </w:tcBorders>
          </w:tcPr>
          <w:p w14:paraId="5C502899"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≤46</w:t>
            </w:r>
          </w:p>
        </w:tc>
        <w:tc>
          <w:tcPr>
            <w:tcW w:w="1636" w:type="dxa"/>
            <w:tcBorders>
              <w:bottom w:val="double" w:sz="4" w:space="0" w:color="auto"/>
            </w:tcBorders>
          </w:tcPr>
          <w:p w14:paraId="0A325292"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≤41</w:t>
            </w:r>
          </w:p>
        </w:tc>
        <w:tc>
          <w:tcPr>
            <w:tcW w:w="1407" w:type="dxa"/>
            <w:tcBorders>
              <w:bottom w:val="double" w:sz="4" w:space="0" w:color="auto"/>
            </w:tcBorders>
          </w:tcPr>
          <w:p w14:paraId="47966E79"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≤39</w:t>
            </w:r>
          </w:p>
        </w:tc>
      </w:tr>
      <w:tr w:rsidR="00FE4D07" w:rsidRPr="0068236B" w14:paraId="7C381523" w14:textId="77777777" w:rsidTr="00DA113D">
        <w:tc>
          <w:tcPr>
            <w:tcW w:w="1418" w:type="dxa"/>
            <w:tcBorders>
              <w:top w:val="double" w:sz="4" w:space="0" w:color="auto"/>
              <w:bottom w:val="double" w:sz="4" w:space="0" w:color="auto"/>
              <w:right w:val="double" w:sz="4" w:space="0" w:color="auto"/>
            </w:tcBorders>
            <w:shd w:val="clear" w:color="auto" w:fill="FFC000"/>
          </w:tcPr>
          <w:p w14:paraId="67BE5139" w14:textId="77777777" w:rsidR="00FE4D07" w:rsidRPr="0068236B" w:rsidRDefault="00FE4D07" w:rsidP="00DA113D">
            <w:pPr>
              <w:spacing w:before="0" w:after="0" w:line="240" w:lineRule="auto"/>
              <w:rPr>
                <w:rFonts w:cs="Tahoma"/>
                <w:sz w:val="20"/>
                <w:szCs w:val="20"/>
              </w:rPr>
            </w:pPr>
            <w:r w:rsidRPr="0068236B">
              <w:rPr>
                <w:rFonts w:cs="Tahoma"/>
                <w:sz w:val="20"/>
                <w:szCs w:val="20"/>
              </w:rPr>
              <w:t>Duration</w:t>
            </w:r>
          </w:p>
        </w:tc>
        <w:tc>
          <w:tcPr>
            <w:tcW w:w="1674" w:type="dxa"/>
            <w:tcBorders>
              <w:top w:val="double" w:sz="4" w:space="0" w:color="auto"/>
              <w:bottom w:val="double" w:sz="4" w:space="0" w:color="auto"/>
            </w:tcBorders>
            <w:shd w:val="clear" w:color="auto" w:fill="FFC000"/>
          </w:tcPr>
          <w:p w14:paraId="0B3EEF5F"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3 years</w:t>
            </w:r>
          </w:p>
        </w:tc>
        <w:tc>
          <w:tcPr>
            <w:tcW w:w="1643" w:type="dxa"/>
            <w:tcBorders>
              <w:top w:val="double" w:sz="4" w:space="0" w:color="auto"/>
              <w:left w:val="double" w:sz="4" w:space="0" w:color="auto"/>
              <w:bottom w:val="double" w:sz="4" w:space="0" w:color="auto"/>
            </w:tcBorders>
            <w:shd w:val="clear" w:color="auto" w:fill="FFC000"/>
          </w:tcPr>
          <w:p w14:paraId="0871C610"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2 days/tower</w:t>
            </w:r>
          </w:p>
        </w:tc>
        <w:tc>
          <w:tcPr>
            <w:tcW w:w="1774" w:type="dxa"/>
            <w:tcBorders>
              <w:top w:val="double" w:sz="4" w:space="0" w:color="auto"/>
              <w:bottom w:val="double" w:sz="4" w:space="0" w:color="auto"/>
            </w:tcBorders>
            <w:shd w:val="clear" w:color="auto" w:fill="FFC000"/>
          </w:tcPr>
          <w:p w14:paraId="0FC81048"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2 days/tower</w:t>
            </w:r>
          </w:p>
          <w:p w14:paraId="0925640A" w14:textId="77777777" w:rsidR="00FE4D07" w:rsidRPr="0068236B" w:rsidRDefault="00FE4D07" w:rsidP="00DA113D">
            <w:pPr>
              <w:spacing w:before="0" w:after="0" w:line="240" w:lineRule="auto"/>
              <w:rPr>
                <w:rFonts w:cs="Tahoma"/>
                <w:sz w:val="20"/>
                <w:szCs w:val="20"/>
              </w:rPr>
            </w:pPr>
            <w:r w:rsidRPr="0068236B">
              <w:rPr>
                <w:rFonts w:cs="Tahoma"/>
                <w:sz w:val="20"/>
                <w:szCs w:val="20"/>
              </w:rPr>
              <w:t>(excavation+</w:t>
            </w:r>
          </w:p>
          <w:p w14:paraId="7A7B8ADA" w14:textId="77777777" w:rsidR="00FE4D07" w:rsidRPr="0068236B" w:rsidRDefault="00FE4D07" w:rsidP="00DA113D">
            <w:pPr>
              <w:spacing w:before="0" w:after="0" w:line="240" w:lineRule="auto"/>
              <w:rPr>
                <w:rFonts w:cs="Tahoma"/>
                <w:sz w:val="20"/>
                <w:szCs w:val="20"/>
              </w:rPr>
            </w:pPr>
            <w:r w:rsidRPr="0068236B">
              <w:rPr>
                <w:rFonts w:cs="Tahoma"/>
                <w:sz w:val="20"/>
                <w:szCs w:val="20"/>
              </w:rPr>
              <w:t>concreting )</w:t>
            </w:r>
          </w:p>
        </w:tc>
        <w:tc>
          <w:tcPr>
            <w:tcW w:w="1636" w:type="dxa"/>
            <w:tcBorders>
              <w:top w:val="double" w:sz="4" w:space="0" w:color="auto"/>
              <w:bottom w:val="double" w:sz="4" w:space="0" w:color="auto"/>
            </w:tcBorders>
            <w:shd w:val="clear" w:color="auto" w:fill="FFC000"/>
          </w:tcPr>
          <w:p w14:paraId="708AC860"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2 days/tower</w:t>
            </w:r>
          </w:p>
          <w:p w14:paraId="1735FC65" w14:textId="77777777" w:rsidR="00FE4D07" w:rsidRPr="0068236B" w:rsidRDefault="00FE4D07" w:rsidP="00DA113D">
            <w:pPr>
              <w:spacing w:before="0" w:after="0" w:line="240" w:lineRule="auto"/>
              <w:rPr>
                <w:rFonts w:cs="Tahoma"/>
                <w:sz w:val="20"/>
                <w:szCs w:val="20"/>
              </w:rPr>
            </w:pPr>
            <w:r w:rsidRPr="0068236B">
              <w:rPr>
                <w:rFonts w:cs="Tahoma"/>
                <w:sz w:val="20"/>
                <w:szCs w:val="20"/>
              </w:rPr>
              <w:t>(assembly+</w:t>
            </w:r>
          </w:p>
          <w:p w14:paraId="0D20695D" w14:textId="77777777" w:rsidR="00FE4D07" w:rsidRPr="0068236B" w:rsidRDefault="00FE4D07" w:rsidP="00DA113D">
            <w:pPr>
              <w:spacing w:before="0" w:after="0" w:line="240" w:lineRule="auto"/>
              <w:rPr>
                <w:rFonts w:cs="Tahoma"/>
                <w:sz w:val="20"/>
                <w:szCs w:val="20"/>
              </w:rPr>
            </w:pPr>
            <w:r w:rsidRPr="0068236B">
              <w:rPr>
                <w:rFonts w:cs="Tahoma"/>
                <w:sz w:val="20"/>
                <w:szCs w:val="20"/>
              </w:rPr>
              <w:t>erection)</w:t>
            </w:r>
          </w:p>
        </w:tc>
        <w:tc>
          <w:tcPr>
            <w:tcW w:w="1407" w:type="dxa"/>
            <w:tcBorders>
              <w:top w:val="double" w:sz="4" w:space="0" w:color="auto"/>
              <w:bottom w:val="double" w:sz="4" w:space="0" w:color="auto"/>
            </w:tcBorders>
            <w:shd w:val="clear" w:color="auto" w:fill="FFC000"/>
          </w:tcPr>
          <w:p w14:paraId="2F76D0E1" w14:textId="77777777" w:rsidR="00FE4D07" w:rsidRPr="0068236B" w:rsidRDefault="00FE4D07" w:rsidP="00DA113D">
            <w:pPr>
              <w:spacing w:before="0" w:after="0" w:line="240" w:lineRule="auto"/>
              <w:jc w:val="right"/>
              <w:rPr>
                <w:rFonts w:cs="Tahoma"/>
                <w:sz w:val="20"/>
                <w:szCs w:val="20"/>
              </w:rPr>
            </w:pPr>
            <w:r w:rsidRPr="0068236B">
              <w:rPr>
                <w:rFonts w:cs="Tahoma"/>
                <w:sz w:val="20"/>
                <w:szCs w:val="20"/>
              </w:rPr>
              <w:t>2 days/tower</w:t>
            </w:r>
          </w:p>
        </w:tc>
      </w:tr>
    </w:tbl>
    <w:p w14:paraId="0E8FD1E9" w14:textId="77777777" w:rsidR="00FE4D07" w:rsidRPr="0068236B" w:rsidRDefault="00FE4D07" w:rsidP="00410837">
      <w:pPr>
        <w:autoSpaceDE w:val="0"/>
        <w:autoSpaceDN w:val="0"/>
        <w:adjustRightInd w:val="0"/>
        <w:spacing w:before="60" w:after="0" w:line="240" w:lineRule="auto"/>
        <w:rPr>
          <w:rFonts w:cs="Arial"/>
          <w:sz w:val="18"/>
          <w:szCs w:val="18"/>
        </w:rPr>
      </w:pPr>
      <w:r w:rsidRPr="0068236B">
        <w:rPr>
          <w:rFonts w:cs="Arial"/>
          <w:sz w:val="16"/>
          <w:szCs w:val="16"/>
        </w:rPr>
        <w:t>L</w:t>
      </w:r>
      <w:r w:rsidRPr="0068236B">
        <w:rPr>
          <w:rFonts w:cs="Arial"/>
          <w:sz w:val="18"/>
          <w:szCs w:val="18"/>
        </w:rPr>
        <w:t>egend:</w:t>
      </w:r>
    </w:p>
    <w:tbl>
      <w:tblPr>
        <w:tblStyle w:val="TableGrid"/>
        <w:tblW w:w="0" w:type="auto"/>
        <w:tblInd w:w="108" w:type="dxa"/>
        <w:tblLook w:val="04A0" w:firstRow="1" w:lastRow="0" w:firstColumn="1" w:lastColumn="0" w:noHBand="0" w:noVBand="1"/>
      </w:tblPr>
      <w:tblGrid>
        <w:gridCol w:w="1134"/>
        <w:gridCol w:w="4111"/>
      </w:tblGrid>
      <w:tr w:rsidR="00FE4D07" w:rsidRPr="0068236B" w14:paraId="2FDE9D46" w14:textId="77777777" w:rsidTr="00DA113D">
        <w:tc>
          <w:tcPr>
            <w:tcW w:w="1134" w:type="dxa"/>
            <w:shd w:val="clear" w:color="auto" w:fill="FF0000"/>
          </w:tcPr>
          <w:p w14:paraId="3E74843A" w14:textId="77777777" w:rsidR="00FE4D07" w:rsidRPr="0068236B" w:rsidRDefault="00FE4D07" w:rsidP="00410837">
            <w:pPr>
              <w:autoSpaceDE w:val="0"/>
              <w:autoSpaceDN w:val="0"/>
              <w:adjustRightInd w:val="0"/>
              <w:spacing w:before="0" w:after="0" w:line="240" w:lineRule="auto"/>
              <w:rPr>
                <w:rFonts w:cs="Arial"/>
                <w:sz w:val="18"/>
                <w:szCs w:val="18"/>
              </w:rPr>
            </w:pPr>
          </w:p>
        </w:tc>
        <w:tc>
          <w:tcPr>
            <w:tcW w:w="4111" w:type="dxa"/>
          </w:tcPr>
          <w:p w14:paraId="170181D6" w14:textId="77777777" w:rsidR="00FE4D07" w:rsidRPr="0068236B" w:rsidRDefault="00FE4D07" w:rsidP="00410837">
            <w:pPr>
              <w:autoSpaceDE w:val="0"/>
              <w:autoSpaceDN w:val="0"/>
              <w:adjustRightInd w:val="0"/>
              <w:spacing w:before="0" w:after="0" w:line="240" w:lineRule="auto"/>
              <w:rPr>
                <w:rFonts w:cs="Arial"/>
                <w:sz w:val="18"/>
                <w:szCs w:val="18"/>
              </w:rPr>
            </w:pPr>
            <w:r w:rsidRPr="0068236B">
              <w:rPr>
                <w:rFonts w:cs="Arial"/>
                <w:sz w:val="18"/>
                <w:szCs w:val="18"/>
              </w:rPr>
              <w:t>Significant semi-urban or urban effects (≥75 dB)</w:t>
            </w:r>
          </w:p>
        </w:tc>
      </w:tr>
      <w:tr w:rsidR="00FE4D07" w:rsidRPr="0068236B" w14:paraId="2EBD7950" w14:textId="77777777" w:rsidTr="00DA113D">
        <w:tc>
          <w:tcPr>
            <w:tcW w:w="1134" w:type="dxa"/>
            <w:shd w:val="clear" w:color="auto" w:fill="FFFF00"/>
          </w:tcPr>
          <w:p w14:paraId="0A44588E" w14:textId="77777777" w:rsidR="00FE4D07" w:rsidRPr="0068236B" w:rsidRDefault="00FE4D07" w:rsidP="00410837">
            <w:pPr>
              <w:autoSpaceDE w:val="0"/>
              <w:autoSpaceDN w:val="0"/>
              <w:adjustRightInd w:val="0"/>
              <w:spacing w:before="0" w:after="0" w:line="240" w:lineRule="auto"/>
              <w:rPr>
                <w:rFonts w:cs="Arial"/>
                <w:sz w:val="18"/>
                <w:szCs w:val="18"/>
              </w:rPr>
            </w:pPr>
          </w:p>
        </w:tc>
        <w:tc>
          <w:tcPr>
            <w:tcW w:w="4111" w:type="dxa"/>
          </w:tcPr>
          <w:p w14:paraId="7B05F60E" w14:textId="77777777" w:rsidR="00FE4D07" w:rsidRPr="0068236B" w:rsidRDefault="00FE4D07" w:rsidP="00410837">
            <w:pPr>
              <w:autoSpaceDE w:val="0"/>
              <w:autoSpaceDN w:val="0"/>
              <w:adjustRightInd w:val="0"/>
              <w:spacing w:before="0" w:after="0" w:line="240" w:lineRule="auto"/>
              <w:rPr>
                <w:rFonts w:cs="Arial"/>
                <w:sz w:val="18"/>
                <w:szCs w:val="18"/>
              </w:rPr>
            </w:pPr>
            <w:r w:rsidRPr="0068236B">
              <w:rPr>
                <w:rFonts w:cs="Arial"/>
                <w:sz w:val="18"/>
                <w:szCs w:val="18"/>
              </w:rPr>
              <w:t>Significant rural effects (≥65 dB)</w:t>
            </w:r>
          </w:p>
        </w:tc>
      </w:tr>
    </w:tbl>
    <w:p w14:paraId="35E3C010" w14:textId="0C2EDEF4" w:rsidR="00FE4D07" w:rsidRPr="0068236B" w:rsidRDefault="00FE4D07" w:rsidP="00410837">
      <w:pPr>
        <w:pStyle w:val="Caption"/>
        <w:spacing w:after="240" w:line="240" w:lineRule="auto"/>
        <w:jc w:val="left"/>
        <w:rPr>
          <w:rFonts w:eastAsia="Calibri"/>
          <w:b w:val="0"/>
        </w:rPr>
      </w:pPr>
      <w:bookmarkStart w:id="348" w:name="_Toc446278256"/>
      <w:bookmarkStart w:id="349" w:name="_Toc481953698"/>
      <w:bookmarkStart w:id="350" w:name="_Toc65936942"/>
      <w:bookmarkStart w:id="351" w:name="_Toc74509160"/>
      <w:bookmarkStart w:id="352" w:name="_Toc113018209"/>
      <w:r w:rsidRPr="0068236B">
        <w:rPr>
          <w:b w:val="0"/>
        </w:rPr>
        <w:lastRenderedPageBreak/>
        <w:t xml:space="preserve">Table </w:t>
      </w:r>
      <w:r w:rsidRPr="0068236B">
        <w:rPr>
          <w:b w:val="0"/>
        </w:rPr>
        <w:fldChar w:fldCharType="begin"/>
      </w:r>
      <w:r w:rsidRPr="0068236B">
        <w:rPr>
          <w:b w:val="0"/>
        </w:rPr>
        <w:instrText xml:space="preserve"> STYLEREF 1 \s </w:instrText>
      </w:r>
      <w:r w:rsidRPr="0068236B">
        <w:rPr>
          <w:b w:val="0"/>
        </w:rPr>
        <w:fldChar w:fldCharType="separate"/>
      </w:r>
      <w:r w:rsidR="00FD57E6">
        <w:rPr>
          <w:b w:val="0"/>
          <w:noProof/>
        </w:rPr>
        <w:t>8</w:t>
      </w:r>
      <w:r w:rsidRPr="0068236B">
        <w:rPr>
          <w:b w:val="0"/>
        </w:rPr>
        <w:fldChar w:fldCharType="end"/>
      </w:r>
      <w:r w:rsidRPr="0068236B">
        <w:rPr>
          <w:b w:val="0"/>
        </w:rPr>
        <w:t>.</w:t>
      </w:r>
      <w:r w:rsidRPr="0068236B">
        <w:rPr>
          <w:b w:val="0"/>
        </w:rPr>
        <w:fldChar w:fldCharType="begin"/>
      </w:r>
      <w:r w:rsidRPr="0068236B">
        <w:rPr>
          <w:b w:val="0"/>
        </w:rPr>
        <w:instrText xml:space="preserve"> SEQ Table \* ARABIC \s 1 </w:instrText>
      </w:r>
      <w:r w:rsidRPr="0068236B">
        <w:rPr>
          <w:b w:val="0"/>
        </w:rPr>
        <w:fldChar w:fldCharType="separate"/>
      </w:r>
      <w:r w:rsidR="00FD57E6">
        <w:rPr>
          <w:b w:val="0"/>
          <w:noProof/>
        </w:rPr>
        <w:t>13</w:t>
      </w:r>
      <w:r w:rsidRPr="0068236B">
        <w:rPr>
          <w:b w:val="0"/>
        </w:rPr>
        <w:fldChar w:fldCharType="end"/>
      </w:r>
      <w:r w:rsidR="004147F3" w:rsidRPr="0068236B">
        <w:rPr>
          <w:b w:val="0"/>
        </w:rPr>
        <w:t xml:space="preserve">: </w:t>
      </w:r>
      <w:r w:rsidRPr="0068236B">
        <w:rPr>
          <w:b w:val="0"/>
        </w:rPr>
        <w:t>Noise prediction for each construction process</w:t>
      </w:r>
      <w:bookmarkEnd w:id="348"/>
      <w:bookmarkEnd w:id="349"/>
      <w:bookmarkEnd w:id="350"/>
      <w:bookmarkEnd w:id="351"/>
      <w:bookmarkEnd w:id="352"/>
    </w:p>
    <w:p w14:paraId="7D4C0305" w14:textId="77777777" w:rsidR="00FE4D07" w:rsidRPr="0068236B" w:rsidRDefault="00FE4D07" w:rsidP="00FE4D07">
      <w:pPr>
        <w:autoSpaceDE w:val="0"/>
        <w:autoSpaceDN w:val="0"/>
        <w:adjustRightInd w:val="0"/>
        <w:spacing w:before="240"/>
        <w:rPr>
          <w:rFonts w:cs="Arial"/>
          <w:sz w:val="20"/>
          <w:szCs w:val="20"/>
        </w:rPr>
      </w:pPr>
      <w:r w:rsidRPr="0068236B">
        <w:rPr>
          <w:rFonts w:cs="Arial"/>
          <w:sz w:val="20"/>
          <w:szCs w:val="20"/>
        </w:rPr>
        <w:t xml:space="preserve">Significant effects could be expected when the noise level is higher than 75 dB in semi-urban or urban areas and higher than 65 dB in rural areas. </w:t>
      </w:r>
    </w:p>
    <w:p w14:paraId="47191E30" w14:textId="23EE3D7A" w:rsidR="004147F3" w:rsidRPr="0068236B" w:rsidRDefault="004147F3" w:rsidP="004147F3">
      <w:pPr>
        <w:autoSpaceDE w:val="0"/>
        <w:autoSpaceDN w:val="0"/>
        <w:adjustRightInd w:val="0"/>
        <w:rPr>
          <w:rFonts w:cs="Arial"/>
          <w:sz w:val="20"/>
          <w:szCs w:val="20"/>
        </w:rPr>
      </w:pPr>
      <w:r w:rsidRPr="0068236B">
        <w:rPr>
          <w:rFonts w:cs="Arial"/>
          <w:sz w:val="20"/>
          <w:szCs w:val="20"/>
        </w:rPr>
        <w:t xml:space="preserve">The wider Project area is </w:t>
      </w:r>
      <w:r w:rsidR="005E6643" w:rsidRPr="0068236B">
        <w:rPr>
          <w:rFonts w:cs="Arial"/>
          <w:sz w:val="20"/>
          <w:szCs w:val="20"/>
        </w:rPr>
        <w:t>dominated</w:t>
      </w:r>
      <w:r w:rsidRPr="0068236B">
        <w:rPr>
          <w:rFonts w:cs="Arial"/>
          <w:sz w:val="20"/>
          <w:szCs w:val="20"/>
        </w:rPr>
        <w:t xml:space="preserve"> by rural areas, where the population is sparse. These will have low background noise levels and therefore the noise from construction or transport sources will be audible over a greater distance although this in itself will not necessarily constitute a significant effect.</w:t>
      </w:r>
    </w:p>
    <w:p w14:paraId="681CD585" w14:textId="18F79DDB" w:rsidR="00FE4D07" w:rsidRPr="0068236B" w:rsidRDefault="00FE4D07" w:rsidP="00FE4D07">
      <w:pPr>
        <w:autoSpaceDE w:val="0"/>
        <w:autoSpaceDN w:val="0"/>
        <w:adjustRightInd w:val="0"/>
        <w:rPr>
          <w:rFonts w:cs="Arial"/>
          <w:sz w:val="20"/>
          <w:szCs w:val="20"/>
        </w:rPr>
      </w:pPr>
      <w:r w:rsidRPr="0068236B">
        <w:rPr>
          <w:rFonts w:cs="Arial"/>
          <w:sz w:val="20"/>
          <w:szCs w:val="20"/>
        </w:rPr>
        <w:t>The white cells of the Table illustrate the distances from activities at which they would have an insignificant effect on noise sensitive receptors. The assessment identifies that significant effects in both rural and urban areas are predicted to be few although the potential for disturbance in quiet areas is fairly high, particularly for properties located within 100 m to 200 m of the most noisy activities. Most activities at distances greater than 300 m – 400 m from the nearest noise sensitive receptors are unlikely to have the potential for distur</w:t>
      </w:r>
      <w:r w:rsidRPr="0068236B">
        <w:rPr>
          <w:rFonts w:cs="Arial"/>
          <w:sz w:val="20"/>
          <w:szCs w:val="20"/>
        </w:rPr>
        <w:t>b</w:t>
      </w:r>
      <w:r w:rsidRPr="0068236B">
        <w:rPr>
          <w:rFonts w:cs="Arial"/>
          <w:sz w:val="20"/>
          <w:szCs w:val="20"/>
        </w:rPr>
        <w:t>ance, even in the quietest areas.</w:t>
      </w:r>
      <w:r w:rsidR="004147F3" w:rsidRPr="0068236B">
        <w:rPr>
          <w:rFonts w:cs="Arial"/>
          <w:sz w:val="20"/>
          <w:szCs w:val="20"/>
        </w:rPr>
        <w:t xml:space="preserve"> However, it should be noted that there are no residential properties </w:t>
      </w:r>
      <w:r w:rsidR="0010720A" w:rsidRPr="0068236B">
        <w:rPr>
          <w:rFonts w:cs="Arial"/>
          <w:sz w:val="20"/>
          <w:szCs w:val="20"/>
        </w:rPr>
        <w:t xml:space="preserve">in proximity to </w:t>
      </w:r>
      <w:r w:rsidR="00DA113D" w:rsidRPr="0068236B">
        <w:rPr>
          <w:rFonts w:cs="Arial"/>
          <w:sz w:val="20"/>
          <w:szCs w:val="20"/>
        </w:rPr>
        <w:t>the Project where</w:t>
      </w:r>
      <w:r w:rsidR="0010720A" w:rsidRPr="0068236B">
        <w:rPr>
          <w:rFonts w:cs="Arial"/>
          <w:sz w:val="20"/>
          <w:szCs w:val="20"/>
        </w:rPr>
        <w:t xml:space="preserve"> significant</w:t>
      </w:r>
      <w:r w:rsidR="00DA113D" w:rsidRPr="0068236B">
        <w:rPr>
          <w:rFonts w:cs="Arial"/>
          <w:sz w:val="20"/>
          <w:szCs w:val="20"/>
        </w:rPr>
        <w:t xml:space="preserve"> potential of nuisance due to construction noise is likely.</w:t>
      </w:r>
    </w:p>
    <w:p w14:paraId="35382F27" w14:textId="77777777" w:rsidR="00FE4D07" w:rsidRPr="0068236B" w:rsidRDefault="00FE4D07" w:rsidP="00FE4D07">
      <w:pPr>
        <w:autoSpaceDE w:val="0"/>
        <w:autoSpaceDN w:val="0"/>
        <w:adjustRightInd w:val="0"/>
        <w:rPr>
          <w:rFonts w:cs="Arial"/>
          <w:sz w:val="20"/>
          <w:szCs w:val="20"/>
        </w:rPr>
      </w:pPr>
      <w:r w:rsidRPr="0068236B">
        <w:rPr>
          <w:rFonts w:cs="Arial"/>
          <w:sz w:val="20"/>
          <w:szCs w:val="20"/>
        </w:rPr>
        <w:t>In addition, the noise effects predicted at any location will not to be present at a consistent level throughout the entire construction period (with an exception at the substation site) due to the discontinues nature of construction activities in terms of locations (such as foundation and tower locations). This is also particularly true of ‘linear’ activities such as access road upgrading, and the attachment of the conductor where relativ</w:t>
      </w:r>
      <w:r w:rsidRPr="0068236B">
        <w:rPr>
          <w:rFonts w:cs="Arial"/>
          <w:sz w:val="20"/>
          <w:szCs w:val="20"/>
        </w:rPr>
        <w:t>e</w:t>
      </w:r>
      <w:r w:rsidRPr="0068236B">
        <w:rPr>
          <w:rFonts w:cs="Arial"/>
          <w:sz w:val="20"/>
          <w:szCs w:val="20"/>
        </w:rPr>
        <w:t>ly high noise levels could potentially occur in the immediate vicinity of any works, but with noise levels soon returning to normal as the work moves on.</w:t>
      </w:r>
    </w:p>
    <w:p w14:paraId="0143CA9F" w14:textId="38A1564F" w:rsidR="00DA113D" w:rsidRPr="0068236B" w:rsidRDefault="00DA113D" w:rsidP="00DA113D">
      <w:pPr>
        <w:pStyle w:val="Heading3"/>
      </w:pPr>
      <w:bookmarkStart w:id="353" w:name="_Toc112852267"/>
      <w:r w:rsidRPr="0068236B">
        <w:t>Construction Vibration</w:t>
      </w:r>
      <w:bookmarkEnd w:id="353"/>
    </w:p>
    <w:p w14:paraId="3CC93984" w14:textId="233B964E" w:rsidR="00DA113D" w:rsidRPr="0068236B" w:rsidRDefault="00DA113D" w:rsidP="00DA113D">
      <w:pPr>
        <w:autoSpaceDE w:val="0"/>
        <w:autoSpaceDN w:val="0"/>
        <w:adjustRightInd w:val="0"/>
        <w:rPr>
          <w:rStyle w:val="hps"/>
          <w:rFonts w:cs="Arial"/>
          <w:sz w:val="20"/>
          <w:szCs w:val="20"/>
        </w:rPr>
      </w:pPr>
      <w:r w:rsidRPr="0068236B">
        <w:rPr>
          <w:rStyle w:val="hps"/>
          <w:rFonts w:cs="Arial"/>
          <w:sz w:val="20"/>
          <w:szCs w:val="20"/>
        </w:rPr>
        <w:t>Planned construction activities and use of equipment and machinery will be a source of vibration.</w:t>
      </w:r>
    </w:p>
    <w:p w14:paraId="0EB05526" w14:textId="336935B5" w:rsidR="00DA113D" w:rsidRPr="0068236B" w:rsidRDefault="00DA113D" w:rsidP="00DA113D">
      <w:pPr>
        <w:autoSpaceDE w:val="0"/>
        <w:autoSpaceDN w:val="0"/>
        <w:adjustRightInd w:val="0"/>
        <w:rPr>
          <w:rStyle w:val="hps"/>
          <w:rFonts w:cs="Tahoma"/>
          <w:sz w:val="20"/>
          <w:szCs w:val="20"/>
        </w:rPr>
      </w:pPr>
      <w:r w:rsidRPr="0068236B">
        <w:rPr>
          <w:rFonts w:cs="Tahoma"/>
          <w:sz w:val="20"/>
          <w:szCs w:val="20"/>
        </w:rPr>
        <w:t xml:space="preserve">The response of people to vibrations in the ground is influenced by many factors. Some of those factors are physical, like amplitude, duration and frequency content of vibrations, while other factors like the type of population, age, gender and expectations are physiological. This means that people's reaction to vibrations is subjective and differs for </w:t>
      </w:r>
      <w:r w:rsidRPr="0068236B">
        <w:rPr>
          <w:rStyle w:val="hps"/>
          <w:rFonts w:cs="Tahoma"/>
          <w:sz w:val="20"/>
          <w:szCs w:val="20"/>
        </w:rPr>
        <w:t xml:space="preserve">different </w:t>
      </w:r>
      <w:r w:rsidR="005E6643" w:rsidRPr="0068236B">
        <w:rPr>
          <w:rStyle w:val="hps"/>
          <w:rFonts w:cs="Tahoma"/>
          <w:sz w:val="20"/>
          <w:szCs w:val="20"/>
        </w:rPr>
        <w:t>people.</w:t>
      </w:r>
      <w:r w:rsidR="005E6643" w:rsidRPr="0068236B">
        <w:rPr>
          <w:rFonts w:eastAsia="Calibri" w:cs="Tahoma"/>
          <w:sz w:val="20"/>
          <w:szCs w:val="20"/>
        </w:rPr>
        <w:t xml:space="preserve"> It</w:t>
      </w:r>
      <w:r w:rsidRPr="0068236B">
        <w:rPr>
          <w:rFonts w:eastAsia="Calibri" w:cs="Tahoma"/>
          <w:sz w:val="20"/>
          <w:szCs w:val="20"/>
        </w:rPr>
        <w:t xml:space="preserve"> is generally accepted that for the majority of people, vibration levels in excess of between 0.15 and 0.3 mm/s peak particle velocity are just perceptible.</w:t>
      </w:r>
    </w:p>
    <w:p w14:paraId="1DBF3E44" w14:textId="7938AEF8" w:rsidR="00DA113D" w:rsidRPr="0068236B" w:rsidRDefault="00DA113D" w:rsidP="00DA113D">
      <w:pPr>
        <w:autoSpaceDE w:val="0"/>
        <w:autoSpaceDN w:val="0"/>
        <w:adjustRightInd w:val="0"/>
        <w:rPr>
          <w:rFonts w:cs="Arial"/>
          <w:sz w:val="20"/>
          <w:szCs w:val="20"/>
        </w:rPr>
      </w:pPr>
      <w:r w:rsidRPr="0068236B">
        <w:rPr>
          <w:rFonts w:cs="Arial"/>
          <w:sz w:val="20"/>
          <w:szCs w:val="20"/>
        </w:rPr>
        <w:t xml:space="preserve">The Table </w:t>
      </w:r>
      <w:r w:rsidR="005E6643" w:rsidRPr="0068236B">
        <w:rPr>
          <w:rFonts w:cs="Arial"/>
          <w:sz w:val="20"/>
          <w:szCs w:val="20"/>
        </w:rPr>
        <w:t>below</w:t>
      </w:r>
      <w:r w:rsidRPr="0068236B">
        <w:rPr>
          <w:rFonts w:cs="Arial"/>
          <w:sz w:val="20"/>
          <w:szCs w:val="20"/>
        </w:rPr>
        <w:t xml:space="preserve"> presents distances at which vibration may be perceptible for certain type of construction activity. These figures are based on historical field measurements and information available in literature.</w:t>
      </w:r>
    </w:p>
    <w:tbl>
      <w:tblPr>
        <w:tblW w:w="609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119"/>
        <w:gridCol w:w="2977"/>
      </w:tblGrid>
      <w:tr w:rsidR="00DA113D" w:rsidRPr="0068236B" w14:paraId="4644554F" w14:textId="77777777" w:rsidTr="00DA113D">
        <w:tc>
          <w:tcPr>
            <w:tcW w:w="3119" w:type="dxa"/>
            <w:tcBorders>
              <w:top w:val="double" w:sz="4" w:space="0" w:color="auto"/>
              <w:bottom w:val="double" w:sz="4" w:space="0" w:color="auto"/>
              <w:right w:val="double" w:sz="4" w:space="0" w:color="auto"/>
            </w:tcBorders>
            <w:shd w:val="clear" w:color="auto" w:fill="B4C6E7" w:themeFill="accent1" w:themeFillTint="66"/>
          </w:tcPr>
          <w:p w14:paraId="4CC477AA" w14:textId="77777777" w:rsidR="00DA113D" w:rsidRPr="0068236B" w:rsidRDefault="00DA113D" w:rsidP="00DA113D">
            <w:pPr>
              <w:autoSpaceDE w:val="0"/>
              <w:autoSpaceDN w:val="0"/>
              <w:adjustRightInd w:val="0"/>
              <w:spacing w:before="0" w:after="0"/>
              <w:ind w:left="113"/>
              <w:jc w:val="left"/>
              <w:rPr>
                <w:rFonts w:cs="Arial"/>
                <w:sz w:val="20"/>
                <w:szCs w:val="20"/>
              </w:rPr>
            </w:pPr>
            <w:r w:rsidRPr="0068236B">
              <w:rPr>
                <w:rFonts w:cs="Arial"/>
                <w:sz w:val="20"/>
                <w:szCs w:val="20"/>
              </w:rPr>
              <w:t>Construction activity</w:t>
            </w:r>
          </w:p>
        </w:tc>
        <w:tc>
          <w:tcPr>
            <w:tcW w:w="2977" w:type="dxa"/>
            <w:tcBorders>
              <w:top w:val="double" w:sz="4" w:space="0" w:color="auto"/>
              <w:left w:val="double" w:sz="4" w:space="0" w:color="auto"/>
              <w:bottom w:val="double" w:sz="4" w:space="0" w:color="auto"/>
            </w:tcBorders>
            <w:shd w:val="clear" w:color="auto" w:fill="B4C6E7" w:themeFill="accent1" w:themeFillTint="66"/>
          </w:tcPr>
          <w:p w14:paraId="282FA11B" w14:textId="77777777" w:rsidR="00DA113D" w:rsidRPr="0068236B" w:rsidRDefault="00DA113D" w:rsidP="00DA113D">
            <w:pPr>
              <w:autoSpaceDE w:val="0"/>
              <w:autoSpaceDN w:val="0"/>
              <w:adjustRightInd w:val="0"/>
              <w:spacing w:before="0" w:after="0"/>
              <w:ind w:left="113"/>
              <w:jc w:val="left"/>
              <w:rPr>
                <w:rFonts w:cs="Arial"/>
                <w:sz w:val="20"/>
                <w:szCs w:val="20"/>
              </w:rPr>
            </w:pPr>
            <w:r w:rsidRPr="0068236B">
              <w:rPr>
                <w:rFonts w:cs="Arial"/>
                <w:sz w:val="20"/>
                <w:szCs w:val="20"/>
              </w:rPr>
              <w:t>Distances at which vibration may be perceptible [m]</w:t>
            </w:r>
          </w:p>
        </w:tc>
      </w:tr>
      <w:tr w:rsidR="00DA113D" w:rsidRPr="0068236B" w14:paraId="6E5714BF" w14:textId="77777777" w:rsidTr="00DA113D">
        <w:tc>
          <w:tcPr>
            <w:tcW w:w="3119" w:type="dxa"/>
            <w:tcBorders>
              <w:top w:val="double" w:sz="4" w:space="0" w:color="auto"/>
            </w:tcBorders>
          </w:tcPr>
          <w:p w14:paraId="4689A2FF" w14:textId="77777777" w:rsidR="00DA113D" w:rsidRPr="0068236B" w:rsidRDefault="00DA113D" w:rsidP="00DA113D">
            <w:pPr>
              <w:autoSpaceDE w:val="0"/>
              <w:autoSpaceDN w:val="0"/>
              <w:adjustRightInd w:val="0"/>
              <w:spacing w:before="0" w:after="0"/>
              <w:ind w:left="113"/>
              <w:rPr>
                <w:rFonts w:cs="Arial"/>
                <w:sz w:val="20"/>
                <w:szCs w:val="20"/>
              </w:rPr>
            </w:pPr>
            <w:r w:rsidRPr="0068236B">
              <w:rPr>
                <w:rFonts w:cs="Arial"/>
                <w:sz w:val="20"/>
                <w:szCs w:val="20"/>
              </w:rPr>
              <w:t>Heavy vehicles</w:t>
            </w:r>
          </w:p>
        </w:tc>
        <w:tc>
          <w:tcPr>
            <w:tcW w:w="2977" w:type="dxa"/>
            <w:tcBorders>
              <w:top w:val="double" w:sz="4" w:space="0" w:color="auto"/>
            </w:tcBorders>
          </w:tcPr>
          <w:p w14:paraId="293EEEAC" w14:textId="77777777" w:rsidR="00DA113D" w:rsidRPr="0068236B" w:rsidRDefault="00DA113D" w:rsidP="00DA113D">
            <w:pPr>
              <w:autoSpaceDE w:val="0"/>
              <w:autoSpaceDN w:val="0"/>
              <w:adjustRightInd w:val="0"/>
              <w:spacing w:before="0" w:after="0"/>
              <w:ind w:left="113"/>
              <w:jc w:val="right"/>
              <w:rPr>
                <w:rFonts w:cs="Arial"/>
                <w:sz w:val="20"/>
                <w:szCs w:val="20"/>
              </w:rPr>
            </w:pPr>
            <w:r w:rsidRPr="0068236B">
              <w:rPr>
                <w:rFonts w:cs="Arial"/>
                <w:sz w:val="20"/>
                <w:szCs w:val="20"/>
              </w:rPr>
              <w:t>5-10</w:t>
            </w:r>
          </w:p>
        </w:tc>
      </w:tr>
      <w:tr w:rsidR="00DA113D" w:rsidRPr="0068236B" w14:paraId="0C7ACED6" w14:textId="77777777" w:rsidTr="00DA113D">
        <w:tc>
          <w:tcPr>
            <w:tcW w:w="3119" w:type="dxa"/>
          </w:tcPr>
          <w:p w14:paraId="1DC3E28B" w14:textId="77777777" w:rsidR="00DA113D" w:rsidRPr="0068236B" w:rsidRDefault="00DA113D" w:rsidP="00DA113D">
            <w:pPr>
              <w:autoSpaceDE w:val="0"/>
              <w:autoSpaceDN w:val="0"/>
              <w:adjustRightInd w:val="0"/>
              <w:spacing w:before="0" w:after="0"/>
              <w:ind w:left="113"/>
              <w:rPr>
                <w:rFonts w:cs="Arial"/>
                <w:sz w:val="20"/>
                <w:szCs w:val="20"/>
              </w:rPr>
            </w:pPr>
            <w:r w:rsidRPr="0068236B">
              <w:rPr>
                <w:rFonts w:cs="Arial"/>
                <w:sz w:val="20"/>
                <w:szCs w:val="20"/>
              </w:rPr>
              <w:t>Vibratory compaction</w:t>
            </w:r>
          </w:p>
        </w:tc>
        <w:tc>
          <w:tcPr>
            <w:tcW w:w="2977" w:type="dxa"/>
          </w:tcPr>
          <w:p w14:paraId="7ED6AB69" w14:textId="77777777" w:rsidR="00DA113D" w:rsidRPr="0068236B" w:rsidRDefault="00DA113D" w:rsidP="00DA113D">
            <w:pPr>
              <w:autoSpaceDE w:val="0"/>
              <w:autoSpaceDN w:val="0"/>
              <w:adjustRightInd w:val="0"/>
              <w:spacing w:before="0" w:after="0"/>
              <w:ind w:left="113"/>
              <w:jc w:val="right"/>
              <w:rPr>
                <w:rFonts w:cs="Arial"/>
                <w:sz w:val="20"/>
                <w:szCs w:val="20"/>
              </w:rPr>
            </w:pPr>
            <w:r w:rsidRPr="0068236B">
              <w:rPr>
                <w:rFonts w:cs="Arial"/>
                <w:sz w:val="20"/>
                <w:szCs w:val="20"/>
              </w:rPr>
              <w:t>10-15</w:t>
            </w:r>
          </w:p>
        </w:tc>
      </w:tr>
      <w:tr w:rsidR="00DA113D" w:rsidRPr="0068236B" w14:paraId="5F83BA7A" w14:textId="77777777" w:rsidTr="00DA113D">
        <w:tc>
          <w:tcPr>
            <w:tcW w:w="3119" w:type="dxa"/>
          </w:tcPr>
          <w:p w14:paraId="5E5DAC9A" w14:textId="77777777" w:rsidR="00DA113D" w:rsidRPr="0068236B" w:rsidRDefault="00DA113D" w:rsidP="00DA113D">
            <w:pPr>
              <w:autoSpaceDE w:val="0"/>
              <w:autoSpaceDN w:val="0"/>
              <w:adjustRightInd w:val="0"/>
              <w:spacing w:before="0" w:after="0"/>
              <w:ind w:left="113"/>
              <w:rPr>
                <w:rFonts w:cs="Arial"/>
                <w:sz w:val="20"/>
                <w:szCs w:val="20"/>
              </w:rPr>
            </w:pPr>
            <w:r w:rsidRPr="0068236B">
              <w:rPr>
                <w:rFonts w:cs="Arial"/>
                <w:sz w:val="20"/>
                <w:szCs w:val="20"/>
              </w:rPr>
              <w:t>Excavation</w:t>
            </w:r>
          </w:p>
        </w:tc>
        <w:tc>
          <w:tcPr>
            <w:tcW w:w="2977" w:type="dxa"/>
          </w:tcPr>
          <w:p w14:paraId="4AB36703" w14:textId="77777777" w:rsidR="00DA113D" w:rsidRPr="0068236B" w:rsidRDefault="00DA113D" w:rsidP="00DA113D">
            <w:pPr>
              <w:autoSpaceDE w:val="0"/>
              <w:autoSpaceDN w:val="0"/>
              <w:adjustRightInd w:val="0"/>
              <w:spacing w:before="0" w:after="0"/>
              <w:ind w:left="113"/>
              <w:jc w:val="right"/>
              <w:rPr>
                <w:rFonts w:cs="Arial"/>
                <w:sz w:val="20"/>
                <w:szCs w:val="20"/>
              </w:rPr>
            </w:pPr>
            <w:r w:rsidRPr="0068236B">
              <w:rPr>
                <w:rFonts w:cs="Arial"/>
                <w:sz w:val="20"/>
                <w:szCs w:val="20"/>
              </w:rPr>
              <w:t>10-15</w:t>
            </w:r>
          </w:p>
        </w:tc>
      </w:tr>
      <w:tr w:rsidR="00DA113D" w:rsidRPr="0068236B" w14:paraId="4CBE6A24" w14:textId="77777777" w:rsidTr="00DA113D">
        <w:tc>
          <w:tcPr>
            <w:tcW w:w="3119" w:type="dxa"/>
          </w:tcPr>
          <w:p w14:paraId="5B95B2BC" w14:textId="77777777" w:rsidR="00DA113D" w:rsidRPr="0068236B" w:rsidRDefault="00DA113D" w:rsidP="00DA113D">
            <w:pPr>
              <w:autoSpaceDE w:val="0"/>
              <w:autoSpaceDN w:val="0"/>
              <w:adjustRightInd w:val="0"/>
              <w:spacing w:before="0" w:after="0"/>
              <w:ind w:left="113"/>
              <w:rPr>
                <w:rFonts w:cs="Arial"/>
                <w:sz w:val="20"/>
                <w:szCs w:val="20"/>
              </w:rPr>
            </w:pPr>
            <w:r w:rsidRPr="0068236B">
              <w:rPr>
                <w:rFonts w:cs="Arial"/>
                <w:sz w:val="20"/>
                <w:szCs w:val="20"/>
              </w:rPr>
              <w:t>Hydraulic breaker</w:t>
            </w:r>
          </w:p>
        </w:tc>
        <w:tc>
          <w:tcPr>
            <w:tcW w:w="2977" w:type="dxa"/>
          </w:tcPr>
          <w:p w14:paraId="18F6BD07" w14:textId="77777777" w:rsidR="00DA113D" w:rsidRPr="0068236B" w:rsidRDefault="00DA113D" w:rsidP="00DA113D">
            <w:pPr>
              <w:autoSpaceDE w:val="0"/>
              <w:autoSpaceDN w:val="0"/>
              <w:adjustRightInd w:val="0"/>
              <w:spacing w:before="0" w:after="0"/>
              <w:ind w:left="113"/>
              <w:jc w:val="right"/>
              <w:rPr>
                <w:rFonts w:cs="Arial"/>
                <w:sz w:val="20"/>
                <w:szCs w:val="20"/>
              </w:rPr>
            </w:pPr>
            <w:r w:rsidRPr="0068236B">
              <w:rPr>
                <w:rFonts w:cs="Arial"/>
                <w:sz w:val="20"/>
                <w:szCs w:val="20"/>
              </w:rPr>
              <w:t>15-20</w:t>
            </w:r>
          </w:p>
        </w:tc>
      </w:tr>
    </w:tbl>
    <w:p w14:paraId="3FFAD48C" w14:textId="38C038B3" w:rsidR="00DA113D" w:rsidRPr="0068236B" w:rsidRDefault="00DA113D" w:rsidP="00DA113D">
      <w:pPr>
        <w:pStyle w:val="Caption"/>
        <w:spacing w:before="120" w:after="240"/>
        <w:jc w:val="left"/>
        <w:rPr>
          <w:rFonts w:eastAsia="Calibri"/>
          <w:b w:val="0"/>
        </w:rPr>
      </w:pPr>
      <w:bookmarkStart w:id="354" w:name="_Toc446278258"/>
      <w:bookmarkStart w:id="355" w:name="_Toc481953700"/>
      <w:bookmarkStart w:id="356" w:name="_Toc65936943"/>
      <w:bookmarkStart w:id="357" w:name="_Toc74509161"/>
      <w:bookmarkStart w:id="358" w:name="_Toc113018210"/>
      <w:r w:rsidRPr="0068236B">
        <w:rPr>
          <w:b w:val="0"/>
        </w:rPr>
        <w:t xml:space="preserve">Table </w:t>
      </w:r>
      <w:r w:rsidRPr="0068236B">
        <w:rPr>
          <w:b w:val="0"/>
        </w:rPr>
        <w:fldChar w:fldCharType="begin"/>
      </w:r>
      <w:r w:rsidRPr="0068236B">
        <w:rPr>
          <w:b w:val="0"/>
        </w:rPr>
        <w:instrText xml:space="preserve"> STYLEREF 1 \s </w:instrText>
      </w:r>
      <w:r w:rsidRPr="0068236B">
        <w:rPr>
          <w:b w:val="0"/>
        </w:rPr>
        <w:fldChar w:fldCharType="separate"/>
      </w:r>
      <w:r w:rsidR="00FD57E6">
        <w:rPr>
          <w:b w:val="0"/>
          <w:noProof/>
        </w:rPr>
        <w:t>8</w:t>
      </w:r>
      <w:r w:rsidRPr="0068236B">
        <w:rPr>
          <w:b w:val="0"/>
        </w:rPr>
        <w:fldChar w:fldCharType="end"/>
      </w:r>
      <w:r w:rsidRPr="0068236B">
        <w:rPr>
          <w:b w:val="0"/>
        </w:rPr>
        <w:t>.</w:t>
      </w:r>
      <w:r w:rsidRPr="0068236B">
        <w:rPr>
          <w:b w:val="0"/>
        </w:rPr>
        <w:fldChar w:fldCharType="begin"/>
      </w:r>
      <w:r w:rsidRPr="0068236B">
        <w:rPr>
          <w:b w:val="0"/>
        </w:rPr>
        <w:instrText xml:space="preserve"> SEQ Table \* ARABIC \s 1 </w:instrText>
      </w:r>
      <w:r w:rsidRPr="0068236B">
        <w:rPr>
          <w:b w:val="0"/>
        </w:rPr>
        <w:fldChar w:fldCharType="separate"/>
      </w:r>
      <w:r w:rsidR="00FD57E6">
        <w:rPr>
          <w:b w:val="0"/>
          <w:noProof/>
        </w:rPr>
        <w:t>14</w:t>
      </w:r>
      <w:r w:rsidRPr="0068236B">
        <w:rPr>
          <w:b w:val="0"/>
        </w:rPr>
        <w:fldChar w:fldCharType="end"/>
      </w:r>
      <w:r w:rsidRPr="0068236B">
        <w:rPr>
          <w:rFonts w:eastAsia="Calibri"/>
          <w:b w:val="0"/>
        </w:rPr>
        <w:t xml:space="preserve">: </w:t>
      </w:r>
      <w:r w:rsidRPr="0068236B">
        <w:rPr>
          <w:rFonts w:eastAsia="Calibri"/>
          <w:b w:val="0"/>
          <w:bCs w:val="0"/>
        </w:rPr>
        <w:t>Distances at which vibration may be perceptible</w:t>
      </w:r>
      <w:bookmarkEnd w:id="354"/>
      <w:bookmarkEnd w:id="355"/>
      <w:bookmarkEnd w:id="356"/>
      <w:bookmarkEnd w:id="357"/>
      <w:bookmarkEnd w:id="358"/>
    </w:p>
    <w:p w14:paraId="14B8E72A" w14:textId="3D4E87EE" w:rsidR="00DA113D" w:rsidRPr="0068236B" w:rsidRDefault="00DA113D" w:rsidP="00DA113D">
      <w:pPr>
        <w:autoSpaceDE w:val="0"/>
        <w:autoSpaceDN w:val="0"/>
        <w:adjustRightInd w:val="0"/>
        <w:rPr>
          <w:rFonts w:cs="Tahoma"/>
          <w:sz w:val="20"/>
          <w:szCs w:val="20"/>
        </w:rPr>
      </w:pPr>
      <w:r w:rsidRPr="0068236B">
        <w:rPr>
          <w:rFonts w:cs="Tahoma"/>
          <w:sz w:val="20"/>
          <w:szCs w:val="20"/>
        </w:rPr>
        <w:t>This assessment shows that the construction of the transmission line will achieve compliance within the Right of Way, as determined in accordance with the respective Macedonian legislation</w:t>
      </w:r>
      <w:r w:rsidRPr="0068236B">
        <w:rPr>
          <w:rStyle w:val="FootnoteReference"/>
          <w:rFonts w:cs="Tahoma"/>
          <w:sz w:val="20"/>
          <w:szCs w:val="20"/>
        </w:rPr>
        <w:footnoteReference w:id="110"/>
      </w:r>
      <w:r w:rsidRPr="0068236B">
        <w:rPr>
          <w:rFonts w:cs="Tahoma"/>
          <w:sz w:val="20"/>
          <w:szCs w:val="20"/>
        </w:rPr>
        <w:t xml:space="preserve"> and </w:t>
      </w:r>
      <w:r w:rsidR="00461F4B" w:rsidRPr="0068236B">
        <w:rPr>
          <w:rFonts w:cs="Tahoma"/>
          <w:sz w:val="20"/>
          <w:szCs w:val="20"/>
        </w:rPr>
        <w:t xml:space="preserve">MEPSO’s </w:t>
      </w:r>
      <w:r w:rsidRPr="0068236B">
        <w:rPr>
          <w:rFonts w:cs="Tahoma"/>
          <w:sz w:val="20"/>
          <w:szCs w:val="20"/>
        </w:rPr>
        <w:t>tec</w:t>
      </w:r>
      <w:r w:rsidRPr="0068236B">
        <w:rPr>
          <w:rFonts w:cs="Tahoma"/>
          <w:sz w:val="20"/>
          <w:szCs w:val="20"/>
        </w:rPr>
        <w:t>h</w:t>
      </w:r>
      <w:r w:rsidRPr="0068236B">
        <w:rPr>
          <w:rFonts w:cs="Tahoma"/>
          <w:sz w:val="20"/>
          <w:szCs w:val="20"/>
        </w:rPr>
        <w:t>nical standards</w:t>
      </w:r>
      <w:r w:rsidRPr="0068236B">
        <w:rPr>
          <w:rStyle w:val="FootnoteReference"/>
          <w:rFonts w:cs="Tahoma"/>
          <w:sz w:val="20"/>
          <w:szCs w:val="20"/>
        </w:rPr>
        <w:footnoteReference w:id="111"/>
      </w:r>
      <w:r w:rsidR="0031300E" w:rsidRPr="0068236B">
        <w:rPr>
          <w:rFonts w:cs="Tahoma"/>
          <w:sz w:val="20"/>
          <w:szCs w:val="20"/>
        </w:rPr>
        <w:t xml:space="preserve"> (see Section 2.4.2)</w:t>
      </w:r>
      <w:r w:rsidRPr="0068236B">
        <w:rPr>
          <w:rFonts w:cs="Tahoma"/>
          <w:sz w:val="20"/>
          <w:szCs w:val="20"/>
        </w:rPr>
        <w:t xml:space="preserve">. As there would be no properties (houses or facilities) in the Right of </w:t>
      </w:r>
      <w:r w:rsidRPr="0068236B">
        <w:rPr>
          <w:rFonts w:cs="Tahoma"/>
          <w:sz w:val="20"/>
          <w:szCs w:val="20"/>
        </w:rPr>
        <w:lastRenderedPageBreak/>
        <w:t>Way, there can be no vibrations perceptible to sensitive receptors during the construction works along the route of the transmission line</w:t>
      </w:r>
      <w:r w:rsidR="001473AE" w:rsidRPr="0068236B">
        <w:rPr>
          <w:rFonts w:cs="Tahoma"/>
          <w:sz w:val="20"/>
          <w:szCs w:val="20"/>
        </w:rPr>
        <w:t>s</w:t>
      </w:r>
      <w:r w:rsidRPr="0068236B">
        <w:rPr>
          <w:rFonts w:cs="Tahoma"/>
          <w:sz w:val="20"/>
          <w:szCs w:val="20"/>
        </w:rPr>
        <w:t>. The further assessment of impacts from construction vibrations is, therefore, scoped out of this E&amp;S Assessment Report.</w:t>
      </w:r>
    </w:p>
    <w:p w14:paraId="1488E3BE" w14:textId="3DCDDED6" w:rsidR="00DA113D" w:rsidRPr="0068236B" w:rsidRDefault="0031300E" w:rsidP="0031300E">
      <w:pPr>
        <w:pStyle w:val="Heading3"/>
      </w:pPr>
      <w:bookmarkStart w:id="359" w:name="_Toc65936699"/>
      <w:bookmarkStart w:id="360" w:name="_Toc74509058"/>
      <w:bookmarkStart w:id="361" w:name="_Toc112852268"/>
      <w:r w:rsidRPr="0068236B">
        <w:t>Summary of Impacts</w:t>
      </w:r>
      <w:bookmarkEnd w:id="359"/>
      <w:bookmarkEnd w:id="360"/>
      <w:bookmarkEnd w:id="361"/>
      <w:r w:rsidRPr="0068236B">
        <w:t xml:space="preserve"> </w:t>
      </w:r>
    </w:p>
    <w:p w14:paraId="6295AD50" w14:textId="77777777" w:rsidR="00DA113D" w:rsidRPr="0068236B" w:rsidRDefault="00DA113D" w:rsidP="00DA113D">
      <w:pPr>
        <w:rPr>
          <w:rFonts w:cs="Arial"/>
          <w:sz w:val="20"/>
          <w:szCs w:val="20"/>
        </w:rPr>
      </w:pPr>
      <w:r w:rsidRPr="0068236B">
        <w:rPr>
          <w:rFonts w:cs="Arial"/>
          <w:sz w:val="20"/>
          <w:szCs w:val="20"/>
        </w:rPr>
        <w:t>The Table below summarizes the assessment of the significance of the potential impacts from the noise due to construction activities.</w:t>
      </w:r>
    </w:p>
    <w:tbl>
      <w:tblPr>
        <w:tblW w:w="9621"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418"/>
        <w:gridCol w:w="2642"/>
        <w:gridCol w:w="1134"/>
        <w:gridCol w:w="2126"/>
        <w:gridCol w:w="2301"/>
      </w:tblGrid>
      <w:tr w:rsidR="00DA113D" w:rsidRPr="0068236B" w14:paraId="4E6653FB" w14:textId="77777777" w:rsidTr="0031300E">
        <w:trPr>
          <w:cantSplit/>
          <w:tblHeader/>
        </w:trPr>
        <w:tc>
          <w:tcPr>
            <w:tcW w:w="1418" w:type="dxa"/>
            <w:tcBorders>
              <w:top w:val="double" w:sz="4" w:space="0" w:color="auto"/>
              <w:bottom w:val="double" w:sz="4" w:space="0" w:color="auto"/>
              <w:right w:val="double" w:sz="4" w:space="0" w:color="auto"/>
            </w:tcBorders>
            <w:shd w:val="clear" w:color="auto" w:fill="B4C6E7" w:themeFill="accent1" w:themeFillTint="66"/>
            <w:vAlign w:val="center"/>
          </w:tcPr>
          <w:p w14:paraId="2326C63B" w14:textId="77777777" w:rsidR="00DA113D" w:rsidRPr="0068236B" w:rsidRDefault="00DA113D" w:rsidP="00DA113D">
            <w:pPr>
              <w:autoSpaceDE w:val="0"/>
              <w:autoSpaceDN w:val="0"/>
              <w:adjustRightInd w:val="0"/>
              <w:spacing w:before="0" w:after="0"/>
              <w:jc w:val="left"/>
              <w:rPr>
                <w:rFonts w:cs="Arial"/>
                <w:bCs/>
                <w:sz w:val="20"/>
                <w:szCs w:val="20"/>
              </w:rPr>
            </w:pPr>
            <w:r w:rsidRPr="0068236B">
              <w:rPr>
                <w:rFonts w:cs="Arial"/>
                <w:bCs/>
                <w:sz w:val="20"/>
                <w:szCs w:val="20"/>
              </w:rPr>
              <w:t>Project phase</w:t>
            </w:r>
          </w:p>
        </w:tc>
        <w:tc>
          <w:tcPr>
            <w:tcW w:w="2642" w:type="dxa"/>
            <w:tcBorders>
              <w:top w:val="double" w:sz="4" w:space="0" w:color="auto"/>
              <w:bottom w:val="double" w:sz="4" w:space="0" w:color="auto"/>
              <w:right w:val="double" w:sz="4" w:space="0" w:color="auto"/>
            </w:tcBorders>
            <w:shd w:val="clear" w:color="auto" w:fill="B4C6E7" w:themeFill="accent1" w:themeFillTint="66"/>
          </w:tcPr>
          <w:p w14:paraId="218F9C0E" w14:textId="77777777" w:rsidR="00DA113D" w:rsidRPr="0068236B" w:rsidRDefault="00DA113D" w:rsidP="00DA113D">
            <w:pPr>
              <w:autoSpaceDE w:val="0"/>
              <w:autoSpaceDN w:val="0"/>
              <w:adjustRightInd w:val="0"/>
              <w:spacing w:before="0" w:after="0"/>
              <w:jc w:val="left"/>
              <w:rPr>
                <w:rFonts w:cs="Arial"/>
                <w:sz w:val="20"/>
                <w:szCs w:val="20"/>
              </w:rPr>
            </w:pPr>
            <w:r w:rsidRPr="0068236B">
              <w:rPr>
                <w:rFonts w:cs="Arial"/>
                <w:sz w:val="20"/>
                <w:szCs w:val="20"/>
              </w:rPr>
              <w:t>Potential impact due to noise from construction</w:t>
            </w:r>
          </w:p>
        </w:tc>
        <w:tc>
          <w:tcPr>
            <w:tcW w:w="1134" w:type="dxa"/>
            <w:tcBorders>
              <w:top w:val="double" w:sz="4" w:space="0" w:color="auto"/>
              <w:bottom w:val="double" w:sz="4" w:space="0" w:color="auto"/>
              <w:right w:val="double" w:sz="4" w:space="0" w:color="auto"/>
            </w:tcBorders>
            <w:shd w:val="clear" w:color="auto" w:fill="B4C6E7" w:themeFill="accent1" w:themeFillTint="66"/>
          </w:tcPr>
          <w:p w14:paraId="1D6277AA" w14:textId="77777777" w:rsidR="00DA113D" w:rsidRPr="0068236B" w:rsidRDefault="00DA113D" w:rsidP="00DA113D">
            <w:pPr>
              <w:autoSpaceDE w:val="0"/>
              <w:autoSpaceDN w:val="0"/>
              <w:adjustRightInd w:val="0"/>
              <w:spacing w:before="0" w:after="0"/>
              <w:jc w:val="left"/>
              <w:rPr>
                <w:rFonts w:cs="Arial"/>
                <w:sz w:val="20"/>
                <w:szCs w:val="20"/>
              </w:rPr>
            </w:pPr>
            <w:r w:rsidRPr="0068236B">
              <w:rPr>
                <w:rFonts w:cs="Arial"/>
                <w:sz w:val="20"/>
                <w:szCs w:val="20"/>
              </w:rPr>
              <w:t>Sensitivity of receptor</w:t>
            </w:r>
          </w:p>
        </w:tc>
        <w:tc>
          <w:tcPr>
            <w:tcW w:w="2126" w:type="dxa"/>
            <w:tcBorders>
              <w:top w:val="double" w:sz="4" w:space="0" w:color="auto"/>
              <w:bottom w:val="double" w:sz="4" w:space="0" w:color="auto"/>
              <w:right w:val="double" w:sz="4" w:space="0" w:color="auto"/>
            </w:tcBorders>
            <w:shd w:val="clear" w:color="auto" w:fill="B4C6E7" w:themeFill="accent1" w:themeFillTint="66"/>
          </w:tcPr>
          <w:p w14:paraId="65957F89" w14:textId="77777777" w:rsidR="00DA113D" w:rsidRPr="0068236B" w:rsidRDefault="00DA113D" w:rsidP="00DA113D">
            <w:pPr>
              <w:autoSpaceDE w:val="0"/>
              <w:autoSpaceDN w:val="0"/>
              <w:adjustRightInd w:val="0"/>
              <w:spacing w:before="0" w:after="0"/>
              <w:jc w:val="left"/>
              <w:rPr>
                <w:rFonts w:cs="Arial"/>
                <w:sz w:val="20"/>
                <w:szCs w:val="20"/>
              </w:rPr>
            </w:pPr>
            <w:r w:rsidRPr="0068236B">
              <w:rPr>
                <w:rFonts w:cs="Arial"/>
                <w:sz w:val="20"/>
                <w:szCs w:val="20"/>
              </w:rPr>
              <w:t>Magnitude of impact</w:t>
            </w:r>
          </w:p>
        </w:tc>
        <w:tc>
          <w:tcPr>
            <w:tcW w:w="2301"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334A8F40" w14:textId="77777777" w:rsidR="00DA113D" w:rsidRPr="0068236B" w:rsidRDefault="00DA113D" w:rsidP="00DA113D">
            <w:pPr>
              <w:autoSpaceDE w:val="0"/>
              <w:autoSpaceDN w:val="0"/>
              <w:adjustRightInd w:val="0"/>
              <w:spacing w:before="0" w:after="0"/>
              <w:jc w:val="left"/>
              <w:rPr>
                <w:rFonts w:cs="Arial"/>
                <w:sz w:val="20"/>
                <w:szCs w:val="20"/>
              </w:rPr>
            </w:pPr>
            <w:r w:rsidRPr="0068236B">
              <w:rPr>
                <w:rFonts w:cs="Arial"/>
                <w:sz w:val="20"/>
                <w:szCs w:val="20"/>
              </w:rPr>
              <w:t>Significance of impact</w:t>
            </w:r>
          </w:p>
        </w:tc>
      </w:tr>
      <w:tr w:rsidR="00DA113D" w:rsidRPr="0068236B" w14:paraId="467DF7BA" w14:textId="77777777" w:rsidTr="00DA113D">
        <w:trPr>
          <w:cantSplit/>
        </w:trPr>
        <w:tc>
          <w:tcPr>
            <w:tcW w:w="1418" w:type="dxa"/>
            <w:vMerge w:val="restart"/>
            <w:tcBorders>
              <w:top w:val="double" w:sz="4" w:space="0" w:color="auto"/>
            </w:tcBorders>
            <w:shd w:val="clear" w:color="auto" w:fill="BFBFBF" w:themeFill="background1" w:themeFillShade="BF"/>
            <w:vAlign w:val="center"/>
          </w:tcPr>
          <w:p w14:paraId="46B093D5" w14:textId="77777777" w:rsidR="00DA113D" w:rsidRPr="0068236B" w:rsidRDefault="00DA113D" w:rsidP="00DA113D">
            <w:pPr>
              <w:autoSpaceDE w:val="0"/>
              <w:autoSpaceDN w:val="0"/>
              <w:adjustRightInd w:val="0"/>
              <w:spacing w:before="0" w:after="0"/>
              <w:rPr>
                <w:rFonts w:cs="Arial"/>
                <w:bCs/>
                <w:sz w:val="20"/>
                <w:szCs w:val="20"/>
              </w:rPr>
            </w:pPr>
            <w:r w:rsidRPr="0068236B">
              <w:rPr>
                <w:rFonts w:cs="Arial"/>
                <w:bCs/>
                <w:sz w:val="20"/>
                <w:szCs w:val="20"/>
              </w:rPr>
              <w:t>Construction</w:t>
            </w:r>
          </w:p>
        </w:tc>
        <w:tc>
          <w:tcPr>
            <w:tcW w:w="2642" w:type="dxa"/>
            <w:tcBorders>
              <w:top w:val="double" w:sz="4" w:space="0" w:color="auto"/>
              <w:bottom w:val="single" w:sz="4" w:space="0" w:color="auto"/>
            </w:tcBorders>
          </w:tcPr>
          <w:p w14:paraId="7F242F70" w14:textId="77777777" w:rsidR="00DA113D" w:rsidRPr="0068236B" w:rsidRDefault="00DA113D" w:rsidP="00DA113D">
            <w:pPr>
              <w:spacing w:before="0" w:after="0"/>
              <w:jc w:val="left"/>
              <w:rPr>
                <w:rFonts w:cs="Arial"/>
                <w:sz w:val="20"/>
                <w:szCs w:val="20"/>
              </w:rPr>
            </w:pPr>
            <w:r w:rsidRPr="0068236B">
              <w:rPr>
                <w:rFonts w:cs="Arial"/>
                <w:sz w:val="20"/>
                <w:szCs w:val="20"/>
              </w:rPr>
              <w:t>Construction of substation</w:t>
            </w:r>
          </w:p>
        </w:tc>
        <w:tc>
          <w:tcPr>
            <w:tcW w:w="1134" w:type="dxa"/>
            <w:tcBorders>
              <w:top w:val="double" w:sz="4" w:space="0" w:color="auto"/>
              <w:bottom w:val="single" w:sz="4" w:space="0" w:color="auto"/>
            </w:tcBorders>
          </w:tcPr>
          <w:p w14:paraId="2A3CCC75" w14:textId="77777777" w:rsidR="00DA113D" w:rsidRPr="0068236B" w:rsidRDefault="00DA113D" w:rsidP="00DA113D">
            <w:pPr>
              <w:autoSpaceDE w:val="0"/>
              <w:autoSpaceDN w:val="0"/>
              <w:adjustRightInd w:val="0"/>
              <w:spacing w:before="0" w:after="0"/>
              <w:rPr>
                <w:rFonts w:cs="Arial"/>
                <w:sz w:val="20"/>
                <w:szCs w:val="20"/>
              </w:rPr>
            </w:pPr>
            <w:r w:rsidRPr="0068236B">
              <w:rPr>
                <w:rFonts w:cs="Arial"/>
                <w:sz w:val="20"/>
                <w:szCs w:val="20"/>
              </w:rPr>
              <w:t>High</w:t>
            </w:r>
          </w:p>
        </w:tc>
        <w:tc>
          <w:tcPr>
            <w:tcW w:w="2126" w:type="dxa"/>
            <w:tcBorders>
              <w:top w:val="double" w:sz="4" w:space="0" w:color="auto"/>
              <w:bottom w:val="single" w:sz="4" w:space="0" w:color="auto"/>
            </w:tcBorders>
          </w:tcPr>
          <w:p w14:paraId="797C6636" w14:textId="77777777" w:rsidR="00DA113D" w:rsidRPr="0068236B" w:rsidRDefault="00DA113D" w:rsidP="00DA113D">
            <w:pPr>
              <w:autoSpaceDE w:val="0"/>
              <w:autoSpaceDN w:val="0"/>
              <w:adjustRightInd w:val="0"/>
              <w:spacing w:before="0" w:after="0"/>
              <w:rPr>
                <w:rFonts w:cs="Arial"/>
                <w:sz w:val="20"/>
                <w:szCs w:val="20"/>
              </w:rPr>
            </w:pPr>
            <w:r w:rsidRPr="0068236B">
              <w:rPr>
                <w:rFonts w:cs="Arial"/>
                <w:sz w:val="20"/>
                <w:szCs w:val="20"/>
              </w:rPr>
              <w:t>High: within 100 m</w:t>
            </w:r>
          </w:p>
          <w:p w14:paraId="346A3149" w14:textId="77777777" w:rsidR="00DA113D" w:rsidRPr="0068236B" w:rsidRDefault="00DA113D" w:rsidP="00DA113D">
            <w:pPr>
              <w:autoSpaceDE w:val="0"/>
              <w:autoSpaceDN w:val="0"/>
              <w:adjustRightInd w:val="0"/>
              <w:spacing w:before="0" w:after="0"/>
              <w:rPr>
                <w:rFonts w:cs="Arial"/>
                <w:sz w:val="20"/>
                <w:szCs w:val="20"/>
              </w:rPr>
            </w:pPr>
            <w:r w:rsidRPr="0068236B">
              <w:rPr>
                <w:rFonts w:cs="Arial"/>
                <w:sz w:val="20"/>
                <w:szCs w:val="20"/>
              </w:rPr>
              <w:t>Medium: 100 - 200 m</w:t>
            </w:r>
          </w:p>
        </w:tc>
        <w:tc>
          <w:tcPr>
            <w:tcW w:w="2301" w:type="dxa"/>
            <w:tcBorders>
              <w:top w:val="double" w:sz="4" w:space="0" w:color="auto"/>
              <w:bottom w:val="single" w:sz="4" w:space="0" w:color="auto"/>
            </w:tcBorders>
          </w:tcPr>
          <w:p w14:paraId="68F1872C" w14:textId="77777777" w:rsidR="00DA113D" w:rsidRPr="0068236B" w:rsidRDefault="00DA113D" w:rsidP="00DA113D">
            <w:pPr>
              <w:autoSpaceDE w:val="0"/>
              <w:autoSpaceDN w:val="0"/>
              <w:adjustRightInd w:val="0"/>
              <w:spacing w:before="0" w:after="0"/>
              <w:rPr>
                <w:rFonts w:cs="Arial"/>
                <w:sz w:val="20"/>
                <w:szCs w:val="20"/>
              </w:rPr>
            </w:pPr>
            <w:r w:rsidRPr="0068236B">
              <w:rPr>
                <w:rFonts w:cs="Arial"/>
                <w:sz w:val="20"/>
                <w:szCs w:val="20"/>
              </w:rPr>
              <w:t>Major: within 100 m</w:t>
            </w:r>
          </w:p>
          <w:p w14:paraId="14DB9208" w14:textId="77777777" w:rsidR="00DA113D" w:rsidRPr="0068236B" w:rsidRDefault="00DA113D" w:rsidP="00DA113D">
            <w:pPr>
              <w:autoSpaceDE w:val="0"/>
              <w:autoSpaceDN w:val="0"/>
              <w:adjustRightInd w:val="0"/>
              <w:spacing w:before="0" w:after="0"/>
              <w:rPr>
                <w:rFonts w:cs="Arial"/>
                <w:sz w:val="20"/>
                <w:szCs w:val="20"/>
              </w:rPr>
            </w:pPr>
            <w:r w:rsidRPr="0068236B">
              <w:rPr>
                <w:rFonts w:cs="Arial"/>
                <w:sz w:val="20"/>
                <w:szCs w:val="20"/>
              </w:rPr>
              <w:t>Moderate: 100 - 200 m</w:t>
            </w:r>
          </w:p>
        </w:tc>
      </w:tr>
      <w:tr w:rsidR="00DA113D" w:rsidRPr="0068236B" w14:paraId="49B39A3E" w14:textId="77777777" w:rsidTr="00DA113D">
        <w:trPr>
          <w:cantSplit/>
        </w:trPr>
        <w:tc>
          <w:tcPr>
            <w:tcW w:w="1418" w:type="dxa"/>
            <w:vMerge/>
            <w:tcBorders>
              <w:top w:val="double" w:sz="4" w:space="0" w:color="auto"/>
            </w:tcBorders>
            <w:shd w:val="clear" w:color="auto" w:fill="BFBFBF" w:themeFill="background1" w:themeFillShade="BF"/>
            <w:vAlign w:val="center"/>
          </w:tcPr>
          <w:p w14:paraId="69956499" w14:textId="77777777" w:rsidR="00DA113D" w:rsidRPr="0068236B" w:rsidRDefault="00DA113D" w:rsidP="00DA113D">
            <w:pPr>
              <w:autoSpaceDE w:val="0"/>
              <w:autoSpaceDN w:val="0"/>
              <w:adjustRightInd w:val="0"/>
              <w:spacing w:before="0" w:after="0"/>
              <w:rPr>
                <w:rFonts w:cs="Arial"/>
                <w:bCs/>
                <w:sz w:val="20"/>
                <w:szCs w:val="20"/>
              </w:rPr>
            </w:pPr>
          </w:p>
        </w:tc>
        <w:tc>
          <w:tcPr>
            <w:tcW w:w="2642" w:type="dxa"/>
            <w:tcBorders>
              <w:top w:val="single" w:sz="4" w:space="0" w:color="auto"/>
              <w:bottom w:val="single" w:sz="4" w:space="0" w:color="auto"/>
            </w:tcBorders>
          </w:tcPr>
          <w:p w14:paraId="23412D1B" w14:textId="77777777" w:rsidR="00DA113D" w:rsidRPr="0068236B" w:rsidRDefault="00DA113D" w:rsidP="00DA113D">
            <w:pPr>
              <w:spacing w:before="0" w:after="0"/>
              <w:jc w:val="left"/>
              <w:rPr>
                <w:rFonts w:cs="Arial"/>
                <w:sz w:val="20"/>
                <w:szCs w:val="20"/>
              </w:rPr>
            </w:pPr>
            <w:r w:rsidRPr="0068236B">
              <w:rPr>
                <w:rFonts w:cs="Arial"/>
                <w:sz w:val="20"/>
                <w:szCs w:val="20"/>
              </w:rPr>
              <w:t>Construction of access tracks</w:t>
            </w:r>
          </w:p>
        </w:tc>
        <w:tc>
          <w:tcPr>
            <w:tcW w:w="1134" w:type="dxa"/>
            <w:tcBorders>
              <w:top w:val="single" w:sz="4" w:space="0" w:color="auto"/>
              <w:bottom w:val="single" w:sz="4" w:space="0" w:color="auto"/>
            </w:tcBorders>
          </w:tcPr>
          <w:p w14:paraId="166C3163" w14:textId="77777777" w:rsidR="00DA113D" w:rsidRPr="0068236B" w:rsidRDefault="00DA113D" w:rsidP="00DA113D">
            <w:pPr>
              <w:autoSpaceDE w:val="0"/>
              <w:autoSpaceDN w:val="0"/>
              <w:adjustRightInd w:val="0"/>
              <w:spacing w:before="0" w:after="0"/>
              <w:rPr>
                <w:rFonts w:cs="Arial"/>
                <w:sz w:val="20"/>
                <w:szCs w:val="20"/>
              </w:rPr>
            </w:pPr>
            <w:r w:rsidRPr="0068236B">
              <w:rPr>
                <w:rFonts w:cs="Arial"/>
                <w:sz w:val="20"/>
                <w:szCs w:val="20"/>
              </w:rPr>
              <w:t>High</w:t>
            </w:r>
          </w:p>
        </w:tc>
        <w:tc>
          <w:tcPr>
            <w:tcW w:w="2126" w:type="dxa"/>
            <w:tcBorders>
              <w:top w:val="single" w:sz="4" w:space="0" w:color="auto"/>
              <w:bottom w:val="single" w:sz="4" w:space="0" w:color="auto"/>
            </w:tcBorders>
          </w:tcPr>
          <w:p w14:paraId="4FAF6EDE" w14:textId="77777777" w:rsidR="00DA113D" w:rsidRPr="0068236B" w:rsidRDefault="00DA113D" w:rsidP="00DA113D">
            <w:pPr>
              <w:autoSpaceDE w:val="0"/>
              <w:autoSpaceDN w:val="0"/>
              <w:adjustRightInd w:val="0"/>
              <w:spacing w:before="0" w:after="0"/>
              <w:rPr>
                <w:rFonts w:cs="Arial"/>
                <w:sz w:val="20"/>
                <w:szCs w:val="20"/>
              </w:rPr>
            </w:pPr>
            <w:r w:rsidRPr="0068236B">
              <w:rPr>
                <w:rFonts w:cs="Arial"/>
                <w:sz w:val="20"/>
                <w:szCs w:val="20"/>
              </w:rPr>
              <w:t>High: within 50 m</w:t>
            </w:r>
          </w:p>
          <w:p w14:paraId="183D1491" w14:textId="77777777" w:rsidR="00DA113D" w:rsidRPr="0068236B" w:rsidRDefault="00DA113D" w:rsidP="00DA113D">
            <w:pPr>
              <w:autoSpaceDE w:val="0"/>
              <w:autoSpaceDN w:val="0"/>
              <w:adjustRightInd w:val="0"/>
              <w:spacing w:before="0" w:after="0"/>
              <w:rPr>
                <w:rFonts w:cs="Arial"/>
                <w:sz w:val="20"/>
                <w:szCs w:val="20"/>
              </w:rPr>
            </w:pPr>
            <w:r w:rsidRPr="0068236B">
              <w:rPr>
                <w:rFonts w:cs="Arial"/>
                <w:sz w:val="20"/>
                <w:szCs w:val="20"/>
              </w:rPr>
              <w:t>Medium: 50 - 100 m</w:t>
            </w:r>
          </w:p>
        </w:tc>
        <w:tc>
          <w:tcPr>
            <w:tcW w:w="2301" w:type="dxa"/>
            <w:tcBorders>
              <w:top w:val="single" w:sz="4" w:space="0" w:color="auto"/>
              <w:bottom w:val="single" w:sz="4" w:space="0" w:color="auto"/>
            </w:tcBorders>
          </w:tcPr>
          <w:p w14:paraId="7A4AB0F3" w14:textId="77777777" w:rsidR="00DA113D" w:rsidRPr="0068236B" w:rsidRDefault="00DA113D" w:rsidP="00DA113D">
            <w:pPr>
              <w:autoSpaceDE w:val="0"/>
              <w:autoSpaceDN w:val="0"/>
              <w:adjustRightInd w:val="0"/>
              <w:spacing w:before="0" w:after="0"/>
              <w:rPr>
                <w:rFonts w:cs="Arial"/>
                <w:sz w:val="20"/>
                <w:szCs w:val="20"/>
              </w:rPr>
            </w:pPr>
            <w:r w:rsidRPr="0068236B">
              <w:rPr>
                <w:rFonts w:cs="Arial"/>
                <w:sz w:val="20"/>
                <w:szCs w:val="20"/>
              </w:rPr>
              <w:t>Major: within 50 m</w:t>
            </w:r>
          </w:p>
          <w:p w14:paraId="1E7355E9" w14:textId="77777777" w:rsidR="00DA113D" w:rsidRPr="0068236B" w:rsidRDefault="00DA113D" w:rsidP="00DA113D">
            <w:pPr>
              <w:autoSpaceDE w:val="0"/>
              <w:autoSpaceDN w:val="0"/>
              <w:adjustRightInd w:val="0"/>
              <w:spacing w:before="0" w:after="0"/>
              <w:rPr>
                <w:rFonts w:cs="Arial"/>
                <w:sz w:val="20"/>
                <w:szCs w:val="20"/>
              </w:rPr>
            </w:pPr>
            <w:r w:rsidRPr="0068236B">
              <w:rPr>
                <w:rFonts w:cs="Arial"/>
                <w:sz w:val="20"/>
                <w:szCs w:val="20"/>
              </w:rPr>
              <w:t>Moderate: 50 - 100 m</w:t>
            </w:r>
          </w:p>
        </w:tc>
      </w:tr>
      <w:tr w:rsidR="00DA113D" w:rsidRPr="0068236B" w14:paraId="2153D1BD" w14:textId="77777777" w:rsidTr="00DA113D">
        <w:trPr>
          <w:cantSplit/>
        </w:trPr>
        <w:tc>
          <w:tcPr>
            <w:tcW w:w="1418" w:type="dxa"/>
            <w:vMerge/>
            <w:shd w:val="clear" w:color="auto" w:fill="BFBFBF" w:themeFill="background1" w:themeFillShade="BF"/>
            <w:vAlign w:val="center"/>
          </w:tcPr>
          <w:p w14:paraId="0A312B1F" w14:textId="77777777" w:rsidR="00DA113D" w:rsidRPr="0068236B" w:rsidRDefault="00DA113D" w:rsidP="00DA113D">
            <w:pPr>
              <w:autoSpaceDE w:val="0"/>
              <w:autoSpaceDN w:val="0"/>
              <w:adjustRightInd w:val="0"/>
              <w:spacing w:before="0" w:after="0"/>
              <w:rPr>
                <w:rFonts w:cs="Arial"/>
                <w:bCs/>
                <w:sz w:val="20"/>
                <w:szCs w:val="20"/>
              </w:rPr>
            </w:pPr>
          </w:p>
        </w:tc>
        <w:tc>
          <w:tcPr>
            <w:tcW w:w="2642" w:type="dxa"/>
            <w:tcBorders>
              <w:top w:val="single" w:sz="4" w:space="0" w:color="auto"/>
            </w:tcBorders>
          </w:tcPr>
          <w:p w14:paraId="1B4FFBA3" w14:textId="77777777" w:rsidR="00DA113D" w:rsidRPr="0068236B" w:rsidRDefault="00DA113D" w:rsidP="00DA113D">
            <w:pPr>
              <w:spacing w:before="0" w:after="0"/>
              <w:jc w:val="left"/>
              <w:rPr>
                <w:rFonts w:cs="Arial"/>
                <w:sz w:val="20"/>
                <w:szCs w:val="20"/>
              </w:rPr>
            </w:pPr>
            <w:r w:rsidRPr="0068236B">
              <w:rPr>
                <w:rFonts w:cs="Arial"/>
                <w:sz w:val="20"/>
                <w:szCs w:val="20"/>
              </w:rPr>
              <w:t>Construction of tower fou</w:t>
            </w:r>
            <w:r w:rsidRPr="0068236B">
              <w:rPr>
                <w:rFonts w:cs="Arial"/>
                <w:sz w:val="20"/>
                <w:szCs w:val="20"/>
              </w:rPr>
              <w:t>n</w:t>
            </w:r>
            <w:r w:rsidRPr="0068236B">
              <w:rPr>
                <w:rFonts w:cs="Arial"/>
                <w:sz w:val="20"/>
                <w:szCs w:val="20"/>
              </w:rPr>
              <w:t>dations</w:t>
            </w:r>
          </w:p>
        </w:tc>
        <w:tc>
          <w:tcPr>
            <w:tcW w:w="1134" w:type="dxa"/>
            <w:tcBorders>
              <w:top w:val="single" w:sz="4" w:space="0" w:color="auto"/>
            </w:tcBorders>
          </w:tcPr>
          <w:p w14:paraId="6675589B" w14:textId="77777777" w:rsidR="00DA113D" w:rsidRPr="0068236B" w:rsidRDefault="00DA113D" w:rsidP="00DA113D">
            <w:pPr>
              <w:spacing w:before="0" w:after="0"/>
              <w:rPr>
                <w:sz w:val="20"/>
                <w:szCs w:val="20"/>
              </w:rPr>
            </w:pPr>
            <w:r w:rsidRPr="0068236B">
              <w:rPr>
                <w:rFonts w:cs="Arial"/>
                <w:sz w:val="20"/>
                <w:szCs w:val="20"/>
              </w:rPr>
              <w:t>High</w:t>
            </w:r>
          </w:p>
        </w:tc>
        <w:tc>
          <w:tcPr>
            <w:tcW w:w="2126" w:type="dxa"/>
            <w:tcBorders>
              <w:top w:val="single" w:sz="4" w:space="0" w:color="auto"/>
            </w:tcBorders>
          </w:tcPr>
          <w:p w14:paraId="3ED51B95" w14:textId="77777777" w:rsidR="00DA113D" w:rsidRPr="0068236B" w:rsidRDefault="00DA113D" w:rsidP="00DA113D">
            <w:pPr>
              <w:autoSpaceDE w:val="0"/>
              <w:autoSpaceDN w:val="0"/>
              <w:adjustRightInd w:val="0"/>
              <w:spacing w:before="0" w:after="0"/>
              <w:rPr>
                <w:rFonts w:cs="Arial"/>
                <w:sz w:val="20"/>
                <w:szCs w:val="20"/>
              </w:rPr>
            </w:pPr>
            <w:r w:rsidRPr="0068236B">
              <w:rPr>
                <w:rFonts w:cs="Arial"/>
                <w:sz w:val="20"/>
                <w:szCs w:val="20"/>
              </w:rPr>
              <w:t>High: within 50 m</w:t>
            </w:r>
          </w:p>
          <w:p w14:paraId="109004D7" w14:textId="77777777" w:rsidR="00DA113D" w:rsidRPr="0068236B" w:rsidRDefault="00DA113D" w:rsidP="00DA113D">
            <w:pPr>
              <w:autoSpaceDE w:val="0"/>
              <w:autoSpaceDN w:val="0"/>
              <w:adjustRightInd w:val="0"/>
              <w:spacing w:before="0" w:after="0"/>
              <w:rPr>
                <w:rFonts w:cs="Arial"/>
                <w:sz w:val="20"/>
                <w:szCs w:val="20"/>
              </w:rPr>
            </w:pPr>
            <w:r w:rsidRPr="0068236B">
              <w:rPr>
                <w:rFonts w:cs="Arial"/>
                <w:sz w:val="20"/>
                <w:szCs w:val="20"/>
              </w:rPr>
              <w:t>Medium: 50 - 100 m</w:t>
            </w:r>
          </w:p>
        </w:tc>
        <w:tc>
          <w:tcPr>
            <w:tcW w:w="2301" w:type="dxa"/>
            <w:tcBorders>
              <w:top w:val="single" w:sz="4" w:space="0" w:color="auto"/>
            </w:tcBorders>
          </w:tcPr>
          <w:p w14:paraId="00165A31" w14:textId="77777777" w:rsidR="00DA113D" w:rsidRPr="0068236B" w:rsidRDefault="00DA113D" w:rsidP="00DA113D">
            <w:pPr>
              <w:autoSpaceDE w:val="0"/>
              <w:autoSpaceDN w:val="0"/>
              <w:adjustRightInd w:val="0"/>
              <w:spacing w:before="0" w:after="0"/>
              <w:rPr>
                <w:rFonts w:cs="Arial"/>
                <w:sz w:val="20"/>
                <w:szCs w:val="20"/>
              </w:rPr>
            </w:pPr>
            <w:r w:rsidRPr="0068236B">
              <w:rPr>
                <w:rFonts w:cs="Arial"/>
                <w:sz w:val="20"/>
                <w:szCs w:val="20"/>
              </w:rPr>
              <w:t>Major: within 50 m</w:t>
            </w:r>
          </w:p>
          <w:p w14:paraId="748EB21C" w14:textId="77777777" w:rsidR="00DA113D" w:rsidRPr="0068236B" w:rsidRDefault="00DA113D" w:rsidP="00DA113D">
            <w:pPr>
              <w:autoSpaceDE w:val="0"/>
              <w:autoSpaceDN w:val="0"/>
              <w:adjustRightInd w:val="0"/>
              <w:spacing w:before="0" w:after="0"/>
              <w:rPr>
                <w:rFonts w:cs="Arial"/>
                <w:sz w:val="20"/>
                <w:szCs w:val="20"/>
              </w:rPr>
            </w:pPr>
            <w:r w:rsidRPr="0068236B">
              <w:rPr>
                <w:rFonts w:cs="Arial"/>
                <w:sz w:val="20"/>
                <w:szCs w:val="20"/>
              </w:rPr>
              <w:t>Moderate: 50 - 100 m</w:t>
            </w:r>
          </w:p>
        </w:tc>
      </w:tr>
      <w:tr w:rsidR="00DA113D" w:rsidRPr="0068236B" w14:paraId="0988CBA5" w14:textId="77777777" w:rsidTr="00DA113D">
        <w:trPr>
          <w:cantSplit/>
        </w:trPr>
        <w:tc>
          <w:tcPr>
            <w:tcW w:w="1418" w:type="dxa"/>
            <w:vMerge/>
            <w:shd w:val="clear" w:color="auto" w:fill="BFBFBF" w:themeFill="background1" w:themeFillShade="BF"/>
            <w:vAlign w:val="center"/>
          </w:tcPr>
          <w:p w14:paraId="27A200A0" w14:textId="77777777" w:rsidR="00DA113D" w:rsidRPr="0068236B" w:rsidRDefault="00DA113D" w:rsidP="00DA113D">
            <w:pPr>
              <w:autoSpaceDE w:val="0"/>
              <w:autoSpaceDN w:val="0"/>
              <w:adjustRightInd w:val="0"/>
              <w:spacing w:before="0" w:after="0"/>
              <w:rPr>
                <w:rFonts w:cs="Arial"/>
                <w:bCs/>
                <w:sz w:val="20"/>
                <w:szCs w:val="20"/>
              </w:rPr>
            </w:pPr>
          </w:p>
        </w:tc>
        <w:tc>
          <w:tcPr>
            <w:tcW w:w="2642" w:type="dxa"/>
          </w:tcPr>
          <w:p w14:paraId="0CFEC01D" w14:textId="77777777" w:rsidR="00DA113D" w:rsidRPr="0068236B" w:rsidRDefault="00DA113D" w:rsidP="00DA113D">
            <w:pPr>
              <w:spacing w:before="0" w:after="0"/>
              <w:jc w:val="left"/>
              <w:rPr>
                <w:rFonts w:cs="Arial"/>
                <w:sz w:val="20"/>
                <w:szCs w:val="20"/>
              </w:rPr>
            </w:pPr>
            <w:r w:rsidRPr="0068236B">
              <w:rPr>
                <w:rFonts w:cs="Arial"/>
                <w:sz w:val="20"/>
                <w:szCs w:val="20"/>
              </w:rPr>
              <w:t>Tower assembly &amp; erection</w:t>
            </w:r>
          </w:p>
        </w:tc>
        <w:tc>
          <w:tcPr>
            <w:tcW w:w="1134" w:type="dxa"/>
          </w:tcPr>
          <w:p w14:paraId="241CBEAD" w14:textId="77777777" w:rsidR="00DA113D" w:rsidRPr="0068236B" w:rsidRDefault="00DA113D" w:rsidP="00DA113D">
            <w:pPr>
              <w:spacing w:before="0" w:after="0"/>
              <w:rPr>
                <w:sz w:val="20"/>
                <w:szCs w:val="20"/>
              </w:rPr>
            </w:pPr>
            <w:r w:rsidRPr="0068236B">
              <w:rPr>
                <w:rFonts w:cs="Arial"/>
                <w:sz w:val="20"/>
                <w:szCs w:val="20"/>
              </w:rPr>
              <w:t>High</w:t>
            </w:r>
          </w:p>
        </w:tc>
        <w:tc>
          <w:tcPr>
            <w:tcW w:w="2126" w:type="dxa"/>
          </w:tcPr>
          <w:p w14:paraId="7DCBB7C7" w14:textId="77777777" w:rsidR="00DA113D" w:rsidRPr="0068236B" w:rsidRDefault="00DA113D" w:rsidP="00DA113D">
            <w:pPr>
              <w:autoSpaceDE w:val="0"/>
              <w:autoSpaceDN w:val="0"/>
              <w:adjustRightInd w:val="0"/>
              <w:spacing w:before="0" w:after="0"/>
              <w:rPr>
                <w:rFonts w:cs="Arial"/>
                <w:sz w:val="20"/>
                <w:szCs w:val="20"/>
              </w:rPr>
            </w:pPr>
            <w:r w:rsidRPr="0068236B">
              <w:rPr>
                <w:rFonts w:cs="Arial"/>
                <w:sz w:val="20"/>
                <w:szCs w:val="20"/>
              </w:rPr>
              <w:t>Medium: within 50 m</w:t>
            </w:r>
          </w:p>
        </w:tc>
        <w:tc>
          <w:tcPr>
            <w:tcW w:w="2301" w:type="dxa"/>
          </w:tcPr>
          <w:p w14:paraId="0B5651B2" w14:textId="77777777" w:rsidR="00DA113D" w:rsidRPr="0068236B" w:rsidRDefault="00DA113D" w:rsidP="00DA113D">
            <w:pPr>
              <w:autoSpaceDE w:val="0"/>
              <w:autoSpaceDN w:val="0"/>
              <w:adjustRightInd w:val="0"/>
              <w:spacing w:before="0" w:after="0"/>
              <w:rPr>
                <w:rFonts w:cs="Arial"/>
                <w:sz w:val="20"/>
                <w:szCs w:val="20"/>
              </w:rPr>
            </w:pPr>
            <w:r w:rsidRPr="0068236B">
              <w:rPr>
                <w:rFonts w:cs="Arial"/>
                <w:sz w:val="20"/>
                <w:szCs w:val="20"/>
              </w:rPr>
              <w:t>Moderate: within 50 m</w:t>
            </w:r>
          </w:p>
        </w:tc>
      </w:tr>
      <w:tr w:rsidR="00DA113D" w:rsidRPr="0068236B" w14:paraId="66F14DAC" w14:textId="77777777" w:rsidTr="00DA113D">
        <w:trPr>
          <w:cantSplit/>
        </w:trPr>
        <w:tc>
          <w:tcPr>
            <w:tcW w:w="1418" w:type="dxa"/>
            <w:vMerge/>
            <w:shd w:val="clear" w:color="auto" w:fill="BFBFBF" w:themeFill="background1" w:themeFillShade="BF"/>
          </w:tcPr>
          <w:p w14:paraId="5FF93256" w14:textId="77777777" w:rsidR="00DA113D" w:rsidRPr="0068236B" w:rsidRDefault="00DA113D" w:rsidP="00DA113D">
            <w:pPr>
              <w:spacing w:before="0" w:after="0"/>
              <w:rPr>
                <w:rFonts w:cs="Arial"/>
                <w:sz w:val="20"/>
                <w:szCs w:val="20"/>
              </w:rPr>
            </w:pPr>
          </w:p>
        </w:tc>
        <w:tc>
          <w:tcPr>
            <w:tcW w:w="2642" w:type="dxa"/>
          </w:tcPr>
          <w:p w14:paraId="760CEC53" w14:textId="1869BC9C" w:rsidR="00DA113D" w:rsidRPr="0068236B" w:rsidRDefault="005E6643" w:rsidP="00DA113D">
            <w:pPr>
              <w:spacing w:before="0" w:after="0"/>
              <w:jc w:val="left"/>
              <w:rPr>
                <w:rFonts w:cs="Arial"/>
                <w:sz w:val="20"/>
                <w:szCs w:val="20"/>
              </w:rPr>
            </w:pPr>
            <w:r w:rsidRPr="0068236B">
              <w:rPr>
                <w:rFonts w:cs="Arial"/>
                <w:sz w:val="20"/>
                <w:szCs w:val="20"/>
              </w:rPr>
              <w:t>Stringing of</w:t>
            </w:r>
            <w:r w:rsidR="00DA113D" w:rsidRPr="0068236B">
              <w:rPr>
                <w:rFonts w:cs="Arial"/>
                <w:sz w:val="20"/>
                <w:szCs w:val="20"/>
              </w:rPr>
              <w:t xml:space="preserve"> conductors</w:t>
            </w:r>
          </w:p>
        </w:tc>
        <w:tc>
          <w:tcPr>
            <w:tcW w:w="1134" w:type="dxa"/>
          </w:tcPr>
          <w:p w14:paraId="68D3193F" w14:textId="77777777" w:rsidR="00DA113D" w:rsidRPr="0068236B" w:rsidRDefault="00DA113D" w:rsidP="00DA113D">
            <w:pPr>
              <w:spacing w:before="0" w:after="0"/>
              <w:rPr>
                <w:sz w:val="20"/>
                <w:szCs w:val="20"/>
              </w:rPr>
            </w:pPr>
            <w:r w:rsidRPr="0068236B">
              <w:rPr>
                <w:rFonts w:cs="Arial"/>
                <w:sz w:val="20"/>
                <w:szCs w:val="20"/>
              </w:rPr>
              <w:t>High</w:t>
            </w:r>
          </w:p>
        </w:tc>
        <w:tc>
          <w:tcPr>
            <w:tcW w:w="2126" w:type="dxa"/>
          </w:tcPr>
          <w:p w14:paraId="057C71B6" w14:textId="77777777" w:rsidR="00DA113D" w:rsidRPr="0068236B" w:rsidRDefault="00DA113D" w:rsidP="00DA113D">
            <w:pPr>
              <w:autoSpaceDE w:val="0"/>
              <w:autoSpaceDN w:val="0"/>
              <w:adjustRightInd w:val="0"/>
              <w:spacing w:before="0" w:after="0"/>
              <w:rPr>
                <w:rFonts w:cs="Arial"/>
                <w:sz w:val="20"/>
                <w:szCs w:val="20"/>
              </w:rPr>
            </w:pPr>
            <w:r w:rsidRPr="0068236B">
              <w:rPr>
                <w:rFonts w:cs="Arial"/>
                <w:sz w:val="20"/>
                <w:szCs w:val="20"/>
              </w:rPr>
              <w:t>Medium: within 50 m</w:t>
            </w:r>
          </w:p>
        </w:tc>
        <w:tc>
          <w:tcPr>
            <w:tcW w:w="2301" w:type="dxa"/>
          </w:tcPr>
          <w:p w14:paraId="12231535" w14:textId="77777777" w:rsidR="00DA113D" w:rsidRPr="0068236B" w:rsidRDefault="00DA113D" w:rsidP="00DA113D">
            <w:pPr>
              <w:autoSpaceDE w:val="0"/>
              <w:autoSpaceDN w:val="0"/>
              <w:adjustRightInd w:val="0"/>
              <w:spacing w:before="0" w:after="0"/>
              <w:rPr>
                <w:rFonts w:cs="Arial"/>
                <w:sz w:val="20"/>
                <w:szCs w:val="20"/>
              </w:rPr>
            </w:pPr>
            <w:r w:rsidRPr="0068236B">
              <w:rPr>
                <w:rFonts w:cs="Arial"/>
                <w:sz w:val="20"/>
                <w:szCs w:val="20"/>
              </w:rPr>
              <w:t>Moderate: within 50 m</w:t>
            </w:r>
          </w:p>
        </w:tc>
      </w:tr>
    </w:tbl>
    <w:p w14:paraId="523D9AE5" w14:textId="60F0FE03" w:rsidR="00DA113D" w:rsidRPr="0068236B" w:rsidRDefault="00DA113D" w:rsidP="00DA113D">
      <w:pPr>
        <w:pStyle w:val="Caption"/>
        <w:spacing w:before="120" w:after="240"/>
        <w:jc w:val="left"/>
        <w:rPr>
          <w:rFonts w:eastAsia="Calibri"/>
          <w:b w:val="0"/>
          <w:i/>
        </w:rPr>
      </w:pPr>
      <w:bookmarkStart w:id="362" w:name="_Toc446278257"/>
      <w:bookmarkStart w:id="363" w:name="_Toc481953699"/>
      <w:bookmarkStart w:id="364" w:name="_Toc65936944"/>
      <w:bookmarkStart w:id="365" w:name="_Toc74509162"/>
      <w:bookmarkStart w:id="366" w:name="_Toc113018211"/>
      <w:r w:rsidRPr="0068236B">
        <w:rPr>
          <w:b w:val="0"/>
        </w:rPr>
        <w:t xml:space="preserve">Table </w:t>
      </w:r>
      <w:r w:rsidRPr="0068236B">
        <w:rPr>
          <w:b w:val="0"/>
          <w:i/>
        </w:rPr>
        <w:fldChar w:fldCharType="begin"/>
      </w:r>
      <w:r w:rsidRPr="0068236B">
        <w:rPr>
          <w:b w:val="0"/>
        </w:rPr>
        <w:instrText xml:space="preserve"> STYLEREF 1 \s </w:instrText>
      </w:r>
      <w:r w:rsidRPr="0068236B">
        <w:rPr>
          <w:b w:val="0"/>
          <w:i/>
        </w:rPr>
        <w:fldChar w:fldCharType="separate"/>
      </w:r>
      <w:r w:rsidR="00FD57E6">
        <w:rPr>
          <w:b w:val="0"/>
          <w:noProof/>
        </w:rPr>
        <w:t>8</w:t>
      </w:r>
      <w:r w:rsidRPr="0068236B">
        <w:rPr>
          <w:b w:val="0"/>
          <w:i/>
        </w:rPr>
        <w:fldChar w:fldCharType="end"/>
      </w:r>
      <w:r w:rsidRPr="0068236B">
        <w:rPr>
          <w:b w:val="0"/>
        </w:rPr>
        <w:t>.</w:t>
      </w:r>
      <w:r w:rsidRPr="0068236B">
        <w:rPr>
          <w:b w:val="0"/>
          <w:i/>
        </w:rPr>
        <w:fldChar w:fldCharType="begin"/>
      </w:r>
      <w:r w:rsidRPr="0068236B">
        <w:rPr>
          <w:b w:val="0"/>
        </w:rPr>
        <w:instrText xml:space="preserve"> SEQ Table \* ARABIC \s 1 </w:instrText>
      </w:r>
      <w:r w:rsidRPr="0068236B">
        <w:rPr>
          <w:b w:val="0"/>
          <w:i/>
        </w:rPr>
        <w:fldChar w:fldCharType="separate"/>
      </w:r>
      <w:r w:rsidR="00FD57E6">
        <w:rPr>
          <w:b w:val="0"/>
          <w:noProof/>
        </w:rPr>
        <w:t>15</w:t>
      </w:r>
      <w:r w:rsidRPr="0068236B">
        <w:rPr>
          <w:b w:val="0"/>
          <w:i/>
        </w:rPr>
        <w:fldChar w:fldCharType="end"/>
      </w:r>
      <w:r w:rsidR="0031300E" w:rsidRPr="0068236B">
        <w:rPr>
          <w:rFonts w:eastAsia="Calibri"/>
          <w:b w:val="0"/>
        </w:rPr>
        <w:t>:</w:t>
      </w:r>
      <w:r w:rsidRPr="0068236B">
        <w:rPr>
          <w:rFonts w:eastAsia="Calibri"/>
          <w:b w:val="0"/>
        </w:rPr>
        <w:t xml:space="preserve"> Significance of impacts from construction noise</w:t>
      </w:r>
      <w:bookmarkEnd w:id="362"/>
      <w:bookmarkEnd w:id="363"/>
      <w:r w:rsidRPr="0068236B">
        <w:rPr>
          <w:rFonts w:eastAsia="Calibri"/>
          <w:b w:val="0"/>
        </w:rPr>
        <w:t xml:space="preserve">, </w:t>
      </w:r>
      <w:r w:rsidRPr="0068236B">
        <w:rPr>
          <w:rFonts w:eastAsiaTheme="minorHAnsi" w:cs="Tahoma"/>
          <w:b w:val="0"/>
          <w:lang w:eastAsia="en-US"/>
        </w:rPr>
        <w:t>without mitigation</w:t>
      </w:r>
      <w:bookmarkEnd w:id="364"/>
      <w:bookmarkEnd w:id="365"/>
      <w:bookmarkEnd w:id="366"/>
    </w:p>
    <w:p w14:paraId="29A7E6CA" w14:textId="35DB1526" w:rsidR="0010720A" w:rsidRPr="0068236B" w:rsidRDefault="0031300E" w:rsidP="0031300E">
      <w:pPr>
        <w:autoSpaceDE w:val="0"/>
        <w:autoSpaceDN w:val="0"/>
        <w:adjustRightInd w:val="0"/>
        <w:rPr>
          <w:rFonts w:cs="Arial"/>
          <w:sz w:val="20"/>
          <w:szCs w:val="20"/>
        </w:rPr>
      </w:pPr>
      <w:r w:rsidRPr="0068236B">
        <w:rPr>
          <w:rFonts w:cs="Tahoma"/>
          <w:sz w:val="20"/>
          <w:szCs w:val="20"/>
        </w:rPr>
        <w:t>This assessment shows that, i</w:t>
      </w:r>
      <w:r w:rsidR="00DA113D" w:rsidRPr="0068236B">
        <w:rPr>
          <w:rFonts w:eastAsiaTheme="minorHAnsi" w:cs="Tahoma"/>
          <w:sz w:val="20"/>
          <w:szCs w:val="20"/>
          <w:lang w:eastAsia="en-US"/>
        </w:rPr>
        <w:t>n rural a</w:t>
      </w:r>
      <w:r w:rsidR="0010720A" w:rsidRPr="0068236B">
        <w:rPr>
          <w:rFonts w:eastAsiaTheme="minorHAnsi" w:cs="Tahoma"/>
          <w:sz w:val="20"/>
          <w:szCs w:val="20"/>
          <w:lang w:eastAsia="en-US"/>
        </w:rPr>
        <w:t xml:space="preserve">reas, significant noise effects </w:t>
      </w:r>
      <w:r w:rsidR="00DA113D" w:rsidRPr="0068236B">
        <w:rPr>
          <w:rFonts w:eastAsiaTheme="minorHAnsi" w:cs="Tahoma"/>
          <w:sz w:val="20"/>
          <w:szCs w:val="20"/>
          <w:lang w:eastAsia="en-US"/>
        </w:rPr>
        <w:t xml:space="preserve">are predicted at properties within </w:t>
      </w:r>
      <w:r w:rsidR="0010720A" w:rsidRPr="0068236B">
        <w:rPr>
          <w:rFonts w:eastAsiaTheme="minorHAnsi" w:cs="Tahoma"/>
          <w:sz w:val="20"/>
          <w:szCs w:val="20"/>
          <w:lang w:eastAsia="en-US"/>
        </w:rPr>
        <w:t>2</w:t>
      </w:r>
      <w:r w:rsidR="00DA113D" w:rsidRPr="0068236B">
        <w:rPr>
          <w:rFonts w:eastAsiaTheme="minorHAnsi" w:cs="Tahoma"/>
          <w:sz w:val="20"/>
          <w:szCs w:val="20"/>
          <w:lang w:eastAsia="en-US"/>
        </w:rPr>
        <w:t xml:space="preserve">00 m of the construction working areas, without mitigation. </w:t>
      </w:r>
      <w:r w:rsidRPr="0068236B">
        <w:rPr>
          <w:rFonts w:eastAsiaTheme="minorHAnsi" w:cs="Tahoma"/>
          <w:sz w:val="20"/>
          <w:szCs w:val="20"/>
          <w:lang w:eastAsia="en-US"/>
        </w:rPr>
        <w:t>Along the transmission lines, t</w:t>
      </w:r>
      <w:r w:rsidR="00DA113D" w:rsidRPr="0068236B">
        <w:rPr>
          <w:rFonts w:eastAsiaTheme="minorHAnsi" w:cs="Tahoma"/>
          <w:sz w:val="20"/>
          <w:szCs w:val="20"/>
          <w:lang w:eastAsia="en-US"/>
        </w:rPr>
        <w:t>hese effects will be of discontinuous nature and limited to periods of short duration (usually less than a few we</w:t>
      </w:r>
      <w:r w:rsidRPr="0068236B">
        <w:rPr>
          <w:rFonts w:eastAsiaTheme="minorHAnsi" w:cs="Tahoma"/>
          <w:sz w:val="20"/>
          <w:szCs w:val="20"/>
          <w:lang w:eastAsia="en-US"/>
        </w:rPr>
        <w:t>eks). At the subst</w:t>
      </w:r>
      <w:r w:rsidRPr="0068236B">
        <w:rPr>
          <w:rFonts w:eastAsiaTheme="minorHAnsi" w:cs="Tahoma"/>
          <w:sz w:val="20"/>
          <w:szCs w:val="20"/>
          <w:lang w:eastAsia="en-US"/>
        </w:rPr>
        <w:t>a</w:t>
      </w:r>
      <w:r w:rsidRPr="0068236B">
        <w:rPr>
          <w:rFonts w:eastAsiaTheme="minorHAnsi" w:cs="Tahoma"/>
          <w:sz w:val="20"/>
          <w:szCs w:val="20"/>
          <w:lang w:eastAsia="en-US"/>
        </w:rPr>
        <w:t>tion site, construction noise will be generated throughout the whole construction period, but it would also be of discontinuous nature depending on the construction progress.</w:t>
      </w:r>
      <w:r w:rsidR="0010720A" w:rsidRPr="0068236B">
        <w:rPr>
          <w:rFonts w:eastAsiaTheme="minorHAnsi" w:cs="Tahoma"/>
          <w:sz w:val="20"/>
          <w:szCs w:val="20"/>
          <w:lang w:eastAsia="en-US"/>
        </w:rPr>
        <w:t xml:space="preserve"> </w:t>
      </w:r>
      <w:r w:rsidR="0010720A" w:rsidRPr="0068236B">
        <w:rPr>
          <w:rFonts w:cs="Arial"/>
          <w:sz w:val="20"/>
          <w:szCs w:val="20"/>
        </w:rPr>
        <w:t>However, a</w:t>
      </w:r>
      <w:r w:rsidR="0010720A" w:rsidRPr="0068236B">
        <w:rPr>
          <w:rFonts w:cs="Tahoma"/>
          <w:sz w:val="20"/>
          <w:szCs w:val="20"/>
        </w:rPr>
        <w:t>s there are no properties (hou</w:t>
      </w:r>
      <w:r w:rsidR="0010720A" w:rsidRPr="0068236B">
        <w:rPr>
          <w:rFonts w:cs="Tahoma"/>
          <w:sz w:val="20"/>
          <w:szCs w:val="20"/>
        </w:rPr>
        <w:t>s</w:t>
      </w:r>
      <w:r w:rsidR="0010720A" w:rsidRPr="0068236B">
        <w:rPr>
          <w:rFonts w:cs="Tahoma"/>
          <w:sz w:val="20"/>
          <w:szCs w:val="20"/>
        </w:rPr>
        <w:t>es or facilities) within 200 metres from the Project, there can be no exceedance of the noise limits and no significant direct environmental impact to sensitive receptors during the construction works of the Project.</w:t>
      </w:r>
    </w:p>
    <w:p w14:paraId="367F40E1" w14:textId="5E1FDF6D" w:rsidR="0010720A" w:rsidRPr="0068236B" w:rsidRDefault="0010720A" w:rsidP="0010720A">
      <w:pPr>
        <w:pStyle w:val="Heading3"/>
      </w:pPr>
      <w:bookmarkStart w:id="367" w:name="_Toc112852269"/>
      <w:r w:rsidRPr="0068236B">
        <w:t>Mitigation</w:t>
      </w:r>
      <w:bookmarkEnd w:id="367"/>
      <w:r w:rsidRPr="0068236B">
        <w:t xml:space="preserve"> </w:t>
      </w:r>
    </w:p>
    <w:p w14:paraId="147678E2" w14:textId="5E1F3E3F" w:rsidR="0010720A" w:rsidRPr="0068236B" w:rsidRDefault="0010720A" w:rsidP="0010720A">
      <w:pPr>
        <w:widowControl w:val="0"/>
        <w:autoSpaceDE w:val="0"/>
        <w:autoSpaceDN w:val="0"/>
        <w:adjustRightInd w:val="0"/>
        <w:rPr>
          <w:rFonts w:cs="Arial"/>
          <w:sz w:val="20"/>
          <w:szCs w:val="20"/>
        </w:rPr>
      </w:pPr>
      <w:r w:rsidRPr="0068236B">
        <w:rPr>
          <w:sz w:val="20"/>
          <w:szCs w:val="20"/>
        </w:rPr>
        <w:t xml:space="preserve">The impacts of construction noise from the Project would be controlled by a number of mitigation actions and measures of good construction practice and would be set in the Project’s Construction Environmental and Social Management Plan (CESMP). </w:t>
      </w:r>
      <w:r w:rsidRPr="0068236B">
        <w:rPr>
          <w:rFonts w:cs="Tahoma"/>
          <w:sz w:val="20"/>
          <w:szCs w:val="20"/>
        </w:rPr>
        <w:t>These include key measures of good international practice that are typically adopted on construction projects, which are designed to prevent the occurrence of significant i</w:t>
      </w:r>
      <w:r w:rsidRPr="0068236B">
        <w:rPr>
          <w:rFonts w:cs="Tahoma"/>
          <w:sz w:val="20"/>
          <w:szCs w:val="20"/>
        </w:rPr>
        <w:t>m</w:t>
      </w:r>
      <w:r w:rsidRPr="0068236B">
        <w:rPr>
          <w:rFonts w:cs="Tahoma"/>
          <w:sz w:val="20"/>
          <w:szCs w:val="20"/>
        </w:rPr>
        <w:t>pacts.</w:t>
      </w:r>
    </w:p>
    <w:p w14:paraId="20082F80" w14:textId="44C0FF2D" w:rsidR="0010720A" w:rsidRPr="0068236B" w:rsidRDefault="0010720A" w:rsidP="0010720A">
      <w:pPr>
        <w:widowControl w:val="0"/>
        <w:autoSpaceDE w:val="0"/>
        <w:autoSpaceDN w:val="0"/>
        <w:adjustRightInd w:val="0"/>
        <w:rPr>
          <w:rFonts w:cs="Arial"/>
          <w:sz w:val="20"/>
          <w:szCs w:val="20"/>
        </w:rPr>
      </w:pPr>
      <w:r w:rsidRPr="0068236B">
        <w:rPr>
          <w:rFonts w:cs="Arial"/>
          <w:sz w:val="20"/>
          <w:szCs w:val="20"/>
        </w:rPr>
        <w:t>Relevant national regulations concerning the management of construction activities would be fully respected. Construction works as well as transport activities, including materials and equipment near the settlements, which imply increased noise levels, will not be conducted during the holidays, during the night</w:t>
      </w:r>
      <w:r w:rsidR="00D35BB6" w:rsidRPr="0068236B">
        <w:rPr>
          <w:rFonts w:cs="Arial"/>
          <w:sz w:val="20"/>
          <w:szCs w:val="20"/>
        </w:rPr>
        <w:t xml:space="preserve"> (</w:t>
      </w:r>
      <w:r w:rsidR="00D35BB6" w:rsidRPr="0068236B">
        <w:rPr>
          <w:rFonts w:cs="Tahoma"/>
          <w:sz w:val="20"/>
          <w:szCs w:val="20"/>
        </w:rPr>
        <w:t>period from 23,00 to 07.00 h</w:t>
      </w:r>
      <w:r w:rsidR="00D35BB6" w:rsidRPr="0068236B">
        <w:rPr>
          <w:rStyle w:val="CommentReference"/>
          <w:sz w:val="20"/>
          <w:szCs w:val="20"/>
        </w:rPr>
        <w:t>)</w:t>
      </w:r>
      <w:r w:rsidR="00D35BB6" w:rsidRPr="0068236B">
        <w:rPr>
          <w:rFonts w:cs="Arial"/>
          <w:sz w:val="20"/>
          <w:szCs w:val="20"/>
        </w:rPr>
        <w:t xml:space="preserve"> </w:t>
      </w:r>
      <w:r w:rsidRPr="0068236B">
        <w:rPr>
          <w:rFonts w:cs="Arial"/>
          <w:sz w:val="20"/>
          <w:szCs w:val="20"/>
        </w:rPr>
        <w:t>or at the weekend.</w:t>
      </w:r>
    </w:p>
    <w:p w14:paraId="7512FA38" w14:textId="1AC1CBF6" w:rsidR="0010720A" w:rsidRPr="0068236B" w:rsidRDefault="0010720A" w:rsidP="0010720A">
      <w:pPr>
        <w:rPr>
          <w:rFonts w:cs="Arial"/>
          <w:sz w:val="20"/>
          <w:szCs w:val="20"/>
        </w:rPr>
      </w:pPr>
      <w:r w:rsidRPr="0068236B">
        <w:rPr>
          <w:rFonts w:cs="Arial"/>
          <w:sz w:val="20"/>
          <w:szCs w:val="20"/>
        </w:rPr>
        <w:t xml:space="preserve">All construction procedures would be properly planned to reduce the time of utilization of equipment that </w:t>
      </w:r>
      <w:r w:rsidR="006E7A8C" w:rsidRPr="0068236B">
        <w:rPr>
          <w:rFonts w:cs="Arial"/>
          <w:sz w:val="20"/>
          <w:szCs w:val="20"/>
        </w:rPr>
        <w:t>generates the highest noise levels</w:t>
      </w:r>
      <w:r w:rsidRPr="0068236B">
        <w:rPr>
          <w:rFonts w:cs="Arial"/>
          <w:sz w:val="20"/>
          <w:szCs w:val="20"/>
        </w:rPr>
        <w:t>. Working hours and rules will be established based on the needs to r</w:t>
      </w:r>
      <w:r w:rsidRPr="0068236B">
        <w:rPr>
          <w:rFonts w:cs="Arial"/>
          <w:sz w:val="20"/>
          <w:szCs w:val="20"/>
        </w:rPr>
        <w:t>e</w:t>
      </w:r>
      <w:r w:rsidRPr="0068236B">
        <w:rPr>
          <w:rFonts w:cs="Arial"/>
          <w:sz w:val="20"/>
          <w:szCs w:val="20"/>
        </w:rPr>
        <w:t>duce the noise causing nuisance and disturbance, especially by avoiding the cumulative effect of increased noise due to simultaneous operation of different kinds of construction machinery and equipment.</w:t>
      </w:r>
    </w:p>
    <w:p w14:paraId="74162370" w14:textId="77777777" w:rsidR="0010720A" w:rsidRPr="0068236B" w:rsidRDefault="0010720A" w:rsidP="0010720A">
      <w:pPr>
        <w:autoSpaceDE w:val="0"/>
        <w:autoSpaceDN w:val="0"/>
        <w:adjustRightInd w:val="0"/>
        <w:rPr>
          <w:rFonts w:eastAsia="Calibri" w:cs="Arial"/>
          <w:color w:val="000000"/>
          <w:sz w:val="20"/>
          <w:szCs w:val="20"/>
        </w:rPr>
      </w:pPr>
      <w:r w:rsidRPr="0068236B">
        <w:rPr>
          <w:rFonts w:eastAsia="Calibri" w:cs="Arial"/>
          <w:color w:val="000000"/>
          <w:sz w:val="20"/>
          <w:szCs w:val="20"/>
        </w:rPr>
        <w:t>Other measures of good construction practice would be overtaken to mitigate noise from construction works, in minimum:</w:t>
      </w:r>
    </w:p>
    <w:p w14:paraId="105A6B83" w14:textId="17C03466" w:rsidR="0010720A" w:rsidRPr="0068236B" w:rsidRDefault="0010720A" w:rsidP="00D24CEF">
      <w:pPr>
        <w:pStyle w:val="ListBullet"/>
        <w:numPr>
          <w:ilvl w:val="0"/>
          <w:numId w:val="97"/>
        </w:numPr>
        <w:spacing w:line="240" w:lineRule="auto"/>
        <w:jc w:val="left"/>
        <w:rPr>
          <w:rFonts w:eastAsia="Calibri" w:cs="Arial"/>
          <w:color w:val="000000"/>
          <w:sz w:val="20"/>
          <w:szCs w:val="20"/>
        </w:rPr>
      </w:pPr>
      <w:r w:rsidRPr="0068236B">
        <w:rPr>
          <w:sz w:val="20"/>
          <w:szCs w:val="20"/>
        </w:rPr>
        <w:t>Where receptors are located close to working site, and access roads, all reasonable and pract</w:t>
      </w:r>
      <w:r w:rsidRPr="0068236B">
        <w:rPr>
          <w:sz w:val="20"/>
          <w:szCs w:val="20"/>
        </w:rPr>
        <w:t>i</w:t>
      </w:r>
      <w:r w:rsidRPr="0068236B">
        <w:rPr>
          <w:sz w:val="20"/>
          <w:szCs w:val="20"/>
        </w:rPr>
        <w:t xml:space="preserve">cable measures to minimise noise resulting from the construction / transport activity and to </w:t>
      </w:r>
      <w:r w:rsidRPr="0068236B">
        <w:rPr>
          <w:sz w:val="20"/>
          <w:szCs w:val="20"/>
        </w:rPr>
        <w:lastRenderedPageBreak/>
        <w:t>minimise the acoustic nuisances to adjacent properties during day and night would be proposed and implemented.</w:t>
      </w:r>
    </w:p>
    <w:p w14:paraId="77DB42C0" w14:textId="58C5EAAD" w:rsidR="0010720A" w:rsidRPr="0068236B" w:rsidRDefault="0010720A" w:rsidP="00D24CEF">
      <w:pPr>
        <w:pStyle w:val="ListBullet"/>
        <w:numPr>
          <w:ilvl w:val="0"/>
          <w:numId w:val="97"/>
        </w:numPr>
        <w:spacing w:line="240" w:lineRule="auto"/>
        <w:jc w:val="left"/>
        <w:rPr>
          <w:rFonts w:eastAsia="Calibri" w:cs="Arial"/>
          <w:color w:val="000000"/>
          <w:sz w:val="20"/>
          <w:szCs w:val="20"/>
        </w:rPr>
      </w:pPr>
      <w:r w:rsidRPr="0068236B">
        <w:rPr>
          <w:sz w:val="20"/>
          <w:szCs w:val="20"/>
        </w:rPr>
        <w:t>Use outdoor machinery that complies with the noise emissions standards as required by the re</w:t>
      </w:r>
      <w:r w:rsidRPr="0068236B">
        <w:rPr>
          <w:sz w:val="20"/>
          <w:szCs w:val="20"/>
        </w:rPr>
        <w:t>l</w:t>
      </w:r>
      <w:r w:rsidRPr="0068236B">
        <w:rPr>
          <w:sz w:val="20"/>
          <w:szCs w:val="20"/>
        </w:rPr>
        <w:t>evant Macedonian legislation</w:t>
      </w:r>
      <w:r w:rsidRPr="0068236B">
        <w:rPr>
          <w:rStyle w:val="FootnoteReference"/>
          <w:sz w:val="20"/>
          <w:szCs w:val="20"/>
        </w:rPr>
        <w:footnoteReference w:id="112"/>
      </w:r>
      <w:r w:rsidRPr="0068236B">
        <w:rPr>
          <w:sz w:val="20"/>
          <w:szCs w:val="20"/>
        </w:rPr>
        <w:t xml:space="preserve"> and the EU’s Outdoor Equipment Directive</w:t>
      </w:r>
      <w:r w:rsidRPr="0068236B">
        <w:rPr>
          <w:rStyle w:val="FootnoteReference"/>
          <w:rFonts w:cs="Tahoma"/>
          <w:sz w:val="20"/>
          <w:szCs w:val="20"/>
        </w:rPr>
        <w:footnoteReference w:id="113"/>
      </w:r>
      <w:r w:rsidRPr="0068236B">
        <w:rPr>
          <w:sz w:val="20"/>
          <w:szCs w:val="20"/>
        </w:rPr>
        <w:t>.</w:t>
      </w:r>
    </w:p>
    <w:p w14:paraId="319CA880" w14:textId="77777777" w:rsidR="0010720A" w:rsidRPr="0068236B" w:rsidRDefault="0010720A" w:rsidP="00D24CEF">
      <w:pPr>
        <w:pStyle w:val="ListBullet"/>
        <w:numPr>
          <w:ilvl w:val="0"/>
          <w:numId w:val="97"/>
        </w:numPr>
        <w:spacing w:line="240" w:lineRule="auto"/>
        <w:jc w:val="left"/>
        <w:rPr>
          <w:sz w:val="20"/>
          <w:szCs w:val="20"/>
        </w:rPr>
      </w:pPr>
      <w:r w:rsidRPr="0068236B">
        <w:rPr>
          <w:sz w:val="20"/>
          <w:szCs w:val="20"/>
        </w:rPr>
        <w:t>Locate stationary equipment (such as power generators and compressors) as far as possible from nearby receptors.</w:t>
      </w:r>
    </w:p>
    <w:p w14:paraId="61F90DCA" w14:textId="77777777" w:rsidR="0010720A" w:rsidRPr="0068236B" w:rsidRDefault="0010720A" w:rsidP="00D24CEF">
      <w:pPr>
        <w:pStyle w:val="ListBullet"/>
        <w:numPr>
          <w:ilvl w:val="0"/>
          <w:numId w:val="97"/>
        </w:numPr>
        <w:spacing w:line="240" w:lineRule="auto"/>
        <w:jc w:val="left"/>
        <w:rPr>
          <w:sz w:val="20"/>
          <w:szCs w:val="20"/>
        </w:rPr>
      </w:pPr>
      <w:r w:rsidRPr="0068236B">
        <w:rPr>
          <w:rFonts w:eastAsia="Calibri" w:cs="Arial"/>
          <w:color w:val="000000"/>
          <w:sz w:val="20"/>
          <w:szCs w:val="20"/>
        </w:rPr>
        <w:t>Any compressors brought on to construction sites would be sound reduced models fitted with acoustic enclosures.</w:t>
      </w:r>
    </w:p>
    <w:p w14:paraId="2A92EFAD" w14:textId="77777777" w:rsidR="0010720A" w:rsidRPr="0068236B" w:rsidRDefault="0010720A" w:rsidP="00D24CEF">
      <w:pPr>
        <w:pStyle w:val="ListBullet"/>
        <w:numPr>
          <w:ilvl w:val="0"/>
          <w:numId w:val="97"/>
        </w:numPr>
        <w:spacing w:line="240" w:lineRule="auto"/>
        <w:jc w:val="left"/>
        <w:rPr>
          <w:rFonts w:eastAsia="Calibri"/>
          <w:sz w:val="20"/>
          <w:szCs w:val="20"/>
        </w:rPr>
      </w:pPr>
      <w:r w:rsidRPr="0068236B">
        <w:rPr>
          <w:rFonts w:eastAsia="Calibri"/>
          <w:sz w:val="20"/>
          <w:szCs w:val="20"/>
        </w:rPr>
        <w:t>All pneumatic tools would be fitted with silencers.</w:t>
      </w:r>
    </w:p>
    <w:p w14:paraId="62018BE6" w14:textId="512038AB" w:rsidR="0010720A" w:rsidRPr="0068236B" w:rsidRDefault="0010720A" w:rsidP="00D24CEF">
      <w:pPr>
        <w:pStyle w:val="ListBullet"/>
        <w:numPr>
          <w:ilvl w:val="0"/>
          <w:numId w:val="97"/>
        </w:numPr>
        <w:spacing w:line="240" w:lineRule="auto"/>
        <w:jc w:val="left"/>
        <w:rPr>
          <w:rFonts w:eastAsia="Calibri"/>
          <w:sz w:val="20"/>
          <w:szCs w:val="20"/>
        </w:rPr>
      </w:pPr>
      <w:r w:rsidRPr="0068236B">
        <w:rPr>
          <w:rFonts w:eastAsia="Calibri"/>
          <w:sz w:val="20"/>
          <w:szCs w:val="20"/>
        </w:rPr>
        <w:t xml:space="preserve">Care would be taken when erecting towers or during other steelwork to avoid impact noise from banging steel. </w:t>
      </w:r>
    </w:p>
    <w:p w14:paraId="7060DE67" w14:textId="77777777" w:rsidR="0010720A" w:rsidRPr="0068236B" w:rsidRDefault="0010720A" w:rsidP="00D24CEF">
      <w:pPr>
        <w:pStyle w:val="ListBullet"/>
        <w:numPr>
          <w:ilvl w:val="0"/>
          <w:numId w:val="97"/>
        </w:numPr>
        <w:spacing w:line="240" w:lineRule="auto"/>
        <w:jc w:val="left"/>
        <w:rPr>
          <w:rFonts w:eastAsia="Calibri"/>
          <w:sz w:val="20"/>
          <w:szCs w:val="20"/>
        </w:rPr>
      </w:pPr>
      <w:r w:rsidRPr="0068236B">
        <w:rPr>
          <w:rFonts w:eastAsia="Calibri"/>
          <w:sz w:val="20"/>
          <w:szCs w:val="20"/>
        </w:rPr>
        <w:t xml:space="preserve">Care would be taken when unloading vehicles to minimize noise. </w:t>
      </w:r>
    </w:p>
    <w:p w14:paraId="4F410C2E" w14:textId="77777777" w:rsidR="0010720A" w:rsidRPr="0068236B" w:rsidRDefault="0010720A" w:rsidP="00D24CEF">
      <w:pPr>
        <w:pStyle w:val="ListBullet"/>
        <w:numPr>
          <w:ilvl w:val="0"/>
          <w:numId w:val="97"/>
        </w:numPr>
        <w:spacing w:line="240" w:lineRule="auto"/>
        <w:jc w:val="left"/>
        <w:rPr>
          <w:rFonts w:eastAsia="Calibri"/>
          <w:sz w:val="20"/>
          <w:szCs w:val="20"/>
        </w:rPr>
      </w:pPr>
      <w:r w:rsidRPr="0068236B">
        <w:rPr>
          <w:rFonts w:eastAsia="Calibri"/>
          <w:sz w:val="20"/>
          <w:szCs w:val="20"/>
        </w:rPr>
        <w:t>All machinery items would be properly maintained and operated in order to avoid causing e</w:t>
      </w:r>
      <w:r w:rsidRPr="0068236B">
        <w:rPr>
          <w:rFonts w:eastAsia="Calibri"/>
          <w:sz w:val="20"/>
          <w:szCs w:val="20"/>
        </w:rPr>
        <w:t>x</w:t>
      </w:r>
      <w:r w:rsidRPr="0068236B">
        <w:rPr>
          <w:rFonts w:eastAsia="Calibri"/>
          <w:sz w:val="20"/>
          <w:szCs w:val="20"/>
        </w:rPr>
        <w:t xml:space="preserve">cessive noise. </w:t>
      </w:r>
    </w:p>
    <w:p w14:paraId="0D7D16CF" w14:textId="453E3F3C" w:rsidR="0010720A" w:rsidRPr="0068236B" w:rsidRDefault="0010720A" w:rsidP="00D24CEF">
      <w:pPr>
        <w:pStyle w:val="ListBullet"/>
        <w:numPr>
          <w:ilvl w:val="0"/>
          <w:numId w:val="97"/>
        </w:numPr>
        <w:spacing w:line="240" w:lineRule="auto"/>
        <w:jc w:val="left"/>
        <w:rPr>
          <w:rFonts w:eastAsia="Calibri"/>
          <w:sz w:val="20"/>
          <w:szCs w:val="20"/>
        </w:rPr>
      </w:pPr>
      <w:r w:rsidRPr="0068236B">
        <w:rPr>
          <w:rFonts w:eastAsia="Calibri"/>
          <w:sz w:val="20"/>
          <w:szCs w:val="20"/>
        </w:rPr>
        <w:t>Restrictions on periods of operation and locations of specific construction act</w:t>
      </w:r>
      <w:r w:rsidR="002F6C4E" w:rsidRPr="0068236B">
        <w:rPr>
          <w:rFonts w:eastAsia="Calibri"/>
          <w:sz w:val="20"/>
          <w:szCs w:val="20"/>
        </w:rPr>
        <w:t>ivities would be agreed by the C</w:t>
      </w:r>
      <w:r w:rsidRPr="0068236B">
        <w:rPr>
          <w:rFonts w:eastAsia="Calibri"/>
          <w:sz w:val="20"/>
          <w:szCs w:val="20"/>
        </w:rPr>
        <w:t>ontractor with the relevant local authority.</w:t>
      </w:r>
    </w:p>
    <w:p w14:paraId="12E0AB5D" w14:textId="77777777" w:rsidR="0010720A" w:rsidRPr="0068236B" w:rsidRDefault="0010720A" w:rsidP="00D24CEF">
      <w:pPr>
        <w:pStyle w:val="ListBullet"/>
        <w:numPr>
          <w:ilvl w:val="0"/>
          <w:numId w:val="97"/>
        </w:numPr>
        <w:spacing w:line="240" w:lineRule="auto"/>
        <w:jc w:val="left"/>
        <w:rPr>
          <w:rFonts w:eastAsia="Calibri"/>
          <w:sz w:val="20"/>
          <w:szCs w:val="20"/>
        </w:rPr>
      </w:pPr>
      <w:r w:rsidRPr="0068236B">
        <w:rPr>
          <w:rFonts w:eastAsia="Calibri"/>
          <w:sz w:val="20"/>
          <w:szCs w:val="20"/>
        </w:rPr>
        <w:t>No holiday, night-time construction, or weekend operations will be allowed unless necessary to meet important schedules and work is agreed by the local authorities and discussed with the nearby residents.</w:t>
      </w:r>
    </w:p>
    <w:p w14:paraId="09D6DF18" w14:textId="0A0F456D" w:rsidR="00FE4D07" w:rsidRPr="0068236B" w:rsidRDefault="0010720A" w:rsidP="007D17ED">
      <w:pPr>
        <w:autoSpaceDE w:val="0"/>
        <w:autoSpaceDN w:val="0"/>
        <w:adjustRightInd w:val="0"/>
        <w:rPr>
          <w:rFonts w:eastAsia="Calibri" w:cs="Arial"/>
          <w:sz w:val="20"/>
          <w:szCs w:val="20"/>
        </w:rPr>
      </w:pPr>
      <w:r w:rsidRPr="0068236B">
        <w:rPr>
          <w:rFonts w:eastAsia="Calibri" w:cs="Arial"/>
          <w:sz w:val="20"/>
          <w:szCs w:val="20"/>
        </w:rPr>
        <w:t>In addition to the measures listed above, regular liaison with the local authorities to discuss activi</w:t>
      </w:r>
      <w:r w:rsidR="002F6C4E" w:rsidRPr="0068236B">
        <w:rPr>
          <w:rFonts w:eastAsia="Calibri" w:cs="Arial"/>
          <w:sz w:val="20"/>
          <w:szCs w:val="20"/>
        </w:rPr>
        <w:t>ties and the progress of the P</w:t>
      </w:r>
      <w:r w:rsidRPr="0068236B">
        <w:rPr>
          <w:rFonts w:eastAsia="Calibri" w:cs="Arial"/>
          <w:sz w:val="20"/>
          <w:szCs w:val="20"/>
        </w:rPr>
        <w:t>roject will be undertaken in order to minimize the potential for negative effects of the construction works due to noise nuisance.</w:t>
      </w:r>
    </w:p>
    <w:p w14:paraId="3C4AF956" w14:textId="601E7BD9" w:rsidR="003F0D91" w:rsidRPr="0068236B" w:rsidRDefault="003F0D91" w:rsidP="003F0D91">
      <w:pPr>
        <w:pStyle w:val="Heading3"/>
      </w:pPr>
      <w:bookmarkStart w:id="368" w:name="_Toc112852270"/>
      <w:r w:rsidRPr="0068236B">
        <w:t>Residual Impact</w:t>
      </w:r>
      <w:bookmarkEnd w:id="368"/>
      <w:r w:rsidRPr="0068236B">
        <w:t xml:space="preserve"> </w:t>
      </w:r>
    </w:p>
    <w:p w14:paraId="3148B00E" w14:textId="4C96E3F9" w:rsidR="007D17ED" w:rsidRPr="0068236B" w:rsidRDefault="007D17ED" w:rsidP="007D17ED">
      <w:pPr>
        <w:autoSpaceDE w:val="0"/>
        <w:autoSpaceDN w:val="0"/>
        <w:adjustRightInd w:val="0"/>
        <w:rPr>
          <w:rFonts w:cs="Arial"/>
          <w:sz w:val="20"/>
          <w:szCs w:val="20"/>
        </w:rPr>
      </w:pPr>
      <w:r w:rsidRPr="0068236B">
        <w:rPr>
          <w:rFonts w:cs="Arial"/>
          <w:sz w:val="20"/>
          <w:szCs w:val="20"/>
        </w:rPr>
        <w:t>The measures recommended for the mitigation of construction noise would provide respective degree of attenuation of noise when applied correctly. It is expected that this degree of attenuation would reduce noise levels to the recommended noise limits at urban and rural areas. Therefore, in principle, there would not be any residual effects provided that the mitigation set out in the CESMP Plan is implemented in affected areas.</w:t>
      </w:r>
    </w:p>
    <w:p w14:paraId="6E656E0C" w14:textId="16F3C7C0" w:rsidR="003F0D91" w:rsidRPr="0068236B" w:rsidRDefault="003F0D91" w:rsidP="003F0D91">
      <w:pPr>
        <w:pStyle w:val="Heading2"/>
        <w:spacing w:before="480" w:after="240"/>
        <w:ind w:left="576" w:hanging="576"/>
        <w:rPr>
          <w:rFonts w:cs="Arial"/>
          <w:szCs w:val="28"/>
        </w:rPr>
      </w:pPr>
      <w:bookmarkStart w:id="369" w:name="_Toc112852271"/>
      <w:r w:rsidRPr="0068236B">
        <w:rPr>
          <w:rFonts w:cs="Arial"/>
          <w:szCs w:val="28"/>
        </w:rPr>
        <w:t>Operational Noise</w:t>
      </w:r>
      <w:bookmarkEnd w:id="369"/>
    </w:p>
    <w:p w14:paraId="443BB78C" w14:textId="644B3086" w:rsidR="003F0D91" w:rsidRPr="0068236B" w:rsidRDefault="003F0D91" w:rsidP="003F0D91">
      <w:pPr>
        <w:pStyle w:val="Heading3"/>
      </w:pPr>
      <w:bookmarkStart w:id="370" w:name="_Toc80181153"/>
      <w:bookmarkStart w:id="371" w:name="_Toc112852272"/>
      <w:r w:rsidRPr="0068236B">
        <w:t>Transmission Line Audible Noise</w:t>
      </w:r>
      <w:bookmarkEnd w:id="370"/>
      <w:bookmarkEnd w:id="371"/>
    </w:p>
    <w:p w14:paraId="41FD52FF" w14:textId="38B594AE" w:rsidR="003F0D91" w:rsidRPr="0068236B" w:rsidRDefault="003F0D91" w:rsidP="003F0D91">
      <w:pPr>
        <w:pStyle w:val="Heading4"/>
        <w:rPr>
          <w:sz w:val="20"/>
        </w:rPr>
      </w:pPr>
      <w:r w:rsidRPr="0068236B">
        <w:rPr>
          <w:sz w:val="20"/>
        </w:rPr>
        <w:t>Introduction</w:t>
      </w:r>
    </w:p>
    <w:p w14:paraId="280BCA8C" w14:textId="77777777" w:rsidR="00695DB6" w:rsidRPr="0068236B" w:rsidRDefault="00695DB6" w:rsidP="00695DB6">
      <w:pPr>
        <w:autoSpaceDE w:val="0"/>
        <w:autoSpaceDN w:val="0"/>
        <w:adjustRightInd w:val="0"/>
        <w:rPr>
          <w:rFonts w:eastAsia="Calibri" w:cs="Arial"/>
          <w:sz w:val="20"/>
          <w:szCs w:val="20"/>
        </w:rPr>
      </w:pPr>
      <w:r w:rsidRPr="0068236B">
        <w:rPr>
          <w:rFonts w:eastAsia="Calibri" w:cs="Arial"/>
          <w:sz w:val="20"/>
          <w:szCs w:val="20"/>
        </w:rPr>
        <w:t>An operational transmission line can be a source of a phenomenon known as "corona discharge" (a limited electrical insulation breakdown of the air) which can also occur naturally during storms when highly charged clouds induce high electric fields around tall objects.</w:t>
      </w:r>
    </w:p>
    <w:p w14:paraId="67663619" w14:textId="77777777" w:rsidR="00695DB6" w:rsidRPr="0068236B" w:rsidRDefault="00695DB6" w:rsidP="00695DB6">
      <w:pPr>
        <w:autoSpaceDE w:val="0"/>
        <w:autoSpaceDN w:val="0"/>
        <w:adjustRightInd w:val="0"/>
        <w:rPr>
          <w:rFonts w:eastAsia="Calibri" w:cs="Arial"/>
          <w:sz w:val="20"/>
          <w:szCs w:val="20"/>
        </w:rPr>
      </w:pPr>
      <w:r w:rsidRPr="0068236B">
        <w:rPr>
          <w:rFonts w:eastAsia="Calibri" w:cs="Arial"/>
          <w:sz w:val="20"/>
          <w:szCs w:val="20"/>
        </w:rPr>
        <w:lastRenderedPageBreak/>
        <w:t>Whilst the conductor systems of overhead transmission lines are designed and constructed to minimise c</w:t>
      </w:r>
      <w:r w:rsidRPr="0068236B">
        <w:rPr>
          <w:rFonts w:eastAsia="Calibri" w:cs="Arial"/>
          <w:sz w:val="20"/>
          <w:szCs w:val="20"/>
        </w:rPr>
        <w:t>o</w:t>
      </w:r>
      <w:r w:rsidRPr="0068236B">
        <w:rPr>
          <w:rFonts w:eastAsia="Calibri" w:cs="Arial"/>
          <w:sz w:val="20"/>
          <w:szCs w:val="20"/>
        </w:rPr>
        <w:t>rona and hence acoustic noise, surface irregularities on the conductors, caused by physical damage such as burrs, or debris such as insects, pollen, industrial pollution, raindrops or other forms of contamination, may locally enhance the electric field strength sufficiently for discharges to occur. Any corona discharge will act as a source of audible noise i.e. a crackling sound occasionally accompanied by a low frequency hum in ce</w:t>
      </w:r>
      <w:r w:rsidRPr="0068236B">
        <w:rPr>
          <w:rFonts w:eastAsia="Calibri" w:cs="Arial"/>
          <w:sz w:val="20"/>
          <w:szCs w:val="20"/>
        </w:rPr>
        <w:t>r</w:t>
      </w:r>
      <w:r w:rsidRPr="0068236B">
        <w:rPr>
          <w:rFonts w:eastAsia="Calibri" w:cs="Arial"/>
          <w:sz w:val="20"/>
          <w:szCs w:val="20"/>
        </w:rPr>
        <w:t>tain wet conditions.</w:t>
      </w:r>
    </w:p>
    <w:p w14:paraId="573643BC" w14:textId="77777777" w:rsidR="00695DB6" w:rsidRPr="0068236B" w:rsidRDefault="00695DB6" w:rsidP="00695DB6">
      <w:pPr>
        <w:autoSpaceDE w:val="0"/>
        <w:autoSpaceDN w:val="0"/>
        <w:adjustRightInd w:val="0"/>
        <w:rPr>
          <w:rFonts w:eastAsia="Calibri" w:cs="Arial"/>
          <w:sz w:val="20"/>
          <w:szCs w:val="20"/>
        </w:rPr>
      </w:pPr>
      <w:r w:rsidRPr="0068236B">
        <w:rPr>
          <w:rFonts w:eastAsia="Calibri" w:cs="Arial"/>
          <w:sz w:val="20"/>
          <w:szCs w:val="20"/>
        </w:rPr>
        <w:t>Corona noise is generated only when the conductor surface electric stress exceeds the inception level for corona discharge activity. The transmission line conductors are designed to operate below this threshold. Surface contamination of a conductor, resulting in a modification to its otherwise smooth profile, will cause a very local enhancement of electric stress that may initiate discharge activity. At each discharge site, a limited electrical breakdown of the air occurs. A proportion of the energy associated with the corona process is r</w:t>
      </w:r>
      <w:r w:rsidRPr="0068236B">
        <w:rPr>
          <w:rFonts w:eastAsia="Calibri" w:cs="Arial"/>
          <w:sz w:val="20"/>
          <w:szCs w:val="20"/>
        </w:rPr>
        <w:t>e</w:t>
      </w:r>
      <w:r w:rsidRPr="0068236B">
        <w:rPr>
          <w:rFonts w:eastAsia="Calibri" w:cs="Arial"/>
          <w:sz w:val="20"/>
          <w:szCs w:val="20"/>
        </w:rPr>
        <w:t>leased as acoustic energy, which is launched into the air as sound pressure waves.</w:t>
      </w:r>
    </w:p>
    <w:p w14:paraId="57D1574A" w14:textId="77777777" w:rsidR="00695DB6" w:rsidRPr="0068236B" w:rsidRDefault="00695DB6" w:rsidP="00695DB6">
      <w:pPr>
        <w:autoSpaceDE w:val="0"/>
        <w:autoSpaceDN w:val="0"/>
        <w:adjustRightInd w:val="0"/>
        <w:rPr>
          <w:rFonts w:eastAsia="Calibri" w:cs="Arial"/>
          <w:sz w:val="20"/>
          <w:szCs w:val="20"/>
        </w:rPr>
      </w:pPr>
      <w:r w:rsidRPr="0068236B">
        <w:rPr>
          <w:rFonts w:eastAsia="Calibri" w:cs="Arial"/>
          <w:sz w:val="20"/>
          <w:szCs w:val="20"/>
        </w:rPr>
        <w:t>Highest noise levels generated by a transmission line generally occur during rain. Water droplets collect on the surface of the conductor and may initiate additional corona discharges. Fog may also give rise to i</w:t>
      </w:r>
      <w:r w:rsidRPr="0068236B">
        <w:rPr>
          <w:rFonts w:eastAsia="Calibri" w:cs="Arial"/>
          <w:sz w:val="20"/>
          <w:szCs w:val="20"/>
        </w:rPr>
        <w:t>n</w:t>
      </w:r>
      <w:r w:rsidRPr="0068236B">
        <w:rPr>
          <w:rFonts w:eastAsia="Calibri" w:cs="Arial"/>
          <w:sz w:val="20"/>
          <w:szCs w:val="20"/>
        </w:rPr>
        <w:t xml:space="preserve">creased noise levels. Fog noise is caused by droplets of water condensing onto the line and hence causing discharge activity in a similar way to rain. </w:t>
      </w:r>
    </w:p>
    <w:p w14:paraId="354D61CC" w14:textId="6DDA5619" w:rsidR="003F0D91" w:rsidRPr="0068236B" w:rsidRDefault="003F0D91" w:rsidP="003F0D91">
      <w:pPr>
        <w:pStyle w:val="Heading4"/>
        <w:rPr>
          <w:sz w:val="20"/>
        </w:rPr>
      </w:pPr>
      <w:r w:rsidRPr="0068236B">
        <w:rPr>
          <w:sz w:val="20"/>
        </w:rPr>
        <w:t>Potential Impacts</w:t>
      </w:r>
    </w:p>
    <w:p w14:paraId="4BC218CA" w14:textId="77777777" w:rsidR="00695DB6" w:rsidRPr="0068236B" w:rsidRDefault="00695DB6" w:rsidP="00695DB6">
      <w:pPr>
        <w:widowControl w:val="0"/>
        <w:autoSpaceDE w:val="0"/>
        <w:autoSpaceDN w:val="0"/>
        <w:adjustRightInd w:val="0"/>
        <w:rPr>
          <w:rFonts w:cs="Arial"/>
          <w:sz w:val="20"/>
          <w:szCs w:val="20"/>
        </w:rPr>
      </w:pPr>
      <w:r w:rsidRPr="0068236B">
        <w:rPr>
          <w:rFonts w:cs="Arial"/>
          <w:sz w:val="20"/>
          <w:szCs w:val="20"/>
        </w:rPr>
        <w:t xml:space="preserve">Operational noise generated by a transmission line increases noise levels in the surrounding environment and may cause nuisance to affected populations. </w:t>
      </w:r>
      <w:r w:rsidRPr="0068236B">
        <w:rPr>
          <w:rFonts w:eastAsia="Calibri" w:cs="Arial"/>
          <w:sz w:val="20"/>
          <w:szCs w:val="20"/>
        </w:rPr>
        <w:t>The high variability in the response of individuals to ident</w:t>
      </w:r>
      <w:r w:rsidRPr="0068236B">
        <w:rPr>
          <w:rFonts w:eastAsia="Calibri" w:cs="Arial"/>
          <w:sz w:val="20"/>
          <w:szCs w:val="20"/>
        </w:rPr>
        <w:t>i</w:t>
      </w:r>
      <w:r w:rsidRPr="0068236B">
        <w:rPr>
          <w:rFonts w:eastAsia="Calibri" w:cs="Arial"/>
          <w:sz w:val="20"/>
          <w:szCs w:val="20"/>
        </w:rPr>
        <w:t>cal noise sources makes the prediction of annoyance very difficult. Each individual's response to increased noise levels is subjective and highly personal.</w:t>
      </w:r>
    </w:p>
    <w:p w14:paraId="703DED8C" w14:textId="77777777" w:rsidR="00695DB6" w:rsidRPr="0068236B" w:rsidRDefault="00695DB6" w:rsidP="00695DB6">
      <w:pPr>
        <w:autoSpaceDE w:val="0"/>
        <w:autoSpaceDN w:val="0"/>
        <w:adjustRightInd w:val="0"/>
        <w:rPr>
          <w:rFonts w:cs="Arial"/>
          <w:sz w:val="20"/>
          <w:szCs w:val="20"/>
        </w:rPr>
      </w:pPr>
      <w:r w:rsidRPr="0068236B">
        <w:rPr>
          <w:rFonts w:eastAsia="Calibri" w:cs="Arial"/>
          <w:sz w:val="20"/>
          <w:szCs w:val="20"/>
        </w:rPr>
        <w:t>Transmission line audible noise is generally categorised as "crackle" or "hum", according to its tonal content. Crackle may occur alone, but hum will usually occur only in conjunction with crackle. Hum is only likely to occur during rain when rates of rainfall exceed 1mm/hr. Crackle is a “broad band” noise containing a random mixture of frequencies, typically ranging from 1 kHz to 10 kHz. No individual pure tone can be identified for any significant duration. Crackle has a generally similar spectral content to the sound of rainfall. Hum is a sound consisting of one or more pure tones. Generally 100 Hz is most dominant, but other harmonics of 50 Hz may also occur, to a lesser magnitude, as the harmonic increases in frequency, and only for the first few harmonics.</w:t>
      </w:r>
    </w:p>
    <w:p w14:paraId="12CF10D8" w14:textId="0703F23E" w:rsidR="00695DB6" w:rsidRPr="0068236B" w:rsidRDefault="00695DB6" w:rsidP="00695DB6">
      <w:pPr>
        <w:autoSpaceDE w:val="0"/>
        <w:autoSpaceDN w:val="0"/>
        <w:adjustRightInd w:val="0"/>
        <w:rPr>
          <w:rFonts w:cs="Arial"/>
          <w:sz w:val="20"/>
          <w:szCs w:val="20"/>
        </w:rPr>
      </w:pPr>
      <w:r w:rsidRPr="0068236B">
        <w:rPr>
          <w:rFonts w:cs="Arial"/>
          <w:sz w:val="20"/>
          <w:szCs w:val="20"/>
        </w:rPr>
        <w:t>The noise lev</w:t>
      </w:r>
      <w:r w:rsidRPr="0068236B">
        <w:rPr>
          <w:rFonts w:cs="Tahoma"/>
          <w:sz w:val="20"/>
          <w:szCs w:val="20"/>
        </w:rPr>
        <w:t>el changes along a transmission line and depends on the vertical conductor clearance as well as on surface irregularities or physical damages on the conductors. The corona noise attenuates with the di</w:t>
      </w:r>
      <w:r w:rsidRPr="0068236B">
        <w:rPr>
          <w:rFonts w:cs="Tahoma"/>
          <w:sz w:val="20"/>
          <w:szCs w:val="20"/>
        </w:rPr>
        <w:t>s</w:t>
      </w:r>
      <w:r w:rsidRPr="0068236B">
        <w:rPr>
          <w:rFonts w:cs="Tahoma"/>
          <w:sz w:val="20"/>
          <w:szCs w:val="20"/>
        </w:rPr>
        <w:t xml:space="preserve">tance from the transmission line and for lines of 110 kV voltage level at approx. 10 metres from the line the noise is almost </w:t>
      </w:r>
      <w:r w:rsidRPr="0068236B">
        <w:rPr>
          <w:rFonts w:cs="Tahoma"/>
          <w:sz w:val="20"/>
          <w:szCs w:val="20"/>
          <w:shd w:val="clear" w:color="auto" w:fill="FFFFFF"/>
        </w:rPr>
        <w:t xml:space="preserve">imperceptible and </w:t>
      </w:r>
      <w:r w:rsidR="005E6643" w:rsidRPr="0068236B">
        <w:rPr>
          <w:rFonts w:cs="Tahoma"/>
          <w:sz w:val="20"/>
          <w:szCs w:val="20"/>
          <w:shd w:val="clear" w:color="auto" w:fill="FFFFFF"/>
        </w:rPr>
        <w:t>significantly</w:t>
      </w:r>
      <w:r w:rsidRPr="0068236B">
        <w:rPr>
          <w:rFonts w:cs="Tahoma"/>
          <w:sz w:val="20"/>
          <w:szCs w:val="20"/>
          <w:shd w:val="clear" w:color="auto" w:fill="FFFFFF"/>
        </w:rPr>
        <w:t xml:space="preserve"> below the </w:t>
      </w:r>
      <w:r w:rsidRPr="0068236B">
        <w:rPr>
          <w:rFonts w:cs="Tahoma"/>
          <w:sz w:val="20"/>
          <w:szCs w:val="20"/>
        </w:rPr>
        <w:t>noise limit value</w:t>
      </w:r>
      <w:r w:rsidRPr="0068236B">
        <w:rPr>
          <w:sz w:val="20"/>
          <w:szCs w:val="20"/>
        </w:rPr>
        <w:t xml:space="preserve"> for night (45 dB)</w:t>
      </w:r>
      <w:r w:rsidRPr="0068236B">
        <w:rPr>
          <w:rFonts w:cs="Arial"/>
          <w:sz w:val="20"/>
          <w:szCs w:val="20"/>
        </w:rPr>
        <w:t>, while compliance with the noise limit value for day and evening (55 dB) is achieved even within the footprint of the transmi</w:t>
      </w:r>
      <w:r w:rsidRPr="0068236B">
        <w:rPr>
          <w:rFonts w:cs="Arial"/>
          <w:sz w:val="20"/>
          <w:szCs w:val="20"/>
        </w:rPr>
        <w:t>s</w:t>
      </w:r>
      <w:r w:rsidRPr="0068236B">
        <w:rPr>
          <w:rFonts w:cs="Arial"/>
          <w:sz w:val="20"/>
          <w:szCs w:val="20"/>
        </w:rPr>
        <w:t>sion line.</w:t>
      </w:r>
    </w:p>
    <w:p w14:paraId="498CEAB4" w14:textId="5CFD573C" w:rsidR="001473AE" w:rsidRPr="0068236B" w:rsidRDefault="00695DB6" w:rsidP="001473AE">
      <w:pPr>
        <w:autoSpaceDE w:val="0"/>
        <w:autoSpaceDN w:val="0"/>
        <w:adjustRightInd w:val="0"/>
        <w:rPr>
          <w:rFonts w:cs="Tahoma"/>
          <w:sz w:val="20"/>
          <w:szCs w:val="20"/>
        </w:rPr>
      </w:pPr>
      <w:r w:rsidRPr="0068236B">
        <w:rPr>
          <w:rFonts w:cs="Tahoma"/>
          <w:sz w:val="20"/>
          <w:szCs w:val="20"/>
        </w:rPr>
        <w:t>This assessment shows that the transmission line</w:t>
      </w:r>
      <w:r w:rsidR="001473AE" w:rsidRPr="0068236B">
        <w:rPr>
          <w:rFonts w:cs="Tahoma"/>
          <w:sz w:val="20"/>
          <w:szCs w:val="20"/>
        </w:rPr>
        <w:t>s</w:t>
      </w:r>
      <w:r w:rsidRPr="0068236B">
        <w:rPr>
          <w:rFonts w:cs="Tahoma"/>
          <w:sz w:val="20"/>
          <w:szCs w:val="20"/>
        </w:rPr>
        <w:t xml:space="preserve"> under all operational and weather conditions will achieve compliance within the Right of Way, as determined in accordance with the respective </w:t>
      </w:r>
      <w:r w:rsidR="001473AE" w:rsidRPr="0068236B">
        <w:rPr>
          <w:rFonts w:cs="Tahoma"/>
          <w:sz w:val="20"/>
          <w:szCs w:val="20"/>
        </w:rPr>
        <w:t>Macedonian legisl</w:t>
      </w:r>
      <w:r w:rsidR="001473AE" w:rsidRPr="0068236B">
        <w:rPr>
          <w:rFonts w:cs="Tahoma"/>
          <w:sz w:val="20"/>
          <w:szCs w:val="20"/>
        </w:rPr>
        <w:t>a</w:t>
      </w:r>
      <w:r w:rsidR="001473AE" w:rsidRPr="0068236B">
        <w:rPr>
          <w:rFonts w:cs="Tahoma"/>
          <w:sz w:val="20"/>
          <w:szCs w:val="20"/>
        </w:rPr>
        <w:t>tion</w:t>
      </w:r>
      <w:r w:rsidR="001473AE" w:rsidRPr="0068236B">
        <w:rPr>
          <w:rStyle w:val="FootnoteReference"/>
          <w:rFonts w:cs="Tahoma"/>
          <w:sz w:val="20"/>
          <w:szCs w:val="20"/>
        </w:rPr>
        <w:footnoteReference w:id="114"/>
      </w:r>
      <w:r w:rsidR="001473AE" w:rsidRPr="0068236B">
        <w:rPr>
          <w:rFonts w:cs="Tahoma"/>
          <w:sz w:val="20"/>
          <w:szCs w:val="20"/>
        </w:rPr>
        <w:t xml:space="preserve"> and </w:t>
      </w:r>
      <w:r w:rsidR="00461F4B" w:rsidRPr="0068236B">
        <w:rPr>
          <w:rFonts w:cs="Tahoma"/>
          <w:sz w:val="20"/>
          <w:szCs w:val="20"/>
        </w:rPr>
        <w:t xml:space="preserve">MEPSO’s </w:t>
      </w:r>
      <w:r w:rsidR="001473AE" w:rsidRPr="0068236B">
        <w:rPr>
          <w:rFonts w:cs="Tahoma"/>
          <w:sz w:val="20"/>
          <w:szCs w:val="20"/>
        </w:rPr>
        <w:t>technical standards</w:t>
      </w:r>
      <w:r w:rsidR="001473AE" w:rsidRPr="0068236B">
        <w:rPr>
          <w:rStyle w:val="FootnoteReference"/>
          <w:rFonts w:cs="Tahoma"/>
          <w:sz w:val="20"/>
          <w:szCs w:val="20"/>
        </w:rPr>
        <w:footnoteReference w:id="115"/>
      </w:r>
      <w:r w:rsidR="001473AE" w:rsidRPr="0068236B">
        <w:rPr>
          <w:rFonts w:cs="Tahoma"/>
          <w:sz w:val="20"/>
          <w:szCs w:val="20"/>
        </w:rPr>
        <w:t xml:space="preserve"> (see Section 2.4.2)</w:t>
      </w:r>
      <w:r w:rsidRPr="0068236B">
        <w:rPr>
          <w:rFonts w:cs="Tahoma"/>
          <w:sz w:val="20"/>
          <w:szCs w:val="20"/>
        </w:rPr>
        <w:t>.</w:t>
      </w:r>
      <w:r w:rsidR="001473AE" w:rsidRPr="0068236B">
        <w:rPr>
          <w:rFonts w:cs="Tahoma"/>
          <w:sz w:val="20"/>
          <w:szCs w:val="20"/>
        </w:rPr>
        <w:t xml:space="preserve"> As there would be no </w:t>
      </w:r>
      <w:r w:rsidR="001473AE" w:rsidRPr="0068236B">
        <w:rPr>
          <w:sz w:val="20"/>
          <w:szCs w:val="20"/>
        </w:rPr>
        <w:t>development of any kind, including construction of residential or other properties (houses and facilities) w</w:t>
      </w:r>
      <w:r w:rsidR="001473AE" w:rsidRPr="0068236B">
        <w:rPr>
          <w:rFonts w:cs="Tahoma"/>
          <w:sz w:val="20"/>
          <w:szCs w:val="20"/>
        </w:rPr>
        <w:t>ithin the Right of Way</w:t>
      </w:r>
      <w:r w:rsidR="001473AE" w:rsidRPr="0068236B">
        <w:rPr>
          <w:sz w:val="20"/>
          <w:szCs w:val="20"/>
        </w:rPr>
        <w:t xml:space="preserve"> and due to the fact that the lines do not pass through or near residential zones,</w:t>
      </w:r>
      <w:r w:rsidR="001473AE" w:rsidRPr="0068236B">
        <w:rPr>
          <w:rFonts w:cs="Tahoma"/>
          <w:sz w:val="20"/>
          <w:szCs w:val="20"/>
        </w:rPr>
        <w:t xml:space="preserve"> exceedance of the noise limits and significant direct long-term environmental impact to sensitive receptors during the operational phase of the transmission line is unlikely.</w:t>
      </w:r>
    </w:p>
    <w:p w14:paraId="2E65D203" w14:textId="5CFF6E2B" w:rsidR="003F0D91" w:rsidRPr="0068236B" w:rsidRDefault="003F0D91" w:rsidP="003F0D91">
      <w:pPr>
        <w:pStyle w:val="Heading3"/>
      </w:pPr>
      <w:bookmarkStart w:id="372" w:name="_Toc112852273"/>
      <w:r w:rsidRPr="0068236B">
        <w:lastRenderedPageBreak/>
        <w:t>Substation Audible Nosie</w:t>
      </w:r>
      <w:bookmarkEnd w:id="372"/>
    </w:p>
    <w:p w14:paraId="13367A9C" w14:textId="498DE40D" w:rsidR="003F0D91" w:rsidRPr="0068236B" w:rsidRDefault="003F0D91" w:rsidP="003F0D91">
      <w:pPr>
        <w:pStyle w:val="Heading4"/>
        <w:rPr>
          <w:sz w:val="20"/>
        </w:rPr>
      </w:pPr>
      <w:r w:rsidRPr="0068236B">
        <w:rPr>
          <w:sz w:val="20"/>
        </w:rPr>
        <w:t xml:space="preserve">Introduction </w:t>
      </w:r>
    </w:p>
    <w:p w14:paraId="23002010" w14:textId="7D7D6AA0" w:rsidR="001473AE" w:rsidRPr="0068236B" w:rsidRDefault="001473AE" w:rsidP="001473AE">
      <w:pPr>
        <w:autoSpaceDE w:val="0"/>
        <w:autoSpaceDN w:val="0"/>
        <w:adjustRightInd w:val="0"/>
        <w:rPr>
          <w:rFonts w:eastAsia="Calibri" w:cs="Arial"/>
          <w:sz w:val="20"/>
          <w:szCs w:val="20"/>
        </w:rPr>
      </w:pPr>
      <w:r w:rsidRPr="0068236B">
        <w:rPr>
          <w:rFonts w:eastAsia="Calibri" w:cs="Arial"/>
          <w:sz w:val="20"/>
          <w:szCs w:val="20"/>
        </w:rPr>
        <w:t>In general, there are three basic sources of audible noise from substations. Each of these has its own cha</w:t>
      </w:r>
      <w:r w:rsidRPr="0068236B">
        <w:rPr>
          <w:rFonts w:eastAsia="Calibri" w:cs="Arial"/>
          <w:sz w:val="20"/>
          <w:szCs w:val="20"/>
        </w:rPr>
        <w:t>r</w:t>
      </w:r>
      <w:r w:rsidRPr="0068236B">
        <w:rPr>
          <w:rFonts w:eastAsia="Calibri" w:cs="Arial"/>
          <w:sz w:val="20"/>
          <w:szCs w:val="20"/>
        </w:rPr>
        <w:t>acteristic spectrum and pattern of occurrence due to the nature of the noise-generating mechanisms i</w:t>
      </w:r>
      <w:r w:rsidRPr="0068236B">
        <w:rPr>
          <w:rFonts w:eastAsia="Calibri" w:cs="Arial"/>
          <w:sz w:val="20"/>
          <w:szCs w:val="20"/>
        </w:rPr>
        <w:t>n</w:t>
      </w:r>
      <w:r w:rsidRPr="0068236B">
        <w:rPr>
          <w:rFonts w:eastAsia="Calibri" w:cs="Arial"/>
          <w:sz w:val="20"/>
          <w:szCs w:val="20"/>
        </w:rPr>
        <w:t>volved:</w:t>
      </w:r>
    </w:p>
    <w:p w14:paraId="56DAC101" w14:textId="77777777" w:rsidR="001473AE" w:rsidRPr="0068236B" w:rsidRDefault="001473AE" w:rsidP="00D24CEF">
      <w:pPr>
        <w:pStyle w:val="ListBullet"/>
        <w:numPr>
          <w:ilvl w:val="0"/>
          <w:numId w:val="97"/>
        </w:numPr>
        <w:ind w:left="709" w:hanging="283"/>
        <w:jc w:val="left"/>
        <w:rPr>
          <w:sz w:val="20"/>
          <w:szCs w:val="20"/>
        </w:rPr>
      </w:pPr>
      <w:r w:rsidRPr="0068236B">
        <w:rPr>
          <w:rFonts w:eastAsia="Calibri"/>
          <w:sz w:val="20"/>
          <w:szCs w:val="20"/>
        </w:rPr>
        <w:t>The transformer noise is approximately constant with a low frequency hum occurring at harmonics of the supply frequency (100 and 200 Hz are usually dominant).</w:t>
      </w:r>
    </w:p>
    <w:p w14:paraId="212B303C" w14:textId="1825EC0D" w:rsidR="001473AE" w:rsidRPr="0068236B" w:rsidRDefault="001473AE" w:rsidP="00D24CEF">
      <w:pPr>
        <w:pStyle w:val="ListBullet"/>
        <w:numPr>
          <w:ilvl w:val="0"/>
          <w:numId w:val="97"/>
        </w:numPr>
        <w:ind w:left="709" w:hanging="283"/>
        <w:jc w:val="left"/>
        <w:rPr>
          <w:sz w:val="20"/>
          <w:szCs w:val="20"/>
        </w:rPr>
      </w:pPr>
      <w:r w:rsidRPr="0068236B">
        <w:rPr>
          <w:rFonts w:eastAsia="Calibri"/>
          <w:sz w:val="20"/>
          <w:szCs w:val="20"/>
        </w:rPr>
        <w:t>The transformer coolers generate more broadband noise, although they are not in continual oper</w:t>
      </w:r>
      <w:r w:rsidRPr="0068236B">
        <w:rPr>
          <w:rFonts w:eastAsia="Calibri"/>
          <w:sz w:val="20"/>
          <w:szCs w:val="20"/>
        </w:rPr>
        <w:t>a</w:t>
      </w:r>
      <w:r w:rsidRPr="0068236B">
        <w:rPr>
          <w:rFonts w:eastAsia="Calibri"/>
          <w:sz w:val="20"/>
          <w:szCs w:val="20"/>
        </w:rPr>
        <w:t>tion.</w:t>
      </w:r>
    </w:p>
    <w:p w14:paraId="10E644B8" w14:textId="77777777" w:rsidR="001473AE" w:rsidRPr="0068236B" w:rsidRDefault="001473AE" w:rsidP="00D24CEF">
      <w:pPr>
        <w:pStyle w:val="ListBullet"/>
        <w:numPr>
          <w:ilvl w:val="0"/>
          <w:numId w:val="97"/>
        </w:numPr>
        <w:ind w:left="709" w:hanging="283"/>
        <w:jc w:val="left"/>
        <w:rPr>
          <w:sz w:val="20"/>
          <w:szCs w:val="20"/>
        </w:rPr>
      </w:pPr>
      <w:r w:rsidRPr="0068236B">
        <w:rPr>
          <w:rFonts w:eastAsia="Calibri"/>
          <w:sz w:val="20"/>
          <w:szCs w:val="20"/>
        </w:rPr>
        <w:t>Switchgear noise is generated by the operation of circuit breakers and has short duration.</w:t>
      </w:r>
    </w:p>
    <w:p w14:paraId="1D2D5C83" w14:textId="48544C14" w:rsidR="003F0D91" w:rsidRPr="0068236B" w:rsidRDefault="003F0D91" w:rsidP="003F0D91">
      <w:pPr>
        <w:pStyle w:val="Heading4"/>
        <w:rPr>
          <w:sz w:val="20"/>
        </w:rPr>
      </w:pPr>
      <w:r w:rsidRPr="0068236B">
        <w:rPr>
          <w:sz w:val="20"/>
        </w:rPr>
        <w:t xml:space="preserve">Potential Impacts </w:t>
      </w:r>
    </w:p>
    <w:p w14:paraId="7120969B" w14:textId="52096882" w:rsidR="001473AE" w:rsidRPr="0068236B" w:rsidRDefault="009B333D" w:rsidP="001473AE">
      <w:pPr>
        <w:autoSpaceDE w:val="0"/>
        <w:autoSpaceDN w:val="0"/>
        <w:adjustRightInd w:val="0"/>
        <w:rPr>
          <w:rFonts w:eastAsia="Calibri" w:cs="Arial"/>
          <w:sz w:val="20"/>
          <w:szCs w:val="20"/>
        </w:rPr>
      </w:pPr>
      <w:r w:rsidRPr="0068236B">
        <w:rPr>
          <w:noProof/>
          <w:lang w:val="mk-MK" w:eastAsia="mk-MK"/>
        </w:rPr>
        <mc:AlternateContent>
          <mc:Choice Requires="wpg">
            <w:drawing>
              <wp:anchor distT="0" distB="0" distL="114300" distR="114300" simplePos="0" relativeHeight="251688969" behindDoc="0" locked="0" layoutInCell="1" allowOverlap="1" wp14:anchorId="7C9B0D81" wp14:editId="6813C961">
                <wp:simplePos x="0" y="0"/>
                <wp:positionH relativeFrom="column">
                  <wp:posOffset>34290</wp:posOffset>
                </wp:positionH>
                <wp:positionV relativeFrom="paragraph">
                  <wp:posOffset>835025</wp:posOffset>
                </wp:positionV>
                <wp:extent cx="5759450" cy="3504565"/>
                <wp:effectExtent l="0" t="0" r="0" b="635"/>
                <wp:wrapTopAndBottom/>
                <wp:docPr id="19" name="Group 19"/>
                <wp:cNvGraphicFramePr/>
                <a:graphic xmlns:a="http://schemas.openxmlformats.org/drawingml/2006/main">
                  <a:graphicData uri="http://schemas.microsoft.com/office/word/2010/wordprocessingGroup">
                    <wpg:wgp>
                      <wpg:cNvGrpSpPr/>
                      <wpg:grpSpPr>
                        <a:xfrm>
                          <a:off x="0" y="0"/>
                          <a:ext cx="5759450" cy="3504565"/>
                          <a:chOff x="180000" y="180000"/>
                          <a:chExt cx="5759450" cy="3504565"/>
                        </a:xfrm>
                      </wpg:grpSpPr>
                      <pic:pic xmlns:pic="http://schemas.openxmlformats.org/drawingml/2006/picture">
                        <pic:nvPicPr>
                          <pic:cNvPr id="27" name="Picture 27" descr="C:\Users\Kokan\Documents\IPF Project\IPF 7\Energy\WB21 MEPSO, Mkd\9 - E&amp;S Assessment Reports\Sub-project 1\400-110kV SS vs settlements.jpg"/>
                          <pic:cNvPicPr/>
                        </pic:nvPicPr>
                        <pic:blipFill rotWithShape="1">
                          <a:blip r:embed="rId134" cstate="screen">
                            <a:extLst>
                              <a:ext uri="{28A0092B-C50C-407E-A947-70E740481C1C}">
                                <a14:useLocalDpi xmlns:a14="http://schemas.microsoft.com/office/drawing/2010/main" val="0"/>
                              </a:ext>
                            </a:extLst>
                          </a:blip>
                          <a:srcRect/>
                          <a:stretch/>
                        </pic:blipFill>
                        <pic:spPr bwMode="auto">
                          <a:xfrm>
                            <a:off x="180000" y="180000"/>
                            <a:ext cx="5759450" cy="3504565"/>
                          </a:xfrm>
                          <a:prstGeom prst="rect">
                            <a:avLst/>
                          </a:prstGeom>
                          <a:noFill/>
                          <a:ln>
                            <a:noFill/>
                          </a:ln>
                          <a:extLst>
                            <a:ext uri="{53640926-AAD7-44D8-BBD7-CCE9431645EC}">
                              <a14:shadowObscured xmlns:a14="http://schemas.microsoft.com/office/drawing/2010/main"/>
                            </a:ext>
                          </a:extLst>
                        </pic:spPr>
                      </pic:pic>
                      <wps:wsp>
                        <wps:cNvPr id="926" name="Text Box 926"/>
                        <wps:cNvSpPr txBox="1"/>
                        <wps:spPr>
                          <a:xfrm>
                            <a:off x="1600200" y="723900"/>
                            <a:ext cx="746760" cy="2362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E88AAF" w14:textId="77777777" w:rsidR="00AB2D8F" w:rsidRPr="00EF74D2" w:rsidRDefault="00AB2D8F" w:rsidP="009B333D">
                              <w:pPr>
                                <w:spacing w:before="0" w:after="0" w:line="240" w:lineRule="auto"/>
                                <w:jc w:val="left"/>
                                <w:rPr>
                                  <w:rFonts w:cs="Tahoma"/>
                                  <w:b/>
                                  <w:color w:val="FFFFFF" w:themeColor="background1"/>
                                  <w:sz w:val="16"/>
                                  <w:szCs w:val="16"/>
                                  <w:lang w:val="en-US"/>
                                </w:rPr>
                              </w:pPr>
                              <w:r w:rsidRPr="00EF74D2">
                                <w:rPr>
                                  <w:rFonts w:cs="Tahoma"/>
                                  <w:b/>
                                  <w:color w:val="FFFFFF" w:themeColor="background1"/>
                                  <w:sz w:val="16"/>
                                  <w:szCs w:val="16"/>
                                  <w:lang w:val="en-US"/>
                                </w:rPr>
                                <w:t>Miletkovo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27" name="Text Box 5"/>
                        <wps:cNvSpPr txBox="1"/>
                        <wps:spPr>
                          <a:xfrm rot="1995791">
                            <a:off x="804840" y="1879260"/>
                            <a:ext cx="1892640" cy="231480"/>
                          </a:xfrm>
                          <a:prstGeom prst="rect">
                            <a:avLst/>
                          </a:prstGeom>
                          <a:noFill/>
                          <a:ln w="28575">
                            <a:noFill/>
                          </a:ln>
                          <a:effectLst/>
                        </wps:spPr>
                        <wps:style>
                          <a:lnRef idx="0">
                            <a:schemeClr val="accent1"/>
                          </a:lnRef>
                          <a:fillRef idx="0">
                            <a:schemeClr val="accent1"/>
                          </a:fillRef>
                          <a:effectRef idx="0">
                            <a:schemeClr val="accent1"/>
                          </a:effectRef>
                          <a:fontRef idx="minor">
                            <a:schemeClr val="dk1"/>
                          </a:fontRef>
                        </wps:style>
                        <wps:txbx>
                          <w:txbxContent>
                            <w:p w14:paraId="709EE6C0" w14:textId="77777777" w:rsidR="00AB2D8F" w:rsidRPr="00EF74D2" w:rsidRDefault="00AB2D8F" w:rsidP="009B333D">
                              <w:pPr>
                                <w:pStyle w:val="NormalWeb"/>
                                <w:spacing w:after="0" w:line="240" w:lineRule="auto"/>
                              </w:pPr>
                              <w:r>
                                <w:rPr>
                                  <w:rFonts w:ascii="Tahoma" w:hAnsi="Tahoma"/>
                                  <w:bCs/>
                                  <w:color w:val="FFFFFF"/>
                                  <w:sz w:val="16"/>
                                  <w:szCs w:val="16"/>
                                  <w:lang w:val="en-US"/>
                                </w:rPr>
                                <w:t>400 kV OHL Dubrovo -Thessalonica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49" name="Text Box 2049"/>
                        <wps:cNvSpPr txBox="1"/>
                        <wps:spPr>
                          <a:xfrm>
                            <a:off x="2519340" y="2374560"/>
                            <a:ext cx="719160" cy="345780"/>
                          </a:xfrm>
                          <a:prstGeom prst="rect">
                            <a:avLst/>
                          </a:prstGeom>
                          <a:noFill/>
                          <a:ln w="12700">
                            <a:noFill/>
                          </a:ln>
                          <a:effectLst/>
                        </wps:spPr>
                        <wps:style>
                          <a:lnRef idx="0">
                            <a:schemeClr val="accent1"/>
                          </a:lnRef>
                          <a:fillRef idx="0">
                            <a:schemeClr val="accent1"/>
                          </a:fillRef>
                          <a:effectRef idx="0">
                            <a:schemeClr val="accent1"/>
                          </a:effectRef>
                          <a:fontRef idx="minor">
                            <a:schemeClr val="dk1"/>
                          </a:fontRef>
                        </wps:style>
                        <wps:txbx>
                          <w:txbxContent>
                            <w:p w14:paraId="7FDC8F76" w14:textId="77777777" w:rsidR="00AB2D8F" w:rsidRPr="00EF74D2" w:rsidRDefault="00AB2D8F" w:rsidP="009B333D">
                              <w:pPr>
                                <w:pStyle w:val="NormalWeb"/>
                                <w:spacing w:after="0" w:line="240" w:lineRule="auto"/>
                                <w:jc w:val="center"/>
                                <w:rPr>
                                  <w:color w:val="FFFFFF" w:themeColor="background1"/>
                                </w:rPr>
                              </w:pPr>
                              <w:r w:rsidRPr="00EF74D2">
                                <w:rPr>
                                  <w:rFonts w:ascii="Tahoma" w:hAnsi="Tahoma"/>
                                  <w:b/>
                                  <w:bCs/>
                                  <w:color w:val="FFFFFF" w:themeColor="background1"/>
                                  <w:sz w:val="16"/>
                                  <w:szCs w:val="16"/>
                                  <w:lang w:val="en-US"/>
                                </w:rPr>
                                <w:t>NewSS Miletkovo</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8" name="Text Box 5"/>
                        <wps:cNvSpPr txBox="1"/>
                        <wps:spPr>
                          <a:xfrm rot="17654681">
                            <a:off x="2466000" y="1391580"/>
                            <a:ext cx="1084920" cy="261960"/>
                          </a:xfrm>
                          <a:prstGeom prst="rect">
                            <a:avLst/>
                          </a:prstGeom>
                          <a:noFill/>
                          <a:ln w="12700">
                            <a:noFill/>
                          </a:ln>
                          <a:effectLst/>
                        </wps:spPr>
                        <wps:style>
                          <a:lnRef idx="0">
                            <a:schemeClr val="accent1"/>
                          </a:lnRef>
                          <a:fillRef idx="0">
                            <a:schemeClr val="accent1"/>
                          </a:fillRef>
                          <a:effectRef idx="0">
                            <a:schemeClr val="accent1"/>
                          </a:effectRef>
                          <a:fontRef idx="minor">
                            <a:schemeClr val="dk1"/>
                          </a:fontRef>
                        </wps:style>
                        <wps:txbx>
                          <w:txbxContent>
                            <w:p w14:paraId="6C14138C" w14:textId="34C35EF2" w:rsidR="00AB2D8F" w:rsidRPr="00512C16" w:rsidRDefault="00AB2D8F" w:rsidP="009B333D">
                              <w:pPr>
                                <w:pStyle w:val="NormalWeb"/>
                                <w:spacing w:after="0" w:line="240" w:lineRule="auto"/>
                                <w:jc w:val="center"/>
                              </w:pPr>
                              <w:r w:rsidRPr="00512C16">
                                <w:rPr>
                                  <w:rFonts w:ascii="Tahoma" w:hAnsi="Tahoma"/>
                                  <w:bCs/>
                                  <w:color w:val="FFFFFF"/>
                                  <w:sz w:val="16"/>
                                  <w:szCs w:val="16"/>
                                  <w:lang w:val="en-US"/>
                                </w:rPr>
                                <w:t>New 110 kV</w:t>
                              </w:r>
                              <w:r>
                                <w:rPr>
                                  <w:rFonts w:ascii="Tahoma" w:hAnsi="Tahoma"/>
                                  <w:bCs/>
                                  <w:color w:val="FFFFFF"/>
                                  <w:sz w:val="16"/>
                                  <w:szCs w:val="16"/>
                                  <w:lang w:val="en-US"/>
                                </w:rPr>
                                <w:t xml:space="preserve"> </w:t>
                              </w:r>
                              <w:r w:rsidRPr="00512C16">
                                <w:rPr>
                                  <w:rFonts w:ascii="Tahoma" w:hAnsi="Tahoma"/>
                                  <w:bCs/>
                                  <w:color w:val="FFFFFF"/>
                                  <w:sz w:val="16"/>
                                  <w:szCs w:val="16"/>
                                  <w:lang w:val="en-US"/>
                                </w:rPr>
                                <w:t>lines</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19" o:spid="_x0000_s1057" style="position:absolute;left:0;text-align:left;margin-left:2.7pt;margin-top:65.75pt;width:453.5pt;height:275.95pt;z-index:251688969" coordorigin="1800,1800" coordsize="57594,3504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">
                <v:shape id="Picture 27" o:spid="_x0000_s1058" type="#_x0000_t75" style="position:absolute;left:1800;top:1800;width:57594;height:350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rNlDFAAAA2wAAAA8AAABkcnMvZG93bnJldi54bWxEj0FrwkAUhO8F/8PyBC9SN/XQSOoqWrFU&#10;sIfGUj0+ss8kmH0bs9sY/70rCD0OM/MNM513phItNa60rOBlFIEgzqwuOVfws1s/T0A4j6yxskwK&#10;ruRgPus9TTHR9sLf1KY+FwHCLkEFhfd1IqXLCjLoRrYmDt7RNgZ9kE0udYOXADeVHEfRqzRYclgo&#10;sKb3grJT+mcUZHJjV+lhf97Uy+FXF7cfWxP/KjXod4s3EJ46/x9+tD+1gnEM9y/hB8jZ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LKzZQxQAAANsAAAAPAAAAAAAAAAAAAAAA&#10;AJ8CAABkcnMvZG93bnJldi54bWxQSwUGAAAAAAQABAD3AAAAkQMAAAAA&#10;">
                  <v:imagedata r:id="rId135" o:title="400-110kV SS vs settlements"/>
                </v:shape>
                <v:shape id="Text Box 926" o:spid="_x0000_s1059" type="#_x0000_t202" style="position:absolute;left:16002;top:7239;width:7467;height:2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oyv8cA&#10;AADcAAAADwAAAGRycy9kb3ducmV2LnhtbESPQWvCQBSE70L/w/IKvenGQINNXUUCoUXsweilt9fs&#10;Mwlm36bZrYn++m6h4HGYmW+Y5Xo0rbhQ7xrLCuazCARxaXXDlYLjIZ8uQDiPrLG1TAqu5GC9epgs&#10;MdV24D1dCl+JAGGXooLa+y6V0pU1GXQz2xEH72R7gz7IvpK6xyHATSvjKEqkwYbDQo0dZTWV5+LH&#10;KNhm+Qfuv2KzuLXZ2+606b6Pn89KPT2Om1cQnkZ/D/+337WClziBvzPhCM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aMr/HAAAA3AAAAA8AAAAAAAAAAAAAAAAAmAIAAGRy&#10;cy9kb3ducmV2LnhtbFBLBQYAAAAABAAEAPUAAACMAwAAAAA=&#10;" filled="f" stroked="f" strokeweight=".5pt">
                  <v:textbox>
                    <w:txbxContent>
                      <w:p w14:paraId="65E88AAF" w14:textId="77777777" w:rsidR="00AB2D8F" w:rsidRPr="00EF74D2" w:rsidRDefault="00AB2D8F" w:rsidP="009B333D">
                        <w:pPr>
                          <w:spacing w:before="0" w:after="0" w:line="240" w:lineRule="auto"/>
                          <w:jc w:val="left"/>
                          <w:rPr>
                            <w:rFonts w:cs="Tahoma"/>
                            <w:b/>
                            <w:color w:val="FFFFFF" w:themeColor="background1"/>
                            <w:sz w:val="16"/>
                            <w:szCs w:val="16"/>
                            <w:lang w:val="en-US"/>
                          </w:rPr>
                        </w:pPr>
                        <w:r w:rsidRPr="00EF74D2">
                          <w:rPr>
                            <w:rFonts w:cs="Tahoma"/>
                            <w:b/>
                            <w:color w:val="FFFFFF" w:themeColor="background1"/>
                            <w:sz w:val="16"/>
                            <w:szCs w:val="16"/>
                            <w:lang w:val="en-US"/>
                          </w:rPr>
                          <w:t>Miletkovo</w:t>
                        </w:r>
                      </w:p>
                    </w:txbxContent>
                  </v:textbox>
                </v:shape>
                <v:shape id="Text Box 5" o:spid="_x0000_s1060" type="#_x0000_t202" style="position:absolute;left:8048;top:18792;width:18926;height:2315;rotation:217993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BS8QA&#10;AADcAAAADwAAAGRycy9kb3ducmV2LnhtbESPQWvCQBSE7wX/w/KE3upG0arRVaRFEEEh0YPHR/aZ&#10;BLNvY3Yb4793C4Ueh5n5hlmuO1OJlhpXWlYwHEQgiDOrS84VnE/bjxkI55E1VpZJwZMcrFe9tyXG&#10;2j44oTb1uQgQdjEqKLyvYyldVpBBN7A1cfCutjHog2xyqRt8BLip5CiKPqXBksNCgTV9FZTd0h+j&#10;IL2Mz3s/OXwnlLT6fhwfuhNrpd773WYBwlPn/8N/7Z1WMB9N4fdMOAJy9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PwUvEAAAA3AAAAA8AAAAAAAAAAAAAAAAAmAIAAGRycy9k&#10;b3ducmV2LnhtbFBLBQYAAAAABAAEAPUAAACJAwAAAAA=&#10;" filled="f" stroked="f" strokeweight="2.25pt">
                  <v:textbox>
                    <w:txbxContent>
                      <w:p w14:paraId="709EE6C0" w14:textId="77777777" w:rsidR="00AB2D8F" w:rsidRPr="00EF74D2" w:rsidRDefault="00AB2D8F" w:rsidP="009B333D">
                        <w:pPr>
                          <w:pStyle w:val="NormalWeb"/>
                          <w:spacing w:after="0" w:line="240" w:lineRule="auto"/>
                        </w:pPr>
                        <w:r>
                          <w:rPr>
                            <w:rFonts w:ascii="Tahoma" w:hAnsi="Tahoma"/>
                            <w:bCs/>
                            <w:color w:val="FFFFFF"/>
                            <w:sz w:val="16"/>
                            <w:szCs w:val="16"/>
                            <w:lang w:val="en-US"/>
                          </w:rPr>
                          <w:t>400 kV OHL Dubrovo -Thessalonica</w:t>
                        </w:r>
                      </w:p>
                    </w:txbxContent>
                  </v:textbox>
                </v:shape>
                <v:shape id="Text Box 2049" o:spid="_x0000_s1061" type="#_x0000_t202" style="position:absolute;left:25193;top:23745;width:7192;height:3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it2MUA&#10;AADdAAAADwAAAGRycy9kb3ducmV2LnhtbESPzYrCQBCE74LvMPSCN51sFNGso6ggrAcP/uy9zbRJ&#10;MNMTM2PM7tPvCILHorq+6potWlOKhmpXWFbwOYhAEKdWF5wpOB03/QkI55E1lpZJwS85WMy7nRkm&#10;2j54T83BZyJA2CWoIPe+SqR0aU4G3cBWxMG72NqgD7LOpK7xEeCmlHEUjaXBgkNDjhWtc0qvh7sJ&#10;bzQ/5+HUL61zu0u82v7h7ny9KdX7aJdfIDy1/n38Sn9rBXE0msJzTUCA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mK3YxQAAAN0AAAAPAAAAAAAAAAAAAAAAAJgCAABkcnMv&#10;ZG93bnJldi54bWxQSwUGAAAAAAQABAD1AAAAigMAAAAA&#10;" filled="f" stroked="f" strokeweight="1pt">
                  <v:textbox>
                    <w:txbxContent>
                      <w:p w14:paraId="7FDC8F76" w14:textId="77777777" w:rsidR="00AB2D8F" w:rsidRPr="00EF74D2" w:rsidRDefault="00AB2D8F" w:rsidP="009B333D">
                        <w:pPr>
                          <w:pStyle w:val="NormalWeb"/>
                          <w:spacing w:after="0" w:line="240" w:lineRule="auto"/>
                          <w:jc w:val="center"/>
                          <w:rPr>
                            <w:color w:val="FFFFFF" w:themeColor="background1"/>
                          </w:rPr>
                        </w:pPr>
                        <w:r w:rsidRPr="00EF74D2">
                          <w:rPr>
                            <w:rFonts w:ascii="Tahoma" w:hAnsi="Tahoma"/>
                            <w:b/>
                            <w:bCs/>
                            <w:color w:val="FFFFFF" w:themeColor="background1"/>
                            <w:sz w:val="16"/>
                            <w:szCs w:val="16"/>
                            <w:lang w:val="en-US"/>
                          </w:rPr>
                          <w:t>NewSS Miletkovo</w:t>
                        </w:r>
                      </w:p>
                    </w:txbxContent>
                  </v:textbox>
                </v:shape>
                <v:shape id="Text Box 5" o:spid="_x0000_s1062" type="#_x0000_t202" style="position:absolute;left:24659;top:13916;width:10849;height:2620;rotation:-43093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5GkMMA&#10;AADcAAAADwAAAGRycy9kb3ducmV2LnhtbERPy2rCQBTdC/7DcAV3OmkKRaOTUAqWthShiYjL28zN&#10;g2buhMwY4993FoUuD+e9zybTiZEG11pW8LCOQBCXVrdcKzgVh9UGhPPIGjvLpOBODrJ0Pttjou2N&#10;v2jMfS1CCLsEFTTe94mUrmzIoFvbnjhwlR0M+gCHWuoBbyHcdDKOoidpsOXQ0GBPLw2VP/nVKDi7&#10;j3q8Hz9P3+8RPxaXw5i/+kqp5WJ63oHwNPl/8Z/7TSvYxmFtOBOOgE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a5GkMMAAADcAAAADwAAAAAAAAAAAAAAAACYAgAAZHJzL2Rv&#10;d25yZXYueG1sUEsFBgAAAAAEAAQA9QAAAIgDAAAAAA==&#10;" filled="f" stroked="f" strokeweight="1pt">
                  <v:textbox>
                    <w:txbxContent>
                      <w:p w14:paraId="6C14138C" w14:textId="34C35EF2" w:rsidR="00AB2D8F" w:rsidRPr="00512C16" w:rsidRDefault="00AB2D8F" w:rsidP="009B333D">
                        <w:pPr>
                          <w:pStyle w:val="NormalWeb"/>
                          <w:spacing w:after="0" w:line="240" w:lineRule="auto"/>
                          <w:jc w:val="center"/>
                        </w:pPr>
                        <w:r w:rsidRPr="00512C16">
                          <w:rPr>
                            <w:rFonts w:ascii="Tahoma" w:hAnsi="Tahoma"/>
                            <w:bCs/>
                            <w:color w:val="FFFFFF"/>
                            <w:sz w:val="16"/>
                            <w:szCs w:val="16"/>
                            <w:lang w:val="en-US"/>
                          </w:rPr>
                          <w:t>New 110 kV</w:t>
                        </w:r>
                        <w:r>
                          <w:rPr>
                            <w:rFonts w:ascii="Tahoma" w:hAnsi="Tahoma"/>
                            <w:bCs/>
                            <w:color w:val="FFFFFF"/>
                            <w:sz w:val="16"/>
                            <w:szCs w:val="16"/>
                            <w:lang w:val="en-US"/>
                          </w:rPr>
                          <w:t xml:space="preserve"> </w:t>
                        </w:r>
                        <w:r w:rsidRPr="00512C16">
                          <w:rPr>
                            <w:rFonts w:ascii="Tahoma" w:hAnsi="Tahoma"/>
                            <w:bCs/>
                            <w:color w:val="FFFFFF"/>
                            <w:sz w:val="16"/>
                            <w:szCs w:val="16"/>
                            <w:lang w:val="en-US"/>
                          </w:rPr>
                          <w:t>lines</w:t>
                        </w:r>
                      </w:p>
                    </w:txbxContent>
                  </v:textbox>
                </v:shape>
                <w10:wrap type="topAndBottom"/>
              </v:group>
            </w:pict>
          </mc:Fallback>
        </mc:AlternateContent>
      </w:r>
      <w:r w:rsidR="001473AE" w:rsidRPr="0068236B">
        <w:rPr>
          <w:rFonts w:eastAsia="Calibri" w:cs="Arial"/>
          <w:sz w:val="20"/>
          <w:szCs w:val="20"/>
        </w:rPr>
        <w:t xml:space="preserve">The relative distance of the closest residential or other properties, located in north-west direction, from the substation site is </w:t>
      </w:r>
      <w:r w:rsidR="00381854" w:rsidRPr="0068236B">
        <w:rPr>
          <w:rFonts w:eastAsia="Calibri" w:cs="Arial"/>
          <w:sz w:val="20"/>
          <w:szCs w:val="20"/>
        </w:rPr>
        <w:t xml:space="preserve">approx. </w:t>
      </w:r>
      <w:r w:rsidRPr="0068236B">
        <w:rPr>
          <w:rFonts w:eastAsia="Calibri" w:cs="Arial"/>
          <w:sz w:val="20"/>
          <w:szCs w:val="20"/>
        </w:rPr>
        <w:t>1</w:t>
      </w:r>
      <w:r w:rsidR="001473AE" w:rsidRPr="0068236B">
        <w:rPr>
          <w:rFonts w:eastAsia="Calibri" w:cs="Arial"/>
          <w:sz w:val="20"/>
          <w:szCs w:val="20"/>
        </w:rPr>
        <w:t xml:space="preserve">,000 metres (Figure below). Therefore, any </w:t>
      </w:r>
      <w:r w:rsidR="001473AE" w:rsidRPr="0068236B">
        <w:rPr>
          <w:rFonts w:cs="Arial"/>
          <w:sz w:val="20"/>
          <w:szCs w:val="20"/>
        </w:rPr>
        <w:t>increase in noise due to the new</w:t>
      </w:r>
      <w:r w:rsidR="00CF1692" w:rsidRPr="0068236B">
        <w:rPr>
          <w:rFonts w:cs="Arial"/>
          <w:sz w:val="20"/>
          <w:szCs w:val="20"/>
        </w:rPr>
        <w:t xml:space="preserve"> 400/110 kV </w:t>
      </w:r>
      <w:r w:rsidR="001473AE" w:rsidRPr="0068236B">
        <w:rPr>
          <w:rFonts w:cs="Arial"/>
          <w:sz w:val="20"/>
          <w:szCs w:val="20"/>
        </w:rPr>
        <w:t xml:space="preserve">substation </w:t>
      </w:r>
      <w:r w:rsidR="00CF1692" w:rsidRPr="0068236B">
        <w:rPr>
          <w:rFonts w:cs="Arial"/>
          <w:sz w:val="20"/>
          <w:szCs w:val="20"/>
        </w:rPr>
        <w:t xml:space="preserve">Miletkovo </w:t>
      </w:r>
      <w:r w:rsidR="001473AE" w:rsidRPr="0068236B">
        <w:rPr>
          <w:color w:val="000000" w:themeColor="text1"/>
          <w:sz w:val="20"/>
          <w:szCs w:val="20"/>
        </w:rPr>
        <w:t>will</w:t>
      </w:r>
      <w:r w:rsidR="001473AE" w:rsidRPr="0068236B">
        <w:rPr>
          <w:rFonts w:cs="Arial"/>
          <w:sz w:val="20"/>
          <w:szCs w:val="20"/>
        </w:rPr>
        <w:t xml:space="preserve"> be imperceptible at closest properties to the substation. </w:t>
      </w:r>
      <w:r w:rsidR="001473AE" w:rsidRPr="0068236B">
        <w:rPr>
          <w:rFonts w:eastAsia="Calibri" w:cs="Arial"/>
          <w:sz w:val="20"/>
          <w:szCs w:val="20"/>
        </w:rPr>
        <w:t>Therefore, no acoustic nuisance to residents in the area is going to occur.</w:t>
      </w:r>
    </w:p>
    <w:p w14:paraId="0A3EA076" w14:textId="1093C172" w:rsidR="001473AE" w:rsidRPr="0068236B" w:rsidRDefault="001473AE" w:rsidP="001473AE">
      <w:pPr>
        <w:spacing w:before="60" w:after="240" w:line="240" w:lineRule="auto"/>
        <w:rPr>
          <w:color w:val="000000" w:themeColor="text1"/>
          <w:sz w:val="18"/>
          <w:szCs w:val="18"/>
        </w:rPr>
      </w:pPr>
      <w:bookmarkStart w:id="373" w:name="_Toc481953642"/>
      <w:bookmarkStart w:id="374" w:name="_Toc74509223"/>
      <w:bookmarkStart w:id="375" w:name="_Toc112928893"/>
      <w:r w:rsidRPr="0068236B">
        <w:rPr>
          <w:rFonts w:cs="Arial"/>
          <w:sz w:val="18"/>
          <w:szCs w:val="18"/>
        </w:rPr>
        <w:t xml:space="preserve">Figure </w:t>
      </w:r>
      <w:r w:rsidRPr="0068236B">
        <w:rPr>
          <w:rFonts w:cs="Arial"/>
          <w:sz w:val="18"/>
          <w:szCs w:val="18"/>
        </w:rPr>
        <w:fldChar w:fldCharType="begin"/>
      </w:r>
      <w:r w:rsidRPr="0068236B">
        <w:rPr>
          <w:rFonts w:cs="Arial"/>
          <w:sz w:val="18"/>
          <w:szCs w:val="18"/>
        </w:rPr>
        <w:instrText xml:space="preserve"> STYLEREF 1 \s </w:instrText>
      </w:r>
      <w:r w:rsidRPr="0068236B">
        <w:rPr>
          <w:rFonts w:cs="Arial"/>
          <w:sz w:val="18"/>
          <w:szCs w:val="18"/>
        </w:rPr>
        <w:fldChar w:fldCharType="separate"/>
      </w:r>
      <w:r w:rsidR="00FD57E6">
        <w:rPr>
          <w:rFonts w:cs="Arial"/>
          <w:noProof/>
          <w:sz w:val="18"/>
          <w:szCs w:val="18"/>
        </w:rPr>
        <w:t>8</w:t>
      </w:r>
      <w:r w:rsidRPr="0068236B">
        <w:rPr>
          <w:rFonts w:cs="Arial"/>
          <w:sz w:val="18"/>
          <w:szCs w:val="18"/>
        </w:rPr>
        <w:fldChar w:fldCharType="end"/>
      </w:r>
      <w:r w:rsidRPr="0068236B">
        <w:rPr>
          <w:rFonts w:cs="Arial"/>
          <w:sz w:val="18"/>
          <w:szCs w:val="18"/>
        </w:rPr>
        <w:t>.</w:t>
      </w:r>
      <w:r w:rsidRPr="0068236B">
        <w:rPr>
          <w:rFonts w:cs="Arial"/>
          <w:sz w:val="18"/>
          <w:szCs w:val="18"/>
        </w:rPr>
        <w:fldChar w:fldCharType="begin"/>
      </w:r>
      <w:r w:rsidRPr="0068236B">
        <w:rPr>
          <w:rFonts w:cs="Arial"/>
          <w:sz w:val="18"/>
          <w:szCs w:val="18"/>
        </w:rPr>
        <w:instrText xml:space="preserve"> SEQ Figure \* ARABIC \s 1 </w:instrText>
      </w:r>
      <w:r w:rsidRPr="0068236B">
        <w:rPr>
          <w:rFonts w:cs="Arial"/>
          <w:sz w:val="18"/>
          <w:szCs w:val="18"/>
        </w:rPr>
        <w:fldChar w:fldCharType="separate"/>
      </w:r>
      <w:r w:rsidR="00FD57E6">
        <w:rPr>
          <w:rFonts w:cs="Arial"/>
          <w:noProof/>
          <w:sz w:val="18"/>
          <w:szCs w:val="18"/>
        </w:rPr>
        <w:t>1</w:t>
      </w:r>
      <w:r w:rsidRPr="0068236B">
        <w:rPr>
          <w:rFonts w:cs="Arial"/>
          <w:sz w:val="18"/>
          <w:szCs w:val="18"/>
        </w:rPr>
        <w:fldChar w:fldCharType="end"/>
      </w:r>
      <w:r w:rsidR="00CF1692" w:rsidRPr="0068236B">
        <w:rPr>
          <w:rFonts w:cs="Arial"/>
          <w:sz w:val="18"/>
          <w:szCs w:val="18"/>
        </w:rPr>
        <w:t xml:space="preserve">: </w:t>
      </w:r>
      <w:r w:rsidRPr="0068236B">
        <w:rPr>
          <w:rFonts w:cs="Arial"/>
          <w:sz w:val="18"/>
          <w:szCs w:val="18"/>
        </w:rPr>
        <w:t xml:space="preserve">Relative distance from to closest residential properties to the </w:t>
      </w:r>
      <w:r w:rsidR="009B333D" w:rsidRPr="0068236B">
        <w:rPr>
          <w:rFonts w:cs="Arial"/>
          <w:sz w:val="18"/>
          <w:szCs w:val="18"/>
        </w:rPr>
        <w:t>new</w:t>
      </w:r>
      <w:r w:rsidRPr="0068236B">
        <w:rPr>
          <w:rFonts w:cs="Arial"/>
          <w:sz w:val="18"/>
          <w:szCs w:val="18"/>
        </w:rPr>
        <w:t xml:space="preserve"> </w:t>
      </w:r>
      <w:r w:rsidR="009B333D" w:rsidRPr="0068236B">
        <w:rPr>
          <w:rFonts w:cs="Arial"/>
          <w:sz w:val="18"/>
          <w:szCs w:val="18"/>
        </w:rPr>
        <w:t xml:space="preserve">400/110 kV </w:t>
      </w:r>
      <w:r w:rsidRPr="0068236B">
        <w:rPr>
          <w:rFonts w:cs="Arial"/>
          <w:sz w:val="18"/>
          <w:szCs w:val="18"/>
        </w:rPr>
        <w:t xml:space="preserve">substation </w:t>
      </w:r>
      <w:r w:rsidR="009B333D" w:rsidRPr="0068236B">
        <w:rPr>
          <w:rFonts w:cs="Arial"/>
          <w:sz w:val="18"/>
          <w:szCs w:val="18"/>
        </w:rPr>
        <w:t>Miletkovo</w:t>
      </w:r>
      <w:bookmarkEnd w:id="373"/>
      <w:bookmarkEnd w:id="374"/>
      <w:bookmarkEnd w:id="375"/>
    </w:p>
    <w:p w14:paraId="1F9E94C7" w14:textId="77777777" w:rsidR="001473AE" w:rsidRPr="0068236B" w:rsidRDefault="001473AE" w:rsidP="0031738C">
      <w:pPr>
        <w:pStyle w:val="Heading3"/>
        <w:spacing w:line="240" w:lineRule="auto"/>
        <w:ind w:left="1418" w:hanging="992"/>
      </w:pPr>
      <w:bookmarkStart w:id="376" w:name="_Toc65936706"/>
      <w:bookmarkStart w:id="377" w:name="_Toc74509064"/>
      <w:bookmarkStart w:id="378" w:name="_Toc112852274"/>
      <w:r w:rsidRPr="0068236B">
        <w:t>Summary of Impacts</w:t>
      </w:r>
      <w:bookmarkEnd w:id="376"/>
      <w:bookmarkEnd w:id="377"/>
      <w:bookmarkEnd w:id="378"/>
    </w:p>
    <w:p w14:paraId="7D9E6C8B" w14:textId="5CEE6277" w:rsidR="00FE3E70" w:rsidRPr="0068236B" w:rsidRDefault="00FE3E70" w:rsidP="00FE3E70">
      <w:pPr>
        <w:rPr>
          <w:rFonts w:cs="Arial"/>
          <w:sz w:val="20"/>
          <w:szCs w:val="20"/>
        </w:rPr>
      </w:pPr>
      <w:r w:rsidRPr="0068236B">
        <w:rPr>
          <w:rFonts w:cs="Arial"/>
          <w:sz w:val="20"/>
          <w:szCs w:val="20"/>
        </w:rPr>
        <w:t>The Table below summarizes the assessment of the significance of the potential impacts from the operatio</w:t>
      </w:r>
      <w:r w:rsidRPr="0068236B">
        <w:rPr>
          <w:rFonts w:cs="Arial"/>
          <w:sz w:val="20"/>
          <w:szCs w:val="20"/>
        </w:rPr>
        <w:t>n</w:t>
      </w:r>
      <w:r w:rsidRPr="0068236B">
        <w:rPr>
          <w:rFonts w:cs="Arial"/>
          <w:sz w:val="20"/>
          <w:szCs w:val="20"/>
        </w:rPr>
        <w:t>al noise generated by the Project.</w:t>
      </w:r>
    </w:p>
    <w:p w14:paraId="41B71558" w14:textId="77777777" w:rsidR="00FE3E70" w:rsidRPr="0068236B" w:rsidRDefault="00FE3E70" w:rsidP="00FE3E70">
      <w:pPr>
        <w:spacing w:before="0" w:after="0" w:line="240" w:lineRule="auto"/>
        <w:jc w:val="left"/>
      </w:pPr>
      <w:r w:rsidRPr="0068236B">
        <w:br w:type="page"/>
      </w:r>
    </w:p>
    <w:p w14:paraId="27BAACC2" w14:textId="77777777" w:rsidR="00FE3E70" w:rsidRPr="0068236B" w:rsidRDefault="00FE3E70" w:rsidP="00FE3E70"/>
    <w:tbl>
      <w:tblPr>
        <w:tblW w:w="9305"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418"/>
        <w:gridCol w:w="2159"/>
        <w:gridCol w:w="1334"/>
        <w:gridCol w:w="2693"/>
        <w:gridCol w:w="1701"/>
      </w:tblGrid>
      <w:tr w:rsidR="00FE3E70" w:rsidRPr="0068236B" w14:paraId="697C6A7A" w14:textId="77777777" w:rsidTr="00FE3E70">
        <w:trPr>
          <w:trHeight w:val="20"/>
        </w:trPr>
        <w:tc>
          <w:tcPr>
            <w:tcW w:w="1418"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3F825582" w14:textId="77777777" w:rsidR="00FE3E70" w:rsidRPr="0068236B" w:rsidRDefault="00FE3E70" w:rsidP="00FE3E70">
            <w:pPr>
              <w:autoSpaceDE w:val="0"/>
              <w:autoSpaceDN w:val="0"/>
              <w:adjustRightInd w:val="0"/>
              <w:spacing w:before="0" w:after="0" w:line="240" w:lineRule="auto"/>
              <w:jc w:val="left"/>
              <w:rPr>
                <w:rFonts w:cs="Arial"/>
                <w:bCs/>
                <w:sz w:val="20"/>
                <w:szCs w:val="20"/>
              </w:rPr>
            </w:pPr>
            <w:r w:rsidRPr="0068236B">
              <w:rPr>
                <w:rFonts w:cs="Arial"/>
                <w:bCs/>
                <w:sz w:val="20"/>
                <w:szCs w:val="20"/>
              </w:rPr>
              <w:t>Project phase</w:t>
            </w:r>
          </w:p>
        </w:tc>
        <w:tc>
          <w:tcPr>
            <w:tcW w:w="2159" w:type="dxa"/>
            <w:tcBorders>
              <w:top w:val="double" w:sz="4" w:space="0" w:color="auto"/>
              <w:bottom w:val="double" w:sz="4" w:space="0" w:color="auto"/>
              <w:right w:val="double" w:sz="4" w:space="0" w:color="auto"/>
            </w:tcBorders>
            <w:shd w:val="clear" w:color="auto" w:fill="B4C6E7" w:themeFill="accent1" w:themeFillTint="66"/>
            <w:vAlign w:val="center"/>
          </w:tcPr>
          <w:p w14:paraId="06173D90" w14:textId="77777777" w:rsidR="00FE3E70" w:rsidRPr="0068236B" w:rsidRDefault="00FE3E70" w:rsidP="00FE3E70">
            <w:pPr>
              <w:autoSpaceDE w:val="0"/>
              <w:autoSpaceDN w:val="0"/>
              <w:adjustRightInd w:val="0"/>
              <w:spacing w:before="0" w:after="0" w:line="240" w:lineRule="auto"/>
              <w:jc w:val="left"/>
              <w:rPr>
                <w:rFonts w:cs="Arial"/>
                <w:sz w:val="20"/>
                <w:szCs w:val="20"/>
              </w:rPr>
            </w:pPr>
            <w:r w:rsidRPr="0068236B">
              <w:rPr>
                <w:rFonts w:cs="Arial"/>
                <w:sz w:val="20"/>
                <w:szCs w:val="20"/>
              </w:rPr>
              <w:t>Potential impact due to noise during operation</w:t>
            </w:r>
          </w:p>
        </w:tc>
        <w:tc>
          <w:tcPr>
            <w:tcW w:w="1334" w:type="dxa"/>
            <w:tcBorders>
              <w:top w:val="double" w:sz="4" w:space="0" w:color="auto"/>
              <w:bottom w:val="double" w:sz="4" w:space="0" w:color="auto"/>
              <w:right w:val="double" w:sz="4" w:space="0" w:color="auto"/>
            </w:tcBorders>
            <w:shd w:val="clear" w:color="auto" w:fill="B4C6E7" w:themeFill="accent1" w:themeFillTint="66"/>
            <w:vAlign w:val="center"/>
          </w:tcPr>
          <w:p w14:paraId="44A16EEA" w14:textId="77777777" w:rsidR="00FE3E70" w:rsidRPr="0068236B" w:rsidRDefault="00FE3E70" w:rsidP="00FE3E70">
            <w:pPr>
              <w:autoSpaceDE w:val="0"/>
              <w:autoSpaceDN w:val="0"/>
              <w:adjustRightInd w:val="0"/>
              <w:spacing w:before="0" w:after="0" w:line="240" w:lineRule="auto"/>
              <w:jc w:val="left"/>
              <w:rPr>
                <w:rFonts w:cs="Arial"/>
                <w:sz w:val="20"/>
                <w:szCs w:val="20"/>
              </w:rPr>
            </w:pPr>
            <w:r w:rsidRPr="0068236B">
              <w:rPr>
                <w:rFonts w:cs="Arial"/>
                <w:sz w:val="20"/>
                <w:szCs w:val="20"/>
              </w:rPr>
              <w:t>Sensitivity of receptor</w:t>
            </w:r>
          </w:p>
        </w:tc>
        <w:tc>
          <w:tcPr>
            <w:tcW w:w="2693" w:type="dxa"/>
            <w:tcBorders>
              <w:top w:val="double" w:sz="4" w:space="0" w:color="auto"/>
              <w:bottom w:val="double" w:sz="4" w:space="0" w:color="auto"/>
              <w:right w:val="double" w:sz="4" w:space="0" w:color="auto"/>
            </w:tcBorders>
            <w:shd w:val="clear" w:color="auto" w:fill="B4C6E7" w:themeFill="accent1" w:themeFillTint="66"/>
            <w:vAlign w:val="center"/>
          </w:tcPr>
          <w:p w14:paraId="0028EA4B" w14:textId="77777777" w:rsidR="00FE3E70" w:rsidRPr="0068236B" w:rsidRDefault="00FE3E70" w:rsidP="00FE3E70">
            <w:pPr>
              <w:autoSpaceDE w:val="0"/>
              <w:autoSpaceDN w:val="0"/>
              <w:adjustRightInd w:val="0"/>
              <w:spacing w:before="0" w:after="0" w:line="240" w:lineRule="auto"/>
              <w:jc w:val="left"/>
              <w:rPr>
                <w:rFonts w:cs="Arial"/>
                <w:sz w:val="20"/>
                <w:szCs w:val="20"/>
              </w:rPr>
            </w:pPr>
            <w:r w:rsidRPr="0068236B">
              <w:rPr>
                <w:rFonts w:cs="Arial"/>
                <w:sz w:val="20"/>
                <w:szCs w:val="20"/>
              </w:rPr>
              <w:t>Magnitude of impact</w:t>
            </w:r>
          </w:p>
        </w:tc>
        <w:tc>
          <w:tcPr>
            <w:tcW w:w="1701" w:type="dxa"/>
            <w:tcBorders>
              <w:top w:val="double" w:sz="4" w:space="0" w:color="auto"/>
              <w:left w:val="double" w:sz="4" w:space="0" w:color="auto"/>
              <w:bottom w:val="double" w:sz="4" w:space="0" w:color="auto"/>
              <w:right w:val="double" w:sz="4" w:space="0" w:color="auto"/>
            </w:tcBorders>
            <w:shd w:val="clear" w:color="auto" w:fill="B4C6E7" w:themeFill="accent1" w:themeFillTint="66"/>
            <w:vAlign w:val="center"/>
          </w:tcPr>
          <w:p w14:paraId="3CB0E636" w14:textId="77777777" w:rsidR="00FE3E70" w:rsidRPr="0068236B" w:rsidRDefault="00FE3E70" w:rsidP="00FE3E70">
            <w:pPr>
              <w:autoSpaceDE w:val="0"/>
              <w:autoSpaceDN w:val="0"/>
              <w:adjustRightInd w:val="0"/>
              <w:spacing w:before="0" w:after="0" w:line="240" w:lineRule="auto"/>
              <w:jc w:val="left"/>
              <w:rPr>
                <w:rFonts w:cs="Arial"/>
                <w:sz w:val="20"/>
                <w:szCs w:val="20"/>
              </w:rPr>
            </w:pPr>
            <w:r w:rsidRPr="0068236B">
              <w:rPr>
                <w:rFonts w:cs="Arial"/>
                <w:sz w:val="20"/>
                <w:szCs w:val="20"/>
              </w:rPr>
              <w:t>Significance of impact</w:t>
            </w:r>
          </w:p>
        </w:tc>
      </w:tr>
      <w:tr w:rsidR="00FE3E70" w:rsidRPr="0068236B" w14:paraId="457D6E9B" w14:textId="77777777" w:rsidTr="00FE3E70">
        <w:trPr>
          <w:trHeight w:val="1298"/>
        </w:trPr>
        <w:tc>
          <w:tcPr>
            <w:tcW w:w="1418" w:type="dxa"/>
            <w:vMerge w:val="restart"/>
            <w:tcBorders>
              <w:top w:val="double" w:sz="4" w:space="0" w:color="auto"/>
              <w:left w:val="double" w:sz="4" w:space="0" w:color="auto"/>
            </w:tcBorders>
            <w:shd w:val="clear" w:color="auto" w:fill="auto"/>
            <w:vAlign w:val="center"/>
          </w:tcPr>
          <w:p w14:paraId="650DAFC5" w14:textId="77777777" w:rsidR="00FE3E70" w:rsidRPr="0068236B" w:rsidRDefault="00FE3E70" w:rsidP="00FE3E70">
            <w:pPr>
              <w:autoSpaceDE w:val="0"/>
              <w:autoSpaceDN w:val="0"/>
              <w:adjustRightInd w:val="0"/>
              <w:spacing w:before="0" w:after="0" w:line="240" w:lineRule="auto"/>
              <w:jc w:val="left"/>
              <w:rPr>
                <w:rFonts w:cs="Arial"/>
                <w:bCs/>
                <w:sz w:val="20"/>
                <w:szCs w:val="20"/>
              </w:rPr>
            </w:pPr>
            <w:r w:rsidRPr="0068236B">
              <w:rPr>
                <w:rFonts w:cs="Arial"/>
                <w:bCs/>
                <w:sz w:val="20"/>
                <w:szCs w:val="20"/>
              </w:rPr>
              <w:t>Operation</w:t>
            </w:r>
          </w:p>
        </w:tc>
        <w:tc>
          <w:tcPr>
            <w:tcW w:w="2159" w:type="dxa"/>
            <w:tcBorders>
              <w:top w:val="double" w:sz="4" w:space="0" w:color="auto"/>
            </w:tcBorders>
            <w:shd w:val="clear" w:color="auto" w:fill="auto"/>
            <w:vAlign w:val="center"/>
          </w:tcPr>
          <w:p w14:paraId="591D1685" w14:textId="77777777" w:rsidR="00FE3E70" w:rsidRPr="0068236B" w:rsidRDefault="00FE3E70" w:rsidP="00FE3E70">
            <w:pPr>
              <w:autoSpaceDE w:val="0"/>
              <w:autoSpaceDN w:val="0"/>
              <w:adjustRightInd w:val="0"/>
              <w:spacing w:before="0" w:after="0" w:line="240" w:lineRule="auto"/>
              <w:jc w:val="left"/>
              <w:rPr>
                <w:rFonts w:cs="Arial"/>
                <w:bCs/>
                <w:sz w:val="20"/>
                <w:szCs w:val="20"/>
              </w:rPr>
            </w:pPr>
            <w:r w:rsidRPr="0068236B">
              <w:rPr>
                <w:rFonts w:cs="Arial"/>
                <w:bCs/>
                <w:sz w:val="20"/>
                <w:szCs w:val="20"/>
              </w:rPr>
              <w:t>Long-term public e</w:t>
            </w:r>
            <w:r w:rsidRPr="0068236B">
              <w:rPr>
                <w:rFonts w:cs="Arial"/>
                <w:bCs/>
                <w:sz w:val="20"/>
                <w:szCs w:val="20"/>
              </w:rPr>
              <w:t>x</w:t>
            </w:r>
            <w:r w:rsidRPr="0068236B">
              <w:rPr>
                <w:rFonts w:cs="Arial"/>
                <w:bCs/>
                <w:sz w:val="20"/>
                <w:szCs w:val="20"/>
              </w:rPr>
              <w:t>posure to corona e</w:t>
            </w:r>
            <w:r w:rsidRPr="0068236B">
              <w:rPr>
                <w:rFonts w:cs="Arial"/>
                <w:bCs/>
                <w:sz w:val="20"/>
                <w:szCs w:val="20"/>
              </w:rPr>
              <w:t>f</w:t>
            </w:r>
            <w:r w:rsidRPr="0068236B">
              <w:rPr>
                <w:rFonts w:cs="Arial"/>
                <w:bCs/>
                <w:sz w:val="20"/>
                <w:szCs w:val="20"/>
              </w:rPr>
              <w:t>fect from OHL and substation</w:t>
            </w:r>
          </w:p>
        </w:tc>
        <w:tc>
          <w:tcPr>
            <w:tcW w:w="1334" w:type="dxa"/>
            <w:vMerge w:val="restart"/>
            <w:tcBorders>
              <w:top w:val="double" w:sz="4" w:space="0" w:color="auto"/>
            </w:tcBorders>
            <w:shd w:val="clear" w:color="auto" w:fill="auto"/>
            <w:vAlign w:val="center"/>
          </w:tcPr>
          <w:p w14:paraId="4BF5D31E" w14:textId="52DBD7CC" w:rsidR="00FE3E70" w:rsidRPr="0068236B" w:rsidRDefault="00FE3E70" w:rsidP="00FE3E70">
            <w:pPr>
              <w:spacing w:before="0" w:after="0" w:line="240" w:lineRule="auto"/>
              <w:jc w:val="left"/>
              <w:rPr>
                <w:rFonts w:cs="Arial"/>
                <w:sz w:val="20"/>
                <w:szCs w:val="20"/>
              </w:rPr>
            </w:pPr>
            <w:r w:rsidRPr="0068236B">
              <w:rPr>
                <w:rFonts w:cs="Arial"/>
                <w:sz w:val="20"/>
                <w:szCs w:val="20"/>
              </w:rPr>
              <w:t>High (closest residential properties)</w:t>
            </w:r>
          </w:p>
        </w:tc>
        <w:tc>
          <w:tcPr>
            <w:tcW w:w="2693" w:type="dxa"/>
            <w:vMerge w:val="restart"/>
            <w:tcBorders>
              <w:top w:val="double" w:sz="4" w:space="0" w:color="auto"/>
            </w:tcBorders>
            <w:shd w:val="clear" w:color="auto" w:fill="auto"/>
            <w:vAlign w:val="center"/>
          </w:tcPr>
          <w:p w14:paraId="30B107D5" w14:textId="77777777" w:rsidR="00FE3E70" w:rsidRPr="0068236B" w:rsidRDefault="00FE3E70" w:rsidP="00FE3E70">
            <w:pPr>
              <w:autoSpaceDE w:val="0"/>
              <w:autoSpaceDN w:val="0"/>
              <w:adjustRightInd w:val="0"/>
              <w:spacing w:before="0" w:after="0" w:line="240" w:lineRule="auto"/>
              <w:jc w:val="left"/>
              <w:rPr>
                <w:rFonts w:cs="Arial"/>
                <w:bCs/>
                <w:sz w:val="20"/>
                <w:szCs w:val="20"/>
              </w:rPr>
            </w:pPr>
            <w:r w:rsidRPr="0068236B">
              <w:rPr>
                <w:rFonts w:cs="Arial"/>
                <w:bCs/>
                <w:sz w:val="20"/>
                <w:szCs w:val="20"/>
              </w:rPr>
              <w:t>Very low</w:t>
            </w:r>
          </w:p>
          <w:p w14:paraId="1286395E" w14:textId="77777777" w:rsidR="00FE3E70" w:rsidRPr="0068236B" w:rsidRDefault="00FE3E70" w:rsidP="00D24CEF">
            <w:pPr>
              <w:pStyle w:val="ListParagraph"/>
              <w:numPr>
                <w:ilvl w:val="0"/>
                <w:numId w:val="85"/>
              </w:numPr>
              <w:autoSpaceDE w:val="0"/>
              <w:autoSpaceDN w:val="0"/>
              <w:adjustRightInd w:val="0"/>
              <w:spacing w:before="0" w:after="0" w:line="240" w:lineRule="auto"/>
              <w:ind w:left="120" w:hanging="120"/>
              <w:jc w:val="left"/>
              <w:rPr>
                <w:rFonts w:cs="Arial"/>
                <w:bCs/>
                <w:sz w:val="20"/>
                <w:szCs w:val="20"/>
              </w:rPr>
            </w:pPr>
            <w:r w:rsidRPr="0068236B">
              <w:rPr>
                <w:rFonts w:cs="Arial"/>
                <w:bCs/>
                <w:sz w:val="20"/>
                <w:szCs w:val="20"/>
              </w:rPr>
              <w:t>limited spatial extent</w:t>
            </w:r>
          </w:p>
          <w:p w14:paraId="42538D76" w14:textId="77777777" w:rsidR="00FE3E70" w:rsidRPr="0068236B" w:rsidRDefault="00FE3E70" w:rsidP="00D24CEF">
            <w:pPr>
              <w:pStyle w:val="ListParagraph"/>
              <w:numPr>
                <w:ilvl w:val="0"/>
                <w:numId w:val="85"/>
              </w:numPr>
              <w:autoSpaceDE w:val="0"/>
              <w:autoSpaceDN w:val="0"/>
              <w:adjustRightInd w:val="0"/>
              <w:spacing w:before="0" w:after="0" w:line="240" w:lineRule="auto"/>
              <w:ind w:left="120" w:hanging="120"/>
              <w:jc w:val="left"/>
              <w:rPr>
                <w:rFonts w:cs="Arial"/>
                <w:bCs/>
                <w:sz w:val="20"/>
                <w:szCs w:val="20"/>
              </w:rPr>
            </w:pPr>
            <w:r w:rsidRPr="0068236B">
              <w:rPr>
                <w:rFonts w:cs="Arial"/>
                <w:bCs/>
                <w:sz w:val="20"/>
                <w:szCs w:val="20"/>
              </w:rPr>
              <w:t>long duration</w:t>
            </w:r>
          </w:p>
          <w:p w14:paraId="1A66B831" w14:textId="33828242" w:rsidR="00FE3E70" w:rsidRPr="0068236B" w:rsidRDefault="00FE3E70" w:rsidP="00D24CEF">
            <w:pPr>
              <w:pStyle w:val="ListParagraph"/>
              <w:numPr>
                <w:ilvl w:val="0"/>
                <w:numId w:val="85"/>
              </w:numPr>
              <w:autoSpaceDE w:val="0"/>
              <w:autoSpaceDN w:val="0"/>
              <w:adjustRightInd w:val="0"/>
              <w:spacing w:before="0" w:after="0" w:line="240" w:lineRule="auto"/>
              <w:ind w:left="120" w:hanging="120"/>
              <w:jc w:val="left"/>
              <w:rPr>
                <w:rFonts w:cs="Arial"/>
                <w:bCs/>
                <w:sz w:val="20"/>
                <w:szCs w:val="20"/>
              </w:rPr>
            </w:pPr>
            <w:r w:rsidRPr="0068236B">
              <w:rPr>
                <w:rFonts w:cs="Arial"/>
                <w:bCs/>
                <w:sz w:val="20"/>
                <w:szCs w:val="20"/>
              </w:rPr>
              <w:t>low probability of exposure (no sensitive receptors in proximity to the Project and establishment of safety zone (RoW))</w:t>
            </w:r>
          </w:p>
          <w:p w14:paraId="47A1BCDF" w14:textId="77777777" w:rsidR="00FE3E70" w:rsidRPr="0068236B" w:rsidRDefault="00FE3E70" w:rsidP="00D24CEF">
            <w:pPr>
              <w:pStyle w:val="ListParagraph"/>
              <w:numPr>
                <w:ilvl w:val="0"/>
                <w:numId w:val="85"/>
              </w:numPr>
              <w:autoSpaceDE w:val="0"/>
              <w:autoSpaceDN w:val="0"/>
              <w:adjustRightInd w:val="0"/>
              <w:spacing w:before="0" w:after="0" w:line="240" w:lineRule="auto"/>
              <w:ind w:left="120" w:hanging="120"/>
              <w:jc w:val="left"/>
              <w:rPr>
                <w:rFonts w:cs="Arial"/>
                <w:bCs/>
                <w:sz w:val="20"/>
                <w:szCs w:val="20"/>
              </w:rPr>
            </w:pPr>
            <w:r w:rsidRPr="0068236B">
              <w:rPr>
                <w:rFonts w:cs="Arial"/>
                <w:bCs/>
                <w:sz w:val="20"/>
                <w:szCs w:val="20"/>
              </w:rPr>
              <w:t>reversible</w:t>
            </w:r>
          </w:p>
        </w:tc>
        <w:tc>
          <w:tcPr>
            <w:tcW w:w="1701" w:type="dxa"/>
            <w:tcBorders>
              <w:top w:val="double" w:sz="4" w:space="0" w:color="auto"/>
              <w:right w:val="double" w:sz="4" w:space="0" w:color="auto"/>
            </w:tcBorders>
            <w:shd w:val="clear" w:color="auto" w:fill="auto"/>
            <w:vAlign w:val="center"/>
          </w:tcPr>
          <w:p w14:paraId="22D7A263" w14:textId="4D61AC2A" w:rsidR="00FE3E70" w:rsidRPr="0068236B" w:rsidRDefault="00FE3E70" w:rsidP="00FE3E70">
            <w:pPr>
              <w:autoSpaceDE w:val="0"/>
              <w:autoSpaceDN w:val="0"/>
              <w:adjustRightInd w:val="0"/>
              <w:spacing w:before="0" w:after="0" w:line="240" w:lineRule="auto"/>
              <w:jc w:val="left"/>
              <w:rPr>
                <w:rFonts w:cs="Arial"/>
                <w:sz w:val="20"/>
                <w:szCs w:val="20"/>
              </w:rPr>
            </w:pPr>
            <w:r w:rsidRPr="0068236B">
              <w:rPr>
                <w:rFonts w:cs="Arial"/>
                <w:sz w:val="20"/>
                <w:szCs w:val="20"/>
              </w:rPr>
              <w:t>Negligible</w:t>
            </w:r>
          </w:p>
        </w:tc>
      </w:tr>
      <w:tr w:rsidR="00FE3E70" w:rsidRPr="0068236B" w14:paraId="2EA6654C" w14:textId="77777777" w:rsidTr="00FE3E70">
        <w:trPr>
          <w:trHeight w:val="20"/>
        </w:trPr>
        <w:tc>
          <w:tcPr>
            <w:tcW w:w="1418" w:type="dxa"/>
            <w:vMerge/>
            <w:tcBorders>
              <w:left w:val="double" w:sz="4" w:space="0" w:color="auto"/>
              <w:bottom w:val="double" w:sz="4" w:space="0" w:color="auto"/>
            </w:tcBorders>
            <w:shd w:val="clear" w:color="auto" w:fill="BFBFBF" w:themeFill="background1" w:themeFillShade="BF"/>
            <w:vAlign w:val="center"/>
          </w:tcPr>
          <w:p w14:paraId="78090473" w14:textId="77777777" w:rsidR="00FE3E70" w:rsidRPr="0068236B" w:rsidRDefault="00FE3E70" w:rsidP="00FE3E70">
            <w:pPr>
              <w:autoSpaceDE w:val="0"/>
              <w:autoSpaceDN w:val="0"/>
              <w:adjustRightInd w:val="0"/>
              <w:spacing w:before="0" w:after="0" w:line="240" w:lineRule="auto"/>
              <w:jc w:val="left"/>
              <w:rPr>
                <w:rFonts w:cs="Arial"/>
                <w:bCs/>
                <w:sz w:val="20"/>
                <w:szCs w:val="20"/>
              </w:rPr>
            </w:pPr>
          </w:p>
        </w:tc>
        <w:tc>
          <w:tcPr>
            <w:tcW w:w="2159" w:type="dxa"/>
            <w:tcBorders>
              <w:bottom w:val="double" w:sz="4" w:space="0" w:color="auto"/>
            </w:tcBorders>
            <w:vAlign w:val="center"/>
          </w:tcPr>
          <w:p w14:paraId="0CFCAF4F" w14:textId="77777777" w:rsidR="00FE3E70" w:rsidRPr="0068236B" w:rsidRDefault="00FE3E70" w:rsidP="00FE3E70">
            <w:pPr>
              <w:autoSpaceDE w:val="0"/>
              <w:autoSpaceDN w:val="0"/>
              <w:adjustRightInd w:val="0"/>
              <w:spacing w:before="0" w:after="0" w:line="240" w:lineRule="auto"/>
              <w:jc w:val="left"/>
              <w:rPr>
                <w:rFonts w:cs="Arial"/>
                <w:bCs/>
                <w:sz w:val="20"/>
                <w:szCs w:val="20"/>
              </w:rPr>
            </w:pPr>
            <w:r w:rsidRPr="0068236B">
              <w:rPr>
                <w:rFonts w:cs="Arial"/>
                <w:bCs/>
                <w:sz w:val="20"/>
                <w:szCs w:val="20"/>
              </w:rPr>
              <w:t>Long-term public e</w:t>
            </w:r>
            <w:r w:rsidRPr="0068236B">
              <w:rPr>
                <w:rFonts w:cs="Arial"/>
                <w:bCs/>
                <w:sz w:val="20"/>
                <w:szCs w:val="20"/>
              </w:rPr>
              <w:t>x</w:t>
            </w:r>
            <w:r w:rsidRPr="0068236B">
              <w:rPr>
                <w:rFonts w:cs="Arial"/>
                <w:bCs/>
                <w:sz w:val="20"/>
                <w:szCs w:val="20"/>
              </w:rPr>
              <w:t>posure to operational noise from substation</w:t>
            </w:r>
          </w:p>
        </w:tc>
        <w:tc>
          <w:tcPr>
            <w:tcW w:w="1334" w:type="dxa"/>
            <w:vMerge/>
            <w:tcBorders>
              <w:bottom w:val="double" w:sz="4" w:space="0" w:color="auto"/>
            </w:tcBorders>
          </w:tcPr>
          <w:p w14:paraId="54DE2305" w14:textId="77777777" w:rsidR="00FE3E70" w:rsidRPr="0068236B" w:rsidRDefault="00FE3E70" w:rsidP="00FE3E70">
            <w:pPr>
              <w:spacing w:before="0" w:after="0" w:line="240" w:lineRule="auto"/>
              <w:jc w:val="left"/>
              <w:rPr>
                <w:rFonts w:cs="Arial"/>
                <w:sz w:val="20"/>
                <w:szCs w:val="20"/>
              </w:rPr>
            </w:pPr>
          </w:p>
        </w:tc>
        <w:tc>
          <w:tcPr>
            <w:tcW w:w="2693" w:type="dxa"/>
            <w:vMerge/>
            <w:tcBorders>
              <w:bottom w:val="double" w:sz="4" w:space="0" w:color="auto"/>
            </w:tcBorders>
          </w:tcPr>
          <w:p w14:paraId="68F24EEE" w14:textId="77777777" w:rsidR="00FE3E70" w:rsidRPr="0068236B" w:rsidRDefault="00FE3E70" w:rsidP="00FE3E70">
            <w:pPr>
              <w:autoSpaceDE w:val="0"/>
              <w:autoSpaceDN w:val="0"/>
              <w:adjustRightInd w:val="0"/>
              <w:spacing w:before="0" w:after="0" w:line="240" w:lineRule="auto"/>
              <w:jc w:val="left"/>
              <w:rPr>
                <w:rFonts w:cs="Arial"/>
                <w:sz w:val="20"/>
                <w:szCs w:val="20"/>
              </w:rPr>
            </w:pPr>
          </w:p>
        </w:tc>
        <w:tc>
          <w:tcPr>
            <w:tcW w:w="1701" w:type="dxa"/>
            <w:tcBorders>
              <w:bottom w:val="double" w:sz="4" w:space="0" w:color="auto"/>
              <w:right w:val="double" w:sz="4" w:space="0" w:color="auto"/>
            </w:tcBorders>
            <w:vAlign w:val="center"/>
          </w:tcPr>
          <w:p w14:paraId="32CAF1AE" w14:textId="77777777" w:rsidR="00FE3E70" w:rsidRPr="0068236B" w:rsidRDefault="00FE3E70" w:rsidP="00FE3E70">
            <w:pPr>
              <w:autoSpaceDE w:val="0"/>
              <w:autoSpaceDN w:val="0"/>
              <w:adjustRightInd w:val="0"/>
              <w:spacing w:before="0" w:after="0" w:line="240" w:lineRule="auto"/>
              <w:jc w:val="left"/>
              <w:rPr>
                <w:rFonts w:cs="Arial"/>
                <w:sz w:val="20"/>
                <w:szCs w:val="20"/>
              </w:rPr>
            </w:pPr>
            <w:r w:rsidRPr="0068236B">
              <w:rPr>
                <w:rFonts w:cs="Arial"/>
                <w:sz w:val="20"/>
                <w:szCs w:val="20"/>
              </w:rPr>
              <w:t>Negligible</w:t>
            </w:r>
          </w:p>
        </w:tc>
      </w:tr>
    </w:tbl>
    <w:p w14:paraId="4088DA38" w14:textId="0A4CF1B9" w:rsidR="00FE3E70" w:rsidRPr="0068236B" w:rsidRDefault="00FE3E70" w:rsidP="00FE3E70">
      <w:pPr>
        <w:pStyle w:val="Caption"/>
        <w:spacing w:before="0" w:after="240" w:line="240" w:lineRule="auto"/>
        <w:jc w:val="left"/>
        <w:rPr>
          <w:rFonts w:eastAsia="Calibri"/>
          <w:b w:val="0"/>
        </w:rPr>
      </w:pPr>
      <w:bookmarkStart w:id="379" w:name="_Toc446278261"/>
      <w:bookmarkStart w:id="380" w:name="_Toc481953703"/>
      <w:bookmarkStart w:id="381" w:name="_Toc74509163"/>
      <w:bookmarkStart w:id="382" w:name="_Toc113018212"/>
      <w:r w:rsidRPr="0068236B">
        <w:rPr>
          <w:b w:val="0"/>
        </w:rPr>
        <w:t xml:space="preserve">Table </w:t>
      </w:r>
      <w:r w:rsidRPr="0068236B">
        <w:rPr>
          <w:b w:val="0"/>
          <w:i/>
        </w:rPr>
        <w:fldChar w:fldCharType="begin"/>
      </w:r>
      <w:r w:rsidRPr="0068236B">
        <w:rPr>
          <w:b w:val="0"/>
        </w:rPr>
        <w:instrText xml:space="preserve"> STYLEREF 1 \s </w:instrText>
      </w:r>
      <w:r w:rsidRPr="0068236B">
        <w:rPr>
          <w:b w:val="0"/>
          <w:i/>
        </w:rPr>
        <w:fldChar w:fldCharType="separate"/>
      </w:r>
      <w:r w:rsidR="00FD57E6">
        <w:rPr>
          <w:b w:val="0"/>
          <w:noProof/>
        </w:rPr>
        <w:t>8</w:t>
      </w:r>
      <w:r w:rsidRPr="0068236B">
        <w:rPr>
          <w:b w:val="0"/>
          <w:i/>
        </w:rPr>
        <w:fldChar w:fldCharType="end"/>
      </w:r>
      <w:r w:rsidRPr="0068236B">
        <w:rPr>
          <w:b w:val="0"/>
          <w:i/>
        </w:rPr>
        <w:t>.</w:t>
      </w:r>
      <w:r w:rsidRPr="0068236B">
        <w:rPr>
          <w:b w:val="0"/>
          <w:i/>
        </w:rPr>
        <w:fldChar w:fldCharType="begin"/>
      </w:r>
      <w:r w:rsidRPr="0068236B">
        <w:rPr>
          <w:b w:val="0"/>
        </w:rPr>
        <w:instrText xml:space="preserve"> SEQ Table \* ARABIC \s 1 </w:instrText>
      </w:r>
      <w:r w:rsidRPr="0068236B">
        <w:rPr>
          <w:b w:val="0"/>
          <w:i/>
        </w:rPr>
        <w:fldChar w:fldCharType="separate"/>
      </w:r>
      <w:r w:rsidR="00FD57E6">
        <w:rPr>
          <w:b w:val="0"/>
          <w:noProof/>
        </w:rPr>
        <w:t>16</w:t>
      </w:r>
      <w:r w:rsidRPr="0068236B">
        <w:rPr>
          <w:b w:val="0"/>
          <w:i/>
        </w:rPr>
        <w:fldChar w:fldCharType="end"/>
      </w:r>
      <w:r w:rsidRPr="0068236B">
        <w:rPr>
          <w:rFonts w:eastAsia="Calibri"/>
          <w:b w:val="0"/>
        </w:rPr>
        <w:t>: Significance of impacts from operational noise</w:t>
      </w:r>
      <w:bookmarkEnd w:id="379"/>
      <w:bookmarkEnd w:id="380"/>
      <w:bookmarkEnd w:id="381"/>
      <w:bookmarkEnd w:id="382"/>
    </w:p>
    <w:p w14:paraId="2C0A6B05" w14:textId="77777777" w:rsidR="003F0D91" w:rsidRPr="0068236B" w:rsidRDefault="003F0D91" w:rsidP="003F0D91">
      <w:pPr>
        <w:pStyle w:val="Heading3"/>
      </w:pPr>
      <w:bookmarkStart w:id="383" w:name="_Toc112852275"/>
      <w:r w:rsidRPr="0068236B">
        <w:t>Mitigation</w:t>
      </w:r>
      <w:bookmarkEnd w:id="383"/>
    </w:p>
    <w:p w14:paraId="5B00E3F4" w14:textId="624C1083" w:rsidR="00FE3E70" w:rsidRPr="0068236B" w:rsidRDefault="00FE3E70" w:rsidP="00FE3E70">
      <w:pPr>
        <w:widowControl w:val="0"/>
        <w:tabs>
          <w:tab w:val="left" w:pos="993"/>
        </w:tabs>
        <w:autoSpaceDE w:val="0"/>
        <w:autoSpaceDN w:val="0"/>
        <w:adjustRightInd w:val="0"/>
        <w:rPr>
          <w:rFonts w:cs="Arial"/>
          <w:sz w:val="20"/>
          <w:szCs w:val="20"/>
        </w:rPr>
      </w:pPr>
      <w:r w:rsidRPr="0068236B">
        <w:rPr>
          <w:rFonts w:cs="Tahoma"/>
          <w:sz w:val="20"/>
          <w:szCs w:val="20"/>
          <w:lang w:eastAsia="en-US"/>
        </w:rPr>
        <w:t xml:space="preserve">The Project to date has been inherently designed to mitigate the public exposure to operational noise from its future use, by avoiding sensitive receptors thus </w:t>
      </w:r>
      <w:r w:rsidRPr="0068236B">
        <w:rPr>
          <w:rFonts w:cs="Arial"/>
          <w:sz w:val="20"/>
          <w:szCs w:val="20"/>
        </w:rPr>
        <w:t xml:space="preserve">achieving the required level of compliance with noise limit values as determined in the respective regulations. The likely impact of operational noise on human health was one of the key issues considered during the process for selection of the preferred Project option. In this context, the major issues of consideration were the residential and commercial zones in the Project region. </w:t>
      </w:r>
    </w:p>
    <w:p w14:paraId="4C35FE67" w14:textId="77777777" w:rsidR="00FE3E70" w:rsidRPr="0068236B" w:rsidRDefault="00FE3E70" w:rsidP="00FE3E70">
      <w:pPr>
        <w:tabs>
          <w:tab w:val="left" w:pos="0"/>
        </w:tabs>
        <w:rPr>
          <w:rFonts w:cs="Tahoma"/>
          <w:sz w:val="20"/>
          <w:szCs w:val="20"/>
          <w:lang w:eastAsia="en-US"/>
        </w:rPr>
      </w:pPr>
      <w:r w:rsidRPr="0068236B">
        <w:rPr>
          <w:rFonts w:cs="Tahoma"/>
          <w:sz w:val="20"/>
          <w:szCs w:val="20"/>
          <w:lang w:eastAsia="en-US"/>
        </w:rPr>
        <w:t>The Project would be further designed to mitigate the public exposure to operational noise, mainly through:</w:t>
      </w:r>
    </w:p>
    <w:p w14:paraId="5B8B0F3E" w14:textId="5DCB29B0" w:rsidR="00FE3E70" w:rsidRPr="0068236B" w:rsidRDefault="00FE3E70" w:rsidP="00D24CEF">
      <w:pPr>
        <w:pStyle w:val="ListBullet"/>
        <w:numPr>
          <w:ilvl w:val="0"/>
          <w:numId w:val="97"/>
        </w:numPr>
        <w:jc w:val="left"/>
        <w:rPr>
          <w:sz w:val="20"/>
          <w:szCs w:val="20"/>
        </w:rPr>
      </w:pPr>
      <w:r w:rsidRPr="0068236B">
        <w:rPr>
          <w:rFonts w:cs="Arial"/>
          <w:sz w:val="20"/>
          <w:szCs w:val="20"/>
        </w:rPr>
        <w:t xml:space="preserve">Incorporation of respective design parameters into the Project design (e.g. set out minimum required </w:t>
      </w:r>
      <w:r w:rsidRPr="0068236B">
        <w:rPr>
          <w:sz w:val="20"/>
          <w:szCs w:val="20"/>
        </w:rPr>
        <w:t>conductor vertical clearance</w:t>
      </w:r>
      <w:r w:rsidRPr="0068236B">
        <w:rPr>
          <w:rFonts w:cs="Arial"/>
          <w:sz w:val="20"/>
          <w:szCs w:val="20"/>
        </w:rPr>
        <w:t xml:space="preserve">, </w:t>
      </w:r>
      <w:r w:rsidRPr="0068236B">
        <w:rPr>
          <w:bCs/>
          <w:sz w:val="20"/>
          <w:szCs w:val="20"/>
        </w:rPr>
        <w:t>application of noise reducing coatings for conductors, etc.</w:t>
      </w:r>
      <w:r w:rsidRPr="0068236B">
        <w:rPr>
          <w:sz w:val="20"/>
          <w:szCs w:val="20"/>
        </w:rPr>
        <w:t>)</w:t>
      </w:r>
      <w:r w:rsidRPr="0068236B">
        <w:rPr>
          <w:bCs/>
          <w:sz w:val="20"/>
          <w:szCs w:val="20"/>
        </w:rPr>
        <w:t>.</w:t>
      </w:r>
    </w:p>
    <w:p w14:paraId="38F76FBC" w14:textId="2D30F450" w:rsidR="00461F4B" w:rsidRPr="0068236B" w:rsidRDefault="00FE3E70" w:rsidP="00D24CEF">
      <w:pPr>
        <w:pStyle w:val="ListBullet"/>
        <w:numPr>
          <w:ilvl w:val="0"/>
          <w:numId w:val="97"/>
        </w:numPr>
        <w:jc w:val="left"/>
        <w:rPr>
          <w:sz w:val="20"/>
          <w:szCs w:val="20"/>
        </w:rPr>
      </w:pPr>
      <w:r w:rsidRPr="0068236B">
        <w:rPr>
          <w:sz w:val="20"/>
          <w:szCs w:val="20"/>
        </w:rPr>
        <w:t>Establish safety corridor along the path of the transmission line</w:t>
      </w:r>
      <w:r w:rsidR="00461F4B" w:rsidRPr="0068236B">
        <w:rPr>
          <w:sz w:val="20"/>
          <w:szCs w:val="20"/>
        </w:rPr>
        <w:t>s and safety distance from the new substation</w:t>
      </w:r>
      <w:r w:rsidRPr="0068236B">
        <w:rPr>
          <w:sz w:val="20"/>
          <w:szCs w:val="20"/>
        </w:rPr>
        <w:t xml:space="preserve"> according with the requirements of the relevant Macedonian legislation</w:t>
      </w:r>
      <w:r w:rsidR="00461F4B" w:rsidRPr="0068236B">
        <w:rPr>
          <w:rStyle w:val="FootnoteReference"/>
          <w:rFonts w:cs="Tahoma"/>
          <w:sz w:val="20"/>
          <w:szCs w:val="20"/>
        </w:rPr>
        <w:footnoteReference w:id="116"/>
      </w:r>
      <w:r w:rsidRPr="0068236B">
        <w:rPr>
          <w:sz w:val="20"/>
          <w:szCs w:val="20"/>
        </w:rPr>
        <w:t xml:space="preserve"> and MEPSO’s technical standards</w:t>
      </w:r>
      <w:r w:rsidRPr="0068236B">
        <w:rPr>
          <w:rStyle w:val="FootnoteReference"/>
          <w:rFonts w:cs="Tahoma"/>
          <w:sz w:val="20"/>
          <w:szCs w:val="20"/>
        </w:rPr>
        <w:footnoteReference w:id="117"/>
      </w:r>
      <w:r w:rsidR="00461F4B" w:rsidRPr="0068236B">
        <w:rPr>
          <w:sz w:val="20"/>
          <w:szCs w:val="20"/>
        </w:rPr>
        <w:t xml:space="preserve"> </w:t>
      </w:r>
      <w:r w:rsidR="00461F4B" w:rsidRPr="0068236B">
        <w:rPr>
          <w:rFonts w:cs="Tahoma"/>
          <w:sz w:val="20"/>
          <w:szCs w:val="20"/>
        </w:rPr>
        <w:t>(see Section 2.4.2)</w:t>
      </w:r>
      <w:r w:rsidRPr="0068236B">
        <w:rPr>
          <w:sz w:val="20"/>
          <w:szCs w:val="20"/>
        </w:rPr>
        <w:t xml:space="preserve">. Within this </w:t>
      </w:r>
      <w:r w:rsidR="00461F4B" w:rsidRPr="0068236B">
        <w:rPr>
          <w:sz w:val="20"/>
          <w:szCs w:val="20"/>
        </w:rPr>
        <w:t>zone</w:t>
      </w:r>
      <w:r w:rsidRPr="0068236B">
        <w:rPr>
          <w:sz w:val="20"/>
          <w:szCs w:val="20"/>
        </w:rPr>
        <w:t xml:space="preserve">, </w:t>
      </w:r>
      <w:r w:rsidR="00461F4B" w:rsidRPr="0068236B">
        <w:rPr>
          <w:rFonts w:cs="Tahoma"/>
          <w:sz w:val="20"/>
          <w:szCs w:val="20"/>
        </w:rPr>
        <w:t xml:space="preserve">no </w:t>
      </w:r>
      <w:r w:rsidR="00461F4B" w:rsidRPr="0068236B">
        <w:rPr>
          <w:sz w:val="20"/>
          <w:szCs w:val="20"/>
        </w:rPr>
        <w:t xml:space="preserve">development of any kind, </w:t>
      </w:r>
      <w:r w:rsidR="005E6643" w:rsidRPr="0068236B">
        <w:rPr>
          <w:sz w:val="20"/>
          <w:szCs w:val="20"/>
        </w:rPr>
        <w:t>including</w:t>
      </w:r>
      <w:r w:rsidR="00461F4B" w:rsidRPr="0068236B">
        <w:rPr>
          <w:sz w:val="20"/>
          <w:szCs w:val="20"/>
        </w:rPr>
        <w:t xml:space="preserve"> construction of residential or other properties (houses and facilities) is</w:t>
      </w:r>
      <w:r w:rsidRPr="0068236B">
        <w:rPr>
          <w:sz w:val="20"/>
          <w:szCs w:val="20"/>
        </w:rPr>
        <w:t xml:space="preserve"> allowed, to ensure, </w:t>
      </w:r>
      <w:r w:rsidRPr="0068236B">
        <w:rPr>
          <w:i/>
          <w:sz w:val="20"/>
          <w:szCs w:val="20"/>
        </w:rPr>
        <w:t>inter alia</w:t>
      </w:r>
      <w:r w:rsidRPr="0068236B">
        <w:rPr>
          <w:sz w:val="20"/>
          <w:szCs w:val="20"/>
        </w:rPr>
        <w:t xml:space="preserve">, </w:t>
      </w:r>
      <w:r w:rsidRPr="0068236B">
        <w:rPr>
          <w:rFonts w:cs="Tahoma"/>
          <w:sz w:val="20"/>
          <w:szCs w:val="20"/>
        </w:rPr>
        <w:t>protection of human health against long-term exposure to noise.</w:t>
      </w:r>
      <w:r w:rsidR="00461F4B" w:rsidRPr="0068236B">
        <w:rPr>
          <w:rFonts w:cs="Tahoma"/>
          <w:sz w:val="20"/>
          <w:szCs w:val="20"/>
        </w:rPr>
        <w:t xml:space="preserve"> </w:t>
      </w:r>
      <w:r w:rsidRPr="0068236B">
        <w:rPr>
          <w:rFonts w:cs="Tahoma"/>
          <w:sz w:val="20"/>
          <w:szCs w:val="20"/>
        </w:rPr>
        <w:t>Ther</w:t>
      </w:r>
      <w:r w:rsidRPr="0068236B">
        <w:rPr>
          <w:rFonts w:cs="Tahoma"/>
          <w:sz w:val="20"/>
          <w:szCs w:val="20"/>
        </w:rPr>
        <w:t>e</w:t>
      </w:r>
      <w:r w:rsidRPr="0068236B">
        <w:rPr>
          <w:rFonts w:cs="Tahoma"/>
          <w:sz w:val="20"/>
          <w:szCs w:val="20"/>
        </w:rPr>
        <w:t xml:space="preserve">fore, exceedance of the noise limits and significant direct long-term environmental impact to sensitive receptors during the operational phase of the </w:t>
      </w:r>
      <w:r w:rsidR="00461F4B" w:rsidRPr="0068236B">
        <w:rPr>
          <w:rFonts w:cs="Tahoma"/>
          <w:sz w:val="20"/>
          <w:szCs w:val="20"/>
        </w:rPr>
        <w:t xml:space="preserve">Project </w:t>
      </w:r>
      <w:r w:rsidRPr="0068236B">
        <w:rPr>
          <w:rFonts w:cs="Tahoma"/>
          <w:sz w:val="20"/>
          <w:szCs w:val="20"/>
        </w:rPr>
        <w:t>is unlikely.</w:t>
      </w:r>
    </w:p>
    <w:p w14:paraId="239EE9C4" w14:textId="77777777" w:rsidR="00FE3E70" w:rsidRPr="0068236B" w:rsidRDefault="00FE3E70" w:rsidP="00FE3E70">
      <w:pPr>
        <w:rPr>
          <w:rFonts w:eastAsia="Calibri" w:cs="Arial"/>
          <w:color w:val="000000"/>
          <w:sz w:val="20"/>
          <w:szCs w:val="20"/>
        </w:rPr>
      </w:pPr>
      <w:r w:rsidRPr="0068236B">
        <w:rPr>
          <w:rFonts w:cs="Tahoma"/>
          <w:sz w:val="20"/>
          <w:szCs w:val="20"/>
          <w:lang w:eastAsia="en-US"/>
        </w:rPr>
        <w:t xml:space="preserve">During the pre-construction and construction phases, </w:t>
      </w:r>
      <w:r w:rsidRPr="0068236B">
        <w:rPr>
          <w:rFonts w:eastAsia="Calibri" w:cs="Arial"/>
          <w:color w:val="000000"/>
          <w:sz w:val="20"/>
          <w:szCs w:val="20"/>
        </w:rPr>
        <w:t>correct manufacturing and installation methods and procedures are considered as an essential prerequisite measure that would allow reduction of eventual aud</w:t>
      </w:r>
      <w:r w:rsidRPr="0068236B">
        <w:rPr>
          <w:rFonts w:eastAsia="Calibri" w:cs="Arial"/>
          <w:color w:val="000000"/>
          <w:sz w:val="20"/>
          <w:szCs w:val="20"/>
        </w:rPr>
        <w:t>i</w:t>
      </w:r>
      <w:r w:rsidRPr="0068236B">
        <w:rPr>
          <w:rFonts w:eastAsia="Calibri" w:cs="Arial"/>
          <w:color w:val="000000"/>
          <w:sz w:val="20"/>
          <w:szCs w:val="20"/>
        </w:rPr>
        <w:t>ble nuisance due to operations of the Project. Particular attention should be paid to:</w:t>
      </w:r>
    </w:p>
    <w:p w14:paraId="227AC46B" w14:textId="77777777" w:rsidR="00FE3E70" w:rsidRPr="0068236B" w:rsidRDefault="00FE3E70" w:rsidP="00D24CEF">
      <w:pPr>
        <w:pStyle w:val="ListBullet"/>
        <w:numPr>
          <w:ilvl w:val="0"/>
          <w:numId w:val="97"/>
        </w:numPr>
        <w:spacing w:line="240" w:lineRule="auto"/>
        <w:jc w:val="left"/>
        <w:rPr>
          <w:sz w:val="20"/>
          <w:szCs w:val="20"/>
        </w:rPr>
      </w:pPr>
      <w:r w:rsidRPr="0068236B">
        <w:rPr>
          <w:rFonts w:eastAsia="Calibri" w:cs="Arial"/>
          <w:color w:val="000000"/>
          <w:sz w:val="20"/>
          <w:szCs w:val="20"/>
        </w:rPr>
        <w:t>Appropriate corona testing of conductor fittings in the line configuration</w:t>
      </w:r>
      <w:r w:rsidRPr="0068236B">
        <w:rPr>
          <w:rFonts w:eastAsia="46xmh"/>
          <w:sz w:val="20"/>
          <w:szCs w:val="20"/>
        </w:rPr>
        <w:t>.</w:t>
      </w:r>
    </w:p>
    <w:p w14:paraId="5ACE09E5" w14:textId="77777777" w:rsidR="00FE3E70" w:rsidRPr="0068236B" w:rsidRDefault="00FE3E70" w:rsidP="00D24CEF">
      <w:pPr>
        <w:pStyle w:val="ListBullet"/>
        <w:numPr>
          <w:ilvl w:val="0"/>
          <w:numId w:val="97"/>
        </w:numPr>
        <w:spacing w:line="240" w:lineRule="auto"/>
        <w:jc w:val="left"/>
        <w:rPr>
          <w:rFonts w:eastAsia="Calibri"/>
          <w:sz w:val="20"/>
          <w:szCs w:val="20"/>
        </w:rPr>
      </w:pPr>
      <w:r w:rsidRPr="0068236B">
        <w:rPr>
          <w:rFonts w:eastAsia="Calibri"/>
          <w:sz w:val="20"/>
          <w:szCs w:val="20"/>
        </w:rPr>
        <w:t xml:space="preserve">Manufacture of conductor consistent with technical specifications. </w:t>
      </w:r>
    </w:p>
    <w:p w14:paraId="2D5E8BE8" w14:textId="77777777" w:rsidR="00FE3E70" w:rsidRPr="0068236B" w:rsidRDefault="00FE3E70" w:rsidP="00D24CEF">
      <w:pPr>
        <w:pStyle w:val="ListBullet"/>
        <w:numPr>
          <w:ilvl w:val="0"/>
          <w:numId w:val="97"/>
        </w:numPr>
        <w:spacing w:line="240" w:lineRule="auto"/>
        <w:jc w:val="left"/>
        <w:rPr>
          <w:rFonts w:eastAsia="Calibri"/>
          <w:sz w:val="20"/>
          <w:szCs w:val="20"/>
        </w:rPr>
      </w:pPr>
      <w:r w:rsidRPr="0068236B">
        <w:rPr>
          <w:rFonts w:eastAsia="Calibri"/>
          <w:sz w:val="20"/>
          <w:szCs w:val="20"/>
        </w:rPr>
        <w:t>Appropriate requirements for storage, transport and handling of the conductors to minimise surface damage and contamination.</w:t>
      </w:r>
    </w:p>
    <w:p w14:paraId="71DD02A9" w14:textId="4F3939D4" w:rsidR="00A64671" w:rsidRPr="0068236B" w:rsidRDefault="00A64671" w:rsidP="00D24CEF">
      <w:pPr>
        <w:pStyle w:val="ListBullet"/>
        <w:numPr>
          <w:ilvl w:val="0"/>
          <w:numId w:val="97"/>
        </w:numPr>
        <w:spacing w:line="240" w:lineRule="auto"/>
        <w:jc w:val="left"/>
        <w:rPr>
          <w:rFonts w:eastAsia="Calibri"/>
          <w:sz w:val="20"/>
          <w:szCs w:val="20"/>
        </w:rPr>
      </w:pPr>
      <w:r w:rsidRPr="0068236B">
        <w:rPr>
          <w:rFonts w:eastAsia="Calibri"/>
          <w:sz w:val="20"/>
          <w:szCs w:val="20"/>
        </w:rPr>
        <w:t xml:space="preserve">Appropriate substation design that would provide suitable </w:t>
      </w:r>
      <w:r w:rsidRPr="0068236B">
        <w:rPr>
          <w:rFonts w:eastAsia="Calibri" w:cs="Arial"/>
          <w:color w:val="000000"/>
          <w:sz w:val="20"/>
          <w:szCs w:val="20"/>
        </w:rPr>
        <w:t xml:space="preserve">specification that will ensure that noise level generated at source (e.g. substation equipment) is </w:t>
      </w:r>
      <w:r w:rsidR="005E6643" w:rsidRPr="0068236B">
        <w:rPr>
          <w:rFonts w:eastAsia="Calibri" w:cs="Arial"/>
          <w:color w:val="000000"/>
          <w:sz w:val="20"/>
          <w:szCs w:val="20"/>
        </w:rPr>
        <w:t>below</w:t>
      </w:r>
      <w:r w:rsidRPr="0068236B">
        <w:rPr>
          <w:rFonts w:eastAsia="Calibri" w:cs="Arial"/>
          <w:color w:val="000000"/>
          <w:sz w:val="20"/>
          <w:szCs w:val="20"/>
        </w:rPr>
        <w:t xml:space="preserve"> 60 dB(A).</w:t>
      </w:r>
    </w:p>
    <w:p w14:paraId="4335AEDD" w14:textId="3F36E6FC" w:rsidR="00A64671" w:rsidRPr="0068236B" w:rsidRDefault="00A64671" w:rsidP="00D24CEF">
      <w:pPr>
        <w:pStyle w:val="ListBullet"/>
        <w:numPr>
          <w:ilvl w:val="0"/>
          <w:numId w:val="97"/>
        </w:numPr>
        <w:spacing w:line="240" w:lineRule="auto"/>
        <w:jc w:val="left"/>
        <w:rPr>
          <w:rFonts w:eastAsia="Calibri"/>
          <w:sz w:val="20"/>
          <w:szCs w:val="20"/>
        </w:rPr>
      </w:pPr>
      <w:r w:rsidRPr="0068236B">
        <w:rPr>
          <w:rFonts w:eastAsia="Calibri" w:cs="Arial"/>
          <w:color w:val="000000"/>
          <w:sz w:val="20"/>
          <w:szCs w:val="20"/>
        </w:rPr>
        <w:t>Installation of rubber foundation elements that will achieve appropriate reduction of noise emi</w:t>
      </w:r>
      <w:r w:rsidRPr="0068236B">
        <w:rPr>
          <w:rFonts w:eastAsia="Calibri" w:cs="Arial"/>
          <w:color w:val="000000"/>
          <w:sz w:val="20"/>
          <w:szCs w:val="20"/>
        </w:rPr>
        <w:t>s</w:t>
      </w:r>
      <w:r w:rsidRPr="0068236B">
        <w:rPr>
          <w:rFonts w:eastAsia="Calibri" w:cs="Arial"/>
          <w:color w:val="000000"/>
          <w:sz w:val="20"/>
          <w:szCs w:val="20"/>
        </w:rPr>
        <w:t>sion at the substation (if necessary).</w:t>
      </w:r>
    </w:p>
    <w:p w14:paraId="1F2A0479" w14:textId="65A7106D" w:rsidR="00FE3E70" w:rsidRPr="0068236B" w:rsidRDefault="00FE3E70" w:rsidP="00FE3E70">
      <w:pPr>
        <w:rPr>
          <w:rFonts w:eastAsia="Calibri" w:cs="Arial"/>
          <w:sz w:val="20"/>
          <w:szCs w:val="20"/>
        </w:rPr>
      </w:pPr>
      <w:r w:rsidRPr="0068236B">
        <w:rPr>
          <w:rFonts w:eastAsia="Calibri" w:cs="Tahoma"/>
          <w:sz w:val="20"/>
          <w:szCs w:val="20"/>
        </w:rPr>
        <w:lastRenderedPageBreak/>
        <w:t xml:space="preserve">In the event of a complaint by an owner or occupant of a property in vicinity to the Project, </w:t>
      </w:r>
      <w:r w:rsidR="00461F4B" w:rsidRPr="0068236B">
        <w:rPr>
          <w:rFonts w:eastAsia="Calibri" w:cs="Tahoma"/>
          <w:sz w:val="20"/>
          <w:szCs w:val="20"/>
        </w:rPr>
        <w:t>MEPSO</w:t>
      </w:r>
      <w:r w:rsidRPr="0068236B">
        <w:rPr>
          <w:rFonts w:eastAsia="Calibri" w:cs="Tahoma"/>
          <w:sz w:val="20"/>
          <w:szCs w:val="20"/>
        </w:rPr>
        <w:t xml:space="preserve"> should measure operational noise levels </w:t>
      </w:r>
      <w:r w:rsidRPr="0068236B">
        <w:rPr>
          <w:sz w:val="20"/>
          <w:szCs w:val="20"/>
        </w:rPr>
        <w:t xml:space="preserve">at the relevant </w:t>
      </w:r>
      <w:r w:rsidR="005E6643" w:rsidRPr="0068236B">
        <w:rPr>
          <w:sz w:val="20"/>
          <w:szCs w:val="20"/>
        </w:rPr>
        <w:t>receptor to</w:t>
      </w:r>
      <w:r w:rsidRPr="0068236B">
        <w:rPr>
          <w:sz w:val="20"/>
          <w:szCs w:val="20"/>
        </w:rPr>
        <w:t xml:space="preserve"> establish if the complaint is valid</w:t>
      </w:r>
      <w:r w:rsidRPr="0068236B">
        <w:rPr>
          <w:rFonts w:eastAsia="Calibri" w:cs="Tahoma"/>
          <w:sz w:val="20"/>
          <w:szCs w:val="20"/>
        </w:rPr>
        <w:t xml:space="preserve"> and take a</w:t>
      </w:r>
      <w:r w:rsidRPr="0068236B">
        <w:rPr>
          <w:rFonts w:eastAsia="Calibri" w:cs="Tahoma"/>
          <w:sz w:val="20"/>
          <w:szCs w:val="20"/>
        </w:rPr>
        <w:t>p</w:t>
      </w:r>
      <w:r w:rsidRPr="0068236B">
        <w:rPr>
          <w:rFonts w:eastAsia="Calibri" w:cs="Tahoma"/>
          <w:sz w:val="20"/>
          <w:szCs w:val="20"/>
        </w:rPr>
        <w:t>propriate correction action if needed to reduce or mitigate excess levels.</w:t>
      </w:r>
    </w:p>
    <w:p w14:paraId="26B86912" w14:textId="2C699FBB" w:rsidR="003F0D91" w:rsidRPr="0068236B" w:rsidRDefault="003F0D91" w:rsidP="003F0D91">
      <w:pPr>
        <w:pStyle w:val="Heading3"/>
      </w:pPr>
      <w:bookmarkStart w:id="384" w:name="_Toc112852276"/>
      <w:r w:rsidRPr="0068236B">
        <w:t>Residual Impact</w:t>
      </w:r>
      <w:bookmarkEnd w:id="384"/>
    </w:p>
    <w:p w14:paraId="7FF30F39" w14:textId="77777777" w:rsidR="00A64671" w:rsidRPr="0068236B" w:rsidRDefault="00A64671" w:rsidP="00A64671">
      <w:pPr>
        <w:autoSpaceDE w:val="0"/>
        <w:autoSpaceDN w:val="0"/>
        <w:adjustRightInd w:val="0"/>
        <w:rPr>
          <w:rFonts w:cs="Tahoma"/>
          <w:sz w:val="20"/>
          <w:szCs w:val="20"/>
          <w:lang w:eastAsia="en-US"/>
        </w:rPr>
      </w:pPr>
      <w:r w:rsidRPr="0068236B">
        <w:rPr>
          <w:rFonts w:cs="Tahoma"/>
          <w:sz w:val="20"/>
          <w:szCs w:val="20"/>
          <w:lang w:eastAsia="en-US"/>
        </w:rPr>
        <w:t>Provided that the mitigation measures are incorporated in the further Project design and implemented throughout the construction and operational phases of the Project, no likely significant residual effects around the exposure to operational noise from the Project are anticipated.</w:t>
      </w:r>
    </w:p>
    <w:p w14:paraId="03B651BD" w14:textId="2AF1EAE4" w:rsidR="00B95CF8" w:rsidRPr="0068236B" w:rsidRDefault="003F0D91" w:rsidP="00B95CF8">
      <w:pPr>
        <w:pStyle w:val="Heading2"/>
        <w:spacing w:before="480" w:after="240"/>
        <w:ind w:left="576" w:hanging="576"/>
        <w:rPr>
          <w:rFonts w:cs="Arial"/>
          <w:szCs w:val="28"/>
        </w:rPr>
      </w:pPr>
      <w:bookmarkStart w:id="385" w:name="_Toc112852277"/>
      <w:r w:rsidRPr="0068236B">
        <w:rPr>
          <w:rFonts w:cs="Arial"/>
          <w:szCs w:val="28"/>
        </w:rPr>
        <w:t>Geolog</w:t>
      </w:r>
      <w:r w:rsidR="00035E70" w:rsidRPr="0068236B">
        <w:rPr>
          <w:rFonts w:cs="Arial"/>
          <w:szCs w:val="28"/>
        </w:rPr>
        <w:t>y and Soils</w:t>
      </w:r>
      <w:bookmarkEnd w:id="385"/>
    </w:p>
    <w:p w14:paraId="0753DF39" w14:textId="700798EB" w:rsidR="003F0D91" w:rsidRPr="0068236B" w:rsidRDefault="003F0D91" w:rsidP="003F0D91">
      <w:pPr>
        <w:pStyle w:val="Heading3"/>
      </w:pPr>
      <w:bookmarkStart w:id="386" w:name="_Toc112852278"/>
      <w:r w:rsidRPr="0068236B">
        <w:t>Assessment Methodology</w:t>
      </w:r>
      <w:bookmarkEnd w:id="386"/>
    </w:p>
    <w:p w14:paraId="12F46DDB" w14:textId="5737C5D6" w:rsidR="00012B21" w:rsidRPr="0068236B" w:rsidRDefault="00012B21" w:rsidP="00012B21">
      <w:pPr>
        <w:autoSpaceDE w:val="0"/>
        <w:autoSpaceDN w:val="0"/>
        <w:adjustRightInd w:val="0"/>
        <w:rPr>
          <w:rFonts w:cs="Tahoma"/>
          <w:sz w:val="20"/>
          <w:szCs w:val="20"/>
        </w:rPr>
      </w:pPr>
      <w:r w:rsidRPr="0068236B">
        <w:rPr>
          <w:rFonts w:cs="Tahoma"/>
          <w:sz w:val="20"/>
          <w:szCs w:val="20"/>
        </w:rPr>
        <w:t xml:space="preserve">A typical methodology was used to assess the impacts on the land from the Project and is presented below. This methodology has been commonly used in similar types of projects as this transmission line development project and has been applied </w:t>
      </w:r>
      <w:r w:rsidRPr="0068236B">
        <w:rPr>
          <w:rFonts w:cs="Tahoma"/>
          <w:sz w:val="20"/>
          <w:szCs w:val="20"/>
          <w:lang w:eastAsia="en-US"/>
        </w:rPr>
        <w:t>with a degree of flexibility since the evaluation of effects would always be su</w:t>
      </w:r>
      <w:r w:rsidRPr="0068236B">
        <w:rPr>
          <w:rFonts w:cs="Tahoma"/>
          <w:sz w:val="20"/>
          <w:szCs w:val="20"/>
          <w:lang w:eastAsia="en-US"/>
        </w:rPr>
        <w:t>b</w:t>
      </w:r>
      <w:r w:rsidRPr="0068236B">
        <w:rPr>
          <w:rFonts w:cs="Tahoma"/>
          <w:sz w:val="20"/>
          <w:szCs w:val="20"/>
          <w:lang w:eastAsia="en-US"/>
        </w:rPr>
        <w:t>ject to particular site-specific characteristics which need to be taken into account. Therefore, in a case where this assessment predicts a potential for significant impact (presented as of moderate or higher significance), further impact assessment during next development phases of the Project and further prior to construction commencement would be required to take into consideration site-specific aspects.</w:t>
      </w:r>
    </w:p>
    <w:p w14:paraId="27AD142D" w14:textId="3D2711C3" w:rsidR="00012B21" w:rsidRPr="0068236B" w:rsidRDefault="00012B21" w:rsidP="008E77D3">
      <w:pPr>
        <w:pStyle w:val="Heading4"/>
        <w:numPr>
          <w:ilvl w:val="3"/>
          <w:numId w:val="61"/>
        </w:numPr>
        <w:rPr>
          <w:sz w:val="20"/>
        </w:rPr>
      </w:pPr>
      <w:bookmarkStart w:id="387" w:name="_Toc446325359"/>
      <w:bookmarkStart w:id="388" w:name="_Toc481953497"/>
      <w:bookmarkStart w:id="389" w:name="_Toc65936709"/>
      <w:r w:rsidRPr="0068236B">
        <w:rPr>
          <w:rFonts w:cs="Arial"/>
          <w:sz w:val="20"/>
          <w:szCs w:val="20"/>
        </w:rPr>
        <w:t>Sensitivity Classification of Geolog</w:t>
      </w:r>
      <w:r w:rsidR="00234939" w:rsidRPr="0068236B">
        <w:rPr>
          <w:rFonts w:cs="Arial"/>
          <w:sz w:val="20"/>
          <w:szCs w:val="20"/>
        </w:rPr>
        <w:t>y and Soils</w:t>
      </w:r>
      <w:bookmarkEnd w:id="387"/>
      <w:bookmarkEnd w:id="388"/>
      <w:bookmarkEnd w:id="389"/>
    </w:p>
    <w:p w14:paraId="6A72F55D" w14:textId="40F057EB" w:rsidR="00012B21" w:rsidRPr="0068236B" w:rsidRDefault="00012B21" w:rsidP="00012B21">
      <w:pPr>
        <w:autoSpaceDE w:val="0"/>
        <w:autoSpaceDN w:val="0"/>
        <w:adjustRightInd w:val="0"/>
        <w:rPr>
          <w:rFonts w:cs="Arial"/>
          <w:sz w:val="20"/>
          <w:szCs w:val="20"/>
        </w:rPr>
      </w:pPr>
      <w:r w:rsidRPr="0068236B">
        <w:rPr>
          <w:rFonts w:cs="Tahoma"/>
          <w:sz w:val="20"/>
          <w:szCs w:val="20"/>
        </w:rPr>
        <w:t>In general terms, the criteria for measuring the sensitivity of</w:t>
      </w:r>
      <w:r w:rsidRPr="0068236B">
        <w:rPr>
          <w:rFonts w:cs="Arial"/>
          <w:sz w:val="20"/>
          <w:szCs w:val="20"/>
        </w:rPr>
        <w:t xml:space="preserve"> the geological environment</w:t>
      </w:r>
      <w:r w:rsidR="00234939" w:rsidRPr="0068236B">
        <w:rPr>
          <w:rStyle w:val="FootnoteReference"/>
          <w:rFonts w:cs="Arial"/>
          <w:sz w:val="20"/>
          <w:szCs w:val="20"/>
        </w:rPr>
        <w:footnoteReference w:id="118"/>
      </w:r>
      <w:r w:rsidR="00035E70" w:rsidRPr="0068236B">
        <w:rPr>
          <w:rFonts w:cs="Arial"/>
          <w:sz w:val="20"/>
          <w:szCs w:val="20"/>
        </w:rPr>
        <w:t xml:space="preserve"> </w:t>
      </w:r>
      <w:r w:rsidRPr="0068236B">
        <w:rPr>
          <w:rFonts w:cs="Arial"/>
          <w:sz w:val="20"/>
          <w:szCs w:val="20"/>
        </w:rPr>
        <w:t xml:space="preserve">in the study </w:t>
      </w:r>
      <w:r w:rsidR="00234939" w:rsidRPr="0068236B">
        <w:rPr>
          <w:rFonts w:cs="Arial"/>
          <w:sz w:val="20"/>
          <w:szCs w:val="20"/>
        </w:rPr>
        <w:t xml:space="preserve">area </w:t>
      </w:r>
      <w:r w:rsidRPr="0068236B">
        <w:rPr>
          <w:rFonts w:cs="Arial"/>
          <w:sz w:val="20"/>
          <w:szCs w:val="20"/>
        </w:rPr>
        <w:t xml:space="preserve">are based on a number of factors including international and national designations, existing literature and geology maps, site visits and professional judgment. These criteria have been used to guide the analysis of the sensitivity of the geological environment in the study area, along the </w:t>
      </w:r>
      <w:r w:rsidRPr="0068236B">
        <w:rPr>
          <w:rFonts w:cs="Tahoma"/>
          <w:sz w:val="20"/>
          <w:szCs w:val="20"/>
        </w:rPr>
        <w:t>route of the transmission line</w:t>
      </w:r>
      <w:r w:rsidRPr="0068236B">
        <w:rPr>
          <w:rFonts w:cs="Arial"/>
          <w:sz w:val="20"/>
          <w:szCs w:val="20"/>
        </w:rPr>
        <w:t>. The criteria are listed in the Table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6837"/>
      </w:tblGrid>
      <w:tr w:rsidR="00012B21" w:rsidRPr="0068236B" w14:paraId="3106445D" w14:textId="77777777" w:rsidTr="001D77FA">
        <w:tc>
          <w:tcPr>
            <w:tcW w:w="2235" w:type="dxa"/>
            <w:tcBorders>
              <w:top w:val="double" w:sz="4" w:space="0" w:color="auto"/>
              <w:left w:val="double" w:sz="4" w:space="0" w:color="auto"/>
              <w:bottom w:val="single" w:sz="4" w:space="0" w:color="auto"/>
              <w:right w:val="single" w:sz="4" w:space="0" w:color="auto"/>
            </w:tcBorders>
            <w:shd w:val="clear" w:color="auto" w:fill="B4C6E7" w:themeFill="accent1" w:themeFillTint="66"/>
          </w:tcPr>
          <w:p w14:paraId="573BF3D5" w14:textId="77777777" w:rsidR="00012B21" w:rsidRPr="0068236B" w:rsidRDefault="00012B21" w:rsidP="003E5EF8">
            <w:pPr>
              <w:autoSpaceDE w:val="0"/>
              <w:autoSpaceDN w:val="0"/>
              <w:adjustRightInd w:val="0"/>
              <w:spacing w:before="0" w:after="0" w:line="240" w:lineRule="auto"/>
              <w:rPr>
                <w:rFonts w:eastAsia="Calibri" w:cs="Arial"/>
                <w:sz w:val="20"/>
                <w:szCs w:val="20"/>
              </w:rPr>
            </w:pPr>
            <w:r w:rsidRPr="0068236B">
              <w:rPr>
                <w:rFonts w:eastAsia="Calibri" w:cs="Arial"/>
                <w:sz w:val="20"/>
                <w:szCs w:val="20"/>
              </w:rPr>
              <w:t xml:space="preserve">Sensitivity </w:t>
            </w:r>
          </w:p>
        </w:tc>
        <w:tc>
          <w:tcPr>
            <w:tcW w:w="6837" w:type="dxa"/>
            <w:tcBorders>
              <w:top w:val="double" w:sz="4" w:space="0" w:color="auto"/>
              <w:left w:val="single" w:sz="4" w:space="0" w:color="auto"/>
              <w:bottom w:val="single" w:sz="4" w:space="0" w:color="auto"/>
              <w:right w:val="double" w:sz="4" w:space="0" w:color="auto"/>
            </w:tcBorders>
            <w:shd w:val="clear" w:color="auto" w:fill="B4C6E7" w:themeFill="accent1" w:themeFillTint="66"/>
          </w:tcPr>
          <w:p w14:paraId="320626AB" w14:textId="77777777" w:rsidR="00012B21" w:rsidRPr="0068236B" w:rsidRDefault="00012B21" w:rsidP="003E5EF8">
            <w:p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68236B">
              <w:rPr>
                <w:rFonts w:eastAsia="Calibri" w:cs="Arial"/>
                <w:sz w:val="20"/>
                <w:szCs w:val="20"/>
              </w:rPr>
              <w:t>Criteria</w:t>
            </w:r>
          </w:p>
        </w:tc>
      </w:tr>
      <w:tr w:rsidR="00012B21" w:rsidRPr="0068236B" w14:paraId="290CB050" w14:textId="77777777" w:rsidTr="003E5EF8">
        <w:tc>
          <w:tcPr>
            <w:tcW w:w="2235" w:type="dxa"/>
            <w:tcBorders>
              <w:top w:val="double" w:sz="4" w:space="0" w:color="auto"/>
              <w:left w:val="double" w:sz="4" w:space="0" w:color="auto"/>
            </w:tcBorders>
          </w:tcPr>
          <w:p w14:paraId="5879803F" w14:textId="77777777" w:rsidR="00012B21" w:rsidRPr="0068236B" w:rsidRDefault="00012B21" w:rsidP="003E5EF8">
            <w:pPr>
              <w:autoSpaceDE w:val="0"/>
              <w:autoSpaceDN w:val="0"/>
              <w:adjustRightInd w:val="0"/>
              <w:spacing w:before="0" w:after="0" w:line="240" w:lineRule="auto"/>
              <w:rPr>
                <w:rFonts w:eastAsia="Calibri" w:cs="Arial"/>
                <w:sz w:val="20"/>
                <w:szCs w:val="20"/>
              </w:rPr>
            </w:pPr>
            <w:r w:rsidRPr="0068236B">
              <w:rPr>
                <w:rFonts w:eastAsia="Calibri" w:cs="Arial"/>
                <w:sz w:val="20"/>
                <w:szCs w:val="20"/>
              </w:rPr>
              <w:t>Very high sensitivity</w:t>
            </w:r>
          </w:p>
        </w:tc>
        <w:tc>
          <w:tcPr>
            <w:tcW w:w="6837" w:type="dxa"/>
            <w:tcBorders>
              <w:top w:val="double" w:sz="4" w:space="0" w:color="auto"/>
              <w:right w:val="double" w:sz="4" w:space="0" w:color="auto"/>
            </w:tcBorders>
          </w:tcPr>
          <w:p w14:paraId="4839D045" w14:textId="77777777" w:rsidR="00012B21" w:rsidRPr="0068236B" w:rsidRDefault="00012B21" w:rsidP="008E77D3">
            <w:pPr>
              <w:numPr>
                <w:ilvl w:val="0"/>
                <w:numId w:val="62"/>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68236B">
              <w:rPr>
                <w:rFonts w:eastAsia="Calibri" w:cs="Arial"/>
                <w:sz w:val="20"/>
                <w:szCs w:val="20"/>
              </w:rPr>
              <w:t>International designated area or proposed for designation</w:t>
            </w:r>
          </w:p>
          <w:p w14:paraId="6CF7C9AB" w14:textId="77777777" w:rsidR="00012B21" w:rsidRPr="0068236B" w:rsidRDefault="00012B21" w:rsidP="008E77D3">
            <w:pPr>
              <w:numPr>
                <w:ilvl w:val="0"/>
                <w:numId w:val="62"/>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68236B">
              <w:rPr>
                <w:rFonts w:eastAsia="Calibri" w:cs="Arial"/>
                <w:sz w:val="20"/>
                <w:szCs w:val="20"/>
              </w:rPr>
              <w:t>Area recognized as geological site of international interest</w:t>
            </w:r>
          </w:p>
          <w:p w14:paraId="7900A6D2" w14:textId="77777777" w:rsidR="00012B21" w:rsidRPr="0068236B" w:rsidRDefault="00012B21" w:rsidP="008E77D3">
            <w:pPr>
              <w:numPr>
                <w:ilvl w:val="0"/>
                <w:numId w:val="62"/>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68236B">
              <w:rPr>
                <w:rFonts w:eastAsia="Calibri" w:cs="Arial"/>
                <w:sz w:val="20"/>
                <w:szCs w:val="20"/>
              </w:rPr>
              <w:t>Very steep sloping ground susceptible to excessive erosion</w:t>
            </w:r>
          </w:p>
        </w:tc>
      </w:tr>
      <w:tr w:rsidR="00012B21" w:rsidRPr="0068236B" w14:paraId="77FBBAB6" w14:textId="77777777" w:rsidTr="003E5EF8">
        <w:tc>
          <w:tcPr>
            <w:tcW w:w="2235" w:type="dxa"/>
            <w:tcBorders>
              <w:top w:val="single" w:sz="4" w:space="0" w:color="auto"/>
              <w:left w:val="double" w:sz="4" w:space="0" w:color="auto"/>
            </w:tcBorders>
          </w:tcPr>
          <w:p w14:paraId="66D4C7CC" w14:textId="77777777" w:rsidR="00012B21" w:rsidRPr="0068236B" w:rsidRDefault="00012B21" w:rsidP="003E5EF8">
            <w:pPr>
              <w:autoSpaceDE w:val="0"/>
              <w:autoSpaceDN w:val="0"/>
              <w:adjustRightInd w:val="0"/>
              <w:spacing w:before="0" w:after="0" w:line="240" w:lineRule="auto"/>
              <w:rPr>
                <w:rFonts w:eastAsia="Calibri" w:cs="Arial"/>
                <w:sz w:val="20"/>
                <w:szCs w:val="20"/>
              </w:rPr>
            </w:pPr>
            <w:r w:rsidRPr="0068236B">
              <w:rPr>
                <w:rFonts w:eastAsia="Calibri" w:cs="Arial"/>
                <w:sz w:val="20"/>
                <w:szCs w:val="20"/>
              </w:rPr>
              <w:t>High sensitivity</w:t>
            </w:r>
          </w:p>
        </w:tc>
        <w:tc>
          <w:tcPr>
            <w:tcW w:w="6837" w:type="dxa"/>
            <w:tcBorders>
              <w:top w:val="single" w:sz="4" w:space="0" w:color="auto"/>
              <w:right w:val="double" w:sz="4" w:space="0" w:color="auto"/>
            </w:tcBorders>
          </w:tcPr>
          <w:p w14:paraId="0C01DC0B" w14:textId="77777777" w:rsidR="00012B21" w:rsidRPr="0068236B" w:rsidRDefault="00012B21" w:rsidP="008E77D3">
            <w:pPr>
              <w:numPr>
                <w:ilvl w:val="0"/>
                <w:numId w:val="62"/>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68236B">
              <w:rPr>
                <w:rFonts w:eastAsia="Calibri" w:cs="Arial"/>
                <w:sz w:val="20"/>
                <w:szCs w:val="20"/>
              </w:rPr>
              <w:t>National designated area or proposed for designation</w:t>
            </w:r>
          </w:p>
          <w:p w14:paraId="3E6339EF" w14:textId="77777777" w:rsidR="00012B21" w:rsidRPr="0068236B" w:rsidRDefault="00012B21" w:rsidP="008E77D3">
            <w:pPr>
              <w:numPr>
                <w:ilvl w:val="0"/>
                <w:numId w:val="62"/>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68236B">
              <w:rPr>
                <w:rFonts w:eastAsia="Calibri" w:cs="Arial"/>
                <w:sz w:val="20"/>
                <w:szCs w:val="20"/>
              </w:rPr>
              <w:t>Area recognized as geological site of national interest</w:t>
            </w:r>
          </w:p>
          <w:p w14:paraId="7FB2588B" w14:textId="77777777" w:rsidR="00012B21" w:rsidRPr="0068236B" w:rsidRDefault="00012B21" w:rsidP="008E77D3">
            <w:pPr>
              <w:numPr>
                <w:ilvl w:val="0"/>
                <w:numId w:val="62"/>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68236B">
              <w:rPr>
                <w:rFonts w:eastAsia="Calibri" w:cs="Arial"/>
                <w:sz w:val="20"/>
                <w:szCs w:val="20"/>
              </w:rPr>
              <w:t>Unstable sloping ground susceptible to erosion</w:t>
            </w:r>
          </w:p>
        </w:tc>
      </w:tr>
      <w:tr w:rsidR="00012B21" w:rsidRPr="0068236B" w14:paraId="624D6AEE" w14:textId="77777777" w:rsidTr="003E5EF8">
        <w:tc>
          <w:tcPr>
            <w:tcW w:w="2235" w:type="dxa"/>
            <w:tcBorders>
              <w:left w:val="double" w:sz="4" w:space="0" w:color="auto"/>
            </w:tcBorders>
          </w:tcPr>
          <w:p w14:paraId="0F36DFD1" w14:textId="77777777" w:rsidR="00012B21" w:rsidRPr="0068236B" w:rsidRDefault="00012B21" w:rsidP="003E5EF8">
            <w:pPr>
              <w:autoSpaceDE w:val="0"/>
              <w:autoSpaceDN w:val="0"/>
              <w:adjustRightInd w:val="0"/>
              <w:spacing w:before="0" w:after="0" w:line="240" w:lineRule="auto"/>
              <w:rPr>
                <w:rFonts w:eastAsia="Calibri" w:cs="Arial"/>
                <w:sz w:val="20"/>
                <w:szCs w:val="20"/>
              </w:rPr>
            </w:pPr>
            <w:r w:rsidRPr="0068236B">
              <w:rPr>
                <w:rFonts w:eastAsia="Calibri" w:cs="Arial"/>
                <w:sz w:val="20"/>
                <w:szCs w:val="20"/>
              </w:rPr>
              <w:t>Medium sensitivity</w:t>
            </w:r>
          </w:p>
        </w:tc>
        <w:tc>
          <w:tcPr>
            <w:tcW w:w="6837" w:type="dxa"/>
            <w:tcBorders>
              <w:right w:val="double" w:sz="4" w:space="0" w:color="auto"/>
            </w:tcBorders>
          </w:tcPr>
          <w:p w14:paraId="4735069A" w14:textId="77777777" w:rsidR="00012B21" w:rsidRPr="0068236B" w:rsidRDefault="00012B21" w:rsidP="008E77D3">
            <w:pPr>
              <w:numPr>
                <w:ilvl w:val="0"/>
                <w:numId w:val="63"/>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68236B">
              <w:rPr>
                <w:rFonts w:eastAsia="Calibri" w:cs="Arial"/>
                <w:sz w:val="20"/>
                <w:szCs w:val="20"/>
              </w:rPr>
              <w:t>Lesser sloping grounds</w:t>
            </w:r>
          </w:p>
          <w:p w14:paraId="584B2C31" w14:textId="77777777" w:rsidR="00012B21" w:rsidRPr="0068236B" w:rsidRDefault="00012B21" w:rsidP="008E77D3">
            <w:pPr>
              <w:numPr>
                <w:ilvl w:val="0"/>
                <w:numId w:val="63"/>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68236B">
              <w:rPr>
                <w:rFonts w:eastAsia="Calibri" w:cs="Arial"/>
                <w:sz w:val="20"/>
                <w:szCs w:val="20"/>
              </w:rPr>
              <w:t>Soils that may support arable agriculture</w:t>
            </w:r>
          </w:p>
          <w:p w14:paraId="56EB435E" w14:textId="77777777" w:rsidR="00012B21" w:rsidRPr="0068236B" w:rsidRDefault="00012B21" w:rsidP="008E77D3">
            <w:pPr>
              <w:numPr>
                <w:ilvl w:val="0"/>
                <w:numId w:val="63"/>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68236B">
              <w:rPr>
                <w:rFonts w:eastAsia="Calibri" w:cs="Arial"/>
                <w:sz w:val="20"/>
                <w:szCs w:val="20"/>
              </w:rPr>
              <w:t>Thin upland soils</w:t>
            </w:r>
          </w:p>
          <w:p w14:paraId="1A8458C0" w14:textId="77777777" w:rsidR="00012B21" w:rsidRPr="0068236B" w:rsidRDefault="00012B21" w:rsidP="008E77D3">
            <w:pPr>
              <w:numPr>
                <w:ilvl w:val="0"/>
                <w:numId w:val="63"/>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68236B">
              <w:rPr>
                <w:rFonts w:eastAsia="Calibri" w:cs="Arial"/>
                <w:sz w:val="20"/>
                <w:szCs w:val="20"/>
              </w:rPr>
              <w:t>Peat deposits</w:t>
            </w:r>
          </w:p>
        </w:tc>
      </w:tr>
      <w:tr w:rsidR="00012B21" w:rsidRPr="0068236B" w14:paraId="11956A0F" w14:textId="77777777" w:rsidTr="003E5EF8">
        <w:tc>
          <w:tcPr>
            <w:tcW w:w="2235" w:type="dxa"/>
            <w:tcBorders>
              <w:left w:val="double" w:sz="4" w:space="0" w:color="auto"/>
            </w:tcBorders>
          </w:tcPr>
          <w:p w14:paraId="4F0C1A9B" w14:textId="77777777" w:rsidR="00012B21" w:rsidRPr="0068236B" w:rsidRDefault="00012B21" w:rsidP="003E5EF8">
            <w:pPr>
              <w:autoSpaceDE w:val="0"/>
              <w:autoSpaceDN w:val="0"/>
              <w:adjustRightInd w:val="0"/>
              <w:spacing w:before="0" w:after="0" w:line="240" w:lineRule="auto"/>
              <w:rPr>
                <w:rFonts w:eastAsia="Calibri" w:cs="Arial"/>
                <w:sz w:val="20"/>
                <w:szCs w:val="20"/>
              </w:rPr>
            </w:pPr>
            <w:r w:rsidRPr="0068236B">
              <w:rPr>
                <w:rFonts w:eastAsia="Calibri" w:cs="Arial"/>
                <w:sz w:val="20"/>
                <w:szCs w:val="20"/>
              </w:rPr>
              <w:t>Low sensitivity</w:t>
            </w:r>
          </w:p>
        </w:tc>
        <w:tc>
          <w:tcPr>
            <w:tcW w:w="6837" w:type="dxa"/>
            <w:tcBorders>
              <w:right w:val="double" w:sz="4" w:space="0" w:color="auto"/>
            </w:tcBorders>
          </w:tcPr>
          <w:p w14:paraId="1E658699" w14:textId="77777777" w:rsidR="00012B21" w:rsidRPr="0068236B" w:rsidRDefault="00012B21" w:rsidP="008E77D3">
            <w:pPr>
              <w:numPr>
                <w:ilvl w:val="0"/>
                <w:numId w:val="64"/>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68236B">
              <w:rPr>
                <w:rFonts w:eastAsia="Calibri" w:cs="Arial"/>
                <w:sz w:val="20"/>
                <w:szCs w:val="20"/>
              </w:rPr>
              <w:t>Soils that may support pastures</w:t>
            </w:r>
          </w:p>
          <w:p w14:paraId="37E970B4" w14:textId="77777777" w:rsidR="00012B21" w:rsidRPr="0068236B" w:rsidRDefault="00012B21" w:rsidP="008E77D3">
            <w:pPr>
              <w:numPr>
                <w:ilvl w:val="0"/>
                <w:numId w:val="64"/>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68236B">
              <w:rPr>
                <w:rFonts w:eastAsia="Calibri" w:cs="Arial"/>
                <w:sz w:val="20"/>
                <w:szCs w:val="20"/>
              </w:rPr>
              <w:t>Thick lowland soils</w:t>
            </w:r>
          </w:p>
        </w:tc>
      </w:tr>
      <w:tr w:rsidR="00012B21" w:rsidRPr="0068236B" w14:paraId="7CF682E1" w14:textId="77777777" w:rsidTr="003E5EF8">
        <w:tc>
          <w:tcPr>
            <w:tcW w:w="2235" w:type="dxa"/>
            <w:tcBorders>
              <w:left w:val="double" w:sz="4" w:space="0" w:color="auto"/>
              <w:bottom w:val="double" w:sz="4" w:space="0" w:color="auto"/>
            </w:tcBorders>
          </w:tcPr>
          <w:p w14:paraId="2C126B8F" w14:textId="77777777" w:rsidR="00012B21" w:rsidRPr="0068236B" w:rsidRDefault="00012B21" w:rsidP="003E5EF8">
            <w:pPr>
              <w:autoSpaceDE w:val="0"/>
              <w:autoSpaceDN w:val="0"/>
              <w:adjustRightInd w:val="0"/>
              <w:spacing w:before="0" w:after="0" w:line="240" w:lineRule="auto"/>
              <w:rPr>
                <w:rFonts w:eastAsia="Calibri" w:cs="Arial"/>
                <w:sz w:val="20"/>
                <w:szCs w:val="20"/>
              </w:rPr>
            </w:pPr>
            <w:r w:rsidRPr="0068236B">
              <w:rPr>
                <w:rFonts w:eastAsia="Calibri" w:cs="Arial"/>
                <w:sz w:val="20"/>
                <w:szCs w:val="20"/>
              </w:rPr>
              <w:t>Not sensitive</w:t>
            </w:r>
          </w:p>
        </w:tc>
        <w:tc>
          <w:tcPr>
            <w:tcW w:w="6837" w:type="dxa"/>
            <w:tcBorders>
              <w:bottom w:val="double" w:sz="4" w:space="0" w:color="auto"/>
              <w:right w:val="double" w:sz="4" w:space="0" w:color="auto"/>
            </w:tcBorders>
          </w:tcPr>
          <w:p w14:paraId="59B529EF" w14:textId="77777777" w:rsidR="00012B21" w:rsidRPr="0068236B" w:rsidRDefault="00012B21" w:rsidP="008E77D3">
            <w:pPr>
              <w:numPr>
                <w:ilvl w:val="0"/>
                <w:numId w:val="64"/>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68236B">
              <w:rPr>
                <w:rFonts w:eastAsia="Calibri" w:cs="Arial"/>
                <w:sz w:val="20"/>
                <w:szCs w:val="20"/>
              </w:rPr>
              <w:t>Soils in developed areas</w:t>
            </w:r>
          </w:p>
          <w:p w14:paraId="16169FA0" w14:textId="77777777" w:rsidR="00012B21" w:rsidRPr="0068236B" w:rsidRDefault="00012B21" w:rsidP="008E77D3">
            <w:pPr>
              <w:numPr>
                <w:ilvl w:val="0"/>
                <w:numId w:val="64"/>
              </w:numPr>
              <w:tabs>
                <w:tab w:val="left" w:pos="317"/>
              </w:tabs>
              <w:autoSpaceDE w:val="0"/>
              <w:autoSpaceDN w:val="0"/>
              <w:adjustRightInd w:val="0"/>
              <w:spacing w:before="0" w:after="0" w:line="240" w:lineRule="auto"/>
              <w:ind w:left="317" w:hanging="317"/>
              <w:contextualSpacing/>
              <w:jc w:val="left"/>
              <w:rPr>
                <w:rFonts w:eastAsia="Calibri" w:cs="Arial"/>
                <w:sz w:val="20"/>
                <w:szCs w:val="20"/>
              </w:rPr>
            </w:pPr>
            <w:r w:rsidRPr="0068236B">
              <w:rPr>
                <w:rFonts w:eastAsia="Calibri" w:cs="Arial"/>
                <w:sz w:val="20"/>
                <w:szCs w:val="20"/>
              </w:rPr>
              <w:t>Flat and well consolidated soils</w:t>
            </w:r>
          </w:p>
        </w:tc>
      </w:tr>
    </w:tbl>
    <w:p w14:paraId="1807F610" w14:textId="20902443" w:rsidR="00012B21" w:rsidRPr="0068236B" w:rsidRDefault="00012B21" w:rsidP="00012B21">
      <w:pPr>
        <w:autoSpaceDE w:val="0"/>
        <w:autoSpaceDN w:val="0"/>
        <w:adjustRightInd w:val="0"/>
        <w:spacing w:before="60" w:after="240"/>
        <w:rPr>
          <w:rFonts w:cs="Tahoma"/>
          <w:sz w:val="18"/>
          <w:szCs w:val="20"/>
        </w:rPr>
      </w:pPr>
      <w:bookmarkStart w:id="390" w:name="_Toc65936948"/>
      <w:bookmarkStart w:id="391" w:name="_Toc80181258"/>
      <w:bookmarkStart w:id="392" w:name="_Toc113018213"/>
      <w:r w:rsidRPr="0068236B">
        <w:rPr>
          <w:rFonts w:cs="Tahoma"/>
          <w:sz w:val="18"/>
          <w:szCs w:val="20"/>
        </w:rPr>
        <w:t xml:space="preserve">Table </w:t>
      </w:r>
      <w:r w:rsidRPr="0068236B">
        <w:rPr>
          <w:rFonts w:cs="Tahoma"/>
          <w:i/>
          <w:sz w:val="18"/>
          <w:szCs w:val="20"/>
        </w:rPr>
        <w:fldChar w:fldCharType="begin"/>
      </w:r>
      <w:r w:rsidRPr="0068236B">
        <w:rPr>
          <w:rFonts w:cs="Tahoma"/>
          <w:sz w:val="18"/>
          <w:szCs w:val="20"/>
        </w:rPr>
        <w:instrText xml:space="preserve"> STYLEREF 1 \s </w:instrText>
      </w:r>
      <w:r w:rsidRPr="0068236B">
        <w:rPr>
          <w:rFonts w:cs="Tahoma"/>
          <w:i/>
          <w:sz w:val="18"/>
          <w:szCs w:val="20"/>
        </w:rPr>
        <w:fldChar w:fldCharType="separate"/>
      </w:r>
      <w:r w:rsidR="00FD57E6">
        <w:rPr>
          <w:rFonts w:cs="Tahoma"/>
          <w:noProof/>
          <w:sz w:val="18"/>
          <w:szCs w:val="20"/>
        </w:rPr>
        <w:t>8</w:t>
      </w:r>
      <w:r w:rsidRPr="0068236B">
        <w:rPr>
          <w:rFonts w:cs="Tahoma"/>
          <w:i/>
          <w:sz w:val="18"/>
          <w:szCs w:val="20"/>
        </w:rPr>
        <w:fldChar w:fldCharType="end"/>
      </w:r>
      <w:r w:rsidRPr="0068236B">
        <w:rPr>
          <w:rFonts w:cs="Tahoma"/>
          <w:sz w:val="18"/>
          <w:szCs w:val="20"/>
        </w:rPr>
        <w:t>.</w:t>
      </w:r>
      <w:r w:rsidRPr="0068236B">
        <w:rPr>
          <w:rFonts w:cs="Tahoma"/>
          <w:i/>
          <w:sz w:val="18"/>
          <w:szCs w:val="20"/>
        </w:rPr>
        <w:fldChar w:fldCharType="begin"/>
      </w:r>
      <w:r w:rsidRPr="0068236B">
        <w:rPr>
          <w:rFonts w:cs="Tahoma"/>
          <w:sz w:val="18"/>
          <w:szCs w:val="20"/>
        </w:rPr>
        <w:instrText xml:space="preserve"> SEQ Table \* ARABIC \s 1 </w:instrText>
      </w:r>
      <w:r w:rsidRPr="0068236B">
        <w:rPr>
          <w:rFonts w:cs="Tahoma"/>
          <w:i/>
          <w:sz w:val="18"/>
          <w:szCs w:val="20"/>
        </w:rPr>
        <w:fldChar w:fldCharType="separate"/>
      </w:r>
      <w:r w:rsidR="00FD57E6">
        <w:rPr>
          <w:rFonts w:cs="Tahoma"/>
          <w:noProof/>
          <w:sz w:val="18"/>
          <w:szCs w:val="20"/>
        </w:rPr>
        <w:t>17</w:t>
      </w:r>
      <w:r w:rsidRPr="0068236B">
        <w:rPr>
          <w:rFonts w:cs="Tahoma"/>
          <w:i/>
          <w:sz w:val="18"/>
          <w:szCs w:val="20"/>
        </w:rPr>
        <w:fldChar w:fldCharType="end"/>
      </w:r>
      <w:r w:rsidR="005F774D" w:rsidRPr="0068236B">
        <w:rPr>
          <w:rFonts w:cs="Tahoma"/>
          <w:sz w:val="18"/>
          <w:szCs w:val="20"/>
        </w:rPr>
        <w:t xml:space="preserve">: </w:t>
      </w:r>
      <w:r w:rsidRPr="0068236B">
        <w:rPr>
          <w:rFonts w:cs="Tahoma"/>
          <w:sz w:val="18"/>
          <w:szCs w:val="20"/>
        </w:rPr>
        <w:t>Sensitivity classification of geolog</w:t>
      </w:r>
      <w:bookmarkEnd w:id="390"/>
      <w:bookmarkEnd w:id="391"/>
      <w:r w:rsidR="00234939" w:rsidRPr="0068236B">
        <w:rPr>
          <w:rFonts w:cs="Tahoma"/>
          <w:sz w:val="18"/>
          <w:szCs w:val="20"/>
        </w:rPr>
        <w:t xml:space="preserve">y </w:t>
      </w:r>
      <w:r w:rsidR="00035E70" w:rsidRPr="0068236B">
        <w:rPr>
          <w:rFonts w:cs="Tahoma"/>
          <w:sz w:val="18"/>
          <w:szCs w:val="20"/>
        </w:rPr>
        <w:t>and soils</w:t>
      </w:r>
      <w:bookmarkEnd w:id="392"/>
    </w:p>
    <w:p w14:paraId="0477951D" w14:textId="77777777" w:rsidR="00012B21" w:rsidRPr="0068236B" w:rsidRDefault="00012B21" w:rsidP="00012B21">
      <w:pPr>
        <w:pStyle w:val="Heading4"/>
        <w:rPr>
          <w:sz w:val="20"/>
        </w:rPr>
      </w:pPr>
      <w:r w:rsidRPr="0068236B">
        <w:rPr>
          <w:sz w:val="20"/>
        </w:rPr>
        <w:lastRenderedPageBreak/>
        <w:t>Magnitude of Impact</w:t>
      </w:r>
    </w:p>
    <w:p w14:paraId="41A90C2D" w14:textId="41AEE990" w:rsidR="00AA1686" w:rsidRPr="0068236B" w:rsidRDefault="00012B21">
      <w:r w:rsidRPr="0068236B">
        <w:rPr>
          <w:rFonts w:cs="Arial"/>
          <w:sz w:val="20"/>
          <w:szCs w:val="20"/>
        </w:rPr>
        <w:t>Criteria for assessing the magnitude of impact are given in the Table below.</w:t>
      </w:r>
    </w:p>
    <w:tbl>
      <w:tblPr>
        <w:tblW w:w="9781"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560"/>
        <w:gridCol w:w="8221"/>
      </w:tblGrid>
      <w:tr w:rsidR="00012B21" w:rsidRPr="0068236B" w14:paraId="232D2CEB" w14:textId="77777777" w:rsidTr="00230397">
        <w:tc>
          <w:tcPr>
            <w:tcW w:w="1560" w:type="dxa"/>
            <w:tcBorders>
              <w:top w:val="double" w:sz="4" w:space="0" w:color="auto"/>
              <w:bottom w:val="double" w:sz="4" w:space="0" w:color="auto"/>
              <w:right w:val="double" w:sz="4" w:space="0" w:color="auto"/>
            </w:tcBorders>
            <w:shd w:val="clear" w:color="auto" w:fill="B4C6E7" w:themeFill="accent1" w:themeFillTint="66"/>
          </w:tcPr>
          <w:p w14:paraId="6E617875" w14:textId="69140FA5" w:rsidR="00012B21" w:rsidRPr="0068236B" w:rsidRDefault="00012B21" w:rsidP="003E5EF8">
            <w:pPr>
              <w:tabs>
                <w:tab w:val="center" w:pos="4320"/>
                <w:tab w:val="right" w:pos="8640"/>
              </w:tabs>
              <w:spacing w:before="0" w:after="0" w:line="240" w:lineRule="auto"/>
              <w:rPr>
                <w:rFonts w:eastAsia="Calibri" w:cs="Arial"/>
                <w:sz w:val="20"/>
                <w:szCs w:val="20"/>
              </w:rPr>
            </w:pPr>
            <w:r w:rsidRPr="0068236B">
              <w:rPr>
                <w:rFonts w:eastAsia="Calibri" w:cs="Arial"/>
                <w:sz w:val="20"/>
                <w:szCs w:val="20"/>
              </w:rPr>
              <w:t>Level</w:t>
            </w:r>
          </w:p>
        </w:tc>
        <w:tc>
          <w:tcPr>
            <w:tcW w:w="8221"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2C5710D3" w14:textId="77777777" w:rsidR="00012B21" w:rsidRPr="0068236B" w:rsidRDefault="00012B21" w:rsidP="003E5EF8">
            <w:pPr>
              <w:tabs>
                <w:tab w:val="center" w:pos="4320"/>
                <w:tab w:val="right" w:pos="8640"/>
              </w:tabs>
              <w:spacing w:before="0" w:after="0" w:line="240" w:lineRule="auto"/>
              <w:jc w:val="left"/>
              <w:rPr>
                <w:rFonts w:eastAsia="Calibri" w:cs="Arial"/>
                <w:sz w:val="20"/>
                <w:szCs w:val="20"/>
              </w:rPr>
            </w:pPr>
            <w:r w:rsidRPr="0068236B">
              <w:rPr>
                <w:rFonts w:eastAsia="Calibri" w:cs="Arial"/>
                <w:sz w:val="20"/>
                <w:szCs w:val="20"/>
              </w:rPr>
              <w:t>Typical criteria</w:t>
            </w:r>
          </w:p>
        </w:tc>
      </w:tr>
      <w:tr w:rsidR="00012B21" w:rsidRPr="0068236B" w14:paraId="50D8CB71" w14:textId="77777777" w:rsidTr="00230397">
        <w:tc>
          <w:tcPr>
            <w:tcW w:w="1560" w:type="dxa"/>
            <w:tcBorders>
              <w:top w:val="double" w:sz="4" w:space="0" w:color="auto"/>
              <w:bottom w:val="single" w:sz="4" w:space="0" w:color="auto"/>
            </w:tcBorders>
          </w:tcPr>
          <w:p w14:paraId="17210B0A" w14:textId="77777777" w:rsidR="00012B21" w:rsidRPr="0068236B" w:rsidRDefault="00012B21" w:rsidP="003E5EF8">
            <w:pPr>
              <w:tabs>
                <w:tab w:val="center" w:pos="4320"/>
                <w:tab w:val="right" w:pos="8640"/>
              </w:tabs>
              <w:spacing w:before="0" w:after="0" w:line="240" w:lineRule="auto"/>
              <w:rPr>
                <w:rFonts w:eastAsia="Calibri" w:cs="Arial"/>
                <w:sz w:val="20"/>
                <w:szCs w:val="20"/>
              </w:rPr>
            </w:pPr>
            <w:r w:rsidRPr="0068236B">
              <w:rPr>
                <w:rFonts w:eastAsia="Calibri" w:cs="Arial"/>
                <w:sz w:val="20"/>
                <w:szCs w:val="20"/>
              </w:rPr>
              <w:t>High</w:t>
            </w:r>
          </w:p>
        </w:tc>
        <w:tc>
          <w:tcPr>
            <w:tcW w:w="8221" w:type="dxa"/>
            <w:tcBorders>
              <w:top w:val="double" w:sz="4" w:space="0" w:color="auto"/>
              <w:bottom w:val="single" w:sz="4" w:space="0" w:color="auto"/>
            </w:tcBorders>
          </w:tcPr>
          <w:p w14:paraId="69B1460A" w14:textId="77777777" w:rsidR="00012B21" w:rsidRPr="0068236B" w:rsidRDefault="00012B21" w:rsidP="003E5EF8">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Total loss or adverse change of key characteristics, integrity and quality (irreversible da</w:t>
            </w:r>
            <w:r w:rsidRPr="0068236B">
              <w:rPr>
                <w:rFonts w:eastAsia="Calibri" w:cs="Arial"/>
                <w:sz w:val="20"/>
                <w:szCs w:val="20"/>
              </w:rPr>
              <w:t>m</w:t>
            </w:r>
            <w:r w:rsidRPr="0068236B">
              <w:rPr>
                <w:rFonts w:eastAsia="Calibri" w:cs="Arial"/>
                <w:sz w:val="20"/>
                <w:szCs w:val="20"/>
              </w:rPr>
              <w:t>age of geological exposures of international conservation interest, very large scale remo</w:t>
            </w:r>
            <w:r w:rsidRPr="0068236B">
              <w:rPr>
                <w:rFonts w:eastAsia="Calibri" w:cs="Arial"/>
                <w:sz w:val="20"/>
                <w:szCs w:val="20"/>
              </w:rPr>
              <w:t>v</w:t>
            </w:r>
            <w:r w:rsidRPr="0068236B">
              <w:rPr>
                <w:rFonts w:eastAsia="Calibri" w:cs="Arial"/>
                <w:sz w:val="20"/>
                <w:szCs w:val="20"/>
              </w:rPr>
              <w:t>al of soil or total loss of agricultural land, very large fuel and oil spillage, excessive er</w:t>
            </w:r>
            <w:r w:rsidRPr="0068236B">
              <w:rPr>
                <w:rFonts w:eastAsia="Calibri" w:cs="Arial"/>
                <w:sz w:val="20"/>
                <w:szCs w:val="20"/>
              </w:rPr>
              <w:t>o</w:t>
            </w:r>
            <w:r w:rsidRPr="0068236B">
              <w:rPr>
                <w:rFonts w:eastAsia="Calibri" w:cs="Arial"/>
                <w:sz w:val="20"/>
                <w:szCs w:val="20"/>
              </w:rPr>
              <w:t>sion, etc.)</w:t>
            </w:r>
          </w:p>
        </w:tc>
      </w:tr>
      <w:tr w:rsidR="00012B21" w:rsidRPr="0068236B" w14:paraId="09C743B7" w14:textId="77777777" w:rsidTr="00230397">
        <w:tc>
          <w:tcPr>
            <w:tcW w:w="1560" w:type="dxa"/>
            <w:tcBorders>
              <w:top w:val="single" w:sz="4" w:space="0" w:color="auto"/>
              <w:bottom w:val="single" w:sz="4" w:space="0" w:color="auto"/>
            </w:tcBorders>
          </w:tcPr>
          <w:p w14:paraId="280197C7" w14:textId="77777777" w:rsidR="00012B21" w:rsidRPr="0068236B" w:rsidRDefault="00012B21" w:rsidP="003E5EF8">
            <w:pPr>
              <w:tabs>
                <w:tab w:val="center" w:pos="4320"/>
                <w:tab w:val="right" w:pos="8640"/>
              </w:tabs>
              <w:spacing w:before="0" w:after="0" w:line="240" w:lineRule="auto"/>
              <w:rPr>
                <w:rFonts w:eastAsia="Calibri" w:cs="Arial"/>
                <w:sz w:val="20"/>
                <w:szCs w:val="20"/>
              </w:rPr>
            </w:pPr>
            <w:r w:rsidRPr="0068236B">
              <w:rPr>
                <w:rFonts w:eastAsia="Calibri" w:cs="Arial"/>
                <w:sz w:val="20"/>
                <w:szCs w:val="20"/>
              </w:rPr>
              <w:t>Medium</w:t>
            </w:r>
          </w:p>
        </w:tc>
        <w:tc>
          <w:tcPr>
            <w:tcW w:w="8221" w:type="dxa"/>
            <w:tcBorders>
              <w:top w:val="single" w:sz="4" w:space="0" w:color="auto"/>
              <w:bottom w:val="single" w:sz="4" w:space="0" w:color="auto"/>
            </w:tcBorders>
          </w:tcPr>
          <w:p w14:paraId="60286C15" w14:textId="77777777" w:rsidR="00012B21" w:rsidRPr="0068236B" w:rsidRDefault="00012B21" w:rsidP="003E5EF8">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Loss or change of key characteristics and quality (irreversible damage of geological exp</w:t>
            </w:r>
            <w:r w:rsidRPr="0068236B">
              <w:rPr>
                <w:rFonts w:eastAsia="Calibri" w:cs="Arial"/>
                <w:sz w:val="20"/>
                <w:szCs w:val="20"/>
              </w:rPr>
              <w:t>o</w:t>
            </w:r>
            <w:r w:rsidRPr="0068236B">
              <w:rPr>
                <w:rFonts w:eastAsia="Calibri" w:cs="Arial"/>
                <w:sz w:val="20"/>
                <w:szCs w:val="20"/>
              </w:rPr>
              <w:t>sures of national conservation interest, large scale removal of soil or loss of agricultural land, large fuel and oil spillage, intensive erosion, etc.)</w:t>
            </w:r>
          </w:p>
        </w:tc>
      </w:tr>
      <w:tr w:rsidR="00012B21" w:rsidRPr="0068236B" w14:paraId="3C399B40" w14:textId="77777777" w:rsidTr="00230397">
        <w:tc>
          <w:tcPr>
            <w:tcW w:w="1560" w:type="dxa"/>
            <w:tcBorders>
              <w:top w:val="single" w:sz="4" w:space="0" w:color="auto"/>
            </w:tcBorders>
          </w:tcPr>
          <w:p w14:paraId="3C7D6E0A" w14:textId="77777777" w:rsidR="00012B21" w:rsidRPr="0068236B" w:rsidRDefault="00012B21" w:rsidP="003E5EF8">
            <w:pPr>
              <w:tabs>
                <w:tab w:val="center" w:pos="4320"/>
                <w:tab w:val="right" w:pos="8640"/>
              </w:tabs>
              <w:spacing w:before="0" w:after="0" w:line="240" w:lineRule="auto"/>
              <w:rPr>
                <w:rFonts w:eastAsia="Calibri" w:cs="Arial"/>
                <w:sz w:val="20"/>
                <w:szCs w:val="20"/>
              </w:rPr>
            </w:pPr>
            <w:r w:rsidRPr="0068236B">
              <w:rPr>
                <w:rFonts w:eastAsia="Calibri" w:cs="Arial"/>
                <w:sz w:val="20"/>
                <w:szCs w:val="20"/>
              </w:rPr>
              <w:t>Low</w:t>
            </w:r>
          </w:p>
        </w:tc>
        <w:tc>
          <w:tcPr>
            <w:tcW w:w="8221" w:type="dxa"/>
            <w:tcBorders>
              <w:top w:val="single" w:sz="4" w:space="0" w:color="auto"/>
            </w:tcBorders>
          </w:tcPr>
          <w:p w14:paraId="32F35611" w14:textId="77777777" w:rsidR="00012B21" w:rsidRPr="0068236B" w:rsidRDefault="00012B21" w:rsidP="003E5EF8">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Partial loss or some measurable changes or alteration of key characteristics and quality (partially loss of agricultural land, long term ground compaction – alteration of soil stru</w:t>
            </w:r>
            <w:r w:rsidRPr="0068236B">
              <w:rPr>
                <w:rFonts w:eastAsia="Calibri" w:cs="Arial"/>
                <w:sz w:val="20"/>
                <w:szCs w:val="20"/>
              </w:rPr>
              <w:t>c</w:t>
            </w:r>
            <w:r w:rsidRPr="0068236B">
              <w:rPr>
                <w:rFonts w:eastAsia="Calibri" w:cs="Arial"/>
                <w:sz w:val="20"/>
                <w:szCs w:val="20"/>
              </w:rPr>
              <w:t>ture, localized erosion, etc.)</w:t>
            </w:r>
          </w:p>
        </w:tc>
      </w:tr>
      <w:tr w:rsidR="00012B21" w:rsidRPr="0068236B" w14:paraId="68DBE7F4" w14:textId="77777777" w:rsidTr="00230397">
        <w:tc>
          <w:tcPr>
            <w:tcW w:w="1560" w:type="dxa"/>
          </w:tcPr>
          <w:p w14:paraId="0905AE43" w14:textId="77777777" w:rsidR="00012B21" w:rsidRPr="0068236B" w:rsidRDefault="00012B21" w:rsidP="003E5EF8">
            <w:pPr>
              <w:tabs>
                <w:tab w:val="center" w:pos="4320"/>
                <w:tab w:val="right" w:pos="8640"/>
              </w:tabs>
              <w:spacing w:before="0" w:after="0" w:line="240" w:lineRule="auto"/>
              <w:rPr>
                <w:rFonts w:eastAsia="Calibri" w:cs="Arial"/>
                <w:sz w:val="20"/>
                <w:szCs w:val="20"/>
              </w:rPr>
            </w:pPr>
            <w:r w:rsidRPr="0068236B">
              <w:rPr>
                <w:rFonts w:eastAsia="Calibri" w:cs="Arial"/>
                <w:sz w:val="20"/>
                <w:szCs w:val="20"/>
              </w:rPr>
              <w:t>Very low</w:t>
            </w:r>
          </w:p>
        </w:tc>
        <w:tc>
          <w:tcPr>
            <w:tcW w:w="8221" w:type="dxa"/>
          </w:tcPr>
          <w:p w14:paraId="39FAE2CF" w14:textId="77777777" w:rsidR="00012B21" w:rsidRPr="0068236B" w:rsidRDefault="00012B21" w:rsidP="003E5EF8">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Small detectable changes, but the characteristics and quality will be similar to pre-project conditions (temporary removal of surface cover, erosion of localized character, etc.)</w:t>
            </w:r>
          </w:p>
        </w:tc>
      </w:tr>
      <w:tr w:rsidR="00012B21" w:rsidRPr="0068236B" w14:paraId="084F7A92" w14:textId="77777777" w:rsidTr="00230397">
        <w:tc>
          <w:tcPr>
            <w:tcW w:w="1560" w:type="dxa"/>
          </w:tcPr>
          <w:p w14:paraId="575E63CA" w14:textId="77777777" w:rsidR="00012B21" w:rsidRPr="0068236B" w:rsidRDefault="00012B21" w:rsidP="00230397">
            <w:pPr>
              <w:tabs>
                <w:tab w:val="center" w:pos="4320"/>
                <w:tab w:val="right" w:pos="8640"/>
              </w:tabs>
              <w:spacing w:before="0" w:after="0" w:line="240" w:lineRule="auto"/>
              <w:jc w:val="left"/>
              <w:rPr>
                <w:rFonts w:eastAsia="Calibri" w:cs="Arial"/>
                <w:sz w:val="20"/>
                <w:szCs w:val="20"/>
              </w:rPr>
            </w:pPr>
            <w:r w:rsidRPr="0068236B">
              <w:rPr>
                <w:rFonts w:cs="Tahoma"/>
                <w:sz w:val="20"/>
                <w:szCs w:val="20"/>
              </w:rPr>
              <w:t>None / no change</w:t>
            </w:r>
          </w:p>
        </w:tc>
        <w:tc>
          <w:tcPr>
            <w:tcW w:w="8221" w:type="dxa"/>
          </w:tcPr>
          <w:p w14:paraId="5B2728A7" w14:textId="77777777" w:rsidR="00012B21" w:rsidRPr="0068236B" w:rsidRDefault="00012B21" w:rsidP="003E5EF8">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No or very small changes, which are not easily distinguished (short term ground compa</w:t>
            </w:r>
            <w:r w:rsidRPr="0068236B">
              <w:rPr>
                <w:rFonts w:eastAsia="Calibri" w:cs="Arial"/>
                <w:sz w:val="20"/>
                <w:szCs w:val="20"/>
              </w:rPr>
              <w:t>c</w:t>
            </w:r>
            <w:r w:rsidRPr="0068236B">
              <w:rPr>
                <w:rFonts w:eastAsia="Calibri" w:cs="Arial"/>
                <w:sz w:val="20"/>
                <w:szCs w:val="20"/>
              </w:rPr>
              <w:t>tion due to vehicles movements, etc.)</w:t>
            </w:r>
          </w:p>
        </w:tc>
      </w:tr>
    </w:tbl>
    <w:p w14:paraId="6C1DD5BA" w14:textId="2CDFACFE" w:rsidR="00012B21" w:rsidRPr="0068236B" w:rsidRDefault="00012B21" w:rsidP="00230397">
      <w:pPr>
        <w:pStyle w:val="Caption"/>
        <w:spacing w:after="120"/>
        <w:jc w:val="left"/>
        <w:rPr>
          <w:rFonts w:eastAsia="Calibri"/>
          <w:b w:val="0"/>
          <w:i/>
          <w:szCs w:val="20"/>
        </w:rPr>
      </w:pPr>
      <w:bookmarkStart w:id="393" w:name="_Toc65936949"/>
      <w:bookmarkStart w:id="394" w:name="_Toc80181259"/>
      <w:bookmarkStart w:id="395" w:name="_Toc113018214"/>
      <w:r w:rsidRPr="0068236B">
        <w:rPr>
          <w:b w:val="0"/>
          <w:szCs w:val="20"/>
        </w:rPr>
        <w:t xml:space="preserve">Table </w:t>
      </w:r>
      <w:r w:rsidRPr="0068236B">
        <w:rPr>
          <w:b w:val="0"/>
          <w:i/>
          <w:szCs w:val="20"/>
        </w:rPr>
        <w:fldChar w:fldCharType="begin"/>
      </w:r>
      <w:r w:rsidRPr="0068236B">
        <w:rPr>
          <w:b w:val="0"/>
          <w:szCs w:val="20"/>
        </w:rPr>
        <w:instrText xml:space="preserve"> STYLEREF 1 \s </w:instrText>
      </w:r>
      <w:r w:rsidRPr="0068236B">
        <w:rPr>
          <w:b w:val="0"/>
          <w:i/>
          <w:szCs w:val="20"/>
        </w:rPr>
        <w:fldChar w:fldCharType="separate"/>
      </w:r>
      <w:r w:rsidR="00FD57E6">
        <w:rPr>
          <w:b w:val="0"/>
          <w:noProof/>
          <w:szCs w:val="20"/>
        </w:rPr>
        <w:t>8</w:t>
      </w:r>
      <w:r w:rsidRPr="0068236B">
        <w:rPr>
          <w:b w:val="0"/>
          <w:i/>
          <w:szCs w:val="20"/>
        </w:rPr>
        <w:fldChar w:fldCharType="end"/>
      </w:r>
      <w:r w:rsidRPr="0068236B">
        <w:rPr>
          <w:b w:val="0"/>
          <w:szCs w:val="20"/>
        </w:rPr>
        <w:t>.</w:t>
      </w:r>
      <w:r w:rsidRPr="0068236B">
        <w:rPr>
          <w:b w:val="0"/>
          <w:i/>
          <w:szCs w:val="20"/>
        </w:rPr>
        <w:fldChar w:fldCharType="begin"/>
      </w:r>
      <w:r w:rsidRPr="0068236B">
        <w:rPr>
          <w:b w:val="0"/>
          <w:szCs w:val="20"/>
        </w:rPr>
        <w:instrText xml:space="preserve"> SEQ Table \* ARABIC \s 1 </w:instrText>
      </w:r>
      <w:r w:rsidRPr="0068236B">
        <w:rPr>
          <w:b w:val="0"/>
          <w:i/>
          <w:szCs w:val="20"/>
        </w:rPr>
        <w:fldChar w:fldCharType="separate"/>
      </w:r>
      <w:r w:rsidR="00FD57E6">
        <w:rPr>
          <w:b w:val="0"/>
          <w:noProof/>
          <w:szCs w:val="20"/>
        </w:rPr>
        <w:t>18</w:t>
      </w:r>
      <w:r w:rsidRPr="0068236B">
        <w:rPr>
          <w:b w:val="0"/>
          <w:i/>
          <w:szCs w:val="20"/>
        </w:rPr>
        <w:fldChar w:fldCharType="end"/>
      </w:r>
      <w:r w:rsidR="005F774D" w:rsidRPr="0068236B">
        <w:rPr>
          <w:rFonts w:eastAsia="Calibri"/>
          <w:b w:val="0"/>
          <w:szCs w:val="20"/>
        </w:rPr>
        <w:t>:</w:t>
      </w:r>
      <w:r w:rsidRPr="0068236B">
        <w:rPr>
          <w:rFonts w:eastAsia="Calibri"/>
          <w:b w:val="0"/>
          <w:szCs w:val="20"/>
        </w:rPr>
        <w:t xml:space="preserve"> Criteria for assessment of magnitude of impact on geology and soils</w:t>
      </w:r>
      <w:bookmarkEnd w:id="393"/>
      <w:bookmarkEnd w:id="394"/>
      <w:bookmarkEnd w:id="395"/>
    </w:p>
    <w:p w14:paraId="4F9D4498" w14:textId="77777777" w:rsidR="00012B21" w:rsidRPr="0068236B" w:rsidRDefault="00012B21" w:rsidP="00012B21">
      <w:pPr>
        <w:pStyle w:val="Heading4"/>
        <w:spacing w:line="240" w:lineRule="auto"/>
        <w:ind w:left="1843" w:hanging="1123"/>
        <w:rPr>
          <w:sz w:val="20"/>
        </w:rPr>
      </w:pPr>
      <w:bookmarkStart w:id="396" w:name="_Toc65936711"/>
      <w:r w:rsidRPr="0068236B">
        <w:rPr>
          <w:sz w:val="20"/>
        </w:rPr>
        <w:t>Impact Significance</w:t>
      </w:r>
      <w:bookmarkEnd w:id="396"/>
    </w:p>
    <w:p w14:paraId="5F5D5701" w14:textId="77777777" w:rsidR="00012B21" w:rsidRPr="0068236B" w:rsidRDefault="00012B21" w:rsidP="00012B21">
      <w:pPr>
        <w:rPr>
          <w:rFonts w:cs="Tahoma"/>
          <w:sz w:val="20"/>
          <w:szCs w:val="20"/>
        </w:rPr>
      </w:pPr>
      <w:r w:rsidRPr="0068236B">
        <w:rPr>
          <w:rFonts w:cs="Tahoma"/>
          <w:sz w:val="20"/>
          <w:szCs w:val="20"/>
        </w:rPr>
        <w:t>The significance of effects is assessed as a combination of sensitivity and magnitude as presented in the following Tables.</w:t>
      </w:r>
    </w:p>
    <w:tbl>
      <w:tblPr>
        <w:tblW w:w="850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418"/>
        <w:gridCol w:w="1134"/>
        <w:gridCol w:w="1434"/>
        <w:gridCol w:w="1685"/>
        <w:gridCol w:w="1417"/>
        <w:gridCol w:w="1418"/>
      </w:tblGrid>
      <w:tr w:rsidR="00012B21" w:rsidRPr="0068236B" w14:paraId="4290C22A" w14:textId="77777777" w:rsidTr="001D77FA">
        <w:trPr>
          <w:cantSplit/>
          <w:trHeight w:val="20"/>
          <w:tblHeader/>
        </w:trPr>
        <w:tc>
          <w:tcPr>
            <w:tcW w:w="1418" w:type="dxa"/>
            <w:vMerge w:val="restart"/>
            <w:tcBorders>
              <w:top w:val="double" w:sz="4" w:space="0" w:color="auto"/>
              <w:bottom w:val="double" w:sz="4" w:space="0" w:color="auto"/>
              <w:right w:val="double" w:sz="4" w:space="0" w:color="auto"/>
            </w:tcBorders>
            <w:shd w:val="clear" w:color="auto" w:fill="B4C6E7" w:themeFill="accent1" w:themeFillTint="66"/>
            <w:vAlign w:val="center"/>
          </w:tcPr>
          <w:p w14:paraId="1ADFAEC3" w14:textId="77777777" w:rsidR="00012B21" w:rsidRPr="0068236B" w:rsidRDefault="00012B21" w:rsidP="003E5EF8">
            <w:pPr>
              <w:spacing w:before="0" w:after="0"/>
              <w:jc w:val="center"/>
              <w:rPr>
                <w:rFonts w:cs="Tahoma"/>
                <w:sz w:val="20"/>
                <w:szCs w:val="20"/>
              </w:rPr>
            </w:pPr>
            <w:r w:rsidRPr="0068236B">
              <w:rPr>
                <w:rFonts w:cs="Tahoma"/>
                <w:bCs/>
                <w:sz w:val="20"/>
                <w:szCs w:val="20"/>
              </w:rPr>
              <w:t>Receptor sensitivity</w:t>
            </w:r>
          </w:p>
        </w:tc>
        <w:tc>
          <w:tcPr>
            <w:tcW w:w="7088" w:type="dxa"/>
            <w:gridSpan w:val="5"/>
            <w:tcBorders>
              <w:top w:val="double" w:sz="4" w:space="0" w:color="auto"/>
              <w:left w:val="double" w:sz="4" w:space="0" w:color="auto"/>
              <w:bottom w:val="double" w:sz="4" w:space="0" w:color="auto"/>
            </w:tcBorders>
            <w:shd w:val="clear" w:color="auto" w:fill="B4C6E7" w:themeFill="accent1" w:themeFillTint="66"/>
            <w:vAlign w:val="center"/>
            <w:hideMark/>
          </w:tcPr>
          <w:p w14:paraId="124029D0" w14:textId="77777777" w:rsidR="00012B21" w:rsidRPr="0068236B" w:rsidRDefault="00012B21" w:rsidP="003E5EF8">
            <w:pPr>
              <w:spacing w:before="0" w:after="0"/>
              <w:jc w:val="center"/>
              <w:rPr>
                <w:rFonts w:cs="Tahoma"/>
                <w:bCs/>
                <w:sz w:val="20"/>
                <w:szCs w:val="20"/>
              </w:rPr>
            </w:pPr>
            <w:r w:rsidRPr="0068236B">
              <w:rPr>
                <w:rFonts w:cs="Tahoma"/>
                <w:bCs/>
                <w:sz w:val="20"/>
                <w:szCs w:val="20"/>
              </w:rPr>
              <w:t>Impact magnitude</w:t>
            </w:r>
          </w:p>
        </w:tc>
      </w:tr>
      <w:tr w:rsidR="00012B21" w:rsidRPr="0068236B" w14:paraId="46C77526" w14:textId="77777777" w:rsidTr="003E5EF8">
        <w:trPr>
          <w:cantSplit/>
          <w:trHeight w:val="20"/>
          <w:tblHeader/>
        </w:trPr>
        <w:tc>
          <w:tcPr>
            <w:tcW w:w="1418" w:type="dxa"/>
            <w:vMerge/>
            <w:tcBorders>
              <w:top w:val="double" w:sz="4" w:space="0" w:color="auto"/>
              <w:bottom w:val="double" w:sz="4" w:space="0" w:color="auto"/>
              <w:right w:val="double" w:sz="4" w:space="0" w:color="auto"/>
            </w:tcBorders>
            <w:shd w:val="clear" w:color="auto" w:fill="44697D"/>
            <w:vAlign w:val="center"/>
          </w:tcPr>
          <w:p w14:paraId="4675A88A" w14:textId="77777777" w:rsidR="00012B21" w:rsidRPr="0068236B" w:rsidRDefault="00012B21" w:rsidP="003E5EF8">
            <w:pPr>
              <w:spacing w:before="0" w:after="0"/>
              <w:ind w:left="33"/>
              <w:jc w:val="center"/>
              <w:rPr>
                <w:rFonts w:cs="Tahoma"/>
                <w:b/>
                <w:color w:val="FFFFFF" w:themeColor="background1"/>
                <w:sz w:val="20"/>
                <w:szCs w:val="20"/>
              </w:rPr>
            </w:pPr>
          </w:p>
        </w:tc>
        <w:tc>
          <w:tcPr>
            <w:tcW w:w="1134"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2ACF8376" w14:textId="77777777" w:rsidR="00012B21" w:rsidRPr="0068236B" w:rsidRDefault="00012B21" w:rsidP="003E5EF8">
            <w:pPr>
              <w:spacing w:before="0" w:after="0"/>
              <w:ind w:left="33"/>
              <w:jc w:val="center"/>
              <w:rPr>
                <w:rFonts w:cs="Tahoma"/>
                <w:bCs/>
                <w:sz w:val="20"/>
                <w:szCs w:val="20"/>
              </w:rPr>
            </w:pPr>
            <w:r w:rsidRPr="0068236B">
              <w:rPr>
                <w:rFonts w:cs="Tahoma"/>
                <w:bCs/>
                <w:sz w:val="20"/>
                <w:szCs w:val="20"/>
              </w:rPr>
              <w:t>High</w:t>
            </w:r>
          </w:p>
        </w:tc>
        <w:tc>
          <w:tcPr>
            <w:tcW w:w="1434"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75F30AB9" w14:textId="77777777" w:rsidR="00012B21" w:rsidRPr="0068236B" w:rsidRDefault="00012B21" w:rsidP="003E5EF8">
            <w:pPr>
              <w:spacing w:before="0" w:after="0"/>
              <w:ind w:left="33"/>
              <w:jc w:val="center"/>
              <w:rPr>
                <w:rFonts w:cs="Tahoma"/>
                <w:bCs/>
                <w:sz w:val="20"/>
                <w:szCs w:val="20"/>
              </w:rPr>
            </w:pPr>
            <w:r w:rsidRPr="0068236B">
              <w:rPr>
                <w:rFonts w:cs="Tahoma"/>
                <w:bCs/>
                <w:sz w:val="20"/>
                <w:szCs w:val="20"/>
              </w:rPr>
              <w:t>Medium</w:t>
            </w:r>
          </w:p>
        </w:tc>
        <w:tc>
          <w:tcPr>
            <w:tcW w:w="1685"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07EF58A4" w14:textId="77777777" w:rsidR="00012B21" w:rsidRPr="0068236B" w:rsidRDefault="00012B21" w:rsidP="003E5EF8">
            <w:pPr>
              <w:spacing w:before="0" w:after="0"/>
              <w:ind w:left="33"/>
              <w:jc w:val="center"/>
              <w:rPr>
                <w:rFonts w:cs="Tahoma"/>
                <w:bCs/>
                <w:sz w:val="20"/>
                <w:szCs w:val="20"/>
              </w:rPr>
            </w:pPr>
            <w:r w:rsidRPr="0068236B">
              <w:rPr>
                <w:rFonts w:cs="Tahoma"/>
                <w:bCs/>
                <w:sz w:val="20"/>
                <w:szCs w:val="20"/>
              </w:rPr>
              <w:t>Low</w:t>
            </w:r>
          </w:p>
        </w:tc>
        <w:tc>
          <w:tcPr>
            <w:tcW w:w="1417"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0428419B" w14:textId="77777777" w:rsidR="00012B21" w:rsidRPr="0068236B" w:rsidRDefault="00012B21" w:rsidP="003E5EF8">
            <w:pPr>
              <w:spacing w:before="0" w:after="0"/>
              <w:ind w:left="33"/>
              <w:jc w:val="center"/>
              <w:rPr>
                <w:rFonts w:cs="Tahoma"/>
                <w:bCs/>
                <w:sz w:val="20"/>
                <w:szCs w:val="20"/>
              </w:rPr>
            </w:pPr>
            <w:r w:rsidRPr="0068236B">
              <w:rPr>
                <w:rFonts w:cs="Tahoma"/>
                <w:bCs/>
                <w:sz w:val="20"/>
                <w:szCs w:val="20"/>
              </w:rPr>
              <w:t>Very low</w:t>
            </w:r>
          </w:p>
        </w:tc>
        <w:tc>
          <w:tcPr>
            <w:tcW w:w="1418" w:type="dxa"/>
            <w:tcBorders>
              <w:top w:val="double" w:sz="4" w:space="0" w:color="auto"/>
              <w:left w:val="double" w:sz="4" w:space="0" w:color="auto"/>
              <w:bottom w:val="double" w:sz="4" w:space="0" w:color="auto"/>
            </w:tcBorders>
            <w:shd w:val="clear" w:color="auto" w:fill="BFBFBF" w:themeFill="background1" w:themeFillShade="BF"/>
            <w:vAlign w:val="center"/>
            <w:hideMark/>
          </w:tcPr>
          <w:p w14:paraId="1769895D" w14:textId="77777777" w:rsidR="00012B21" w:rsidRPr="0068236B" w:rsidRDefault="00012B21" w:rsidP="003E5EF8">
            <w:pPr>
              <w:spacing w:before="0" w:after="0"/>
              <w:ind w:left="33"/>
              <w:jc w:val="center"/>
              <w:rPr>
                <w:rFonts w:cs="Tahoma"/>
                <w:bCs/>
                <w:sz w:val="20"/>
                <w:szCs w:val="20"/>
              </w:rPr>
            </w:pPr>
            <w:r w:rsidRPr="0068236B">
              <w:rPr>
                <w:rFonts w:cs="Tahoma"/>
                <w:bCs/>
                <w:sz w:val="20"/>
                <w:szCs w:val="20"/>
              </w:rPr>
              <w:t>None</w:t>
            </w:r>
          </w:p>
        </w:tc>
      </w:tr>
      <w:tr w:rsidR="00012B21" w:rsidRPr="0068236B" w14:paraId="03216E0C" w14:textId="77777777" w:rsidTr="003E5EF8">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6CE60DC4" w14:textId="77777777" w:rsidR="00012B21" w:rsidRPr="0068236B" w:rsidRDefault="00012B21" w:rsidP="003E5EF8">
            <w:pPr>
              <w:pStyle w:val="Default"/>
              <w:rPr>
                <w:rFonts w:ascii="Tahoma" w:hAnsi="Tahoma" w:cs="Tahoma"/>
                <w:color w:val="auto"/>
                <w:sz w:val="20"/>
                <w:szCs w:val="20"/>
              </w:rPr>
            </w:pPr>
            <w:r w:rsidRPr="0068236B">
              <w:rPr>
                <w:rFonts w:ascii="Tahoma" w:hAnsi="Tahoma" w:cs="Tahoma"/>
                <w:bCs/>
                <w:color w:val="auto"/>
                <w:sz w:val="20"/>
                <w:szCs w:val="20"/>
              </w:rPr>
              <w:t xml:space="preserve">Very high </w:t>
            </w:r>
          </w:p>
        </w:tc>
        <w:tc>
          <w:tcPr>
            <w:tcW w:w="1134" w:type="dxa"/>
            <w:tcBorders>
              <w:top w:val="double" w:sz="4" w:space="0" w:color="auto"/>
              <w:left w:val="double" w:sz="4" w:space="0" w:color="auto"/>
            </w:tcBorders>
            <w:shd w:val="clear" w:color="auto" w:fill="auto"/>
            <w:vAlign w:val="center"/>
            <w:hideMark/>
          </w:tcPr>
          <w:p w14:paraId="50AB05AC" w14:textId="77777777" w:rsidR="00012B21" w:rsidRPr="0068236B" w:rsidRDefault="00012B21" w:rsidP="003E5EF8">
            <w:pPr>
              <w:spacing w:before="0" w:after="0"/>
              <w:jc w:val="center"/>
              <w:rPr>
                <w:rFonts w:cs="Tahoma"/>
                <w:color w:val="000000"/>
                <w:sz w:val="20"/>
                <w:szCs w:val="20"/>
              </w:rPr>
            </w:pPr>
            <w:r w:rsidRPr="0068236B">
              <w:rPr>
                <w:rFonts w:cs="Tahoma"/>
                <w:color w:val="000000"/>
                <w:sz w:val="20"/>
                <w:szCs w:val="20"/>
              </w:rPr>
              <w:t>Major</w:t>
            </w:r>
          </w:p>
        </w:tc>
        <w:tc>
          <w:tcPr>
            <w:tcW w:w="1434" w:type="dxa"/>
            <w:tcBorders>
              <w:top w:val="double" w:sz="4" w:space="0" w:color="auto"/>
            </w:tcBorders>
            <w:shd w:val="clear" w:color="auto" w:fill="auto"/>
            <w:vAlign w:val="center"/>
            <w:hideMark/>
          </w:tcPr>
          <w:p w14:paraId="4C057FDC" w14:textId="77777777" w:rsidR="00012B21" w:rsidRPr="0068236B" w:rsidRDefault="00012B21" w:rsidP="003E5EF8">
            <w:pPr>
              <w:spacing w:before="0" w:after="0"/>
              <w:jc w:val="center"/>
              <w:rPr>
                <w:rFonts w:cs="Tahoma"/>
                <w:color w:val="000000"/>
                <w:sz w:val="20"/>
                <w:szCs w:val="20"/>
              </w:rPr>
            </w:pPr>
            <w:r w:rsidRPr="0068236B">
              <w:rPr>
                <w:rFonts w:cs="Tahoma"/>
                <w:color w:val="000000"/>
                <w:sz w:val="20"/>
                <w:szCs w:val="20"/>
              </w:rPr>
              <w:t>Major</w:t>
            </w:r>
          </w:p>
        </w:tc>
        <w:tc>
          <w:tcPr>
            <w:tcW w:w="1685" w:type="dxa"/>
            <w:tcBorders>
              <w:top w:val="double" w:sz="4" w:space="0" w:color="auto"/>
            </w:tcBorders>
            <w:shd w:val="clear" w:color="auto" w:fill="auto"/>
            <w:vAlign w:val="center"/>
            <w:hideMark/>
          </w:tcPr>
          <w:p w14:paraId="0A06F5BD" w14:textId="77777777" w:rsidR="00012B21" w:rsidRPr="0068236B" w:rsidRDefault="00012B21" w:rsidP="003E5EF8">
            <w:pPr>
              <w:spacing w:before="0" w:after="0"/>
              <w:jc w:val="center"/>
              <w:rPr>
                <w:rFonts w:cs="Tahoma"/>
                <w:color w:val="000000"/>
                <w:sz w:val="20"/>
                <w:szCs w:val="20"/>
              </w:rPr>
            </w:pPr>
            <w:r w:rsidRPr="0068236B">
              <w:rPr>
                <w:rFonts w:cs="Tahoma"/>
                <w:color w:val="000000"/>
                <w:sz w:val="20"/>
                <w:szCs w:val="20"/>
              </w:rPr>
              <w:t>Moderate</w:t>
            </w:r>
          </w:p>
        </w:tc>
        <w:tc>
          <w:tcPr>
            <w:tcW w:w="1417" w:type="dxa"/>
            <w:tcBorders>
              <w:top w:val="double" w:sz="4" w:space="0" w:color="auto"/>
            </w:tcBorders>
            <w:shd w:val="clear" w:color="auto" w:fill="auto"/>
            <w:vAlign w:val="center"/>
            <w:hideMark/>
          </w:tcPr>
          <w:p w14:paraId="480E0CD5" w14:textId="77777777" w:rsidR="00012B21" w:rsidRPr="0068236B" w:rsidRDefault="00012B21" w:rsidP="003E5EF8">
            <w:pPr>
              <w:spacing w:before="0" w:after="0"/>
              <w:jc w:val="center"/>
              <w:rPr>
                <w:rFonts w:cs="Tahoma"/>
                <w:color w:val="000000"/>
                <w:sz w:val="20"/>
                <w:szCs w:val="20"/>
              </w:rPr>
            </w:pPr>
            <w:r w:rsidRPr="0068236B">
              <w:rPr>
                <w:rFonts w:cs="Tahoma"/>
                <w:color w:val="000000"/>
                <w:sz w:val="20"/>
                <w:szCs w:val="20"/>
              </w:rPr>
              <w:t>Moderate</w:t>
            </w:r>
          </w:p>
        </w:tc>
        <w:tc>
          <w:tcPr>
            <w:tcW w:w="1418" w:type="dxa"/>
            <w:tcBorders>
              <w:top w:val="double" w:sz="4" w:space="0" w:color="auto"/>
            </w:tcBorders>
            <w:shd w:val="clear" w:color="auto" w:fill="auto"/>
            <w:vAlign w:val="center"/>
            <w:hideMark/>
          </w:tcPr>
          <w:p w14:paraId="5E0F118E" w14:textId="77777777" w:rsidR="00012B21" w:rsidRPr="0068236B" w:rsidRDefault="00012B21" w:rsidP="003E5EF8">
            <w:pPr>
              <w:spacing w:before="0" w:after="0"/>
              <w:jc w:val="center"/>
              <w:rPr>
                <w:rFonts w:cs="Tahoma"/>
                <w:color w:val="000000"/>
                <w:sz w:val="20"/>
                <w:szCs w:val="20"/>
              </w:rPr>
            </w:pPr>
            <w:r w:rsidRPr="0068236B">
              <w:rPr>
                <w:rFonts w:cs="Tahoma"/>
                <w:bCs/>
                <w:color w:val="000000"/>
                <w:sz w:val="20"/>
                <w:szCs w:val="20"/>
              </w:rPr>
              <w:t>Negligible</w:t>
            </w:r>
          </w:p>
        </w:tc>
      </w:tr>
      <w:tr w:rsidR="00012B21" w:rsidRPr="0068236B" w14:paraId="3D18932E" w14:textId="77777777" w:rsidTr="003E5EF8">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348786B2" w14:textId="77777777" w:rsidR="00012B21" w:rsidRPr="0068236B" w:rsidRDefault="00012B21" w:rsidP="003E5EF8">
            <w:pPr>
              <w:pStyle w:val="Default"/>
              <w:rPr>
                <w:rFonts w:ascii="Tahoma" w:hAnsi="Tahoma" w:cs="Tahoma"/>
                <w:color w:val="auto"/>
                <w:sz w:val="20"/>
                <w:szCs w:val="20"/>
              </w:rPr>
            </w:pPr>
            <w:r w:rsidRPr="0068236B">
              <w:rPr>
                <w:rFonts w:ascii="Tahoma" w:hAnsi="Tahoma" w:cs="Tahoma"/>
                <w:bCs/>
                <w:color w:val="auto"/>
                <w:sz w:val="20"/>
                <w:szCs w:val="20"/>
              </w:rPr>
              <w:t xml:space="preserve">High </w:t>
            </w:r>
          </w:p>
        </w:tc>
        <w:tc>
          <w:tcPr>
            <w:tcW w:w="1134" w:type="dxa"/>
            <w:tcBorders>
              <w:left w:val="double" w:sz="4" w:space="0" w:color="auto"/>
            </w:tcBorders>
            <w:shd w:val="clear" w:color="auto" w:fill="auto"/>
            <w:vAlign w:val="center"/>
            <w:hideMark/>
          </w:tcPr>
          <w:p w14:paraId="4E472751" w14:textId="77777777" w:rsidR="00012B21" w:rsidRPr="0068236B" w:rsidRDefault="00012B21" w:rsidP="003E5EF8">
            <w:pPr>
              <w:spacing w:before="0" w:after="0"/>
              <w:jc w:val="center"/>
              <w:rPr>
                <w:rFonts w:cs="Tahoma"/>
                <w:color w:val="000000"/>
                <w:sz w:val="20"/>
                <w:szCs w:val="20"/>
              </w:rPr>
            </w:pPr>
            <w:r w:rsidRPr="0068236B">
              <w:rPr>
                <w:rFonts w:cs="Tahoma"/>
                <w:color w:val="000000"/>
                <w:sz w:val="20"/>
                <w:szCs w:val="20"/>
              </w:rPr>
              <w:t>Major</w:t>
            </w:r>
          </w:p>
        </w:tc>
        <w:tc>
          <w:tcPr>
            <w:tcW w:w="1434" w:type="dxa"/>
            <w:shd w:val="clear" w:color="auto" w:fill="auto"/>
            <w:hideMark/>
          </w:tcPr>
          <w:p w14:paraId="1ABC384D" w14:textId="77777777" w:rsidR="00012B21" w:rsidRPr="0068236B" w:rsidRDefault="00012B21" w:rsidP="003E5EF8">
            <w:pPr>
              <w:spacing w:before="0" w:after="0"/>
              <w:jc w:val="center"/>
              <w:rPr>
                <w:rFonts w:cs="Tahoma"/>
                <w:sz w:val="20"/>
                <w:szCs w:val="20"/>
              </w:rPr>
            </w:pPr>
            <w:r w:rsidRPr="0068236B">
              <w:rPr>
                <w:rFonts w:cs="Tahoma"/>
                <w:color w:val="000000"/>
                <w:sz w:val="20"/>
                <w:szCs w:val="20"/>
              </w:rPr>
              <w:t>Moderate</w:t>
            </w:r>
          </w:p>
        </w:tc>
        <w:tc>
          <w:tcPr>
            <w:tcW w:w="1685" w:type="dxa"/>
            <w:shd w:val="clear" w:color="auto" w:fill="auto"/>
            <w:hideMark/>
          </w:tcPr>
          <w:p w14:paraId="41C8AEB3" w14:textId="77777777" w:rsidR="00012B21" w:rsidRPr="0068236B" w:rsidRDefault="00012B21" w:rsidP="003E5EF8">
            <w:pPr>
              <w:spacing w:before="0" w:after="0"/>
              <w:jc w:val="center"/>
              <w:rPr>
                <w:rFonts w:cs="Tahoma"/>
                <w:sz w:val="20"/>
                <w:szCs w:val="20"/>
              </w:rPr>
            </w:pPr>
            <w:r w:rsidRPr="0068236B">
              <w:rPr>
                <w:rFonts w:cs="Tahoma"/>
                <w:color w:val="000000"/>
                <w:sz w:val="20"/>
                <w:szCs w:val="20"/>
              </w:rPr>
              <w:t>Moderate</w:t>
            </w:r>
          </w:p>
        </w:tc>
        <w:tc>
          <w:tcPr>
            <w:tcW w:w="1417" w:type="dxa"/>
            <w:shd w:val="clear" w:color="auto" w:fill="auto"/>
            <w:vAlign w:val="center"/>
            <w:hideMark/>
          </w:tcPr>
          <w:p w14:paraId="4AE2E2DE" w14:textId="77777777" w:rsidR="00012B21" w:rsidRPr="0068236B" w:rsidRDefault="00012B21" w:rsidP="003E5EF8">
            <w:pPr>
              <w:spacing w:before="0" w:after="0"/>
              <w:ind w:left="-108"/>
              <w:jc w:val="center"/>
              <w:rPr>
                <w:rFonts w:cs="Tahoma"/>
                <w:color w:val="000000"/>
                <w:sz w:val="20"/>
                <w:szCs w:val="20"/>
              </w:rPr>
            </w:pPr>
            <w:r w:rsidRPr="0068236B">
              <w:rPr>
                <w:rFonts w:cs="Tahoma"/>
                <w:color w:val="000000"/>
                <w:sz w:val="20"/>
                <w:szCs w:val="20"/>
              </w:rPr>
              <w:t>Minor</w:t>
            </w:r>
          </w:p>
        </w:tc>
        <w:tc>
          <w:tcPr>
            <w:tcW w:w="1418" w:type="dxa"/>
            <w:shd w:val="clear" w:color="auto" w:fill="auto"/>
            <w:hideMark/>
          </w:tcPr>
          <w:p w14:paraId="7D263051" w14:textId="77777777" w:rsidR="00012B21" w:rsidRPr="0068236B" w:rsidRDefault="00012B21" w:rsidP="003E5EF8">
            <w:pPr>
              <w:spacing w:before="0" w:after="0"/>
              <w:jc w:val="center"/>
              <w:rPr>
                <w:rFonts w:cs="Tahoma"/>
                <w:sz w:val="20"/>
                <w:szCs w:val="20"/>
              </w:rPr>
            </w:pPr>
            <w:r w:rsidRPr="0068236B">
              <w:rPr>
                <w:rFonts w:cs="Tahoma"/>
                <w:bCs/>
                <w:color w:val="000000"/>
                <w:sz w:val="20"/>
                <w:szCs w:val="20"/>
              </w:rPr>
              <w:t>Negligible</w:t>
            </w:r>
          </w:p>
        </w:tc>
      </w:tr>
      <w:tr w:rsidR="00012B21" w:rsidRPr="0068236B" w14:paraId="44B9AB3B" w14:textId="77777777" w:rsidTr="003E5EF8">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72D31A02" w14:textId="77777777" w:rsidR="00012B21" w:rsidRPr="0068236B" w:rsidRDefault="00012B21" w:rsidP="003E5EF8">
            <w:pPr>
              <w:pStyle w:val="Default"/>
              <w:rPr>
                <w:rFonts w:ascii="Tahoma" w:hAnsi="Tahoma" w:cs="Tahoma"/>
                <w:color w:val="auto"/>
                <w:sz w:val="20"/>
                <w:szCs w:val="20"/>
              </w:rPr>
            </w:pPr>
            <w:r w:rsidRPr="0068236B">
              <w:rPr>
                <w:rFonts w:ascii="Tahoma" w:hAnsi="Tahoma" w:cs="Tahoma"/>
                <w:bCs/>
                <w:color w:val="auto"/>
                <w:sz w:val="20"/>
                <w:szCs w:val="20"/>
              </w:rPr>
              <w:t xml:space="preserve">Medium </w:t>
            </w:r>
          </w:p>
        </w:tc>
        <w:tc>
          <w:tcPr>
            <w:tcW w:w="1134" w:type="dxa"/>
            <w:tcBorders>
              <w:left w:val="double" w:sz="4" w:space="0" w:color="auto"/>
            </w:tcBorders>
            <w:shd w:val="clear" w:color="auto" w:fill="auto"/>
            <w:hideMark/>
          </w:tcPr>
          <w:p w14:paraId="2799B7D0" w14:textId="77777777" w:rsidR="00012B21" w:rsidRPr="0068236B" w:rsidRDefault="00012B21" w:rsidP="003E5EF8">
            <w:pPr>
              <w:spacing w:before="0" w:after="0"/>
              <w:jc w:val="center"/>
              <w:rPr>
                <w:rFonts w:cs="Tahoma"/>
                <w:sz w:val="20"/>
                <w:szCs w:val="20"/>
              </w:rPr>
            </w:pPr>
            <w:r w:rsidRPr="0068236B">
              <w:rPr>
                <w:rFonts w:cs="Tahoma"/>
                <w:color w:val="000000"/>
                <w:sz w:val="20"/>
                <w:szCs w:val="20"/>
              </w:rPr>
              <w:t>Moderate</w:t>
            </w:r>
          </w:p>
        </w:tc>
        <w:tc>
          <w:tcPr>
            <w:tcW w:w="1434" w:type="dxa"/>
            <w:shd w:val="clear" w:color="auto" w:fill="auto"/>
            <w:hideMark/>
          </w:tcPr>
          <w:p w14:paraId="4F2D6E6B" w14:textId="77777777" w:rsidR="00012B21" w:rsidRPr="0068236B" w:rsidRDefault="00012B21" w:rsidP="003E5EF8">
            <w:pPr>
              <w:spacing w:before="0" w:after="0"/>
              <w:jc w:val="center"/>
              <w:rPr>
                <w:rFonts w:cs="Tahoma"/>
                <w:sz w:val="20"/>
                <w:szCs w:val="20"/>
              </w:rPr>
            </w:pPr>
            <w:r w:rsidRPr="0068236B">
              <w:rPr>
                <w:rFonts w:cs="Tahoma"/>
                <w:color w:val="000000"/>
                <w:sz w:val="20"/>
                <w:szCs w:val="20"/>
              </w:rPr>
              <w:t>Moderate</w:t>
            </w:r>
          </w:p>
        </w:tc>
        <w:tc>
          <w:tcPr>
            <w:tcW w:w="1685" w:type="dxa"/>
            <w:shd w:val="clear" w:color="auto" w:fill="auto"/>
            <w:hideMark/>
          </w:tcPr>
          <w:p w14:paraId="1CF1E021" w14:textId="77777777" w:rsidR="00012B21" w:rsidRPr="0068236B" w:rsidRDefault="00012B21" w:rsidP="003E5EF8">
            <w:pPr>
              <w:spacing w:before="0" w:after="0"/>
              <w:jc w:val="center"/>
              <w:rPr>
                <w:rFonts w:cs="Tahoma"/>
                <w:sz w:val="20"/>
                <w:szCs w:val="20"/>
              </w:rPr>
            </w:pPr>
            <w:r w:rsidRPr="0068236B">
              <w:rPr>
                <w:rFonts w:cs="Tahoma"/>
                <w:color w:val="000000"/>
                <w:sz w:val="20"/>
                <w:szCs w:val="20"/>
              </w:rPr>
              <w:t>Minor</w:t>
            </w:r>
          </w:p>
        </w:tc>
        <w:tc>
          <w:tcPr>
            <w:tcW w:w="1417" w:type="dxa"/>
            <w:shd w:val="clear" w:color="auto" w:fill="auto"/>
            <w:hideMark/>
          </w:tcPr>
          <w:p w14:paraId="063022FD" w14:textId="77777777" w:rsidR="00012B21" w:rsidRPr="0068236B" w:rsidRDefault="00012B21" w:rsidP="003E5EF8">
            <w:pPr>
              <w:spacing w:before="0" w:after="0"/>
              <w:jc w:val="center"/>
              <w:rPr>
                <w:rFonts w:cs="Tahoma"/>
                <w:sz w:val="20"/>
                <w:szCs w:val="20"/>
              </w:rPr>
            </w:pPr>
            <w:r w:rsidRPr="0068236B">
              <w:rPr>
                <w:rFonts w:cs="Tahoma"/>
                <w:color w:val="000000"/>
                <w:sz w:val="20"/>
                <w:szCs w:val="20"/>
              </w:rPr>
              <w:t>Minor</w:t>
            </w:r>
          </w:p>
        </w:tc>
        <w:tc>
          <w:tcPr>
            <w:tcW w:w="1418" w:type="dxa"/>
            <w:shd w:val="clear" w:color="auto" w:fill="auto"/>
            <w:hideMark/>
          </w:tcPr>
          <w:p w14:paraId="7FBB04F2" w14:textId="77777777" w:rsidR="00012B21" w:rsidRPr="0068236B" w:rsidRDefault="00012B21" w:rsidP="003E5EF8">
            <w:pPr>
              <w:spacing w:before="0" w:after="0"/>
              <w:jc w:val="center"/>
              <w:rPr>
                <w:rFonts w:cs="Tahoma"/>
                <w:sz w:val="20"/>
                <w:szCs w:val="20"/>
              </w:rPr>
            </w:pPr>
            <w:r w:rsidRPr="0068236B">
              <w:rPr>
                <w:rFonts w:cs="Tahoma"/>
                <w:bCs/>
                <w:color w:val="000000"/>
                <w:sz w:val="20"/>
                <w:szCs w:val="20"/>
              </w:rPr>
              <w:t>Negligible</w:t>
            </w:r>
          </w:p>
        </w:tc>
      </w:tr>
      <w:tr w:rsidR="00012B21" w:rsidRPr="0068236B" w14:paraId="368A1B40" w14:textId="77777777" w:rsidTr="003E5EF8">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21EABEE4" w14:textId="77777777" w:rsidR="00012B21" w:rsidRPr="0068236B" w:rsidRDefault="00012B21" w:rsidP="003E5EF8">
            <w:pPr>
              <w:pStyle w:val="Default"/>
              <w:rPr>
                <w:rFonts w:ascii="Tahoma" w:hAnsi="Tahoma" w:cs="Tahoma"/>
                <w:color w:val="auto"/>
                <w:sz w:val="20"/>
                <w:szCs w:val="20"/>
              </w:rPr>
            </w:pPr>
            <w:r w:rsidRPr="0068236B">
              <w:rPr>
                <w:rFonts w:ascii="Tahoma" w:hAnsi="Tahoma" w:cs="Tahoma"/>
                <w:bCs/>
                <w:color w:val="auto"/>
                <w:sz w:val="20"/>
                <w:szCs w:val="20"/>
              </w:rPr>
              <w:t xml:space="preserve">Low </w:t>
            </w:r>
          </w:p>
        </w:tc>
        <w:tc>
          <w:tcPr>
            <w:tcW w:w="1134" w:type="dxa"/>
            <w:tcBorders>
              <w:left w:val="double" w:sz="4" w:space="0" w:color="auto"/>
            </w:tcBorders>
            <w:shd w:val="clear" w:color="auto" w:fill="auto"/>
            <w:hideMark/>
          </w:tcPr>
          <w:p w14:paraId="45A9FD1B" w14:textId="77777777" w:rsidR="00012B21" w:rsidRPr="0068236B" w:rsidRDefault="00012B21" w:rsidP="003E5EF8">
            <w:pPr>
              <w:spacing w:before="0" w:after="0"/>
              <w:jc w:val="center"/>
              <w:rPr>
                <w:rFonts w:cs="Tahoma"/>
                <w:sz w:val="20"/>
                <w:szCs w:val="20"/>
              </w:rPr>
            </w:pPr>
            <w:r w:rsidRPr="0068236B">
              <w:rPr>
                <w:rFonts w:cs="Tahoma"/>
                <w:color w:val="000000"/>
                <w:sz w:val="20"/>
                <w:szCs w:val="20"/>
              </w:rPr>
              <w:t>Minor</w:t>
            </w:r>
          </w:p>
        </w:tc>
        <w:tc>
          <w:tcPr>
            <w:tcW w:w="1434" w:type="dxa"/>
            <w:shd w:val="clear" w:color="auto" w:fill="auto"/>
            <w:hideMark/>
          </w:tcPr>
          <w:p w14:paraId="255FCB34" w14:textId="77777777" w:rsidR="00012B21" w:rsidRPr="0068236B" w:rsidRDefault="00012B21" w:rsidP="003E5EF8">
            <w:pPr>
              <w:spacing w:before="0" w:after="0"/>
              <w:jc w:val="center"/>
              <w:rPr>
                <w:rFonts w:cs="Tahoma"/>
                <w:sz w:val="20"/>
                <w:szCs w:val="20"/>
              </w:rPr>
            </w:pPr>
            <w:r w:rsidRPr="0068236B">
              <w:rPr>
                <w:rFonts w:cs="Tahoma"/>
                <w:color w:val="000000"/>
                <w:sz w:val="20"/>
                <w:szCs w:val="20"/>
              </w:rPr>
              <w:t>Minor</w:t>
            </w:r>
          </w:p>
        </w:tc>
        <w:tc>
          <w:tcPr>
            <w:tcW w:w="1685" w:type="dxa"/>
            <w:shd w:val="clear" w:color="auto" w:fill="auto"/>
            <w:hideMark/>
          </w:tcPr>
          <w:p w14:paraId="67034DEC" w14:textId="77777777" w:rsidR="00012B21" w:rsidRPr="0068236B" w:rsidRDefault="00012B21" w:rsidP="003E5EF8">
            <w:pPr>
              <w:spacing w:before="0" w:after="0"/>
              <w:jc w:val="center"/>
              <w:rPr>
                <w:rFonts w:cs="Tahoma"/>
                <w:sz w:val="20"/>
                <w:szCs w:val="20"/>
              </w:rPr>
            </w:pPr>
            <w:r w:rsidRPr="0068236B">
              <w:rPr>
                <w:rFonts w:cs="Tahoma"/>
                <w:color w:val="000000"/>
                <w:sz w:val="20"/>
                <w:szCs w:val="20"/>
              </w:rPr>
              <w:t>Minor</w:t>
            </w:r>
          </w:p>
        </w:tc>
        <w:tc>
          <w:tcPr>
            <w:tcW w:w="1417" w:type="dxa"/>
            <w:shd w:val="clear" w:color="auto" w:fill="auto"/>
            <w:hideMark/>
          </w:tcPr>
          <w:p w14:paraId="04D1543E" w14:textId="77777777" w:rsidR="00012B21" w:rsidRPr="0068236B" w:rsidRDefault="00012B21" w:rsidP="003E5EF8">
            <w:pPr>
              <w:spacing w:before="0" w:after="0"/>
              <w:jc w:val="center"/>
              <w:rPr>
                <w:rFonts w:cs="Tahoma"/>
                <w:sz w:val="20"/>
                <w:szCs w:val="20"/>
              </w:rPr>
            </w:pPr>
            <w:r w:rsidRPr="0068236B">
              <w:rPr>
                <w:rFonts w:cs="Tahoma"/>
                <w:bCs/>
                <w:color w:val="000000"/>
                <w:sz w:val="20"/>
                <w:szCs w:val="20"/>
              </w:rPr>
              <w:t>Negligible</w:t>
            </w:r>
          </w:p>
        </w:tc>
        <w:tc>
          <w:tcPr>
            <w:tcW w:w="1418" w:type="dxa"/>
            <w:shd w:val="clear" w:color="auto" w:fill="auto"/>
            <w:hideMark/>
          </w:tcPr>
          <w:p w14:paraId="6D998B83" w14:textId="77777777" w:rsidR="00012B21" w:rsidRPr="0068236B" w:rsidRDefault="00012B21" w:rsidP="003E5EF8">
            <w:pPr>
              <w:spacing w:before="0" w:after="0"/>
              <w:jc w:val="center"/>
              <w:rPr>
                <w:rFonts w:cs="Tahoma"/>
                <w:sz w:val="20"/>
                <w:szCs w:val="20"/>
              </w:rPr>
            </w:pPr>
            <w:r w:rsidRPr="0068236B">
              <w:rPr>
                <w:rFonts w:cs="Tahoma"/>
                <w:bCs/>
                <w:color w:val="000000"/>
                <w:sz w:val="20"/>
                <w:szCs w:val="20"/>
              </w:rPr>
              <w:t>Negligible</w:t>
            </w:r>
          </w:p>
        </w:tc>
      </w:tr>
      <w:tr w:rsidR="00012B21" w:rsidRPr="0068236B" w14:paraId="247046E8" w14:textId="77777777" w:rsidTr="003E5EF8">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6B442710" w14:textId="77777777" w:rsidR="00012B21" w:rsidRPr="0068236B" w:rsidRDefault="00012B21" w:rsidP="003E5EF8">
            <w:pPr>
              <w:pStyle w:val="Default"/>
              <w:rPr>
                <w:rFonts w:ascii="Tahoma" w:hAnsi="Tahoma" w:cs="Tahoma"/>
                <w:color w:val="auto"/>
                <w:sz w:val="20"/>
                <w:szCs w:val="20"/>
              </w:rPr>
            </w:pPr>
            <w:r w:rsidRPr="0068236B">
              <w:rPr>
                <w:rFonts w:ascii="Tahoma" w:hAnsi="Tahoma" w:cs="Tahoma"/>
                <w:bCs/>
                <w:color w:val="auto"/>
                <w:sz w:val="20"/>
                <w:szCs w:val="20"/>
              </w:rPr>
              <w:t xml:space="preserve">Very low </w:t>
            </w:r>
          </w:p>
        </w:tc>
        <w:tc>
          <w:tcPr>
            <w:tcW w:w="1134" w:type="dxa"/>
            <w:tcBorders>
              <w:left w:val="double" w:sz="4" w:space="0" w:color="auto"/>
            </w:tcBorders>
            <w:shd w:val="clear" w:color="auto" w:fill="auto"/>
            <w:hideMark/>
          </w:tcPr>
          <w:p w14:paraId="309B6F39" w14:textId="77777777" w:rsidR="00012B21" w:rsidRPr="0068236B" w:rsidRDefault="00012B21" w:rsidP="003E5EF8">
            <w:pPr>
              <w:spacing w:before="0" w:after="0"/>
              <w:jc w:val="center"/>
              <w:rPr>
                <w:rFonts w:cs="Tahoma"/>
                <w:sz w:val="20"/>
                <w:szCs w:val="20"/>
              </w:rPr>
            </w:pPr>
            <w:r w:rsidRPr="0068236B">
              <w:rPr>
                <w:rFonts w:cs="Tahoma"/>
                <w:color w:val="000000"/>
                <w:sz w:val="20"/>
                <w:szCs w:val="20"/>
              </w:rPr>
              <w:t>Minor</w:t>
            </w:r>
          </w:p>
        </w:tc>
        <w:tc>
          <w:tcPr>
            <w:tcW w:w="1434" w:type="dxa"/>
            <w:shd w:val="clear" w:color="auto" w:fill="auto"/>
            <w:hideMark/>
          </w:tcPr>
          <w:p w14:paraId="5606B273" w14:textId="77777777" w:rsidR="00012B21" w:rsidRPr="0068236B" w:rsidRDefault="00012B21" w:rsidP="003E5EF8">
            <w:pPr>
              <w:spacing w:before="0" w:after="0"/>
              <w:jc w:val="center"/>
              <w:rPr>
                <w:rFonts w:cs="Tahoma"/>
                <w:sz w:val="20"/>
                <w:szCs w:val="20"/>
              </w:rPr>
            </w:pPr>
            <w:r w:rsidRPr="0068236B">
              <w:rPr>
                <w:rFonts w:cs="Tahoma"/>
                <w:bCs/>
                <w:color w:val="000000"/>
                <w:sz w:val="20"/>
                <w:szCs w:val="20"/>
              </w:rPr>
              <w:t>Negligible</w:t>
            </w:r>
          </w:p>
        </w:tc>
        <w:tc>
          <w:tcPr>
            <w:tcW w:w="1685" w:type="dxa"/>
            <w:shd w:val="clear" w:color="auto" w:fill="auto"/>
            <w:hideMark/>
          </w:tcPr>
          <w:p w14:paraId="59F8D053" w14:textId="77777777" w:rsidR="00012B21" w:rsidRPr="0068236B" w:rsidRDefault="00012B21" w:rsidP="003E5EF8">
            <w:pPr>
              <w:spacing w:before="0" w:after="0"/>
              <w:jc w:val="center"/>
              <w:rPr>
                <w:rFonts w:cs="Tahoma"/>
                <w:sz w:val="20"/>
                <w:szCs w:val="20"/>
              </w:rPr>
            </w:pPr>
            <w:r w:rsidRPr="0068236B">
              <w:rPr>
                <w:rFonts w:cs="Tahoma"/>
                <w:bCs/>
                <w:color w:val="000000"/>
                <w:sz w:val="20"/>
                <w:szCs w:val="20"/>
              </w:rPr>
              <w:t>Negligible</w:t>
            </w:r>
          </w:p>
        </w:tc>
        <w:tc>
          <w:tcPr>
            <w:tcW w:w="1417" w:type="dxa"/>
            <w:shd w:val="clear" w:color="auto" w:fill="auto"/>
            <w:hideMark/>
          </w:tcPr>
          <w:p w14:paraId="395CE53B" w14:textId="77777777" w:rsidR="00012B21" w:rsidRPr="0068236B" w:rsidRDefault="00012B21" w:rsidP="003E5EF8">
            <w:pPr>
              <w:spacing w:before="0" w:after="0"/>
              <w:jc w:val="center"/>
              <w:rPr>
                <w:rFonts w:cs="Tahoma"/>
                <w:sz w:val="20"/>
                <w:szCs w:val="20"/>
              </w:rPr>
            </w:pPr>
            <w:r w:rsidRPr="0068236B">
              <w:rPr>
                <w:rFonts w:cs="Tahoma"/>
                <w:bCs/>
                <w:color w:val="000000"/>
                <w:sz w:val="20"/>
                <w:szCs w:val="20"/>
              </w:rPr>
              <w:t>Negligible</w:t>
            </w:r>
          </w:p>
        </w:tc>
        <w:tc>
          <w:tcPr>
            <w:tcW w:w="1418" w:type="dxa"/>
            <w:shd w:val="clear" w:color="auto" w:fill="auto"/>
            <w:hideMark/>
          </w:tcPr>
          <w:p w14:paraId="3BD2E38C" w14:textId="77777777" w:rsidR="00012B21" w:rsidRPr="0068236B" w:rsidRDefault="00012B21" w:rsidP="003E5EF8">
            <w:pPr>
              <w:spacing w:before="0" w:after="0"/>
              <w:jc w:val="center"/>
              <w:rPr>
                <w:rFonts w:cs="Tahoma"/>
                <w:sz w:val="20"/>
                <w:szCs w:val="20"/>
              </w:rPr>
            </w:pPr>
            <w:r w:rsidRPr="0068236B">
              <w:rPr>
                <w:rFonts w:cs="Tahoma"/>
                <w:bCs/>
                <w:color w:val="000000"/>
                <w:sz w:val="20"/>
                <w:szCs w:val="20"/>
              </w:rPr>
              <w:t>Negligible</w:t>
            </w:r>
          </w:p>
        </w:tc>
      </w:tr>
    </w:tbl>
    <w:p w14:paraId="025CEBFB" w14:textId="53617F26" w:rsidR="00012B21" w:rsidRPr="0068236B" w:rsidRDefault="00012B21" w:rsidP="00230397">
      <w:pPr>
        <w:spacing w:before="60" w:after="240"/>
        <w:rPr>
          <w:rFonts w:cs="Tahoma"/>
          <w:bCs/>
          <w:sz w:val="18"/>
          <w:szCs w:val="20"/>
        </w:rPr>
      </w:pPr>
      <w:bookmarkStart w:id="397" w:name="_Toc65936950"/>
      <w:bookmarkStart w:id="398" w:name="_Toc80181260"/>
      <w:bookmarkStart w:id="399" w:name="_Toc113018215"/>
      <w:bookmarkStart w:id="400" w:name="_Toc65936951"/>
      <w:r w:rsidRPr="0068236B">
        <w:rPr>
          <w:rFonts w:cs="Tahoma"/>
          <w:sz w:val="18"/>
          <w:szCs w:val="20"/>
        </w:rPr>
        <w:t xml:space="preserve">Table </w:t>
      </w:r>
      <w:r w:rsidRPr="0068236B">
        <w:rPr>
          <w:rFonts w:cs="Tahoma"/>
          <w:i/>
          <w:sz w:val="18"/>
          <w:szCs w:val="20"/>
        </w:rPr>
        <w:fldChar w:fldCharType="begin"/>
      </w:r>
      <w:r w:rsidRPr="0068236B">
        <w:rPr>
          <w:rFonts w:cs="Tahoma"/>
          <w:sz w:val="18"/>
          <w:szCs w:val="20"/>
        </w:rPr>
        <w:instrText xml:space="preserve"> STYLEREF 1 \s </w:instrText>
      </w:r>
      <w:r w:rsidRPr="0068236B">
        <w:rPr>
          <w:rFonts w:cs="Tahoma"/>
          <w:i/>
          <w:sz w:val="18"/>
          <w:szCs w:val="20"/>
        </w:rPr>
        <w:fldChar w:fldCharType="separate"/>
      </w:r>
      <w:r w:rsidR="00FD57E6">
        <w:rPr>
          <w:rFonts w:cs="Tahoma"/>
          <w:noProof/>
          <w:sz w:val="18"/>
          <w:szCs w:val="20"/>
        </w:rPr>
        <w:t>8</w:t>
      </w:r>
      <w:r w:rsidRPr="0068236B">
        <w:rPr>
          <w:rFonts w:cs="Tahoma"/>
          <w:i/>
          <w:sz w:val="18"/>
          <w:szCs w:val="20"/>
        </w:rPr>
        <w:fldChar w:fldCharType="end"/>
      </w:r>
      <w:r w:rsidRPr="0068236B">
        <w:rPr>
          <w:rFonts w:cs="Tahoma"/>
          <w:sz w:val="18"/>
          <w:szCs w:val="20"/>
        </w:rPr>
        <w:t>.</w:t>
      </w:r>
      <w:r w:rsidRPr="0068236B">
        <w:rPr>
          <w:rFonts w:cs="Tahoma"/>
          <w:i/>
          <w:sz w:val="18"/>
          <w:szCs w:val="20"/>
        </w:rPr>
        <w:fldChar w:fldCharType="begin"/>
      </w:r>
      <w:r w:rsidRPr="0068236B">
        <w:rPr>
          <w:rFonts w:cs="Tahoma"/>
          <w:sz w:val="18"/>
          <w:szCs w:val="20"/>
        </w:rPr>
        <w:instrText xml:space="preserve"> SEQ Table \* ARABIC \s 1 </w:instrText>
      </w:r>
      <w:r w:rsidRPr="0068236B">
        <w:rPr>
          <w:rFonts w:cs="Tahoma"/>
          <w:i/>
          <w:sz w:val="18"/>
          <w:szCs w:val="20"/>
        </w:rPr>
        <w:fldChar w:fldCharType="separate"/>
      </w:r>
      <w:r w:rsidR="00FD57E6">
        <w:rPr>
          <w:rFonts w:cs="Tahoma"/>
          <w:noProof/>
          <w:sz w:val="18"/>
          <w:szCs w:val="20"/>
        </w:rPr>
        <w:t>19</w:t>
      </w:r>
      <w:r w:rsidRPr="0068236B">
        <w:rPr>
          <w:rFonts w:cs="Tahoma"/>
          <w:i/>
          <w:sz w:val="18"/>
          <w:szCs w:val="20"/>
        </w:rPr>
        <w:fldChar w:fldCharType="end"/>
      </w:r>
      <w:r w:rsidR="005F774D" w:rsidRPr="0068236B">
        <w:rPr>
          <w:rFonts w:cs="Tahoma"/>
          <w:sz w:val="18"/>
          <w:szCs w:val="20"/>
        </w:rPr>
        <w:t>: I</w:t>
      </w:r>
      <w:r w:rsidRPr="0068236B">
        <w:rPr>
          <w:rFonts w:cs="Tahoma"/>
          <w:sz w:val="18"/>
          <w:szCs w:val="20"/>
        </w:rPr>
        <w:t>mpact significance m</w:t>
      </w:r>
      <w:r w:rsidRPr="0068236B">
        <w:rPr>
          <w:rFonts w:cs="Tahoma"/>
          <w:bCs/>
          <w:sz w:val="18"/>
          <w:szCs w:val="20"/>
        </w:rPr>
        <w:t>atrix</w:t>
      </w:r>
      <w:bookmarkEnd w:id="397"/>
      <w:bookmarkEnd w:id="398"/>
      <w:bookmarkEnd w:id="399"/>
    </w:p>
    <w:tbl>
      <w:tblPr>
        <w:tblW w:w="9781"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560"/>
        <w:gridCol w:w="2693"/>
        <w:gridCol w:w="5528"/>
      </w:tblGrid>
      <w:tr w:rsidR="00012B21" w:rsidRPr="0068236B" w14:paraId="61753C01" w14:textId="77777777" w:rsidTr="001D77FA">
        <w:tc>
          <w:tcPr>
            <w:tcW w:w="1560" w:type="dxa"/>
            <w:tcBorders>
              <w:top w:val="double" w:sz="4" w:space="0" w:color="auto"/>
              <w:bottom w:val="double" w:sz="4" w:space="0" w:color="auto"/>
              <w:right w:val="double" w:sz="4" w:space="0" w:color="auto"/>
            </w:tcBorders>
            <w:shd w:val="clear" w:color="auto" w:fill="B4C6E7" w:themeFill="accent1" w:themeFillTint="66"/>
          </w:tcPr>
          <w:bookmarkEnd w:id="400"/>
          <w:p w14:paraId="41D5AA6A" w14:textId="77777777" w:rsidR="00012B21" w:rsidRPr="0068236B" w:rsidRDefault="00012B21" w:rsidP="003E5EF8">
            <w:pPr>
              <w:tabs>
                <w:tab w:val="center" w:pos="4320"/>
                <w:tab w:val="right" w:pos="8640"/>
              </w:tabs>
              <w:spacing w:before="0" w:after="0" w:line="240" w:lineRule="auto"/>
              <w:jc w:val="left"/>
              <w:rPr>
                <w:rFonts w:eastAsia="Calibri" w:cs="Arial"/>
                <w:sz w:val="20"/>
                <w:szCs w:val="20"/>
              </w:rPr>
            </w:pPr>
            <w:r w:rsidRPr="0068236B">
              <w:rPr>
                <w:rFonts w:eastAsia="Calibri" w:cs="Arial"/>
                <w:bCs/>
                <w:sz w:val="20"/>
                <w:szCs w:val="20"/>
              </w:rPr>
              <w:t>Significance</w:t>
            </w:r>
          </w:p>
        </w:tc>
        <w:tc>
          <w:tcPr>
            <w:tcW w:w="2693"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3CF7811F" w14:textId="77777777" w:rsidR="00012B21" w:rsidRPr="0068236B" w:rsidRDefault="00012B21" w:rsidP="003E5EF8">
            <w:pPr>
              <w:tabs>
                <w:tab w:val="center" w:pos="4320"/>
                <w:tab w:val="right" w:pos="8640"/>
              </w:tabs>
              <w:spacing w:before="0" w:after="0" w:line="240" w:lineRule="auto"/>
              <w:jc w:val="left"/>
              <w:rPr>
                <w:rFonts w:eastAsia="Calibri" w:cs="Arial"/>
                <w:sz w:val="20"/>
                <w:szCs w:val="20"/>
              </w:rPr>
            </w:pPr>
            <w:r w:rsidRPr="0068236B">
              <w:rPr>
                <w:rFonts w:eastAsia="Calibri" w:cs="Arial"/>
                <w:sz w:val="20"/>
                <w:szCs w:val="20"/>
              </w:rPr>
              <w:t>Typical criteria</w:t>
            </w:r>
          </w:p>
        </w:tc>
        <w:tc>
          <w:tcPr>
            <w:tcW w:w="5528"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7E216038" w14:textId="77777777" w:rsidR="00012B21" w:rsidRPr="0068236B" w:rsidRDefault="00012B21" w:rsidP="003E5EF8">
            <w:pPr>
              <w:tabs>
                <w:tab w:val="center" w:pos="4320"/>
                <w:tab w:val="right" w:pos="8640"/>
              </w:tabs>
              <w:spacing w:before="0" w:after="0" w:line="240" w:lineRule="auto"/>
              <w:jc w:val="left"/>
              <w:rPr>
                <w:rFonts w:eastAsia="Calibri" w:cs="Arial"/>
                <w:sz w:val="20"/>
                <w:szCs w:val="20"/>
              </w:rPr>
            </w:pPr>
            <w:r w:rsidRPr="0068236B">
              <w:rPr>
                <w:rFonts w:eastAsia="Calibri" w:cs="Arial"/>
                <w:sz w:val="20"/>
                <w:szCs w:val="20"/>
              </w:rPr>
              <w:t>Description</w:t>
            </w:r>
          </w:p>
        </w:tc>
      </w:tr>
      <w:tr w:rsidR="00012B21" w:rsidRPr="0068236B" w14:paraId="66D20121" w14:textId="77777777" w:rsidTr="003E5EF8">
        <w:tc>
          <w:tcPr>
            <w:tcW w:w="1560" w:type="dxa"/>
            <w:tcBorders>
              <w:top w:val="double" w:sz="4" w:space="0" w:color="auto"/>
            </w:tcBorders>
          </w:tcPr>
          <w:p w14:paraId="698BCF59" w14:textId="77777777" w:rsidR="00012B21" w:rsidRPr="0068236B" w:rsidRDefault="00012B21" w:rsidP="003E5EF8">
            <w:pPr>
              <w:tabs>
                <w:tab w:val="center" w:pos="4320"/>
                <w:tab w:val="right" w:pos="8640"/>
              </w:tabs>
              <w:spacing w:before="0" w:after="0" w:line="240" w:lineRule="auto"/>
              <w:jc w:val="left"/>
              <w:rPr>
                <w:rFonts w:eastAsia="Calibri" w:cs="Arial"/>
                <w:sz w:val="20"/>
                <w:szCs w:val="20"/>
              </w:rPr>
            </w:pPr>
            <w:r w:rsidRPr="0068236B">
              <w:rPr>
                <w:rFonts w:eastAsia="Calibri" w:cs="Arial"/>
                <w:sz w:val="20"/>
                <w:szCs w:val="20"/>
              </w:rPr>
              <w:t>Major</w:t>
            </w:r>
          </w:p>
        </w:tc>
        <w:tc>
          <w:tcPr>
            <w:tcW w:w="2693" w:type="dxa"/>
            <w:tcBorders>
              <w:top w:val="double" w:sz="4" w:space="0" w:color="auto"/>
            </w:tcBorders>
          </w:tcPr>
          <w:p w14:paraId="339E7322" w14:textId="77777777" w:rsidR="00012B21" w:rsidRPr="0068236B" w:rsidRDefault="00012B21" w:rsidP="003E5EF8">
            <w:pPr>
              <w:autoSpaceDE w:val="0"/>
              <w:autoSpaceDN w:val="0"/>
              <w:adjustRightInd w:val="0"/>
              <w:spacing w:before="0" w:after="0" w:line="240" w:lineRule="auto"/>
              <w:contextualSpacing/>
              <w:jc w:val="left"/>
              <w:rPr>
                <w:rFonts w:eastAsia="Calibri" w:cs="Arial"/>
                <w:sz w:val="20"/>
                <w:szCs w:val="20"/>
              </w:rPr>
            </w:pPr>
            <w:r w:rsidRPr="0068236B">
              <w:rPr>
                <w:rFonts w:eastAsia="Calibri" w:cs="Arial"/>
                <w:sz w:val="20"/>
                <w:szCs w:val="20"/>
              </w:rPr>
              <w:t>A fundamental change to the environment</w:t>
            </w:r>
          </w:p>
        </w:tc>
        <w:tc>
          <w:tcPr>
            <w:tcW w:w="5528" w:type="dxa"/>
            <w:tcBorders>
              <w:top w:val="double" w:sz="4" w:space="0" w:color="auto"/>
            </w:tcBorders>
          </w:tcPr>
          <w:p w14:paraId="60B3A51C" w14:textId="77777777" w:rsidR="00012B21" w:rsidRPr="0068236B" w:rsidRDefault="00012B21" w:rsidP="003E5EF8">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Changes on geology formations and/or soil quality affecting widespread area, or changes resulting in substantial loss of conservation value to geological sites and designated areas of international or national importance.</w:t>
            </w:r>
          </w:p>
        </w:tc>
      </w:tr>
      <w:tr w:rsidR="00012B21" w:rsidRPr="0068236B" w14:paraId="64FE5871" w14:textId="77777777" w:rsidTr="003E5EF8">
        <w:tc>
          <w:tcPr>
            <w:tcW w:w="1560" w:type="dxa"/>
          </w:tcPr>
          <w:p w14:paraId="218246A7" w14:textId="77777777" w:rsidR="00012B21" w:rsidRPr="0068236B" w:rsidRDefault="00012B21" w:rsidP="003E5EF8">
            <w:pPr>
              <w:tabs>
                <w:tab w:val="center" w:pos="4320"/>
                <w:tab w:val="right" w:pos="8640"/>
              </w:tabs>
              <w:spacing w:before="0" w:after="0" w:line="240" w:lineRule="auto"/>
              <w:jc w:val="left"/>
              <w:rPr>
                <w:rFonts w:eastAsia="Calibri" w:cs="Arial"/>
                <w:sz w:val="20"/>
                <w:szCs w:val="20"/>
              </w:rPr>
            </w:pPr>
            <w:r w:rsidRPr="0068236B">
              <w:rPr>
                <w:rFonts w:eastAsia="Calibri" w:cs="Arial"/>
                <w:sz w:val="20"/>
                <w:szCs w:val="20"/>
              </w:rPr>
              <w:t>Moderate</w:t>
            </w:r>
          </w:p>
        </w:tc>
        <w:tc>
          <w:tcPr>
            <w:tcW w:w="2693" w:type="dxa"/>
          </w:tcPr>
          <w:p w14:paraId="1DDD2B38" w14:textId="77777777" w:rsidR="00012B21" w:rsidRPr="0068236B" w:rsidRDefault="00012B21" w:rsidP="003E5EF8">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A material but non-fundamental change to the environment</w:t>
            </w:r>
          </w:p>
        </w:tc>
        <w:tc>
          <w:tcPr>
            <w:tcW w:w="5528" w:type="dxa"/>
          </w:tcPr>
          <w:p w14:paraId="48CFBFD0" w14:textId="77777777" w:rsidR="00012B21" w:rsidRPr="0068236B" w:rsidRDefault="00012B21" w:rsidP="003E5EF8">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Changes on geology formations and/or soil quality affecting part of the project area or changes resulting in loss of co</w:t>
            </w:r>
            <w:r w:rsidRPr="0068236B">
              <w:rPr>
                <w:rFonts w:eastAsia="Calibri" w:cs="Arial"/>
                <w:sz w:val="20"/>
                <w:szCs w:val="20"/>
              </w:rPr>
              <w:t>n</w:t>
            </w:r>
            <w:r w:rsidRPr="0068236B">
              <w:rPr>
                <w:rFonts w:eastAsia="Calibri" w:cs="Arial"/>
                <w:sz w:val="20"/>
                <w:szCs w:val="20"/>
              </w:rPr>
              <w:t>servation value to geological sites or designated areas of local importance.</w:t>
            </w:r>
          </w:p>
        </w:tc>
      </w:tr>
      <w:tr w:rsidR="00012B21" w:rsidRPr="0068236B" w14:paraId="117A954B" w14:textId="77777777" w:rsidTr="003E5EF8">
        <w:tc>
          <w:tcPr>
            <w:tcW w:w="1560" w:type="dxa"/>
          </w:tcPr>
          <w:p w14:paraId="0C93C4A4" w14:textId="77777777" w:rsidR="00012B21" w:rsidRPr="0068236B" w:rsidRDefault="00012B21" w:rsidP="003E5EF8">
            <w:pPr>
              <w:tabs>
                <w:tab w:val="center" w:pos="4320"/>
                <w:tab w:val="right" w:pos="8640"/>
              </w:tabs>
              <w:spacing w:before="0" w:after="0" w:line="240" w:lineRule="auto"/>
              <w:jc w:val="left"/>
              <w:rPr>
                <w:rFonts w:eastAsia="Calibri" w:cs="Arial"/>
                <w:sz w:val="20"/>
                <w:szCs w:val="20"/>
              </w:rPr>
            </w:pPr>
            <w:r w:rsidRPr="0068236B">
              <w:rPr>
                <w:rFonts w:eastAsia="Calibri" w:cs="Arial"/>
                <w:sz w:val="20"/>
                <w:szCs w:val="20"/>
              </w:rPr>
              <w:t>Minor</w:t>
            </w:r>
          </w:p>
        </w:tc>
        <w:tc>
          <w:tcPr>
            <w:tcW w:w="2693" w:type="dxa"/>
          </w:tcPr>
          <w:p w14:paraId="1BEB7609" w14:textId="77777777" w:rsidR="00012B21" w:rsidRPr="0068236B" w:rsidRDefault="00012B21" w:rsidP="003E5EF8">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A detectable but non-material change to the</w:t>
            </w:r>
          </w:p>
          <w:p w14:paraId="331C026C" w14:textId="77777777" w:rsidR="00012B21" w:rsidRPr="0068236B" w:rsidRDefault="00012B21" w:rsidP="003E5EF8">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environment</w:t>
            </w:r>
          </w:p>
        </w:tc>
        <w:tc>
          <w:tcPr>
            <w:tcW w:w="5528" w:type="dxa"/>
          </w:tcPr>
          <w:p w14:paraId="5495CA31" w14:textId="77777777" w:rsidR="00012B21" w:rsidRPr="0068236B" w:rsidRDefault="00012B21" w:rsidP="003E5EF8">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Local changes on geology formations and/or soil quality or changes resulting in minor and reversible effects on quality.</w:t>
            </w:r>
          </w:p>
        </w:tc>
      </w:tr>
      <w:tr w:rsidR="00012B21" w:rsidRPr="0068236B" w14:paraId="6F2055B4" w14:textId="77777777" w:rsidTr="003E5EF8">
        <w:tc>
          <w:tcPr>
            <w:tcW w:w="1560" w:type="dxa"/>
          </w:tcPr>
          <w:p w14:paraId="26BE0968" w14:textId="77777777" w:rsidR="00012B21" w:rsidRPr="0068236B" w:rsidRDefault="00012B21" w:rsidP="003E5EF8">
            <w:pPr>
              <w:tabs>
                <w:tab w:val="center" w:pos="4320"/>
                <w:tab w:val="right" w:pos="8640"/>
              </w:tabs>
              <w:spacing w:before="0" w:after="0" w:line="240" w:lineRule="auto"/>
              <w:jc w:val="left"/>
              <w:rPr>
                <w:rFonts w:eastAsia="Calibri" w:cs="Arial"/>
                <w:sz w:val="20"/>
                <w:szCs w:val="20"/>
              </w:rPr>
            </w:pPr>
            <w:r w:rsidRPr="0068236B">
              <w:rPr>
                <w:rFonts w:eastAsia="Calibri" w:cs="Arial"/>
                <w:sz w:val="20"/>
                <w:szCs w:val="20"/>
              </w:rPr>
              <w:t>Negligible</w:t>
            </w:r>
          </w:p>
        </w:tc>
        <w:tc>
          <w:tcPr>
            <w:tcW w:w="2693" w:type="dxa"/>
          </w:tcPr>
          <w:p w14:paraId="637BA63B" w14:textId="77777777" w:rsidR="00012B21" w:rsidRPr="0068236B" w:rsidRDefault="00012B21" w:rsidP="003E5EF8">
            <w:pPr>
              <w:tabs>
                <w:tab w:val="center" w:pos="4320"/>
                <w:tab w:val="right" w:pos="8640"/>
              </w:tabs>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No detectable change to the environment</w:t>
            </w:r>
          </w:p>
        </w:tc>
        <w:tc>
          <w:tcPr>
            <w:tcW w:w="5528" w:type="dxa"/>
          </w:tcPr>
          <w:p w14:paraId="19A52244" w14:textId="77777777" w:rsidR="00012B21" w:rsidRPr="0068236B" w:rsidRDefault="00012B21" w:rsidP="003E5EF8">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No effects on geology formations and/or soil quality.</w:t>
            </w:r>
          </w:p>
        </w:tc>
      </w:tr>
    </w:tbl>
    <w:p w14:paraId="4684D3C6" w14:textId="4A3F1AAB" w:rsidR="00012B21" w:rsidRPr="0068236B" w:rsidRDefault="00012B21" w:rsidP="00230397">
      <w:pPr>
        <w:pStyle w:val="Caption"/>
        <w:keepNext w:val="0"/>
        <w:widowControl w:val="0"/>
        <w:spacing w:after="240"/>
        <w:jc w:val="both"/>
        <w:rPr>
          <w:rFonts w:eastAsia="Calibri"/>
          <w:b w:val="0"/>
          <w:i/>
          <w:szCs w:val="20"/>
        </w:rPr>
      </w:pPr>
      <w:bookmarkStart w:id="401" w:name="_Toc80181261"/>
      <w:bookmarkStart w:id="402" w:name="_Toc113018216"/>
      <w:r w:rsidRPr="0068236B">
        <w:rPr>
          <w:b w:val="0"/>
          <w:szCs w:val="20"/>
        </w:rPr>
        <w:t xml:space="preserve">Table </w:t>
      </w:r>
      <w:r w:rsidRPr="0068236B">
        <w:rPr>
          <w:b w:val="0"/>
          <w:i/>
          <w:szCs w:val="20"/>
        </w:rPr>
        <w:fldChar w:fldCharType="begin"/>
      </w:r>
      <w:r w:rsidRPr="0068236B">
        <w:rPr>
          <w:b w:val="0"/>
          <w:szCs w:val="20"/>
        </w:rPr>
        <w:instrText xml:space="preserve"> STYLEREF 1 \s </w:instrText>
      </w:r>
      <w:r w:rsidRPr="0068236B">
        <w:rPr>
          <w:b w:val="0"/>
          <w:i/>
          <w:szCs w:val="20"/>
        </w:rPr>
        <w:fldChar w:fldCharType="separate"/>
      </w:r>
      <w:r w:rsidR="00FD57E6">
        <w:rPr>
          <w:b w:val="0"/>
          <w:noProof/>
          <w:szCs w:val="20"/>
        </w:rPr>
        <w:t>8</w:t>
      </w:r>
      <w:r w:rsidRPr="0068236B">
        <w:rPr>
          <w:b w:val="0"/>
          <w:i/>
          <w:szCs w:val="20"/>
        </w:rPr>
        <w:fldChar w:fldCharType="end"/>
      </w:r>
      <w:r w:rsidRPr="0068236B">
        <w:rPr>
          <w:b w:val="0"/>
          <w:i/>
          <w:szCs w:val="20"/>
        </w:rPr>
        <w:t>.</w:t>
      </w:r>
      <w:r w:rsidRPr="0068236B">
        <w:rPr>
          <w:b w:val="0"/>
          <w:i/>
          <w:szCs w:val="20"/>
        </w:rPr>
        <w:fldChar w:fldCharType="begin"/>
      </w:r>
      <w:r w:rsidRPr="0068236B">
        <w:rPr>
          <w:b w:val="0"/>
          <w:szCs w:val="20"/>
        </w:rPr>
        <w:instrText xml:space="preserve"> SEQ Table \* ARABIC \s 1 </w:instrText>
      </w:r>
      <w:r w:rsidRPr="0068236B">
        <w:rPr>
          <w:b w:val="0"/>
          <w:i/>
          <w:szCs w:val="20"/>
        </w:rPr>
        <w:fldChar w:fldCharType="separate"/>
      </w:r>
      <w:r w:rsidR="00FD57E6">
        <w:rPr>
          <w:b w:val="0"/>
          <w:noProof/>
          <w:szCs w:val="20"/>
        </w:rPr>
        <w:t>20</w:t>
      </w:r>
      <w:r w:rsidRPr="0068236B">
        <w:rPr>
          <w:b w:val="0"/>
          <w:i/>
          <w:szCs w:val="20"/>
        </w:rPr>
        <w:fldChar w:fldCharType="end"/>
      </w:r>
      <w:r w:rsidR="005F774D" w:rsidRPr="0068236B">
        <w:rPr>
          <w:rFonts w:eastAsia="Calibri"/>
          <w:b w:val="0"/>
          <w:szCs w:val="20"/>
        </w:rPr>
        <w:t>:</w:t>
      </w:r>
      <w:r w:rsidRPr="0068236B">
        <w:rPr>
          <w:rFonts w:eastAsia="Calibri"/>
          <w:b w:val="0"/>
          <w:szCs w:val="20"/>
        </w:rPr>
        <w:t xml:space="preserve"> Matrix of significance categories for potential impacts on geology and soils</w:t>
      </w:r>
      <w:bookmarkEnd w:id="401"/>
      <w:bookmarkEnd w:id="402"/>
    </w:p>
    <w:p w14:paraId="75932370" w14:textId="77777777" w:rsidR="00012B21" w:rsidRPr="0068236B" w:rsidRDefault="00012B21" w:rsidP="00012B21">
      <w:pPr>
        <w:pStyle w:val="Heading3"/>
        <w:spacing w:line="240" w:lineRule="auto"/>
        <w:ind w:left="993" w:hanging="993"/>
      </w:pPr>
      <w:bookmarkStart w:id="403" w:name="_Toc65936712"/>
      <w:bookmarkStart w:id="404" w:name="_Toc80181160"/>
      <w:bookmarkStart w:id="405" w:name="_Toc112852279"/>
      <w:r w:rsidRPr="0068236B">
        <w:lastRenderedPageBreak/>
        <w:t>Potential Impacts</w:t>
      </w:r>
      <w:bookmarkEnd w:id="403"/>
      <w:bookmarkEnd w:id="404"/>
      <w:bookmarkEnd w:id="405"/>
    </w:p>
    <w:p w14:paraId="28C36930" w14:textId="77777777" w:rsidR="00012B21" w:rsidRPr="0068236B" w:rsidRDefault="00012B21" w:rsidP="00012B21">
      <w:pPr>
        <w:pStyle w:val="Heading4"/>
        <w:spacing w:line="240" w:lineRule="auto"/>
        <w:ind w:left="1843" w:hanging="1123"/>
        <w:rPr>
          <w:sz w:val="20"/>
        </w:rPr>
      </w:pPr>
      <w:bookmarkStart w:id="406" w:name="_Toc65936713"/>
      <w:r w:rsidRPr="0068236B">
        <w:rPr>
          <w:sz w:val="20"/>
        </w:rPr>
        <w:t>Construction</w:t>
      </w:r>
      <w:bookmarkEnd w:id="406"/>
    </w:p>
    <w:p w14:paraId="6BA726AF" w14:textId="77777777" w:rsidR="00012B21" w:rsidRPr="0068236B" w:rsidRDefault="00012B21" w:rsidP="00012B21">
      <w:pPr>
        <w:pStyle w:val="BodyText"/>
        <w:spacing w:before="120" w:after="120"/>
        <w:ind w:left="0"/>
        <w:jc w:val="both"/>
        <w:rPr>
          <w:rFonts w:ascii="Tahoma" w:hAnsi="Tahoma" w:cs="Tahoma"/>
          <w:sz w:val="20"/>
          <w:szCs w:val="22"/>
        </w:rPr>
      </w:pPr>
      <w:r w:rsidRPr="0068236B">
        <w:rPr>
          <w:rFonts w:ascii="Tahoma" w:hAnsi="Tahoma" w:cs="Tahoma"/>
          <w:sz w:val="20"/>
          <w:szCs w:val="22"/>
        </w:rPr>
        <w:t>The potential impacts of the Project on the geological structures and soils during construction will be mainly in the form of soil degradation due to:</w:t>
      </w:r>
    </w:p>
    <w:p w14:paraId="0683F606" w14:textId="77777777" w:rsidR="00012B21" w:rsidRPr="0068236B" w:rsidRDefault="00012B21" w:rsidP="00D24CEF">
      <w:pPr>
        <w:pStyle w:val="ListBullet"/>
        <w:numPr>
          <w:ilvl w:val="0"/>
          <w:numId w:val="97"/>
        </w:numPr>
        <w:spacing w:line="240" w:lineRule="auto"/>
        <w:jc w:val="left"/>
        <w:rPr>
          <w:sz w:val="20"/>
        </w:rPr>
      </w:pPr>
      <w:r w:rsidRPr="0068236B">
        <w:rPr>
          <w:sz w:val="20"/>
        </w:rPr>
        <w:t>Construction of access roads, excavation for construction of foundations and towers</w:t>
      </w:r>
    </w:p>
    <w:p w14:paraId="0F81ED9E" w14:textId="77777777" w:rsidR="00012B21" w:rsidRPr="0068236B" w:rsidRDefault="00012B21" w:rsidP="00D24CEF">
      <w:pPr>
        <w:pStyle w:val="ListBullet"/>
        <w:numPr>
          <w:ilvl w:val="0"/>
          <w:numId w:val="97"/>
        </w:numPr>
        <w:spacing w:line="240" w:lineRule="auto"/>
        <w:jc w:val="left"/>
        <w:rPr>
          <w:sz w:val="20"/>
        </w:rPr>
      </w:pPr>
      <w:r w:rsidRPr="0068236B">
        <w:rPr>
          <w:sz w:val="20"/>
        </w:rPr>
        <w:t xml:space="preserve">Spillage of oils and fuels from vehicles </w:t>
      </w:r>
    </w:p>
    <w:p w14:paraId="06858B09" w14:textId="77777777" w:rsidR="00012B21" w:rsidRPr="0068236B" w:rsidRDefault="00012B21" w:rsidP="00D24CEF">
      <w:pPr>
        <w:pStyle w:val="ListBullet"/>
        <w:numPr>
          <w:ilvl w:val="0"/>
          <w:numId w:val="97"/>
        </w:numPr>
        <w:spacing w:line="240" w:lineRule="auto"/>
        <w:jc w:val="left"/>
        <w:rPr>
          <w:sz w:val="20"/>
        </w:rPr>
      </w:pPr>
      <w:r w:rsidRPr="0068236B">
        <w:rPr>
          <w:sz w:val="20"/>
        </w:rPr>
        <w:t>Inadequate waste management</w:t>
      </w:r>
    </w:p>
    <w:p w14:paraId="4C339A6E" w14:textId="1C5176FC" w:rsidR="00012B21" w:rsidRPr="0068236B" w:rsidRDefault="00012B21" w:rsidP="00012B21">
      <w:pPr>
        <w:widowControl w:val="0"/>
        <w:autoSpaceDE w:val="0"/>
        <w:autoSpaceDN w:val="0"/>
        <w:adjustRightInd w:val="0"/>
        <w:rPr>
          <w:rFonts w:cs="Tahoma"/>
          <w:sz w:val="20"/>
        </w:rPr>
      </w:pPr>
      <w:r w:rsidRPr="0068236B">
        <w:rPr>
          <w:rFonts w:cs="Tahoma"/>
          <w:sz w:val="20"/>
        </w:rPr>
        <w:t xml:space="preserve">The risks of soil erosion and landslides during construction of the Project are very limited and site-specific since the study area as a whole is not susceptible to these geological hazards (see Section </w:t>
      </w:r>
      <w:r w:rsidR="001D77FA" w:rsidRPr="0068236B">
        <w:rPr>
          <w:rFonts w:cs="Tahoma"/>
          <w:sz w:val="20"/>
        </w:rPr>
        <w:t>7</w:t>
      </w:r>
      <w:r w:rsidR="003E5EF8" w:rsidRPr="0068236B">
        <w:rPr>
          <w:rFonts w:cs="Tahoma"/>
          <w:sz w:val="20"/>
        </w:rPr>
        <w:t>.1.2)</w:t>
      </w:r>
      <w:r w:rsidRPr="0068236B">
        <w:rPr>
          <w:rFonts w:cs="Tahoma"/>
          <w:sz w:val="20"/>
        </w:rPr>
        <w:t>.</w:t>
      </w:r>
    </w:p>
    <w:p w14:paraId="72B856B5" w14:textId="77777777" w:rsidR="00012B21" w:rsidRPr="0068236B" w:rsidRDefault="00012B21" w:rsidP="00012B21">
      <w:pPr>
        <w:rPr>
          <w:rFonts w:cs="Arial"/>
          <w:sz w:val="20"/>
          <w:szCs w:val="20"/>
        </w:rPr>
      </w:pPr>
      <w:r w:rsidRPr="0068236B">
        <w:rPr>
          <w:rFonts w:cs="Tahoma"/>
          <w:sz w:val="20"/>
        </w:rPr>
        <w:t>The Table below represents an overview of the generic potential impacts on the soils associated with co</w:t>
      </w:r>
      <w:r w:rsidRPr="0068236B">
        <w:rPr>
          <w:rFonts w:cs="Tahoma"/>
          <w:sz w:val="20"/>
        </w:rPr>
        <w:t>n</w:t>
      </w:r>
      <w:r w:rsidRPr="0068236B">
        <w:rPr>
          <w:rFonts w:cs="Tahoma"/>
          <w:sz w:val="20"/>
        </w:rPr>
        <w:t xml:space="preserve">struction activities </w:t>
      </w:r>
      <w:r w:rsidRPr="0068236B">
        <w:rPr>
          <w:rFonts w:cs="Arial"/>
          <w:sz w:val="20"/>
        </w:rPr>
        <w:t>of the Project. The impacts have been identified using the available</w:t>
      </w:r>
      <w:r w:rsidRPr="0068236B">
        <w:rPr>
          <w:rFonts w:cs="Arial"/>
          <w:sz w:val="20"/>
          <w:szCs w:val="20"/>
        </w:rPr>
        <w:t xml:space="preserve"> information for typical OHL construction methods.</w:t>
      </w:r>
    </w:p>
    <w:tbl>
      <w:tblPr>
        <w:tblW w:w="9781"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268"/>
        <w:gridCol w:w="7513"/>
      </w:tblGrid>
      <w:tr w:rsidR="00012B21" w:rsidRPr="0068236B" w14:paraId="662B02D3" w14:textId="77777777" w:rsidTr="001D77FA">
        <w:tc>
          <w:tcPr>
            <w:tcW w:w="2268" w:type="dxa"/>
            <w:tcBorders>
              <w:top w:val="double" w:sz="4" w:space="0" w:color="auto"/>
              <w:bottom w:val="double" w:sz="4" w:space="0" w:color="auto"/>
              <w:right w:val="double" w:sz="4" w:space="0" w:color="auto"/>
            </w:tcBorders>
            <w:shd w:val="clear" w:color="auto" w:fill="B4C6E7" w:themeFill="accent1" w:themeFillTint="66"/>
          </w:tcPr>
          <w:p w14:paraId="24E35B69" w14:textId="77777777" w:rsidR="00012B21" w:rsidRPr="0068236B" w:rsidRDefault="00012B21" w:rsidP="003E5EF8">
            <w:pPr>
              <w:spacing w:before="0" w:after="0" w:line="240" w:lineRule="auto"/>
              <w:rPr>
                <w:rFonts w:cs="Arial"/>
                <w:sz w:val="20"/>
                <w:szCs w:val="20"/>
              </w:rPr>
            </w:pPr>
            <w:r w:rsidRPr="0068236B">
              <w:rPr>
                <w:rFonts w:cs="Arial"/>
                <w:sz w:val="20"/>
                <w:szCs w:val="20"/>
              </w:rPr>
              <w:t>Project component</w:t>
            </w:r>
          </w:p>
        </w:tc>
        <w:tc>
          <w:tcPr>
            <w:tcW w:w="7513" w:type="dxa"/>
            <w:tcBorders>
              <w:top w:val="double" w:sz="4" w:space="0" w:color="auto"/>
              <w:left w:val="double" w:sz="4" w:space="0" w:color="auto"/>
              <w:bottom w:val="double" w:sz="4" w:space="0" w:color="auto"/>
            </w:tcBorders>
            <w:shd w:val="clear" w:color="auto" w:fill="B4C6E7" w:themeFill="accent1" w:themeFillTint="66"/>
          </w:tcPr>
          <w:p w14:paraId="41369626" w14:textId="77777777" w:rsidR="00012B21" w:rsidRPr="0068236B" w:rsidRDefault="00012B21" w:rsidP="003E5EF8">
            <w:pPr>
              <w:spacing w:before="0" w:after="0" w:line="240" w:lineRule="auto"/>
              <w:rPr>
                <w:rFonts w:cs="Arial"/>
                <w:sz w:val="20"/>
                <w:szCs w:val="20"/>
              </w:rPr>
            </w:pPr>
            <w:r w:rsidRPr="0068236B">
              <w:rPr>
                <w:rFonts w:cs="Arial"/>
                <w:sz w:val="20"/>
                <w:szCs w:val="20"/>
              </w:rPr>
              <w:t>Potential impact</w:t>
            </w:r>
          </w:p>
        </w:tc>
      </w:tr>
      <w:tr w:rsidR="00012B21" w:rsidRPr="0068236B" w14:paraId="5C35BB60" w14:textId="77777777" w:rsidTr="003E5EF8">
        <w:tc>
          <w:tcPr>
            <w:tcW w:w="2268" w:type="dxa"/>
            <w:tcBorders>
              <w:top w:val="double" w:sz="4" w:space="0" w:color="auto"/>
              <w:bottom w:val="double" w:sz="4" w:space="0" w:color="auto"/>
            </w:tcBorders>
          </w:tcPr>
          <w:p w14:paraId="1B183C62" w14:textId="77777777" w:rsidR="00012B21" w:rsidRPr="0068236B" w:rsidRDefault="00012B21" w:rsidP="003E5EF8">
            <w:pPr>
              <w:spacing w:before="0" w:after="0" w:line="240" w:lineRule="auto"/>
              <w:jc w:val="left"/>
              <w:rPr>
                <w:rFonts w:cs="Arial"/>
                <w:sz w:val="20"/>
                <w:szCs w:val="20"/>
              </w:rPr>
            </w:pPr>
            <w:r w:rsidRPr="0068236B">
              <w:rPr>
                <w:rFonts w:cs="Arial"/>
                <w:sz w:val="20"/>
                <w:szCs w:val="20"/>
              </w:rPr>
              <w:t>Construction of access roads, earthworks and construction of towers and substation</w:t>
            </w:r>
          </w:p>
        </w:tc>
        <w:tc>
          <w:tcPr>
            <w:tcW w:w="7513" w:type="dxa"/>
            <w:tcBorders>
              <w:top w:val="double" w:sz="4" w:space="0" w:color="auto"/>
              <w:bottom w:val="double" w:sz="4" w:space="0" w:color="auto"/>
            </w:tcBorders>
          </w:tcPr>
          <w:p w14:paraId="06AAAF55" w14:textId="77777777" w:rsidR="006F2A58" w:rsidRPr="0068236B" w:rsidRDefault="00012B21" w:rsidP="006F2A58">
            <w:pPr>
              <w:numPr>
                <w:ilvl w:val="1"/>
                <w:numId w:val="67"/>
              </w:numPr>
              <w:tabs>
                <w:tab w:val="left" w:pos="175"/>
              </w:tabs>
              <w:autoSpaceDE w:val="0"/>
              <w:autoSpaceDN w:val="0"/>
              <w:adjustRightInd w:val="0"/>
              <w:spacing w:before="0" w:after="0" w:line="240" w:lineRule="auto"/>
              <w:ind w:left="175" w:hanging="141"/>
              <w:jc w:val="left"/>
              <w:rPr>
                <w:rFonts w:cs="Arial"/>
                <w:sz w:val="20"/>
                <w:szCs w:val="20"/>
              </w:rPr>
            </w:pPr>
            <w:r w:rsidRPr="0068236B">
              <w:rPr>
                <w:rFonts w:cs="Arial"/>
                <w:sz w:val="20"/>
                <w:szCs w:val="20"/>
              </w:rPr>
              <w:t>Damage to geological exposures.</w:t>
            </w:r>
          </w:p>
          <w:p w14:paraId="776BD15E" w14:textId="1DCD00E6" w:rsidR="00012B21" w:rsidRPr="0068236B" w:rsidRDefault="006F2A58" w:rsidP="008E77D3">
            <w:pPr>
              <w:numPr>
                <w:ilvl w:val="1"/>
                <w:numId w:val="67"/>
              </w:numPr>
              <w:tabs>
                <w:tab w:val="left" w:pos="175"/>
              </w:tabs>
              <w:autoSpaceDE w:val="0"/>
              <w:autoSpaceDN w:val="0"/>
              <w:adjustRightInd w:val="0"/>
              <w:spacing w:before="0" w:after="0" w:line="240" w:lineRule="auto"/>
              <w:ind w:left="175" w:hanging="141"/>
              <w:jc w:val="left"/>
              <w:rPr>
                <w:rFonts w:cs="Arial"/>
                <w:sz w:val="20"/>
                <w:szCs w:val="20"/>
              </w:rPr>
            </w:pPr>
            <w:r w:rsidRPr="0068236B">
              <w:rPr>
                <w:rFonts w:cs="Arial"/>
                <w:sz w:val="20"/>
                <w:szCs w:val="20"/>
              </w:rPr>
              <w:t>Erosion of deposits / soils through removal of surface cover</w:t>
            </w:r>
            <w:r w:rsidR="00D043E4" w:rsidRPr="0068236B">
              <w:rPr>
                <w:rFonts w:cs="Arial"/>
                <w:sz w:val="20"/>
                <w:szCs w:val="20"/>
              </w:rPr>
              <w:t xml:space="preserve"> (at specific sites)</w:t>
            </w:r>
            <w:r w:rsidRPr="0068236B">
              <w:rPr>
                <w:rFonts w:cs="Arial"/>
                <w:sz w:val="20"/>
                <w:szCs w:val="20"/>
              </w:rPr>
              <w:t>.</w:t>
            </w:r>
            <w:r w:rsidR="00012B21" w:rsidRPr="0068236B">
              <w:rPr>
                <w:rFonts w:cs="Arial"/>
                <w:sz w:val="20"/>
                <w:szCs w:val="20"/>
              </w:rPr>
              <w:t>Loss of deposits / soils through excavation / removal for construction pu</w:t>
            </w:r>
            <w:r w:rsidR="00012B21" w:rsidRPr="0068236B">
              <w:rPr>
                <w:rFonts w:cs="Arial"/>
                <w:sz w:val="20"/>
                <w:szCs w:val="20"/>
              </w:rPr>
              <w:t>r</w:t>
            </w:r>
            <w:r w:rsidR="00012B21" w:rsidRPr="0068236B">
              <w:rPr>
                <w:rFonts w:cs="Arial"/>
                <w:sz w:val="20"/>
                <w:szCs w:val="20"/>
              </w:rPr>
              <w:t>poses.</w:t>
            </w:r>
          </w:p>
          <w:p w14:paraId="7E4C02D3" w14:textId="77777777" w:rsidR="00012B21" w:rsidRPr="0068236B" w:rsidRDefault="00012B21" w:rsidP="008E77D3">
            <w:pPr>
              <w:numPr>
                <w:ilvl w:val="0"/>
                <w:numId w:val="67"/>
              </w:numPr>
              <w:tabs>
                <w:tab w:val="left" w:pos="175"/>
              </w:tabs>
              <w:autoSpaceDE w:val="0"/>
              <w:autoSpaceDN w:val="0"/>
              <w:adjustRightInd w:val="0"/>
              <w:spacing w:before="0" w:after="0" w:line="240" w:lineRule="auto"/>
              <w:ind w:left="175" w:hanging="141"/>
              <w:jc w:val="left"/>
              <w:rPr>
                <w:rFonts w:cs="Arial"/>
                <w:sz w:val="20"/>
                <w:szCs w:val="20"/>
              </w:rPr>
            </w:pPr>
            <w:r w:rsidRPr="0068236B">
              <w:rPr>
                <w:rFonts w:cs="Arial"/>
                <w:sz w:val="20"/>
                <w:szCs w:val="20"/>
              </w:rPr>
              <w:t>Compaction of soft ground leading to an alteration in the structure of the depo</w:t>
            </w:r>
            <w:r w:rsidRPr="0068236B">
              <w:rPr>
                <w:rFonts w:cs="Arial"/>
                <w:sz w:val="20"/>
                <w:szCs w:val="20"/>
              </w:rPr>
              <w:t>s</w:t>
            </w:r>
            <w:r w:rsidRPr="0068236B">
              <w:rPr>
                <w:rFonts w:cs="Arial"/>
                <w:sz w:val="20"/>
                <w:szCs w:val="20"/>
              </w:rPr>
              <w:t>its / soils. This includes loss of agricultural land through compaction.</w:t>
            </w:r>
          </w:p>
          <w:p w14:paraId="45154646" w14:textId="70E42D93" w:rsidR="00012B21" w:rsidRPr="0068236B" w:rsidRDefault="00012B21" w:rsidP="008E77D3">
            <w:pPr>
              <w:numPr>
                <w:ilvl w:val="0"/>
                <w:numId w:val="65"/>
              </w:numPr>
              <w:autoSpaceDE w:val="0"/>
              <w:autoSpaceDN w:val="0"/>
              <w:adjustRightInd w:val="0"/>
              <w:spacing w:before="0" w:after="0" w:line="240" w:lineRule="auto"/>
              <w:ind w:left="189" w:hanging="142"/>
              <w:jc w:val="left"/>
              <w:rPr>
                <w:rFonts w:cs="Arial"/>
                <w:sz w:val="20"/>
                <w:szCs w:val="20"/>
              </w:rPr>
            </w:pPr>
            <w:r w:rsidRPr="0068236B">
              <w:rPr>
                <w:rFonts w:cs="Arial"/>
                <w:sz w:val="20"/>
                <w:szCs w:val="20"/>
              </w:rPr>
              <w:t xml:space="preserve">Pollution risk </w:t>
            </w:r>
            <w:r w:rsidR="006F2A58" w:rsidRPr="0068236B">
              <w:rPr>
                <w:rFonts w:cs="Arial"/>
                <w:sz w:val="20"/>
                <w:szCs w:val="20"/>
              </w:rPr>
              <w:t xml:space="preserve">to soils </w:t>
            </w:r>
            <w:r w:rsidRPr="0068236B">
              <w:rPr>
                <w:rFonts w:cs="Arial"/>
                <w:sz w:val="20"/>
                <w:szCs w:val="20"/>
              </w:rPr>
              <w:t>from fuel and oil spillage, and from inadequate waste management.</w:t>
            </w:r>
          </w:p>
        </w:tc>
      </w:tr>
    </w:tbl>
    <w:p w14:paraId="14624AD0" w14:textId="5611EAE3" w:rsidR="00012B21" w:rsidRPr="0068236B" w:rsidRDefault="00012B21" w:rsidP="00012B21">
      <w:pPr>
        <w:pStyle w:val="Caption"/>
        <w:spacing w:after="240"/>
        <w:jc w:val="left"/>
        <w:rPr>
          <w:b w:val="0"/>
        </w:rPr>
      </w:pPr>
      <w:bookmarkStart w:id="407" w:name="_Toc65936952"/>
      <w:bookmarkStart w:id="408" w:name="_Toc80181262"/>
      <w:bookmarkStart w:id="409" w:name="_Toc113018217"/>
      <w:r w:rsidRPr="0068236B">
        <w:rPr>
          <w:b w:val="0"/>
        </w:rPr>
        <w:t xml:space="preserve">Table </w:t>
      </w:r>
      <w:r w:rsidRPr="0068236B">
        <w:rPr>
          <w:b w:val="0"/>
          <w:i/>
        </w:rPr>
        <w:fldChar w:fldCharType="begin"/>
      </w:r>
      <w:r w:rsidRPr="0068236B">
        <w:rPr>
          <w:b w:val="0"/>
        </w:rPr>
        <w:instrText xml:space="preserve"> STYLEREF 1 \s </w:instrText>
      </w:r>
      <w:r w:rsidRPr="0068236B">
        <w:rPr>
          <w:b w:val="0"/>
          <w:i/>
        </w:rPr>
        <w:fldChar w:fldCharType="separate"/>
      </w:r>
      <w:r w:rsidR="00FD57E6">
        <w:rPr>
          <w:b w:val="0"/>
          <w:noProof/>
        </w:rPr>
        <w:t>8</w:t>
      </w:r>
      <w:r w:rsidRPr="0068236B">
        <w:rPr>
          <w:b w:val="0"/>
          <w:i/>
        </w:rPr>
        <w:fldChar w:fldCharType="end"/>
      </w:r>
      <w:r w:rsidRPr="0068236B">
        <w:rPr>
          <w:b w:val="0"/>
        </w:rPr>
        <w:t>.</w:t>
      </w:r>
      <w:r w:rsidRPr="0068236B">
        <w:rPr>
          <w:b w:val="0"/>
          <w:i/>
        </w:rPr>
        <w:fldChar w:fldCharType="begin"/>
      </w:r>
      <w:r w:rsidRPr="0068236B">
        <w:rPr>
          <w:b w:val="0"/>
        </w:rPr>
        <w:instrText xml:space="preserve"> SEQ Table \* ARABIC \s 1 </w:instrText>
      </w:r>
      <w:r w:rsidRPr="0068236B">
        <w:rPr>
          <w:b w:val="0"/>
          <w:i/>
        </w:rPr>
        <w:fldChar w:fldCharType="separate"/>
      </w:r>
      <w:r w:rsidR="00FD57E6">
        <w:rPr>
          <w:b w:val="0"/>
          <w:noProof/>
        </w:rPr>
        <w:t>21</w:t>
      </w:r>
      <w:r w:rsidRPr="0068236B">
        <w:rPr>
          <w:b w:val="0"/>
          <w:i/>
        </w:rPr>
        <w:fldChar w:fldCharType="end"/>
      </w:r>
      <w:r w:rsidR="00501616" w:rsidRPr="0068236B">
        <w:rPr>
          <w:rFonts w:eastAsia="Calibri"/>
          <w:b w:val="0"/>
        </w:rPr>
        <w:t xml:space="preserve">: </w:t>
      </w:r>
      <w:r w:rsidRPr="0068236B">
        <w:rPr>
          <w:b w:val="0"/>
        </w:rPr>
        <w:t>Summary of potential construction impacts on geology and soils</w:t>
      </w:r>
      <w:bookmarkEnd w:id="407"/>
      <w:bookmarkEnd w:id="408"/>
      <w:bookmarkEnd w:id="409"/>
      <w:r w:rsidRPr="0068236B">
        <w:rPr>
          <w:b w:val="0"/>
        </w:rPr>
        <w:t xml:space="preserve"> </w:t>
      </w:r>
    </w:p>
    <w:p w14:paraId="19DCC77C" w14:textId="77777777" w:rsidR="00012B21" w:rsidRPr="0068236B" w:rsidRDefault="00012B21" w:rsidP="00012B21">
      <w:pPr>
        <w:pStyle w:val="Heading4"/>
        <w:ind w:left="1843" w:hanging="1134"/>
        <w:rPr>
          <w:sz w:val="20"/>
        </w:rPr>
      </w:pPr>
      <w:bookmarkStart w:id="410" w:name="_Toc65936714"/>
      <w:r w:rsidRPr="0068236B">
        <w:rPr>
          <w:sz w:val="20"/>
        </w:rPr>
        <w:t>Operation</w:t>
      </w:r>
      <w:bookmarkEnd w:id="410"/>
    </w:p>
    <w:p w14:paraId="45DDA32F" w14:textId="77777777" w:rsidR="00012B21" w:rsidRPr="0068236B" w:rsidRDefault="00012B21" w:rsidP="00012B21">
      <w:pPr>
        <w:widowControl w:val="0"/>
        <w:autoSpaceDE w:val="0"/>
        <w:autoSpaceDN w:val="0"/>
        <w:adjustRightInd w:val="0"/>
        <w:rPr>
          <w:rFonts w:cs="Arial"/>
          <w:sz w:val="20"/>
        </w:rPr>
      </w:pPr>
      <w:r w:rsidRPr="0068236B">
        <w:rPr>
          <w:rFonts w:cs="Arial"/>
          <w:sz w:val="20"/>
        </w:rPr>
        <w:t>During its operational phase, the Project will not directly discharge pollutants to the land.</w:t>
      </w:r>
    </w:p>
    <w:p w14:paraId="62CA1252" w14:textId="77777777" w:rsidR="00012B21" w:rsidRPr="0068236B" w:rsidRDefault="00012B21" w:rsidP="00012B21">
      <w:pPr>
        <w:rPr>
          <w:rFonts w:cs="Arial"/>
          <w:sz w:val="20"/>
        </w:rPr>
      </w:pPr>
      <w:r w:rsidRPr="0068236B">
        <w:rPr>
          <w:rFonts w:cs="Arial"/>
          <w:sz w:val="20"/>
        </w:rPr>
        <w:t>The operational Project could result in minor potential impacts on the land, especially due to maintenance activities and the control of the infrastructure and equipment (Table below).</w:t>
      </w:r>
    </w:p>
    <w:tbl>
      <w:tblPr>
        <w:tblW w:w="9355"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835"/>
        <w:gridCol w:w="6520"/>
      </w:tblGrid>
      <w:tr w:rsidR="00012B21" w:rsidRPr="0068236B" w14:paraId="7DA47D4A" w14:textId="77777777" w:rsidTr="001D77FA">
        <w:tc>
          <w:tcPr>
            <w:tcW w:w="2835" w:type="dxa"/>
            <w:tcBorders>
              <w:top w:val="double" w:sz="4" w:space="0" w:color="auto"/>
              <w:bottom w:val="double" w:sz="4" w:space="0" w:color="auto"/>
              <w:right w:val="double" w:sz="4" w:space="0" w:color="auto"/>
            </w:tcBorders>
            <w:shd w:val="clear" w:color="auto" w:fill="B4C6E7" w:themeFill="accent1" w:themeFillTint="66"/>
          </w:tcPr>
          <w:p w14:paraId="7D2DC23B" w14:textId="77777777" w:rsidR="00012B21" w:rsidRPr="0068236B" w:rsidRDefault="00012B21" w:rsidP="003E5EF8">
            <w:pPr>
              <w:spacing w:before="0" w:after="0" w:line="240" w:lineRule="auto"/>
              <w:jc w:val="left"/>
              <w:rPr>
                <w:rFonts w:cs="Arial"/>
                <w:sz w:val="20"/>
                <w:szCs w:val="20"/>
              </w:rPr>
            </w:pPr>
            <w:bookmarkStart w:id="411" w:name="_Toc65936953"/>
            <w:r w:rsidRPr="0068236B">
              <w:rPr>
                <w:rFonts w:cs="Arial"/>
                <w:sz w:val="20"/>
                <w:szCs w:val="20"/>
              </w:rPr>
              <w:t>Project component</w:t>
            </w:r>
          </w:p>
        </w:tc>
        <w:tc>
          <w:tcPr>
            <w:tcW w:w="6520" w:type="dxa"/>
            <w:tcBorders>
              <w:top w:val="double" w:sz="4" w:space="0" w:color="auto"/>
              <w:left w:val="double" w:sz="4" w:space="0" w:color="auto"/>
              <w:bottom w:val="double" w:sz="4" w:space="0" w:color="auto"/>
            </w:tcBorders>
            <w:shd w:val="clear" w:color="auto" w:fill="B4C6E7" w:themeFill="accent1" w:themeFillTint="66"/>
          </w:tcPr>
          <w:p w14:paraId="5F814798" w14:textId="77777777" w:rsidR="00012B21" w:rsidRPr="0068236B" w:rsidRDefault="00012B21" w:rsidP="003E5EF8">
            <w:pPr>
              <w:spacing w:before="0" w:after="0" w:line="240" w:lineRule="auto"/>
              <w:jc w:val="left"/>
              <w:rPr>
                <w:rFonts w:cs="Arial"/>
                <w:sz w:val="20"/>
                <w:szCs w:val="20"/>
              </w:rPr>
            </w:pPr>
            <w:r w:rsidRPr="0068236B">
              <w:rPr>
                <w:rFonts w:cs="Arial"/>
                <w:sz w:val="20"/>
                <w:szCs w:val="20"/>
              </w:rPr>
              <w:t>Potential impact</w:t>
            </w:r>
          </w:p>
        </w:tc>
      </w:tr>
      <w:tr w:rsidR="00012B21" w:rsidRPr="0068236B" w14:paraId="40EC0ED0" w14:textId="77777777" w:rsidTr="003E5EF8">
        <w:tc>
          <w:tcPr>
            <w:tcW w:w="2835" w:type="dxa"/>
          </w:tcPr>
          <w:p w14:paraId="2A676F61" w14:textId="77777777" w:rsidR="00012B21" w:rsidRPr="0068236B" w:rsidRDefault="00012B21" w:rsidP="003E5EF8">
            <w:pPr>
              <w:autoSpaceDE w:val="0"/>
              <w:autoSpaceDN w:val="0"/>
              <w:adjustRightInd w:val="0"/>
              <w:spacing w:before="0" w:after="0" w:line="240" w:lineRule="auto"/>
              <w:jc w:val="left"/>
              <w:rPr>
                <w:rFonts w:cs="Arial"/>
                <w:sz w:val="20"/>
                <w:szCs w:val="20"/>
              </w:rPr>
            </w:pPr>
            <w:r w:rsidRPr="0068236B">
              <w:rPr>
                <w:rFonts w:cs="Arial"/>
                <w:sz w:val="20"/>
                <w:szCs w:val="20"/>
              </w:rPr>
              <w:t>Maintenance traffic to access transmission line route</w:t>
            </w:r>
          </w:p>
        </w:tc>
        <w:tc>
          <w:tcPr>
            <w:tcW w:w="6520" w:type="dxa"/>
          </w:tcPr>
          <w:p w14:paraId="5D289A81" w14:textId="77777777" w:rsidR="00012B21" w:rsidRPr="0068236B" w:rsidRDefault="00012B21" w:rsidP="008E77D3">
            <w:pPr>
              <w:numPr>
                <w:ilvl w:val="0"/>
                <w:numId w:val="66"/>
              </w:numPr>
              <w:autoSpaceDE w:val="0"/>
              <w:autoSpaceDN w:val="0"/>
              <w:adjustRightInd w:val="0"/>
              <w:spacing w:before="0" w:after="0" w:line="240" w:lineRule="auto"/>
              <w:ind w:left="175" w:hanging="175"/>
              <w:jc w:val="left"/>
              <w:rPr>
                <w:rFonts w:cs="Arial"/>
                <w:sz w:val="20"/>
                <w:szCs w:val="20"/>
              </w:rPr>
            </w:pPr>
            <w:r w:rsidRPr="0068236B">
              <w:rPr>
                <w:rFonts w:cs="Arial"/>
                <w:sz w:val="20"/>
                <w:szCs w:val="20"/>
              </w:rPr>
              <w:t>Risk of pollution from fuel / oils</w:t>
            </w:r>
          </w:p>
          <w:p w14:paraId="79BC1E87" w14:textId="77777777" w:rsidR="00012B21" w:rsidRPr="0068236B" w:rsidRDefault="00012B21" w:rsidP="008E77D3">
            <w:pPr>
              <w:numPr>
                <w:ilvl w:val="0"/>
                <w:numId w:val="66"/>
              </w:numPr>
              <w:autoSpaceDE w:val="0"/>
              <w:autoSpaceDN w:val="0"/>
              <w:adjustRightInd w:val="0"/>
              <w:spacing w:before="0" w:after="0" w:line="240" w:lineRule="auto"/>
              <w:ind w:left="175" w:hanging="175"/>
              <w:jc w:val="left"/>
              <w:rPr>
                <w:rFonts w:cs="Arial"/>
                <w:sz w:val="20"/>
                <w:szCs w:val="20"/>
              </w:rPr>
            </w:pPr>
            <w:r w:rsidRPr="0068236B">
              <w:rPr>
                <w:rFonts w:cs="Arial"/>
                <w:sz w:val="20"/>
                <w:szCs w:val="20"/>
              </w:rPr>
              <w:t>Local effects on soils from compaction</w:t>
            </w:r>
          </w:p>
        </w:tc>
      </w:tr>
      <w:tr w:rsidR="00012B21" w:rsidRPr="0068236B" w14:paraId="32A171D8" w14:textId="77777777" w:rsidTr="003E5EF8">
        <w:tc>
          <w:tcPr>
            <w:tcW w:w="2835" w:type="dxa"/>
          </w:tcPr>
          <w:p w14:paraId="3B011F73" w14:textId="77777777" w:rsidR="00012B21" w:rsidRPr="0068236B" w:rsidRDefault="00012B21" w:rsidP="003E5EF8">
            <w:pPr>
              <w:autoSpaceDE w:val="0"/>
              <w:autoSpaceDN w:val="0"/>
              <w:adjustRightInd w:val="0"/>
              <w:spacing w:before="0" w:after="0" w:line="240" w:lineRule="auto"/>
              <w:jc w:val="left"/>
              <w:rPr>
                <w:rFonts w:cs="Arial"/>
                <w:sz w:val="20"/>
                <w:szCs w:val="20"/>
              </w:rPr>
            </w:pPr>
            <w:r w:rsidRPr="0068236B">
              <w:rPr>
                <w:rFonts w:cs="Arial"/>
                <w:sz w:val="20"/>
                <w:szCs w:val="20"/>
              </w:rPr>
              <w:t>Substation operation</w:t>
            </w:r>
          </w:p>
        </w:tc>
        <w:tc>
          <w:tcPr>
            <w:tcW w:w="6520" w:type="dxa"/>
          </w:tcPr>
          <w:p w14:paraId="49E64338" w14:textId="5E7C8996" w:rsidR="003F7E72" w:rsidRPr="0068236B" w:rsidRDefault="003F7E72" w:rsidP="003E5EF8">
            <w:pPr>
              <w:numPr>
                <w:ilvl w:val="0"/>
                <w:numId w:val="66"/>
              </w:numPr>
              <w:autoSpaceDE w:val="0"/>
              <w:autoSpaceDN w:val="0"/>
              <w:adjustRightInd w:val="0"/>
              <w:spacing w:before="0" w:after="0" w:line="240" w:lineRule="auto"/>
              <w:ind w:left="175" w:hanging="175"/>
              <w:jc w:val="left"/>
              <w:rPr>
                <w:rFonts w:cs="Arial"/>
                <w:sz w:val="20"/>
                <w:szCs w:val="20"/>
              </w:rPr>
            </w:pPr>
            <w:r w:rsidRPr="0068236B">
              <w:rPr>
                <w:rFonts w:cs="Arial"/>
                <w:sz w:val="20"/>
                <w:szCs w:val="20"/>
              </w:rPr>
              <w:t xml:space="preserve">Wastewater </w:t>
            </w:r>
            <w:r w:rsidRPr="0068236B">
              <w:rPr>
                <w:sz w:val="20"/>
                <w:szCs w:val="20"/>
                <w:lang w:eastAsia="zh-CN"/>
              </w:rPr>
              <w:t>generated from the daily activities of the employed pe</w:t>
            </w:r>
            <w:r w:rsidRPr="0068236B">
              <w:rPr>
                <w:sz w:val="20"/>
                <w:szCs w:val="20"/>
                <w:lang w:eastAsia="zh-CN"/>
              </w:rPr>
              <w:t>r</w:t>
            </w:r>
            <w:r w:rsidRPr="0068236B">
              <w:rPr>
                <w:sz w:val="20"/>
                <w:szCs w:val="20"/>
                <w:lang w:eastAsia="zh-CN"/>
              </w:rPr>
              <w:t>sonnel</w:t>
            </w:r>
          </w:p>
          <w:p w14:paraId="3520491B" w14:textId="21ADA72B" w:rsidR="00012B21" w:rsidRPr="0068236B" w:rsidRDefault="00012B21" w:rsidP="003E5EF8">
            <w:pPr>
              <w:numPr>
                <w:ilvl w:val="0"/>
                <w:numId w:val="66"/>
              </w:numPr>
              <w:autoSpaceDE w:val="0"/>
              <w:autoSpaceDN w:val="0"/>
              <w:adjustRightInd w:val="0"/>
              <w:spacing w:before="0" w:after="0" w:line="240" w:lineRule="auto"/>
              <w:ind w:left="175" w:hanging="175"/>
              <w:jc w:val="left"/>
              <w:rPr>
                <w:rFonts w:cs="Arial"/>
                <w:sz w:val="20"/>
                <w:szCs w:val="20"/>
              </w:rPr>
            </w:pPr>
            <w:r w:rsidRPr="0068236B">
              <w:rPr>
                <w:rFonts w:cs="Arial"/>
                <w:sz w:val="20"/>
                <w:szCs w:val="20"/>
              </w:rPr>
              <w:t>Risk of pollution due to spillage of transformer oil</w:t>
            </w:r>
            <w:r w:rsidR="00584FA7" w:rsidRPr="0068236B">
              <w:rPr>
                <w:rFonts w:cs="Arial"/>
                <w:sz w:val="20"/>
                <w:szCs w:val="20"/>
              </w:rPr>
              <w:t>, in a case of acc</w:t>
            </w:r>
            <w:r w:rsidR="00584FA7" w:rsidRPr="0068236B">
              <w:rPr>
                <w:rFonts w:cs="Arial"/>
                <w:sz w:val="20"/>
                <w:szCs w:val="20"/>
              </w:rPr>
              <w:t>i</w:t>
            </w:r>
            <w:r w:rsidR="00584FA7" w:rsidRPr="0068236B">
              <w:rPr>
                <w:rFonts w:cs="Arial"/>
                <w:sz w:val="20"/>
                <w:szCs w:val="20"/>
              </w:rPr>
              <w:t>dent</w:t>
            </w:r>
          </w:p>
        </w:tc>
      </w:tr>
    </w:tbl>
    <w:p w14:paraId="7699278F" w14:textId="1C5E65D4" w:rsidR="00012B21" w:rsidRPr="0068236B" w:rsidRDefault="00012B21" w:rsidP="00012B21">
      <w:pPr>
        <w:pStyle w:val="Caption"/>
        <w:keepNext w:val="0"/>
        <w:spacing w:after="240"/>
        <w:jc w:val="left"/>
        <w:rPr>
          <w:rFonts w:eastAsia="Calibri"/>
          <w:b w:val="0"/>
          <w:i/>
          <w:szCs w:val="20"/>
        </w:rPr>
      </w:pPr>
      <w:bookmarkStart w:id="412" w:name="_Toc80181263"/>
      <w:bookmarkStart w:id="413" w:name="_Toc113018218"/>
      <w:r w:rsidRPr="0068236B">
        <w:rPr>
          <w:b w:val="0"/>
          <w:szCs w:val="20"/>
        </w:rPr>
        <w:t xml:space="preserve">Table </w:t>
      </w:r>
      <w:r w:rsidRPr="0068236B">
        <w:rPr>
          <w:b w:val="0"/>
          <w:i/>
          <w:szCs w:val="20"/>
        </w:rPr>
        <w:fldChar w:fldCharType="begin"/>
      </w:r>
      <w:r w:rsidRPr="0068236B">
        <w:rPr>
          <w:b w:val="0"/>
          <w:szCs w:val="20"/>
        </w:rPr>
        <w:instrText xml:space="preserve"> STYLEREF 1 \s </w:instrText>
      </w:r>
      <w:r w:rsidRPr="0068236B">
        <w:rPr>
          <w:b w:val="0"/>
          <w:i/>
          <w:szCs w:val="20"/>
        </w:rPr>
        <w:fldChar w:fldCharType="separate"/>
      </w:r>
      <w:r w:rsidR="00FD57E6">
        <w:rPr>
          <w:b w:val="0"/>
          <w:noProof/>
          <w:szCs w:val="20"/>
        </w:rPr>
        <w:t>8</w:t>
      </w:r>
      <w:r w:rsidRPr="0068236B">
        <w:rPr>
          <w:b w:val="0"/>
          <w:i/>
          <w:szCs w:val="20"/>
        </w:rPr>
        <w:fldChar w:fldCharType="end"/>
      </w:r>
      <w:r w:rsidRPr="0068236B">
        <w:rPr>
          <w:b w:val="0"/>
          <w:szCs w:val="20"/>
        </w:rPr>
        <w:t>.</w:t>
      </w:r>
      <w:r w:rsidRPr="0068236B">
        <w:rPr>
          <w:b w:val="0"/>
          <w:i/>
          <w:szCs w:val="20"/>
        </w:rPr>
        <w:fldChar w:fldCharType="begin"/>
      </w:r>
      <w:r w:rsidRPr="0068236B">
        <w:rPr>
          <w:b w:val="0"/>
          <w:szCs w:val="20"/>
        </w:rPr>
        <w:instrText xml:space="preserve"> SEQ Table \* ARABIC \s 1 </w:instrText>
      </w:r>
      <w:r w:rsidRPr="0068236B">
        <w:rPr>
          <w:b w:val="0"/>
          <w:i/>
          <w:szCs w:val="20"/>
        </w:rPr>
        <w:fldChar w:fldCharType="separate"/>
      </w:r>
      <w:r w:rsidR="00FD57E6">
        <w:rPr>
          <w:b w:val="0"/>
          <w:noProof/>
          <w:szCs w:val="20"/>
        </w:rPr>
        <w:t>22</w:t>
      </w:r>
      <w:r w:rsidRPr="0068236B">
        <w:rPr>
          <w:b w:val="0"/>
          <w:i/>
          <w:szCs w:val="20"/>
        </w:rPr>
        <w:fldChar w:fldCharType="end"/>
      </w:r>
      <w:r w:rsidR="005F774D" w:rsidRPr="0068236B">
        <w:rPr>
          <w:b w:val="0"/>
          <w:szCs w:val="20"/>
        </w:rPr>
        <w:t>:</w:t>
      </w:r>
      <w:r w:rsidR="005F774D" w:rsidRPr="0068236B">
        <w:rPr>
          <w:b w:val="0"/>
          <w:i/>
          <w:szCs w:val="20"/>
        </w:rPr>
        <w:t xml:space="preserve"> </w:t>
      </w:r>
      <w:r w:rsidRPr="0068236B">
        <w:rPr>
          <w:b w:val="0"/>
          <w:szCs w:val="20"/>
        </w:rPr>
        <w:t>Summary of potential operational impacts on soils</w:t>
      </w:r>
      <w:bookmarkEnd w:id="411"/>
      <w:bookmarkEnd w:id="412"/>
      <w:bookmarkEnd w:id="413"/>
      <w:r w:rsidRPr="0068236B">
        <w:rPr>
          <w:b w:val="0"/>
          <w:szCs w:val="20"/>
        </w:rPr>
        <w:t xml:space="preserve"> </w:t>
      </w:r>
    </w:p>
    <w:p w14:paraId="6C8F8CB6" w14:textId="77777777" w:rsidR="00012B21" w:rsidRPr="0068236B" w:rsidRDefault="00012B21" w:rsidP="00012B21">
      <w:pPr>
        <w:pStyle w:val="Heading3"/>
        <w:spacing w:line="240" w:lineRule="auto"/>
        <w:ind w:left="993" w:hanging="993"/>
      </w:pPr>
      <w:bookmarkStart w:id="414" w:name="_Toc65936715"/>
      <w:bookmarkStart w:id="415" w:name="_Toc80181161"/>
      <w:bookmarkStart w:id="416" w:name="_Toc112852280"/>
      <w:r w:rsidRPr="0068236B">
        <w:t>Assessment of Impacts</w:t>
      </w:r>
      <w:bookmarkEnd w:id="414"/>
      <w:bookmarkEnd w:id="415"/>
      <w:bookmarkEnd w:id="416"/>
    </w:p>
    <w:p w14:paraId="5A161462" w14:textId="77777777" w:rsidR="00012B21" w:rsidRPr="0068236B" w:rsidRDefault="00012B21" w:rsidP="00012B21">
      <w:pPr>
        <w:pStyle w:val="Heading4"/>
        <w:spacing w:line="240" w:lineRule="auto"/>
        <w:ind w:left="1843" w:hanging="1123"/>
        <w:rPr>
          <w:sz w:val="20"/>
        </w:rPr>
      </w:pPr>
      <w:bookmarkStart w:id="417" w:name="_Toc65936716"/>
      <w:r w:rsidRPr="0068236B">
        <w:rPr>
          <w:sz w:val="20"/>
        </w:rPr>
        <w:t>Corridor – Wide Impacts</w:t>
      </w:r>
      <w:bookmarkEnd w:id="417"/>
    </w:p>
    <w:p w14:paraId="1C18CD98" w14:textId="77777777" w:rsidR="00012B21" w:rsidRPr="0068236B" w:rsidRDefault="00012B21" w:rsidP="00012B21">
      <w:pPr>
        <w:rPr>
          <w:rFonts w:cs="Tahoma"/>
          <w:sz w:val="20"/>
        </w:rPr>
      </w:pPr>
      <w:r w:rsidRPr="0068236B">
        <w:rPr>
          <w:rFonts w:cs="Tahoma"/>
          <w:sz w:val="20"/>
        </w:rPr>
        <w:t xml:space="preserve">The significance of predicted impacts to the soils in the study area assessed based on the above approach for their </w:t>
      </w:r>
      <w:r w:rsidRPr="0068236B">
        <w:rPr>
          <w:rFonts w:cs="Tahoma"/>
          <w:sz w:val="20"/>
          <w:lang w:eastAsia="en-US"/>
        </w:rPr>
        <w:t>evaluation taking account of the sensitivity of the baseline environment affected and the magnitude of effects</w:t>
      </w:r>
      <w:r w:rsidRPr="0068236B">
        <w:rPr>
          <w:rFonts w:cs="Tahoma"/>
          <w:sz w:val="20"/>
        </w:rPr>
        <w:t xml:space="preserve"> is presented in the following Table.</w:t>
      </w:r>
    </w:p>
    <w:p w14:paraId="138E5900" w14:textId="77777777" w:rsidR="00230397" w:rsidRDefault="00230397">
      <w:r>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853"/>
        <w:gridCol w:w="1417"/>
      </w:tblGrid>
      <w:tr w:rsidR="00012B21" w:rsidRPr="0068236B" w14:paraId="17210D90" w14:textId="77777777" w:rsidTr="001D77FA">
        <w:tc>
          <w:tcPr>
            <w:tcW w:w="2235"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7E93F976" w14:textId="10CFEB9B" w:rsidR="00012B21" w:rsidRPr="0068236B" w:rsidRDefault="00012B21" w:rsidP="003E5EF8">
            <w:pPr>
              <w:autoSpaceDE w:val="0"/>
              <w:autoSpaceDN w:val="0"/>
              <w:adjustRightInd w:val="0"/>
              <w:spacing w:before="0" w:after="0" w:line="240" w:lineRule="auto"/>
              <w:jc w:val="left"/>
              <w:rPr>
                <w:rFonts w:eastAsia="Calibri" w:cs="Tahoma"/>
                <w:sz w:val="20"/>
                <w:szCs w:val="20"/>
              </w:rPr>
            </w:pPr>
            <w:r w:rsidRPr="0068236B">
              <w:rPr>
                <w:rFonts w:eastAsia="Calibri" w:cs="Tahoma"/>
                <w:sz w:val="20"/>
                <w:szCs w:val="20"/>
              </w:rPr>
              <w:lastRenderedPageBreak/>
              <w:t>Sensitivity</w:t>
            </w:r>
          </w:p>
        </w:tc>
        <w:tc>
          <w:tcPr>
            <w:tcW w:w="4853"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0DD61B62" w14:textId="77777777" w:rsidR="00012B21" w:rsidRPr="0068236B" w:rsidRDefault="00012B21" w:rsidP="003E5EF8">
            <w:pPr>
              <w:autoSpaceDE w:val="0"/>
              <w:autoSpaceDN w:val="0"/>
              <w:adjustRightInd w:val="0"/>
              <w:spacing w:before="0" w:after="0" w:line="240" w:lineRule="auto"/>
              <w:jc w:val="left"/>
              <w:rPr>
                <w:rFonts w:eastAsia="Calibri" w:cs="Tahoma"/>
                <w:sz w:val="20"/>
                <w:szCs w:val="20"/>
              </w:rPr>
            </w:pPr>
            <w:r w:rsidRPr="0068236B">
              <w:rPr>
                <w:rFonts w:eastAsia="Calibri" w:cs="Tahoma"/>
                <w:sz w:val="20"/>
                <w:szCs w:val="20"/>
              </w:rPr>
              <w:t>Typical effects and magnitudes</w:t>
            </w:r>
          </w:p>
        </w:tc>
        <w:tc>
          <w:tcPr>
            <w:tcW w:w="1417"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69E52749" w14:textId="77777777" w:rsidR="00012B21" w:rsidRPr="0068236B" w:rsidRDefault="00012B21" w:rsidP="003E5EF8">
            <w:pPr>
              <w:autoSpaceDE w:val="0"/>
              <w:autoSpaceDN w:val="0"/>
              <w:adjustRightInd w:val="0"/>
              <w:spacing w:before="0" w:after="0" w:line="240" w:lineRule="auto"/>
              <w:jc w:val="left"/>
              <w:rPr>
                <w:rFonts w:eastAsia="Calibri" w:cs="Tahoma"/>
                <w:sz w:val="20"/>
                <w:szCs w:val="20"/>
              </w:rPr>
            </w:pPr>
            <w:r w:rsidRPr="0068236B">
              <w:rPr>
                <w:rFonts w:eastAsia="Calibri" w:cs="Tahoma"/>
                <w:sz w:val="20"/>
                <w:szCs w:val="20"/>
              </w:rPr>
              <w:t>Significance</w:t>
            </w:r>
          </w:p>
        </w:tc>
      </w:tr>
      <w:tr w:rsidR="00012B21" w:rsidRPr="0068236B" w14:paraId="552BC028" w14:textId="77777777" w:rsidTr="003E5EF8">
        <w:trPr>
          <w:trHeight w:val="2434"/>
        </w:trPr>
        <w:tc>
          <w:tcPr>
            <w:tcW w:w="2235" w:type="dxa"/>
            <w:tcBorders>
              <w:top w:val="double" w:sz="4" w:space="0" w:color="auto"/>
              <w:left w:val="double" w:sz="4" w:space="0" w:color="auto"/>
            </w:tcBorders>
          </w:tcPr>
          <w:p w14:paraId="6A121252" w14:textId="5B584D6B" w:rsidR="00012B21" w:rsidRPr="0068236B" w:rsidRDefault="001D77FA" w:rsidP="003E5EF8">
            <w:pPr>
              <w:autoSpaceDE w:val="0"/>
              <w:autoSpaceDN w:val="0"/>
              <w:adjustRightInd w:val="0"/>
              <w:spacing w:before="0" w:after="0" w:line="240" w:lineRule="auto"/>
              <w:jc w:val="left"/>
              <w:rPr>
                <w:rFonts w:eastAsia="Calibri" w:cs="Tahoma"/>
                <w:sz w:val="20"/>
                <w:szCs w:val="20"/>
              </w:rPr>
            </w:pPr>
            <w:r w:rsidRPr="0068236B">
              <w:rPr>
                <w:rFonts w:cs="Tahoma"/>
                <w:sz w:val="20"/>
                <w:szCs w:val="20"/>
              </w:rPr>
              <w:t>Low to m</w:t>
            </w:r>
            <w:r w:rsidR="00012B21" w:rsidRPr="0068236B">
              <w:rPr>
                <w:rFonts w:cs="Tahoma"/>
                <w:sz w:val="20"/>
                <w:szCs w:val="20"/>
              </w:rPr>
              <w:t xml:space="preserve">edium (land </w:t>
            </w:r>
            <w:r w:rsidR="00012B21" w:rsidRPr="0068236B">
              <w:rPr>
                <w:rFonts w:eastAsia="Calibri" w:cs="Arial"/>
                <w:sz w:val="20"/>
                <w:szCs w:val="20"/>
              </w:rPr>
              <w:t>/ soils that support ar</w:t>
            </w:r>
            <w:r w:rsidR="00012B21" w:rsidRPr="0068236B">
              <w:rPr>
                <w:rFonts w:eastAsia="Calibri" w:cs="Arial"/>
                <w:sz w:val="20"/>
                <w:szCs w:val="20"/>
              </w:rPr>
              <w:t>a</w:t>
            </w:r>
            <w:r w:rsidR="00012B21" w:rsidRPr="0068236B">
              <w:rPr>
                <w:rFonts w:eastAsia="Calibri" w:cs="Arial"/>
                <w:sz w:val="20"/>
                <w:szCs w:val="20"/>
              </w:rPr>
              <w:t>ble agriculture)</w:t>
            </w:r>
            <w:r w:rsidR="00012B21" w:rsidRPr="0068236B">
              <w:rPr>
                <w:rFonts w:cs="Tahoma"/>
                <w:sz w:val="20"/>
                <w:szCs w:val="20"/>
              </w:rPr>
              <w:t xml:space="preserve"> </w:t>
            </w:r>
          </w:p>
        </w:tc>
        <w:tc>
          <w:tcPr>
            <w:tcW w:w="4853" w:type="dxa"/>
            <w:tcBorders>
              <w:top w:val="double" w:sz="4" w:space="0" w:color="auto"/>
            </w:tcBorders>
          </w:tcPr>
          <w:p w14:paraId="5255B8CB" w14:textId="77777777" w:rsidR="00012B21" w:rsidRPr="0068236B" w:rsidRDefault="00012B21" w:rsidP="003E5EF8">
            <w:pPr>
              <w:autoSpaceDE w:val="0"/>
              <w:autoSpaceDN w:val="0"/>
              <w:adjustRightInd w:val="0"/>
              <w:spacing w:before="0" w:after="0" w:line="240" w:lineRule="auto"/>
              <w:jc w:val="left"/>
              <w:rPr>
                <w:rFonts w:eastAsia="Calibri" w:cs="Tahoma"/>
                <w:sz w:val="20"/>
                <w:szCs w:val="20"/>
              </w:rPr>
            </w:pPr>
            <w:r w:rsidRPr="0068236B">
              <w:rPr>
                <w:rFonts w:eastAsia="Calibri" w:cs="Tahoma"/>
                <w:sz w:val="20"/>
                <w:szCs w:val="20"/>
              </w:rPr>
              <w:t>Magnitude of the effects is generically assessed as low.</w:t>
            </w:r>
          </w:p>
          <w:p w14:paraId="3D9F17E4" w14:textId="77777777" w:rsidR="00012B21" w:rsidRPr="0068236B" w:rsidRDefault="00012B21" w:rsidP="003E5EF8">
            <w:pPr>
              <w:autoSpaceDE w:val="0"/>
              <w:autoSpaceDN w:val="0"/>
              <w:adjustRightInd w:val="0"/>
              <w:spacing w:before="0" w:after="0" w:line="240" w:lineRule="auto"/>
              <w:jc w:val="left"/>
              <w:rPr>
                <w:rFonts w:eastAsia="Calibri" w:cs="Tahoma"/>
                <w:sz w:val="20"/>
                <w:szCs w:val="20"/>
              </w:rPr>
            </w:pPr>
            <w:r w:rsidRPr="0068236B">
              <w:rPr>
                <w:rFonts w:eastAsia="Calibri" w:cs="Tahoma"/>
                <w:sz w:val="20"/>
                <w:szCs w:val="20"/>
              </w:rPr>
              <w:t>Key effects are:</w:t>
            </w:r>
          </w:p>
          <w:p w14:paraId="1B645EFF" w14:textId="7C4E5252" w:rsidR="00012B21" w:rsidRPr="0068236B" w:rsidRDefault="00012B21" w:rsidP="008E77D3">
            <w:pPr>
              <w:numPr>
                <w:ilvl w:val="1"/>
                <w:numId w:val="68"/>
              </w:numPr>
              <w:autoSpaceDE w:val="0"/>
              <w:autoSpaceDN w:val="0"/>
              <w:adjustRightInd w:val="0"/>
              <w:spacing w:before="0" w:after="0" w:line="240" w:lineRule="auto"/>
              <w:ind w:left="209" w:hanging="209"/>
              <w:jc w:val="left"/>
              <w:rPr>
                <w:rFonts w:eastAsia="Calibri" w:cs="Tahoma"/>
                <w:sz w:val="20"/>
                <w:szCs w:val="20"/>
              </w:rPr>
            </w:pPr>
            <w:r w:rsidRPr="0068236B">
              <w:rPr>
                <w:rFonts w:eastAsia="Calibri" w:cs="Tahoma"/>
                <w:sz w:val="20"/>
                <w:szCs w:val="20"/>
              </w:rPr>
              <w:t xml:space="preserve">Limited loss of agricultural land </w:t>
            </w:r>
          </w:p>
          <w:p w14:paraId="749D15F4" w14:textId="77777777" w:rsidR="00012B21" w:rsidRPr="0068236B" w:rsidRDefault="00012B21" w:rsidP="008E77D3">
            <w:pPr>
              <w:numPr>
                <w:ilvl w:val="1"/>
                <w:numId w:val="68"/>
              </w:numPr>
              <w:autoSpaceDE w:val="0"/>
              <w:autoSpaceDN w:val="0"/>
              <w:adjustRightInd w:val="0"/>
              <w:spacing w:before="0" w:after="0" w:line="240" w:lineRule="auto"/>
              <w:ind w:left="209" w:hanging="209"/>
              <w:jc w:val="left"/>
              <w:rPr>
                <w:rFonts w:eastAsia="Calibri" w:cs="Tahoma"/>
                <w:sz w:val="20"/>
                <w:szCs w:val="20"/>
              </w:rPr>
            </w:pPr>
            <w:r w:rsidRPr="0068236B">
              <w:rPr>
                <w:rFonts w:eastAsia="Calibri" w:cs="Tahoma"/>
                <w:sz w:val="20"/>
                <w:szCs w:val="20"/>
              </w:rPr>
              <w:t>Disturbance of soil deposits through extraction and removal</w:t>
            </w:r>
          </w:p>
          <w:p w14:paraId="4960301F" w14:textId="77777777" w:rsidR="00012B21" w:rsidRPr="0068236B" w:rsidRDefault="00012B21" w:rsidP="008E77D3">
            <w:pPr>
              <w:numPr>
                <w:ilvl w:val="1"/>
                <w:numId w:val="68"/>
              </w:numPr>
              <w:autoSpaceDE w:val="0"/>
              <w:autoSpaceDN w:val="0"/>
              <w:adjustRightInd w:val="0"/>
              <w:spacing w:before="0" w:after="0" w:line="240" w:lineRule="auto"/>
              <w:ind w:left="209" w:hanging="209"/>
              <w:jc w:val="left"/>
              <w:rPr>
                <w:rFonts w:eastAsia="Calibri" w:cs="Tahoma"/>
                <w:sz w:val="20"/>
                <w:szCs w:val="20"/>
              </w:rPr>
            </w:pPr>
            <w:r w:rsidRPr="0068236B">
              <w:rPr>
                <w:rFonts w:eastAsia="Calibri" w:cs="Tahoma"/>
                <w:sz w:val="20"/>
                <w:szCs w:val="20"/>
              </w:rPr>
              <w:t>Temporary compaction of ground through co</w:t>
            </w:r>
            <w:r w:rsidRPr="0068236B">
              <w:rPr>
                <w:rFonts w:eastAsia="Calibri" w:cs="Tahoma"/>
                <w:sz w:val="20"/>
                <w:szCs w:val="20"/>
              </w:rPr>
              <w:t>n</w:t>
            </w:r>
            <w:r w:rsidRPr="0068236B">
              <w:rPr>
                <w:rFonts w:eastAsia="Calibri" w:cs="Tahoma"/>
                <w:sz w:val="20"/>
                <w:szCs w:val="20"/>
              </w:rPr>
              <w:t xml:space="preserve">struction works, construction of access tracks and vehicle movements </w:t>
            </w:r>
          </w:p>
          <w:p w14:paraId="0A22E01E" w14:textId="77777777" w:rsidR="00012B21" w:rsidRPr="0068236B" w:rsidRDefault="00012B21" w:rsidP="008E77D3">
            <w:pPr>
              <w:numPr>
                <w:ilvl w:val="1"/>
                <w:numId w:val="68"/>
              </w:numPr>
              <w:autoSpaceDE w:val="0"/>
              <w:autoSpaceDN w:val="0"/>
              <w:adjustRightInd w:val="0"/>
              <w:spacing w:before="0" w:after="0" w:line="240" w:lineRule="auto"/>
              <w:ind w:left="209" w:hanging="209"/>
              <w:jc w:val="left"/>
              <w:rPr>
                <w:rFonts w:eastAsia="Calibri" w:cs="Tahoma"/>
                <w:sz w:val="20"/>
                <w:szCs w:val="20"/>
              </w:rPr>
            </w:pPr>
            <w:r w:rsidRPr="0068236B">
              <w:rPr>
                <w:rFonts w:eastAsia="Calibri" w:cs="Tahoma"/>
                <w:sz w:val="20"/>
                <w:szCs w:val="20"/>
              </w:rPr>
              <w:t>Pollution of land due to construction works and transport</w:t>
            </w:r>
          </w:p>
        </w:tc>
        <w:tc>
          <w:tcPr>
            <w:tcW w:w="1417" w:type="dxa"/>
            <w:tcBorders>
              <w:top w:val="double" w:sz="4" w:space="0" w:color="auto"/>
              <w:right w:val="double" w:sz="4" w:space="0" w:color="auto"/>
            </w:tcBorders>
          </w:tcPr>
          <w:p w14:paraId="76FCA3FB" w14:textId="77777777" w:rsidR="00012B21" w:rsidRPr="0068236B" w:rsidRDefault="00012B21" w:rsidP="003E5EF8">
            <w:pPr>
              <w:tabs>
                <w:tab w:val="left" w:pos="317"/>
              </w:tabs>
              <w:autoSpaceDE w:val="0"/>
              <w:autoSpaceDN w:val="0"/>
              <w:adjustRightInd w:val="0"/>
              <w:spacing w:before="0" w:after="0" w:line="240" w:lineRule="auto"/>
              <w:jc w:val="left"/>
              <w:rPr>
                <w:rFonts w:eastAsia="Calibri" w:cs="Tahoma"/>
                <w:sz w:val="20"/>
                <w:szCs w:val="20"/>
              </w:rPr>
            </w:pPr>
            <w:r w:rsidRPr="0068236B">
              <w:rPr>
                <w:rFonts w:eastAsia="Calibri" w:cs="Tahoma"/>
                <w:sz w:val="20"/>
                <w:szCs w:val="20"/>
              </w:rPr>
              <w:t>Minor</w:t>
            </w:r>
          </w:p>
        </w:tc>
      </w:tr>
    </w:tbl>
    <w:p w14:paraId="0A778EA2" w14:textId="15C91EBD" w:rsidR="00012B21" w:rsidRPr="0068236B" w:rsidRDefault="00012B21" w:rsidP="00012B21">
      <w:pPr>
        <w:spacing w:before="60" w:after="240"/>
        <w:rPr>
          <w:rFonts w:cs="Tahoma"/>
          <w:sz w:val="18"/>
          <w:szCs w:val="20"/>
        </w:rPr>
      </w:pPr>
      <w:bookmarkStart w:id="418" w:name="_Toc65936955"/>
      <w:bookmarkStart w:id="419" w:name="_Toc80181264"/>
      <w:bookmarkStart w:id="420" w:name="_Toc113018219"/>
      <w:bookmarkStart w:id="421" w:name="_Toc65936717"/>
      <w:r w:rsidRPr="0068236B">
        <w:rPr>
          <w:rFonts w:cs="Tahoma"/>
          <w:sz w:val="18"/>
          <w:szCs w:val="20"/>
        </w:rPr>
        <w:t xml:space="preserve">Table </w:t>
      </w:r>
      <w:r w:rsidRPr="0068236B">
        <w:rPr>
          <w:rFonts w:cs="Tahoma"/>
          <w:i/>
          <w:sz w:val="18"/>
          <w:szCs w:val="20"/>
        </w:rPr>
        <w:fldChar w:fldCharType="begin"/>
      </w:r>
      <w:r w:rsidRPr="0068236B">
        <w:rPr>
          <w:rFonts w:cs="Tahoma"/>
          <w:sz w:val="18"/>
          <w:szCs w:val="20"/>
        </w:rPr>
        <w:instrText xml:space="preserve"> STYLEREF 1 \s </w:instrText>
      </w:r>
      <w:r w:rsidRPr="0068236B">
        <w:rPr>
          <w:rFonts w:cs="Tahoma"/>
          <w:i/>
          <w:sz w:val="18"/>
          <w:szCs w:val="20"/>
        </w:rPr>
        <w:fldChar w:fldCharType="separate"/>
      </w:r>
      <w:r w:rsidR="00FD57E6">
        <w:rPr>
          <w:rFonts w:cs="Tahoma"/>
          <w:noProof/>
          <w:sz w:val="18"/>
          <w:szCs w:val="20"/>
        </w:rPr>
        <w:t>8</w:t>
      </w:r>
      <w:r w:rsidRPr="0068236B">
        <w:rPr>
          <w:rFonts w:cs="Tahoma"/>
          <w:i/>
          <w:sz w:val="18"/>
          <w:szCs w:val="20"/>
        </w:rPr>
        <w:fldChar w:fldCharType="end"/>
      </w:r>
      <w:r w:rsidRPr="0068236B">
        <w:rPr>
          <w:rFonts w:cs="Tahoma"/>
          <w:sz w:val="18"/>
          <w:szCs w:val="20"/>
        </w:rPr>
        <w:t>.</w:t>
      </w:r>
      <w:r w:rsidRPr="0068236B">
        <w:rPr>
          <w:rFonts w:cs="Tahoma"/>
          <w:i/>
          <w:sz w:val="18"/>
          <w:szCs w:val="20"/>
        </w:rPr>
        <w:fldChar w:fldCharType="begin"/>
      </w:r>
      <w:r w:rsidRPr="0068236B">
        <w:rPr>
          <w:rFonts w:cs="Tahoma"/>
          <w:sz w:val="18"/>
          <w:szCs w:val="20"/>
        </w:rPr>
        <w:instrText xml:space="preserve"> SEQ Table \* ARABIC \s 1 </w:instrText>
      </w:r>
      <w:r w:rsidRPr="0068236B">
        <w:rPr>
          <w:rFonts w:cs="Tahoma"/>
          <w:i/>
          <w:sz w:val="18"/>
          <w:szCs w:val="20"/>
        </w:rPr>
        <w:fldChar w:fldCharType="separate"/>
      </w:r>
      <w:r w:rsidR="00FD57E6">
        <w:rPr>
          <w:rFonts w:cs="Tahoma"/>
          <w:noProof/>
          <w:sz w:val="18"/>
          <w:szCs w:val="20"/>
        </w:rPr>
        <w:t>23</w:t>
      </w:r>
      <w:r w:rsidRPr="0068236B">
        <w:rPr>
          <w:rFonts w:cs="Tahoma"/>
          <w:i/>
          <w:sz w:val="18"/>
          <w:szCs w:val="20"/>
        </w:rPr>
        <w:fldChar w:fldCharType="end"/>
      </w:r>
      <w:r w:rsidR="005F774D" w:rsidRPr="0068236B">
        <w:rPr>
          <w:rFonts w:cs="Tahoma"/>
          <w:sz w:val="18"/>
          <w:szCs w:val="20"/>
        </w:rPr>
        <w:t>:</w:t>
      </w:r>
      <w:r w:rsidRPr="0068236B">
        <w:rPr>
          <w:rFonts w:cs="Tahoma"/>
          <w:sz w:val="18"/>
          <w:szCs w:val="20"/>
        </w:rPr>
        <w:t xml:space="preserve"> Significance of impacts on the areas with high sensitive soils along the transmission line</w:t>
      </w:r>
      <w:bookmarkEnd w:id="418"/>
      <w:bookmarkEnd w:id="419"/>
      <w:bookmarkEnd w:id="420"/>
    </w:p>
    <w:p w14:paraId="27A796FF" w14:textId="77777777" w:rsidR="00012B21" w:rsidRPr="0068236B" w:rsidRDefault="00012B21" w:rsidP="008E77D3">
      <w:pPr>
        <w:pStyle w:val="Heading4"/>
        <w:spacing w:line="240" w:lineRule="auto"/>
        <w:ind w:left="1843" w:hanging="1123"/>
        <w:rPr>
          <w:sz w:val="20"/>
        </w:rPr>
      </w:pPr>
      <w:r w:rsidRPr="0068236B">
        <w:rPr>
          <w:sz w:val="20"/>
        </w:rPr>
        <w:t>Location Specific Impacts</w:t>
      </w:r>
      <w:bookmarkEnd w:id="421"/>
    </w:p>
    <w:p w14:paraId="63588CAD" w14:textId="77777777" w:rsidR="00012B21" w:rsidRPr="0068236B" w:rsidRDefault="00012B21" w:rsidP="00012B21">
      <w:pPr>
        <w:rPr>
          <w:rFonts w:cs="Arial"/>
          <w:sz w:val="20"/>
        </w:rPr>
      </w:pPr>
      <w:r w:rsidRPr="0068236B">
        <w:rPr>
          <w:rFonts w:cs="Arial"/>
          <w:sz w:val="20"/>
        </w:rPr>
        <w:t>The above assessment has been applied taking into account the potential effects at a corridor-level. Due to this, the evaluation of the impact significance implies certain degree of flexibility since the actual impact would be subject to particular site-specific characteristic. Therefore, further site-specific assessment would need to be undertaken during next development phases of the Project and prior to construction commenc</w:t>
      </w:r>
      <w:r w:rsidRPr="0068236B">
        <w:rPr>
          <w:rFonts w:cs="Arial"/>
          <w:sz w:val="20"/>
        </w:rPr>
        <w:t>e</w:t>
      </w:r>
      <w:r w:rsidRPr="0068236B">
        <w:rPr>
          <w:rFonts w:cs="Arial"/>
          <w:sz w:val="20"/>
        </w:rPr>
        <w:t>ment. This may result in a slightly different interpretation of the impact concerned, in which case site-specific mitigation measures along the corridor of the transmission line should be proposed and undertaken to minimize the effect.</w:t>
      </w:r>
    </w:p>
    <w:p w14:paraId="5719B318" w14:textId="77777777" w:rsidR="00012B21" w:rsidRPr="0068236B" w:rsidRDefault="00012B21" w:rsidP="00012B21">
      <w:pPr>
        <w:pStyle w:val="Heading3"/>
        <w:spacing w:line="240" w:lineRule="auto"/>
        <w:ind w:left="993" w:hanging="993"/>
      </w:pPr>
      <w:bookmarkStart w:id="422" w:name="_Toc80181162"/>
      <w:bookmarkStart w:id="423" w:name="_Toc112852281"/>
      <w:r w:rsidRPr="0068236B">
        <w:t>Mitigation</w:t>
      </w:r>
      <w:bookmarkEnd w:id="422"/>
      <w:bookmarkEnd w:id="423"/>
    </w:p>
    <w:p w14:paraId="0FF88F4A" w14:textId="77777777" w:rsidR="00012B21" w:rsidRPr="0068236B" w:rsidRDefault="00012B21" w:rsidP="00012B21">
      <w:pPr>
        <w:pStyle w:val="Heading4"/>
        <w:spacing w:line="240" w:lineRule="auto"/>
        <w:ind w:left="1843" w:hanging="1123"/>
        <w:rPr>
          <w:sz w:val="20"/>
        </w:rPr>
      </w:pPr>
      <w:r w:rsidRPr="0068236B">
        <w:rPr>
          <w:sz w:val="20"/>
        </w:rPr>
        <w:t>Construction</w:t>
      </w:r>
    </w:p>
    <w:p w14:paraId="4D9DCF1E" w14:textId="77777777" w:rsidR="00012B21" w:rsidRPr="0068236B" w:rsidRDefault="00012B21" w:rsidP="00012B21">
      <w:pPr>
        <w:rPr>
          <w:rFonts w:cs="Tahoma"/>
          <w:sz w:val="20"/>
          <w:szCs w:val="20"/>
        </w:rPr>
      </w:pPr>
      <w:r w:rsidRPr="0068236B">
        <w:rPr>
          <w:sz w:val="20"/>
        </w:rPr>
        <w:t xml:space="preserve">Project construction impacts on geology and soils would be managed by a number of mitigation actions and measures of good construction practice and would be set in Project’s CESMP. </w:t>
      </w:r>
      <w:r w:rsidRPr="0068236B">
        <w:rPr>
          <w:rFonts w:cs="Tahoma"/>
          <w:sz w:val="20"/>
          <w:szCs w:val="20"/>
        </w:rPr>
        <w:t>These include key measures of good international practice that are typically adopted on construction projects, which are designed to pr</w:t>
      </w:r>
      <w:r w:rsidRPr="0068236B">
        <w:rPr>
          <w:rFonts w:cs="Tahoma"/>
          <w:sz w:val="20"/>
          <w:szCs w:val="20"/>
        </w:rPr>
        <w:t>e</w:t>
      </w:r>
      <w:r w:rsidRPr="0068236B">
        <w:rPr>
          <w:rFonts w:cs="Tahoma"/>
          <w:sz w:val="20"/>
          <w:szCs w:val="20"/>
        </w:rPr>
        <w:t>vent the occurrence of significant impacts, in minimum:</w:t>
      </w:r>
    </w:p>
    <w:p w14:paraId="3A1F8572" w14:textId="77777777" w:rsidR="00012B21" w:rsidRPr="0068236B" w:rsidRDefault="00012B21" w:rsidP="00D24CEF">
      <w:pPr>
        <w:pStyle w:val="ListBullet"/>
        <w:numPr>
          <w:ilvl w:val="0"/>
          <w:numId w:val="97"/>
        </w:numPr>
        <w:jc w:val="left"/>
        <w:rPr>
          <w:rFonts w:eastAsia="Calibri"/>
          <w:sz w:val="20"/>
        </w:rPr>
      </w:pPr>
      <w:r w:rsidRPr="0068236B">
        <w:rPr>
          <w:rFonts w:eastAsia="Calibri"/>
          <w:sz w:val="20"/>
        </w:rPr>
        <w:t>Plan the works to minimise excavation and removal of soils. S</w:t>
      </w:r>
      <w:r w:rsidRPr="0068236B">
        <w:rPr>
          <w:sz w:val="20"/>
        </w:rPr>
        <w:t>oil shall be removed from working sites only when absolutely necessary and in accordance with technical guidelines.</w:t>
      </w:r>
    </w:p>
    <w:p w14:paraId="664F2E31" w14:textId="77777777" w:rsidR="00012B21" w:rsidRPr="0068236B" w:rsidRDefault="00012B21" w:rsidP="00D24CEF">
      <w:pPr>
        <w:pStyle w:val="ListBullet"/>
        <w:numPr>
          <w:ilvl w:val="0"/>
          <w:numId w:val="97"/>
        </w:numPr>
        <w:jc w:val="left"/>
        <w:rPr>
          <w:rFonts w:eastAsia="Calibri"/>
          <w:sz w:val="20"/>
        </w:rPr>
      </w:pPr>
      <w:r w:rsidRPr="0068236B">
        <w:rPr>
          <w:rFonts w:eastAsia="Calibri"/>
          <w:sz w:val="20"/>
        </w:rPr>
        <w:t xml:space="preserve">Plan the works to maximise re-use of excavated soils from construction for restoration, by </w:t>
      </w:r>
      <w:r w:rsidRPr="0068236B">
        <w:rPr>
          <w:sz w:val="20"/>
        </w:rPr>
        <w:t>soil reinstatement in the shortest timeframe, as the construction works progress.</w:t>
      </w:r>
    </w:p>
    <w:p w14:paraId="06AC0E75" w14:textId="77777777" w:rsidR="00012B21" w:rsidRPr="0068236B" w:rsidRDefault="00012B21" w:rsidP="00D24CEF">
      <w:pPr>
        <w:pStyle w:val="ListBullet"/>
        <w:numPr>
          <w:ilvl w:val="0"/>
          <w:numId w:val="97"/>
        </w:numPr>
        <w:jc w:val="left"/>
        <w:rPr>
          <w:rFonts w:eastAsia="Calibri"/>
          <w:sz w:val="20"/>
        </w:rPr>
      </w:pPr>
      <w:r w:rsidRPr="0068236B">
        <w:rPr>
          <w:sz w:val="20"/>
        </w:rPr>
        <w:t>All soil from temporary or permanent working sites will be removed, segregated and safely stored separately from other excavation material (e.g. spoil).</w:t>
      </w:r>
    </w:p>
    <w:p w14:paraId="11B34D43" w14:textId="77777777" w:rsidR="00012B21" w:rsidRPr="0068236B" w:rsidRDefault="00012B21" w:rsidP="00D24CEF">
      <w:pPr>
        <w:pStyle w:val="ListBullet"/>
        <w:numPr>
          <w:ilvl w:val="0"/>
          <w:numId w:val="97"/>
        </w:numPr>
        <w:jc w:val="left"/>
        <w:rPr>
          <w:rFonts w:eastAsia="Calibri"/>
          <w:sz w:val="20"/>
        </w:rPr>
      </w:pPr>
      <w:r w:rsidRPr="0068236B">
        <w:rPr>
          <w:sz w:val="20"/>
        </w:rPr>
        <w:t>Temporarily store and preserve all excavated soil at secure locations with run-off and erosion prevented. Preserving soil is a key component of re-vegetating the construction sites and r</w:t>
      </w:r>
      <w:r w:rsidRPr="0068236B">
        <w:rPr>
          <w:sz w:val="20"/>
        </w:rPr>
        <w:t>e</w:t>
      </w:r>
      <w:r w:rsidRPr="0068236B">
        <w:rPr>
          <w:sz w:val="20"/>
        </w:rPr>
        <w:t>storing the ability of soils to protect itself against erosion. All soil stockpiles required for more than 3 months will be covered or seeded. Any soil stockpiles left at end of construction will be removed or spread out.</w:t>
      </w:r>
    </w:p>
    <w:p w14:paraId="26A7C401" w14:textId="77777777" w:rsidR="00012B21" w:rsidRPr="0068236B" w:rsidRDefault="00012B21" w:rsidP="00D24CEF">
      <w:pPr>
        <w:pStyle w:val="ListBullet"/>
        <w:numPr>
          <w:ilvl w:val="0"/>
          <w:numId w:val="97"/>
        </w:numPr>
        <w:jc w:val="left"/>
        <w:rPr>
          <w:rFonts w:eastAsia="Calibri"/>
          <w:sz w:val="20"/>
        </w:rPr>
      </w:pPr>
      <w:r w:rsidRPr="0068236B">
        <w:rPr>
          <w:rFonts w:eastAsia="Calibri"/>
          <w:sz w:val="20"/>
        </w:rPr>
        <w:t xml:space="preserve">Wherever possible, limit vehicle movements in off-road areas to reduce soil compaction, and in particular in areas with softer deposits / soils and on steeper slopes, like valley sides. Avoid off-road driving in wet weather; repair all vehicle damage to soils immediately. </w:t>
      </w:r>
    </w:p>
    <w:p w14:paraId="0D172AD7" w14:textId="77777777" w:rsidR="00012B21" w:rsidRPr="0068236B" w:rsidRDefault="00012B21" w:rsidP="00D24CEF">
      <w:pPr>
        <w:pStyle w:val="ListBullet"/>
        <w:numPr>
          <w:ilvl w:val="0"/>
          <w:numId w:val="97"/>
        </w:numPr>
        <w:jc w:val="left"/>
        <w:rPr>
          <w:rFonts w:eastAsia="Calibri"/>
          <w:sz w:val="20"/>
        </w:rPr>
      </w:pPr>
      <w:r w:rsidRPr="0068236B">
        <w:rPr>
          <w:rFonts w:eastAsia="Calibri"/>
          <w:sz w:val="20"/>
        </w:rPr>
        <w:t>Earth cutting and access roads along steeper slopes will be avoided where possible to reduce the impact on slope stability and erosion. Where required, suitable engineering will be unde</w:t>
      </w:r>
      <w:r w:rsidRPr="0068236B">
        <w:rPr>
          <w:rFonts w:eastAsia="Calibri"/>
          <w:sz w:val="20"/>
        </w:rPr>
        <w:t>r</w:t>
      </w:r>
      <w:r w:rsidRPr="0068236B">
        <w:rPr>
          <w:rFonts w:eastAsia="Calibri"/>
          <w:sz w:val="20"/>
        </w:rPr>
        <w:t>taken to ensure the stability of the slope is maintained, including in areas prone to slides.</w:t>
      </w:r>
    </w:p>
    <w:p w14:paraId="4CD330BA" w14:textId="77777777" w:rsidR="00012B21" w:rsidRPr="0068236B" w:rsidRDefault="00012B21" w:rsidP="00D24CEF">
      <w:pPr>
        <w:pStyle w:val="ListBullet"/>
        <w:numPr>
          <w:ilvl w:val="0"/>
          <w:numId w:val="97"/>
        </w:numPr>
        <w:jc w:val="left"/>
        <w:rPr>
          <w:rFonts w:eastAsia="Calibri"/>
          <w:sz w:val="20"/>
        </w:rPr>
      </w:pPr>
      <w:r w:rsidRPr="0068236B">
        <w:rPr>
          <w:sz w:val="20"/>
        </w:rPr>
        <w:t>Design drainage ditches to avoid affecting nearby lands.</w:t>
      </w:r>
    </w:p>
    <w:p w14:paraId="5D01395E" w14:textId="77777777" w:rsidR="00012B21" w:rsidRPr="0068236B" w:rsidRDefault="00012B21" w:rsidP="00D24CEF">
      <w:pPr>
        <w:pStyle w:val="ListBullet"/>
        <w:numPr>
          <w:ilvl w:val="0"/>
          <w:numId w:val="97"/>
        </w:numPr>
        <w:jc w:val="left"/>
        <w:rPr>
          <w:rFonts w:eastAsia="Calibri"/>
          <w:sz w:val="20"/>
        </w:rPr>
      </w:pPr>
      <w:r w:rsidRPr="0068236B">
        <w:rPr>
          <w:rFonts w:eastAsia="Calibri"/>
          <w:sz w:val="20"/>
        </w:rPr>
        <w:lastRenderedPageBreak/>
        <w:t>Leave no ground with no vegetative cover unless the surrounding area does not support veg</w:t>
      </w:r>
      <w:r w:rsidRPr="0068236B">
        <w:rPr>
          <w:rFonts w:eastAsia="Calibri"/>
          <w:sz w:val="20"/>
        </w:rPr>
        <w:t>e</w:t>
      </w:r>
      <w:r w:rsidRPr="0068236B">
        <w:rPr>
          <w:rFonts w:eastAsia="Calibri"/>
          <w:sz w:val="20"/>
        </w:rPr>
        <w:t xml:space="preserve">tation. As soon as construction is complete in any area, re-grade the land surface as needed to restore natural drainages and contours, and establish vegetation cover with native species - seeds or young plants - and monitor growth. </w:t>
      </w:r>
    </w:p>
    <w:p w14:paraId="1302B746" w14:textId="77777777" w:rsidR="00012B21" w:rsidRPr="0068236B" w:rsidRDefault="00012B21" w:rsidP="00D24CEF">
      <w:pPr>
        <w:pStyle w:val="ListBullet"/>
        <w:numPr>
          <w:ilvl w:val="0"/>
          <w:numId w:val="97"/>
        </w:numPr>
        <w:jc w:val="left"/>
        <w:rPr>
          <w:rFonts w:eastAsia="Calibri"/>
          <w:sz w:val="20"/>
        </w:rPr>
      </w:pPr>
      <w:r w:rsidRPr="0068236B">
        <w:rPr>
          <w:sz w:val="20"/>
        </w:rPr>
        <w:t>Cleared areas and slopes modified during construction should be replanted with suitable native species to reduce erosion and reduce stability problems; it should be undertaken as early as possible in the construction process, before erosion becomes too advanced.</w:t>
      </w:r>
    </w:p>
    <w:p w14:paraId="6A3DB006" w14:textId="77777777" w:rsidR="00012B21" w:rsidRPr="0068236B" w:rsidRDefault="00012B21" w:rsidP="00D24CEF">
      <w:pPr>
        <w:pStyle w:val="ListBullet"/>
        <w:numPr>
          <w:ilvl w:val="0"/>
          <w:numId w:val="97"/>
        </w:numPr>
        <w:jc w:val="left"/>
        <w:rPr>
          <w:rFonts w:eastAsia="Calibri"/>
          <w:sz w:val="20"/>
        </w:rPr>
      </w:pPr>
      <w:r w:rsidRPr="0068236B">
        <w:rPr>
          <w:sz w:val="20"/>
        </w:rPr>
        <w:t>Plan the works and optimise the management of space to ensure that all cleared surfaces and areas exposed to soil erosion are minimised.</w:t>
      </w:r>
    </w:p>
    <w:p w14:paraId="5B96CDD7" w14:textId="77777777" w:rsidR="00012B21" w:rsidRPr="0068236B" w:rsidRDefault="00012B21" w:rsidP="00D24CEF">
      <w:pPr>
        <w:pStyle w:val="ListBullet"/>
        <w:numPr>
          <w:ilvl w:val="0"/>
          <w:numId w:val="97"/>
        </w:numPr>
        <w:jc w:val="left"/>
        <w:rPr>
          <w:rFonts w:eastAsia="Calibri"/>
          <w:sz w:val="20"/>
        </w:rPr>
      </w:pPr>
      <w:r w:rsidRPr="0068236B">
        <w:rPr>
          <w:sz w:val="20"/>
        </w:rPr>
        <w:t xml:space="preserve">Where necessary (e.g. on steep slopes and </w:t>
      </w:r>
      <w:r w:rsidRPr="0068236B">
        <w:rPr>
          <w:rFonts w:eastAsia="Calibri"/>
          <w:sz w:val="20"/>
        </w:rPr>
        <w:t>in erosion prone areas)</w:t>
      </w:r>
      <w:r w:rsidRPr="0068236B">
        <w:rPr>
          <w:sz w:val="20"/>
        </w:rPr>
        <w:t>, install and maintain control measures (e.g. erosion matting, run-off and sedimentation control) to provide an immediate / temporary protection for exposed soil against erosion, until sufficient natural vegetation cover has been established.</w:t>
      </w:r>
    </w:p>
    <w:p w14:paraId="43638E04" w14:textId="77777777" w:rsidR="00012B21" w:rsidRPr="0068236B" w:rsidRDefault="00012B21" w:rsidP="00D24CEF">
      <w:pPr>
        <w:pStyle w:val="ListBullet"/>
        <w:numPr>
          <w:ilvl w:val="0"/>
          <w:numId w:val="97"/>
        </w:numPr>
        <w:jc w:val="left"/>
        <w:rPr>
          <w:sz w:val="20"/>
          <w:szCs w:val="20"/>
        </w:rPr>
      </w:pPr>
      <w:r w:rsidRPr="0068236B">
        <w:rPr>
          <w:sz w:val="20"/>
        </w:rPr>
        <w:t>Where necessary, install sediment control measures to slow the flow of water and control sed</w:t>
      </w:r>
      <w:r w:rsidRPr="0068236B">
        <w:rPr>
          <w:sz w:val="20"/>
        </w:rPr>
        <w:t>i</w:t>
      </w:r>
      <w:r w:rsidRPr="0068236B">
        <w:rPr>
          <w:sz w:val="20"/>
        </w:rPr>
        <w:t>ment transport during works on access roads, construction compounds and tower foundation and any other construction works where required.</w:t>
      </w:r>
    </w:p>
    <w:p w14:paraId="5CDFB67D" w14:textId="2FDB9288" w:rsidR="00932D0D" w:rsidRPr="0068236B" w:rsidRDefault="00932D0D" w:rsidP="00D24CEF">
      <w:pPr>
        <w:pStyle w:val="ListBullet"/>
        <w:numPr>
          <w:ilvl w:val="0"/>
          <w:numId w:val="97"/>
        </w:numPr>
        <w:jc w:val="left"/>
        <w:rPr>
          <w:sz w:val="20"/>
          <w:szCs w:val="20"/>
        </w:rPr>
      </w:pPr>
      <w:r w:rsidRPr="0068236B">
        <w:rPr>
          <w:sz w:val="20"/>
          <w:szCs w:val="20"/>
        </w:rPr>
        <w:t xml:space="preserve">Prepare and implement Site Reinstatement Plan </w:t>
      </w:r>
      <w:r w:rsidRPr="0068236B">
        <w:rPr>
          <w:rFonts w:cs="Tahoma"/>
          <w:sz w:val="20"/>
          <w:szCs w:val="20"/>
        </w:rPr>
        <w:t>for the reinstatement of temporary construction working sites. The plan shall describe the restoration works to ensure sustainable rehabilitation of the temporary disturbed area, providing the methods and activity schedule as the constru</w:t>
      </w:r>
      <w:r w:rsidRPr="0068236B">
        <w:rPr>
          <w:rFonts w:cs="Tahoma"/>
          <w:sz w:val="20"/>
          <w:szCs w:val="20"/>
        </w:rPr>
        <w:t>c</w:t>
      </w:r>
      <w:r w:rsidRPr="0068236B">
        <w:rPr>
          <w:rFonts w:cs="Tahoma"/>
          <w:sz w:val="20"/>
          <w:szCs w:val="20"/>
        </w:rPr>
        <w:t>tion works progress.</w:t>
      </w:r>
    </w:p>
    <w:p w14:paraId="5D4C1248" w14:textId="77777777" w:rsidR="00012B21" w:rsidRPr="0068236B" w:rsidRDefault="00012B21" w:rsidP="00012B21">
      <w:pPr>
        <w:pStyle w:val="ListBullet"/>
        <w:numPr>
          <w:ilvl w:val="0"/>
          <w:numId w:val="0"/>
        </w:numPr>
        <w:spacing w:before="120" w:after="120"/>
        <w:rPr>
          <w:sz w:val="20"/>
        </w:rPr>
      </w:pPr>
      <w:r w:rsidRPr="0068236B">
        <w:rPr>
          <w:rFonts w:eastAsia="Calibri"/>
          <w:sz w:val="20"/>
        </w:rPr>
        <w:t xml:space="preserve">In addition, </w:t>
      </w:r>
      <w:r w:rsidRPr="0068236B">
        <w:rPr>
          <w:sz w:val="20"/>
        </w:rPr>
        <w:t>measures to control the risk of accidental spills and leaks of hazardous substances thus preven</w:t>
      </w:r>
      <w:r w:rsidRPr="0068236B">
        <w:rPr>
          <w:sz w:val="20"/>
        </w:rPr>
        <w:t>t</w:t>
      </w:r>
      <w:r w:rsidRPr="0068236B">
        <w:rPr>
          <w:sz w:val="20"/>
        </w:rPr>
        <w:t xml:space="preserve">ing the pollution of land by construction activities will be designed and implemented. These will incorporate </w:t>
      </w:r>
      <w:r w:rsidRPr="0068236B">
        <w:rPr>
          <w:i/>
          <w:sz w:val="20"/>
        </w:rPr>
        <w:t>inter alia</w:t>
      </w:r>
      <w:r w:rsidRPr="0068236B">
        <w:rPr>
          <w:sz w:val="20"/>
        </w:rPr>
        <w:t xml:space="preserve"> the following measures:</w:t>
      </w:r>
    </w:p>
    <w:p w14:paraId="4A664466" w14:textId="77777777" w:rsidR="00012B21" w:rsidRPr="0068236B" w:rsidRDefault="00012B21" w:rsidP="00D24CEF">
      <w:pPr>
        <w:pStyle w:val="ListBullet"/>
        <w:numPr>
          <w:ilvl w:val="0"/>
          <w:numId w:val="97"/>
        </w:numPr>
        <w:jc w:val="left"/>
        <w:rPr>
          <w:sz w:val="20"/>
        </w:rPr>
      </w:pPr>
      <w:r w:rsidRPr="0068236B">
        <w:rPr>
          <w:sz w:val="20"/>
        </w:rPr>
        <w:t>Provision of facilities and equipment for the storage and handling of hazardous substances based on GIP standards.</w:t>
      </w:r>
    </w:p>
    <w:p w14:paraId="505ADAA4" w14:textId="77777777" w:rsidR="00012B21" w:rsidRPr="0068236B" w:rsidRDefault="00012B21" w:rsidP="00D24CEF">
      <w:pPr>
        <w:pStyle w:val="ListBullet"/>
        <w:numPr>
          <w:ilvl w:val="0"/>
          <w:numId w:val="97"/>
        </w:numPr>
        <w:jc w:val="left"/>
        <w:rPr>
          <w:sz w:val="20"/>
        </w:rPr>
      </w:pPr>
      <w:r w:rsidRPr="0068236B">
        <w:rPr>
          <w:sz w:val="20"/>
        </w:rPr>
        <w:t>Hazardous substance storage and handling areas are to be impervious and protected from rain and equipped with bunding.</w:t>
      </w:r>
    </w:p>
    <w:p w14:paraId="48829A66" w14:textId="77777777" w:rsidR="00012B21" w:rsidRPr="0068236B" w:rsidRDefault="00012B21" w:rsidP="00D24CEF">
      <w:pPr>
        <w:pStyle w:val="ListBullet"/>
        <w:numPr>
          <w:ilvl w:val="0"/>
          <w:numId w:val="97"/>
        </w:numPr>
        <w:jc w:val="left"/>
        <w:rPr>
          <w:sz w:val="20"/>
        </w:rPr>
      </w:pPr>
      <w:r w:rsidRPr="0068236B">
        <w:rPr>
          <w:sz w:val="20"/>
        </w:rPr>
        <w:t>Spill clean-up equipment is to be available on construction sites.</w:t>
      </w:r>
    </w:p>
    <w:p w14:paraId="556A0635" w14:textId="77777777" w:rsidR="00012B21" w:rsidRPr="0068236B" w:rsidRDefault="00012B21" w:rsidP="00D24CEF">
      <w:pPr>
        <w:pStyle w:val="ListBullet"/>
        <w:numPr>
          <w:ilvl w:val="0"/>
          <w:numId w:val="97"/>
        </w:numPr>
        <w:jc w:val="left"/>
        <w:rPr>
          <w:sz w:val="20"/>
        </w:rPr>
      </w:pPr>
      <w:r w:rsidRPr="0068236B">
        <w:rPr>
          <w:sz w:val="20"/>
        </w:rPr>
        <w:t>Spill response and clean-up plans are to be prepared.</w:t>
      </w:r>
    </w:p>
    <w:p w14:paraId="5F7D0036" w14:textId="77777777" w:rsidR="00012B21" w:rsidRPr="0068236B" w:rsidRDefault="00012B21" w:rsidP="00D24CEF">
      <w:pPr>
        <w:pStyle w:val="ListBullet"/>
        <w:numPr>
          <w:ilvl w:val="0"/>
          <w:numId w:val="97"/>
        </w:numPr>
        <w:jc w:val="left"/>
        <w:rPr>
          <w:sz w:val="20"/>
        </w:rPr>
      </w:pPr>
      <w:r w:rsidRPr="0068236B">
        <w:rPr>
          <w:sz w:val="20"/>
        </w:rPr>
        <w:t>Contaminated soils are to be managed as hazardous waste in an authorised waste management facility.</w:t>
      </w:r>
    </w:p>
    <w:p w14:paraId="0FCCE68C" w14:textId="166D2365" w:rsidR="00932D0D" w:rsidRPr="0068236B" w:rsidRDefault="00932D0D" w:rsidP="00D24CEF">
      <w:pPr>
        <w:pStyle w:val="ListBullet"/>
        <w:numPr>
          <w:ilvl w:val="0"/>
          <w:numId w:val="97"/>
        </w:numPr>
        <w:jc w:val="left"/>
        <w:rPr>
          <w:sz w:val="20"/>
        </w:rPr>
      </w:pPr>
      <w:r w:rsidRPr="0068236B">
        <w:rPr>
          <w:sz w:val="20"/>
        </w:rPr>
        <w:t>Rehabilitation of the area affected by accidental spill</w:t>
      </w:r>
    </w:p>
    <w:p w14:paraId="597DF31A" w14:textId="38E51616" w:rsidR="00012B21" w:rsidRPr="0068236B" w:rsidRDefault="00012B21" w:rsidP="00012B21">
      <w:pPr>
        <w:pStyle w:val="ListBullet"/>
        <w:numPr>
          <w:ilvl w:val="0"/>
          <w:numId w:val="0"/>
        </w:numPr>
        <w:spacing w:before="120" w:after="120"/>
        <w:rPr>
          <w:sz w:val="20"/>
        </w:rPr>
      </w:pPr>
      <w:r w:rsidRPr="0068236B">
        <w:rPr>
          <w:sz w:val="20"/>
        </w:rPr>
        <w:t>It is considered that the use of GIP will ensure that no significant impacts to land would occur due to the construction of the Project.</w:t>
      </w:r>
      <w:r w:rsidR="002214F3" w:rsidRPr="0068236B">
        <w:rPr>
          <w:sz w:val="20"/>
        </w:rPr>
        <w:t xml:space="preserve"> </w:t>
      </w:r>
    </w:p>
    <w:p w14:paraId="4FE42454" w14:textId="77777777" w:rsidR="00012B21" w:rsidRPr="0068236B" w:rsidRDefault="00012B21" w:rsidP="00012B21">
      <w:pPr>
        <w:pStyle w:val="Heading4"/>
        <w:ind w:hanging="1091"/>
        <w:rPr>
          <w:sz w:val="20"/>
        </w:rPr>
      </w:pPr>
      <w:r w:rsidRPr="0068236B">
        <w:rPr>
          <w:sz w:val="20"/>
        </w:rPr>
        <w:t>Operation</w:t>
      </w:r>
    </w:p>
    <w:p w14:paraId="7E529C54" w14:textId="77777777" w:rsidR="00012B21" w:rsidRPr="0068236B" w:rsidRDefault="00012B21" w:rsidP="00012B21">
      <w:pPr>
        <w:autoSpaceDE w:val="0"/>
        <w:autoSpaceDN w:val="0"/>
        <w:adjustRightInd w:val="0"/>
        <w:rPr>
          <w:rFonts w:cs="Tahoma"/>
          <w:sz w:val="20"/>
          <w:lang w:eastAsia="en-US"/>
        </w:rPr>
      </w:pPr>
      <w:r w:rsidRPr="0068236B">
        <w:rPr>
          <w:rFonts w:cs="Tahoma"/>
          <w:sz w:val="20"/>
          <w:lang w:eastAsia="en-US"/>
        </w:rPr>
        <w:t xml:space="preserve">To eliminate or mitigate the potential operational risks to geological resources, good operational and maintenance practice measures would be employed including </w:t>
      </w:r>
      <w:r w:rsidRPr="0068236B">
        <w:rPr>
          <w:sz w:val="20"/>
        </w:rPr>
        <w:t>preparation and implementation of spill r</w:t>
      </w:r>
      <w:r w:rsidRPr="0068236B">
        <w:rPr>
          <w:sz w:val="20"/>
        </w:rPr>
        <w:t>e</w:t>
      </w:r>
      <w:r w:rsidRPr="0068236B">
        <w:rPr>
          <w:sz w:val="20"/>
        </w:rPr>
        <w:t>sponse and clean-up plans.</w:t>
      </w:r>
    </w:p>
    <w:p w14:paraId="42443F59" w14:textId="10F85B83" w:rsidR="00012B21" w:rsidRPr="0068236B" w:rsidRDefault="00012B21" w:rsidP="00012B21">
      <w:pPr>
        <w:autoSpaceDE w:val="0"/>
        <w:autoSpaceDN w:val="0"/>
        <w:adjustRightInd w:val="0"/>
        <w:rPr>
          <w:color w:val="000000"/>
          <w:sz w:val="20"/>
        </w:rPr>
      </w:pPr>
      <w:r w:rsidRPr="0068236B">
        <w:rPr>
          <w:rFonts w:cs="Tahoma"/>
          <w:sz w:val="20"/>
          <w:lang w:eastAsia="en-US"/>
        </w:rPr>
        <w:t xml:space="preserve">In addition, primary mitigation would need to be incorporated into the Project design for the substation to prevent accidental spillages of transformer oils by </w:t>
      </w:r>
      <w:r w:rsidR="00B96DFD" w:rsidRPr="0068236B">
        <w:rPr>
          <w:rFonts w:cs="Tahoma"/>
          <w:sz w:val="20"/>
          <w:lang w:eastAsia="en-US"/>
        </w:rPr>
        <w:t>installation</w:t>
      </w:r>
      <w:r w:rsidRPr="0068236B">
        <w:rPr>
          <w:rFonts w:cs="Tahoma"/>
          <w:sz w:val="20"/>
          <w:lang w:eastAsia="en-US"/>
        </w:rPr>
        <w:t xml:space="preserve"> of protection</w:t>
      </w:r>
      <w:r w:rsidRPr="0068236B">
        <w:rPr>
          <w:rFonts w:cs="Tahoma"/>
          <w:sz w:val="20"/>
        </w:rPr>
        <w:t xml:space="preserve"> measures against spills in line with design standards. </w:t>
      </w:r>
      <w:r w:rsidRPr="0068236B">
        <w:rPr>
          <w:sz w:val="20"/>
        </w:rPr>
        <w:t>These include o</w:t>
      </w:r>
      <w:r w:rsidRPr="0068236B">
        <w:rPr>
          <w:color w:val="000000"/>
          <w:sz w:val="20"/>
        </w:rPr>
        <w:t xml:space="preserve">il / storm water tank, placed bellow energy transformers with suitable capacity designed to </w:t>
      </w:r>
      <w:r w:rsidRPr="0068236B">
        <w:rPr>
          <w:sz w:val="20"/>
          <w:szCs w:val="20"/>
        </w:rPr>
        <w:t>accept accident oil spillage.</w:t>
      </w:r>
      <w:r w:rsidRPr="0068236B">
        <w:rPr>
          <w:color w:val="000000"/>
          <w:sz w:val="20"/>
        </w:rPr>
        <w:t xml:space="preserve"> Regular inspection throughout substation operation period would be performed to ensure the containment is secure.</w:t>
      </w:r>
    </w:p>
    <w:p w14:paraId="4F3F0456" w14:textId="77777777" w:rsidR="00012B21" w:rsidRPr="0068236B" w:rsidRDefault="00012B21" w:rsidP="00012B21">
      <w:pPr>
        <w:pStyle w:val="Heading3"/>
        <w:spacing w:line="240" w:lineRule="auto"/>
        <w:ind w:left="993" w:hanging="993"/>
      </w:pPr>
      <w:bookmarkStart w:id="424" w:name="_Toc80181163"/>
      <w:bookmarkStart w:id="425" w:name="_Toc112852282"/>
      <w:r w:rsidRPr="0068236B">
        <w:lastRenderedPageBreak/>
        <w:t>Residual Impacts</w:t>
      </w:r>
      <w:bookmarkEnd w:id="424"/>
      <w:bookmarkEnd w:id="425"/>
    </w:p>
    <w:p w14:paraId="3F962A43" w14:textId="77777777" w:rsidR="00012B21" w:rsidRPr="0068236B" w:rsidRDefault="00012B21" w:rsidP="00012B21">
      <w:pPr>
        <w:autoSpaceDE w:val="0"/>
        <w:autoSpaceDN w:val="0"/>
        <w:adjustRightInd w:val="0"/>
        <w:rPr>
          <w:rFonts w:cs="Tahoma"/>
          <w:sz w:val="20"/>
          <w:szCs w:val="20"/>
          <w:lang w:eastAsia="en-US"/>
        </w:rPr>
      </w:pPr>
      <w:r w:rsidRPr="0068236B">
        <w:rPr>
          <w:rFonts w:cs="Tahoma"/>
          <w:sz w:val="20"/>
          <w:szCs w:val="20"/>
          <w:lang w:eastAsia="en-US"/>
        </w:rPr>
        <w:t>Provided that the mitigation measures are incorporated in the further Project design and implemented throughout the construction and operational phases of the Project, no likely significant residual effects to geology and soils from the Project are anticipated.</w:t>
      </w:r>
    </w:p>
    <w:p w14:paraId="04D3A716" w14:textId="7CBC0A54" w:rsidR="003B46E3" w:rsidRPr="0068236B" w:rsidRDefault="003B46E3" w:rsidP="003B46E3">
      <w:pPr>
        <w:pStyle w:val="Heading2"/>
        <w:spacing w:before="480" w:after="240"/>
        <w:ind w:left="576" w:hanging="576"/>
        <w:rPr>
          <w:rFonts w:cs="Arial"/>
          <w:szCs w:val="28"/>
        </w:rPr>
      </w:pPr>
      <w:bookmarkStart w:id="426" w:name="_Toc80181164"/>
      <w:bookmarkStart w:id="427" w:name="_Toc112852283"/>
      <w:r w:rsidRPr="0068236B">
        <w:rPr>
          <w:rFonts w:cs="Arial"/>
          <w:szCs w:val="28"/>
        </w:rPr>
        <w:t>Water Environment</w:t>
      </w:r>
      <w:bookmarkEnd w:id="426"/>
      <w:bookmarkEnd w:id="427"/>
    </w:p>
    <w:p w14:paraId="46BDB0C3" w14:textId="77777777" w:rsidR="003B46E3" w:rsidRPr="0068236B" w:rsidRDefault="003B46E3" w:rsidP="003B46E3">
      <w:pPr>
        <w:pStyle w:val="Heading3"/>
        <w:spacing w:line="240" w:lineRule="auto"/>
        <w:ind w:left="993" w:hanging="993"/>
      </w:pPr>
      <w:bookmarkStart w:id="428" w:name="_Toc80181165"/>
      <w:bookmarkStart w:id="429" w:name="_Toc112852284"/>
      <w:r w:rsidRPr="0068236B">
        <w:t>Assessment Methodology</w:t>
      </w:r>
      <w:bookmarkEnd w:id="428"/>
      <w:bookmarkEnd w:id="429"/>
    </w:p>
    <w:p w14:paraId="76330466" w14:textId="77777777" w:rsidR="003B46E3" w:rsidRPr="0068236B" w:rsidRDefault="003B46E3" w:rsidP="003B46E3">
      <w:pPr>
        <w:autoSpaceDE w:val="0"/>
        <w:autoSpaceDN w:val="0"/>
        <w:adjustRightInd w:val="0"/>
        <w:rPr>
          <w:rFonts w:cs="Tahoma"/>
          <w:sz w:val="20"/>
          <w:szCs w:val="20"/>
        </w:rPr>
      </w:pPr>
      <w:r w:rsidRPr="0068236B">
        <w:rPr>
          <w:rFonts w:cs="Tahoma"/>
          <w:sz w:val="20"/>
          <w:szCs w:val="20"/>
        </w:rPr>
        <w:t xml:space="preserve">A typical methodology was used to assess the impacts on the hydrological recourses from the Project at catchment-wide level and is presented below. This methodology has been commonly used in similar types of projects as this transmission line development project and has been applied </w:t>
      </w:r>
      <w:r w:rsidRPr="0068236B">
        <w:rPr>
          <w:rFonts w:cs="Tahoma"/>
          <w:sz w:val="20"/>
          <w:szCs w:val="20"/>
          <w:lang w:eastAsia="en-US"/>
        </w:rPr>
        <w:t>with a degree of flexibility since the evaluation of effects would always be subject to particular site-specific characteristics which need to be taken into account. Therefore, in a case where the catchment-wide assessment predicts a potential for si</w:t>
      </w:r>
      <w:r w:rsidRPr="0068236B">
        <w:rPr>
          <w:rFonts w:cs="Tahoma"/>
          <w:sz w:val="20"/>
          <w:szCs w:val="20"/>
          <w:lang w:eastAsia="en-US"/>
        </w:rPr>
        <w:t>g</w:t>
      </w:r>
      <w:r w:rsidRPr="0068236B">
        <w:rPr>
          <w:rFonts w:cs="Tahoma"/>
          <w:sz w:val="20"/>
          <w:szCs w:val="20"/>
          <w:lang w:eastAsia="en-US"/>
        </w:rPr>
        <w:t>nificant impact (presented as of moderate or higher significance), further impact assessment prior to co</w:t>
      </w:r>
      <w:r w:rsidRPr="0068236B">
        <w:rPr>
          <w:rFonts w:cs="Tahoma"/>
          <w:sz w:val="20"/>
          <w:szCs w:val="20"/>
          <w:lang w:eastAsia="en-US"/>
        </w:rPr>
        <w:t>n</w:t>
      </w:r>
      <w:r w:rsidRPr="0068236B">
        <w:rPr>
          <w:rFonts w:cs="Tahoma"/>
          <w:sz w:val="20"/>
          <w:szCs w:val="20"/>
          <w:lang w:eastAsia="en-US"/>
        </w:rPr>
        <w:t>struction commencement would be required to take into consideration site-specific aspects.</w:t>
      </w:r>
    </w:p>
    <w:p w14:paraId="1E3CBBE9" w14:textId="77777777" w:rsidR="003B46E3" w:rsidRPr="0068236B" w:rsidRDefault="003B46E3" w:rsidP="003B46E3">
      <w:pPr>
        <w:pStyle w:val="Heading4"/>
        <w:ind w:left="1843" w:hanging="1134"/>
        <w:rPr>
          <w:sz w:val="20"/>
        </w:rPr>
      </w:pPr>
      <w:bookmarkStart w:id="430" w:name="_Toc65936720"/>
      <w:r w:rsidRPr="0068236B">
        <w:rPr>
          <w:sz w:val="20"/>
        </w:rPr>
        <w:t>Sensitivity of Catchment Areas</w:t>
      </w:r>
      <w:bookmarkEnd w:id="430"/>
    </w:p>
    <w:p w14:paraId="1B01A10E" w14:textId="77777777" w:rsidR="003B46E3" w:rsidRPr="0068236B" w:rsidRDefault="003B46E3" w:rsidP="003B46E3">
      <w:pPr>
        <w:autoSpaceDE w:val="0"/>
        <w:autoSpaceDN w:val="0"/>
        <w:adjustRightInd w:val="0"/>
        <w:rPr>
          <w:rFonts w:cs="Tahoma"/>
          <w:sz w:val="20"/>
          <w:szCs w:val="20"/>
        </w:rPr>
      </w:pPr>
      <w:r w:rsidRPr="0068236B">
        <w:rPr>
          <w:rFonts w:cs="Tahoma"/>
          <w:sz w:val="20"/>
          <w:szCs w:val="20"/>
        </w:rPr>
        <w:t>In general terms, the criteria for measuring the sensitivity of a catchment area are based approximately on a number of factors including international and national designations, water quality information, site visits and professional judgment. These criteria have been used to guide the analysis of the sensitivity of the water features within the study area, along the route of the transmission line. These criteria are listed in the Table below.</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404"/>
      </w:tblGrid>
      <w:tr w:rsidR="003B46E3" w:rsidRPr="0068236B" w14:paraId="454D8B24" w14:textId="77777777" w:rsidTr="003B46E3">
        <w:tc>
          <w:tcPr>
            <w:tcW w:w="2235"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288C4D89" w14:textId="77777777" w:rsidR="003B46E3" w:rsidRPr="0068236B" w:rsidRDefault="003B46E3" w:rsidP="003B46E3">
            <w:pPr>
              <w:autoSpaceDE w:val="0"/>
              <w:autoSpaceDN w:val="0"/>
              <w:adjustRightInd w:val="0"/>
              <w:spacing w:before="0" w:after="0" w:line="240" w:lineRule="auto"/>
              <w:rPr>
                <w:rFonts w:eastAsia="Calibri" w:cs="Arial"/>
                <w:sz w:val="20"/>
                <w:szCs w:val="20"/>
              </w:rPr>
            </w:pPr>
            <w:r w:rsidRPr="0068236B">
              <w:rPr>
                <w:rFonts w:eastAsia="Calibri" w:cs="Arial"/>
                <w:sz w:val="20"/>
                <w:szCs w:val="20"/>
              </w:rPr>
              <w:t xml:space="preserve">Sensitivity </w:t>
            </w:r>
          </w:p>
        </w:tc>
        <w:tc>
          <w:tcPr>
            <w:tcW w:w="7404"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29874422" w14:textId="77777777" w:rsidR="003B46E3" w:rsidRPr="0068236B" w:rsidRDefault="003B46E3" w:rsidP="003B46E3">
            <w:pPr>
              <w:autoSpaceDE w:val="0"/>
              <w:autoSpaceDN w:val="0"/>
              <w:adjustRightInd w:val="0"/>
              <w:spacing w:before="0" w:after="0" w:line="240" w:lineRule="auto"/>
              <w:rPr>
                <w:rFonts w:eastAsia="Calibri" w:cs="Arial"/>
                <w:sz w:val="20"/>
                <w:szCs w:val="20"/>
              </w:rPr>
            </w:pPr>
            <w:r w:rsidRPr="0068236B">
              <w:rPr>
                <w:rFonts w:eastAsia="Calibri" w:cs="Arial"/>
                <w:sz w:val="20"/>
                <w:szCs w:val="20"/>
              </w:rPr>
              <w:t>Criteria</w:t>
            </w:r>
          </w:p>
        </w:tc>
      </w:tr>
      <w:tr w:rsidR="003B46E3" w:rsidRPr="0068236B" w14:paraId="5A647324" w14:textId="77777777" w:rsidTr="003B46E3">
        <w:trPr>
          <w:trHeight w:val="1030"/>
        </w:trPr>
        <w:tc>
          <w:tcPr>
            <w:tcW w:w="2235" w:type="dxa"/>
            <w:tcBorders>
              <w:top w:val="double" w:sz="4" w:space="0" w:color="auto"/>
              <w:left w:val="double" w:sz="4" w:space="0" w:color="auto"/>
            </w:tcBorders>
          </w:tcPr>
          <w:p w14:paraId="4ADFC629" w14:textId="77777777" w:rsidR="003B46E3" w:rsidRPr="0068236B" w:rsidRDefault="003B46E3" w:rsidP="003B46E3">
            <w:pPr>
              <w:autoSpaceDE w:val="0"/>
              <w:autoSpaceDN w:val="0"/>
              <w:adjustRightInd w:val="0"/>
              <w:spacing w:before="0" w:after="0" w:line="240" w:lineRule="auto"/>
              <w:rPr>
                <w:rFonts w:eastAsia="Calibri" w:cs="Arial"/>
                <w:sz w:val="20"/>
                <w:szCs w:val="20"/>
              </w:rPr>
            </w:pPr>
            <w:r w:rsidRPr="0068236B">
              <w:rPr>
                <w:rFonts w:eastAsia="Calibri" w:cs="Arial"/>
                <w:sz w:val="20"/>
                <w:szCs w:val="20"/>
              </w:rPr>
              <w:t>Very high sensitivity</w:t>
            </w:r>
          </w:p>
        </w:tc>
        <w:tc>
          <w:tcPr>
            <w:tcW w:w="7404" w:type="dxa"/>
            <w:tcBorders>
              <w:top w:val="double" w:sz="4" w:space="0" w:color="auto"/>
              <w:right w:val="double" w:sz="4" w:space="0" w:color="auto"/>
            </w:tcBorders>
          </w:tcPr>
          <w:p w14:paraId="05C1E3D2" w14:textId="77777777" w:rsidR="003B46E3" w:rsidRPr="0068236B" w:rsidRDefault="003B46E3" w:rsidP="008E77D3">
            <w:pPr>
              <w:numPr>
                <w:ilvl w:val="0"/>
                <w:numId w:val="62"/>
              </w:numPr>
              <w:tabs>
                <w:tab w:val="left" w:pos="317"/>
              </w:tabs>
              <w:autoSpaceDE w:val="0"/>
              <w:autoSpaceDN w:val="0"/>
              <w:adjustRightInd w:val="0"/>
              <w:spacing w:before="0" w:after="0" w:line="240" w:lineRule="auto"/>
              <w:ind w:left="317" w:hanging="317"/>
              <w:jc w:val="left"/>
              <w:rPr>
                <w:rFonts w:eastAsia="Calibri" w:cs="Arial"/>
                <w:sz w:val="20"/>
                <w:szCs w:val="20"/>
              </w:rPr>
            </w:pPr>
            <w:r w:rsidRPr="0068236B">
              <w:rPr>
                <w:rFonts w:eastAsia="Calibri" w:cs="Arial"/>
                <w:sz w:val="20"/>
                <w:szCs w:val="20"/>
              </w:rPr>
              <w:t>International designated area or proposed for designation (UNESCO site)</w:t>
            </w:r>
          </w:p>
          <w:p w14:paraId="7A4DA95B" w14:textId="77777777" w:rsidR="003B46E3" w:rsidRPr="0068236B" w:rsidRDefault="003B46E3" w:rsidP="008E77D3">
            <w:pPr>
              <w:numPr>
                <w:ilvl w:val="0"/>
                <w:numId w:val="62"/>
              </w:numPr>
              <w:tabs>
                <w:tab w:val="left" w:pos="317"/>
              </w:tabs>
              <w:autoSpaceDE w:val="0"/>
              <w:autoSpaceDN w:val="0"/>
              <w:adjustRightInd w:val="0"/>
              <w:spacing w:before="0" w:after="0" w:line="240" w:lineRule="auto"/>
              <w:ind w:left="317" w:hanging="317"/>
              <w:jc w:val="left"/>
              <w:rPr>
                <w:rFonts w:eastAsia="Calibri" w:cs="Arial"/>
                <w:sz w:val="20"/>
                <w:szCs w:val="20"/>
              </w:rPr>
            </w:pPr>
            <w:r w:rsidRPr="0068236B">
              <w:rPr>
                <w:rFonts w:eastAsia="Calibri" w:cs="Arial"/>
                <w:sz w:val="20"/>
                <w:szCs w:val="20"/>
              </w:rPr>
              <w:t>Wetland / watercourse habitat of international importance (Ramsar site)</w:t>
            </w:r>
          </w:p>
          <w:p w14:paraId="1066FF7F" w14:textId="77777777" w:rsidR="003B46E3" w:rsidRPr="0068236B" w:rsidRDefault="003B46E3" w:rsidP="008E77D3">
            <w:pPr>
              <w:numPr>
                <w:ilvl w:val="0"/>
                <w:numId w:val="62"/>
              </w:numPr>
              <w:tabs>
                <w:tab w:val="left" w:pos="317"/>
              </w:tabs>
              <w:autoSpaceDE w:val="0"/>
              <w:autoSpaceDN w:val="0"/>
              <w:adjustRightInd w:val="0"/>
              <w:spacing w:before="0" w:after="0" w:line="240" w:lineRule="auto"/>
              <w:ind w:left="317" w:hanging="317"/>
              <w:jc w:val="left"/>
              <w:rPr>
                <w:rFonts w:eastAsia="Calibri" w:cs="Arial"/>
                <w:sz w:val="20"/>
                <w:szCs w:val="20"/>
              </w:rPr>
            </w:pPr>
            <w:r w:rsidRPr="0068236B">
              <w:rPr>
                <w:rFonts w:eastAsia="Calibri" w:cs="Arial"/>
                <w:sz w:val="20"/>
                <w:szCs w:val="20"/>
              </w:rPr>
              <w:t>Very highly vulnerable groundwater or geology capable for supporting groundwater (very high permeability geological formations)</w:t>
            </w:r>
          </w:p>
        </w:tc>
      </w:tr>
      <w:tr w:rsidR="003B46E3" w:rsidRPr="0068236B" w14:paraId="0C467FE7" w14:textId="77777777" w:rsidTr="003B46E3">
        <w:trPr>
          <w:trHeight w:val="1108"/>
        </w:trPr>
        <w:tc>
          <w:tcPr>
            <w:tcW w:w="2235" w:type="dxa"/>
            <w:tcBorders>
              <w:top w:val="single" w:sz="4" w:space="0" w:color="auto"/>
              <w:left w:val="double" w:sz="4" w:space="0" w:color="auto"/>
            </w:tcBorders>
          </w:tcPr>
          <w:p w14:paraId="5AA21B45" w14:textId="77777777" w:rsidR="003B46E3" w:rsidRPr="0068236B" w:rsidRDefault="003B46E3" w:rsidP="003B46E3">
            <w:pPr>
              <w:autoSpaceDE w:val="0"/>
              <w:autoSpaceDN w:val="0"/>
              <w:adjustRightInd w:val="0"/>
              <w:spacing w:before="0" w:after="0" w:line="240" w:lineRule="auto"/>
              <w:rPr>
                <w:rFonts w:eastAsia="Calibri" w:cs="Arial"/>
                <w:sz w:val="20"/>
                <w:szCs w:val="20"/>
              </w:rPr>
            </w:pPr>
            <w:r w:rsidRPr="0068236B">
              <w:rPr>
                <w:rFonts w:eastAsia="Calibri" w:cs="Arial"/>
                <w:sz w:val="20"/>
                <w:szCs w:val="20"/>
              </w:rPr>
              <w:t>High sensitivity</w:t>
            </w:r>
          </w:p>
        </w:tc>
        <w:tc>
          <w:tcPr>
            <w:tcW w:w="7404" w:type="dxa"/>
            <w:tcBorders>
              <w:top w:val="single" w:sz="4" w:space="0" w:color="auto"/>
              <w:right w:val="double" w:sz="4" w:space="0" w:color="auto"/>
            </w:tcBorders>
          </w:tcPr>
          <w:p w14:paraId="17FD1530" w14:textId="77777777" w:rsidR="003B46E3" w:rsidRPr="0068236B" w:rsidRDefault="003B46E3" w:rsidP="008E77D3">
            <w:pPr>
              <w:numPr>
                <w:ilvl w:val="0"/>
                <w:numId w:val="62"/>
              </w:numPr>
              <w:tabs>
                <w:tab w:val="left" w:pos="317"/>
              </w:tabs>
              <w:autoSpaceDE w:val="0"/>
              <w:autoSpaceDN w:val="0"/>
              <w:adjustRightInd w:val="0"/>
              <w:spacing w:before="0" w:after="0" w:line="240" w:lineRule="auto"/>
              <w:ind w:left="317" w:hanging="317"/>
              <w:jc w:val="left"/>
              <w:rPr>
                <w:rFonts w:eastAsia="Calibri" w:cs="Arial"/>
                <w:sz w:val="20"/>
                <w:szCs w:val="20"/>
              </w:rPr>
            </w:pPr>
            <w:r w:rsidRPr="0068236B">
              <w:rPr>
                <w:rFonts w:eastAsia="Calibri" w:cs="Arial"/>
                <w:sz w:val="20"/>
                <w:szCs w:val="20"/>
              </w:rPr>
              <w:t>National designated area or proposed for designation</w:t>
            </w:r>
          </w:p>
          <w:p w14:paraId="63229439" w14:textId="77777777" w:rsidR="003B46E3" w:rsidRPr="0068236B" w:rsidRDefault="003B46E3" w:rsidP="008E77D3">
            <w:pPr>
              <w:numPr>
                <w:ilvl w:val="0"/>
                <w:numId w:val="62"/>
              </w:numPr>
              <w:tabs>
                <w:tab w:val="left" w:pos="317"/>
              </w:tabs>
              <w:autoSpaceDE w:val="0"/>
              <w:autoSpaceDN w:val="0"/>
              <w:adjustRightInd w:val="0"/>
              <w:spacing w:before="0" w:after="0" w:line="240" w:lineRule="auto"/>
              <w:ind w:left="317" w:hanging="317"/>
              <w:jc w:val="left"/>
              <w:rPr>
                <w:rFonts w:eastAsia="Calibri" w:cs="Arial"/>
                <w:sz w:val="20"/>
                <w:szCs w:val="20"/>
              </w:rPr>
            </w:pPr>
            <w:r w:rsidRPr="0068236B">
              <w:rPr>
                <w:rFonts w:eastAsia="Calibri" w:cs="Arial"/>
                <w:sz w:val="20"/>
                <w:szCs w:val="20"/>
              </w:rPr>
              <w:t xml:space="preserve">Identified Emerald site </w:t>
            </w:r>
          </w:p>
          <w:p w14:paraId="409D3AFB" w14:textId="77777777" w:rsidR="003B46E3" w:rsidRPr="0068236B" w:rsidRDefault="003B46E3" w:rsidP="008E77D3">
            <w:pPr>
              <w:numPr>
                <w:ilvl w:val="0"/>
                <w:numId w:val="62"/>
              </w:numPr>
              <w:tabs>
                <w:tab w:val="left" w:pos="317"/>
              </w:tabs>
              <w:autoSpaceDE w:val="0"/>
              <w:autoSpaceDN w:val="0"/>
              <w:adjustRightInd w:val="0"/>
              <w:spacing w:before="0" w:after="0" w:line="240" w:lineRule="auto"/>
              <w:ind w:left="317" w:hanging="317"/>
              <w:jc w:val="left"/>
              <w:rPr>
                <w:rFonts w:eastAsia="Calibri" w:cs="Arial"/>
                <w:sz w:val="20"/>
                <w:szCs w:val="20"/>
              </w:rPr>
            </w:pPr>
            <w:r w:rsidRPr="0068236B">
              <w:rPr>
                <w:rFonts w:eastAsia="Calibri" w:cs="Arial"/>
                <w:sz w:val="20"/>
                <w:szCs w:val="20"/>
              </w:rPr>
              <w:t>Wetland / watercourse habitat of national importance</w:t>
            </w:r>
          </w:p>
          <w:p w14:paraId="6AEC74B7" w14:textId="77777777" w:rsidR="003B46E3" w:rsidRPr="0068236B" w:rsidRDefault="003B46E3" w:rsidP="008E77D3">
            <w:pPr>
              <w:numPr>
                <w:ilvl w:val="0"/>
                <w:numId w:val="62"/>
              </w:numPr>
              <w:tabs>
                <w:tab w:val="left" w:pos="317"/>
              </w:tabs>
              <w:autoSpaceDE w:val="0"/>
              <w:autoSpaceDN w:val="0"/>
              <w:adjustRightInd w:val="0"/>
              <w:spacing w:before="0" w:after="0" w:line="240" w:lineRule="auto"/>
              <w:ind w:left="317" w:hanging="317"/>
              <w:jc w:val="left"/>
              <w:rPr>
                <w:rFonts w:eastAsia="Calibri" w:cs="Arial"/>
                <w:sz w:val="20"/>
                <w:szCs w:val="20"/>
              </w:rPr>
            </w:pPr>
            <w:r w:rsidRPr="0068236B">
              <w:rPr>
                <w:rFonts w:eastAsia="Calibri" w:cs="Arial"/>
                <w:sz w:val="20"/>
                <w:szCs w:val="20"/>
              </w:rPr>
              <w:t>Highly vulnerable groundwater or high permeability formations</w:t>
            </w:r>
          </w:p>
        </w:tc>
      </w:tr>
      <w:tr w:rsidR="003B46E3" w:rsidRPr="0068236B" w14:paraId="000B9738" w14:textId="77777777" w:rsidTr="003B46E3">
        <w:trPr>
          <w:trHeight w:val="854"/>
        </w:trPr>
        <w:tc>
          <w:tcPr>
            <w:tcW w:w="2235" w:type="dxa"/>
            <w:tcBorders>
              <w:left w:val="double" w:sz="4" w:space="0" w:color="auto"/>
            </w:tcBorders>
          </w:tcPr>
          <w:p w14:paraId="07A5784B" w14:textId="77777777" w:rsidR="003B46E3" w:rsidRPr="0068236B" w:rsidRDefault="003B46E3" w:rsidP="003B46E3">
            <w:pPr>
              <w:autoSpaceDE w:val="0"/>
              <w:autoSpaceDN w:val="0"/>
              <w:adjustRightInd w:val="0"/>
              <w:spacing w:before="0" w:after="0" w:line="240" w:lineRule="auto"/>
              <w:rPr>
                <w:rFonts w:eastAsia="Calibri" w:cs="Arial"/>
                <w:sz w:val="20"/>
                <w:szCs w:val="20"/>
              </w:rPr>
            </w:pPr>
            <w:r w:rsidRPr="0068236B">
              <w:rPr>
                <w:rFonts w:eastAsia="Calibri" w:cs="Arial"/>
                <w:sz w:val="20"/>
                <w:szCs w:val="20"/>
              </w:rPr>
              <w:t>Medium sensitivity</w:t>
            </w:r>
          </w:p>
        </w:tc>
        <w:tc>
          <w:tcPr>
            <w:tcW w:w="7404" w:type="dxa"/>
            <w:tcBorders>
              <w:right w:val="double" w:sz="4" w:space="0" w:color="auto"/>
            </w:tcBorders>
          </w:tcPr>
          <w:p w14:paraId="720491A3" w14:textId="77777777" w:rsidR="003B46E3" w:rsidRPr="0068236B" w:rsidRDefault="003B46E3" w:rsidP="008E77D3">
            <w:pPr>
              <w:numPr>
                <w:ilvl w:val="0"/>
                <w:numId w:val="63"/>
              </w:numPr>
              <w:autoSpaceDE w:val="0"/>
              <w:autoSpaceDN w:val="0"/>
              <w:adjustRightInd w:val="0"/>
              <w:spacing w:before="0" w:after="0" w:line="240" w:lineRule="auto"/>
              <w:ind w:left="317" w:hanging="284"/>
              <w:jc w:val="left"/>
              <w:rPr>
                <w:rFonts w:eastAsia="Calibri" w:cs="Arial"/>
                <w:sz w:val="20"/>
                <w:szCs w:val="20"/>
              </w:rPr>
            </w:pPr>
            <w:r w:rsidRPr="0068236B">
              <w:rPr>
                <w:rFonts w:eastAsia="Calibri" w:cs="Arial"/>
                <w:sz w:val="20"/>
                <w:szCs w:val="20"/>
              </w:rPr>
              <w:t>Wetland / watercourse of ecological importance</w:t>
            </w:r>
          </w:p>
          <w:p w14:paraId="3454037D" w14:textId="77777777" w:rsidR="003B46E3" w:rsidRPr="0068236B" w:rsidRDefault="003B46E3" w:rsidP="008E77D3">
            <w:pPr>
              <w:numPr>
                <w:ilvl w:val="0"/>
                <w:numId w:val="63"/>
              </w:numPr>
              <w:autoSpaceDE w:val="0"/>
              <w:autoSpaceDN w:val="0"/>
              <w:adjustRightInd w:val="0"/>
              <w:spacing w:before="0" w:after="0" w:line="240" w:lineRule="auto"/>
              <w:ind w:left="317" w:hanging="284"/>
              <w:jc w:val="left"/>
              <w:rPr>
                <w:rFonts w:eastAsia="Calibri" w:cs="Arial"/>
                <w:sz w:val="20"/>
                <w:szCs w:val="20"/>
              </w:rPr>
            </w:pPr>
            <w:r w:rsidRPr="0068236B">
              <w:rPr>
                <w:rFonts w:eastAsia="Calibri" w:cs="Arial"/>
                <w:sz w:val="20"/>
                <w:szCs w:val="20"/>
              </w:rPr>
              <w:t>Moderate vulnerable aquatic habitats present</w:t>
            </w:r>
          </w:p>
          <w:p w14:paraId="1616B432" w14:textId="77777777" w:rsidR="003B46E3" w:rsidRPr="0068236B" w:rsidRDefault="003B46E3" w:rsidP="008E77D3">
            <w:pPr>
              <w:numPr>
                <w:ilvl w:val="0"/>
                <w:numId w:val="63"/>
              </w:numPr>
              <w:autoSpaceDE w:val="0"/>
              <w:autoSpaceDN w:val="0"/>
              <w:adjustRightInd w:val="0"/>
              <w:spacing w:before="0" w:after="0" w:line="240" w:lineRule="auto"/>
              <w:ind w:left="317" w:hanging="284"/>
              <w:jc w:val="left"/>
              <w:rPr>
                <w:rFonts w:eastAsia="Calibri" w:cs="Arial"/>
                <w:sz w:val="20"/>
                <w:szCs w:val="20"/>
              </w:rPr>
            </w:pPr>
            <w:r w:rsidRPr="0068236B">
              <w:rPr>
                <w:rFonts w:eastAsia="Calibri" w:cs="Arial"/>
                <w:sz w:val="20"/>
                <w:szCs w:val="20"/>
              </w:rPr>
              <w:t>Moderate vulnerable groundwater or moderate permeability formations</w:t>
            </w:r>
          </w:p>
        </w:tc>
      </w:tr>
      <w:tr w:rsidR="003B46E3" w:rsidRPr="0068236B" w14:paraId="46BB48CD" w14:textId="77777777" w:rsidTr="003B46E3">
        <w:trPr>
          <w:trHeight w:val="555"/>
        </w:trPr>
        <w:tc>
          <w:tcPr>
            <w:tcW w:w="2235" w:type="dxa"/>
            <w:tcBorders>
              <w:left w:val="double" w:sz="4" w:space="0" w:color="auto"/>
            </w:tcBorders>
          </w:tcPr>
          <w:p w14:paraId="57B4E388" w14:textId="77777777" w:rsidR="003B46E3" w:rsidRPr="0068236B" w:rsidRDefault="003B46E3" w:rsidP="003B46E3">
            <w:pPr>
              <w:autoSpaceDE w:val="0"/>
              <w:autoSpaceDN w:val="0"/>
              <w:adjustRightInd w:val="0"/>
              <w:spacing w:before="0" w:after="0" w:line="240" w:lineRule="auto"/>
              <w:rPr>
                <w:rFonts w:eastAsia="Calibri" w:cs="Arial"/>
                <w:sz w:val="20"/>
                <w:szCs w:val="20"/>
              </w:rPr>
            </w:pPr>
            <w:r w:rsidRPr="0068236B">
              <w:rPr>
                <w:rFonts w:eastAsia="Calibri" w:cs="Arial"/>
                <w:sz w:val="20"/>
                <w:szCs w:val="20"/>
              </w:rPr>
              <w:t>Low sensitivity</w:t>
            </w:r>
          </w:p>
        </w:tc>
        <w:tc>
          <w:tcPr>
            <w:tcW w:w="7404" w:type="dxa"/>
            <w:tcBorders>
              <w:right w:val="double" w:sz="4" w:space="0" w:color="auto"/>
            </w:tcBorders>
          </w:tcPr>
          <w:p w14:paraId="5189CE58" w14:textId="77777777" w:rsidR="003B46E3" w:rsidRPr="0068236B" w:rsidRDefault="003B46E3" w:rsidP="008E77D3">
            <w:pPr>
              <w:numPr>
                <w:ilvl w:val="0"/>
                <w:numId w:val="64"/>
              </w:numPr>
              <w:tabs>
                <w:tab w:val="left" w:pos="317"/>
              </w:tabs>
              <w:autoSpaceDE w:val="0"/>
              <w:autoSpaceDN w:val="0"/>
              <w:adjustRightInd w:val="0"/>
              <w:spacing w:before="0" w:after="0" w:line="240" w:lineRule="auto"/>
              <w:ind w:left="317" w:hanging="284"/>
              <w:jc w:val="left"/>
              <w:rPr>
                <w:rFonts w:eastAsia="Calibri" w:cs="Arial"/>
                <w:sz w:val="20"/>
                <w:szCs w:val="20"/>
              </w:rPr>
            </w:pPr>
            <w:r w:rsidRPr="0068236B">
              <w:rPr>
                <w:rFonts w:eastAsia="Calibri" w:cs="Arial"/>
                <w:sz w:val="20"/>
                <w:szCs w:val="20"/>
              </w:rPr>
              <w:t>Low vulnerable aquatic habitats present</w:t>
            </w:r>
          </w:p>
          <w:p w14:paraId="2EBDE9B3" w14:textId="77777777" w:rsidR="003B46E3" w:rsidRPr="0068236B" w:rsidRDefault="003B46E3" w:rsidP="008E77D3">
            <w:pPr>
              <w:numPr>
                <w:ilvl w:val="0"/>
                <w:numId w:val="64"/>
              </w:numPr>
              <w:tabs>
                <w:tab w:val="left" w:pos="317"/>
              </w:tabs>
              <w:autoSpaceDE w:val="0"/>
              <w:autoSpaceDN w:val="0"/>
              <w:adjustRightInd w:val="0"/>
              <w:spacing w:before="0" w:after="0" w:line="240" w:lineRule="auto"/>
              <w:ind w:left="317" w:hanging="284"/>
              <w:jc w:val="left"/>
              <w:rPr>
                <w:rFonts w:eastAsia="Calibri" w:cs="Arial"/>
                <w:sz w:val="20"/>
                <w:szCs w:val="20"/>
              </w:rPr>
            </w:pPr>
            <w:r w:rsidRPr="0068236B">
              <w:rPr>
                <w:rFonts w:eastAsia="Calibri" w:cs="Arial"/>
                <w:sz w:val="20"/>
                <w:szCs w:val="20"/>
              </w:rPr>
              <w:t>Low vulnerable groundwater or low permeability formations</w:t>
            </w:r>
          </w:p>
        </w:tc>
      </w:tr>
      <w:tr w:rsidR="003B46E3" w:rsidRPr="0068236B" w14:paraId="15ECAB5F" w14:textId="77777777" w:rsidTr="003B46E3">
        <w:trPr>
          <w:trHeight w:val="543"/>
        </w:trPr>
        <w:tc>
          <w:tcPr>
            <w:tcW w:w="2235" w:type="dxa"/>
            <w:tcBorders>
              <w:left w:val="double" w:sz="4" w:space="0" w:color="auto"/>
              <w:bottom w:val="double" w:sz="4" w:space="0" w:color="auto"/>
            </w:tcBorders>
          </w:tcPr>
          <w:p w14:paraId="19E4B2F9" w14:textId="77777777" w:rsidR="003B46E3" w:rsidRPr="0068236B" w:rsidRDefault="003B46E3" w:rsidP="003B46E3">
            <w:pPr>
              <w:autoSpaceDE w:val="0"/>
              <w:autoSpaceDN w:val="0"/>
              <w:adjustRightInd w:val="0"/>
              <w:spacing w:before="0" w:after="0" w:line="240" w:lineRule="auto"/>
              <w:rPr>
                <w:rFonts w:eastAsia="Calibri" w:cs="Arial"/>
                <w:sz w:val="20"/>
                <w:szCs w:val="20"/>
              </w:rPr>
            </w:pPr>
            <w:r w:rsidRPr="0068236B">
              <w:rPr>
                <w:rFonts w:eastAsia="Calibri" w:cs="Arial"/>
                <w:sz w:val="20"/>
                <w:szCs w:val="20"/>
              </w:rPr>
              <w:t>Not sensitive</w:t>
            </w:r>
          </w:p>
        </w:tc>
        <w:tc>
          <w:tcPr>
            <w:tcW w:w="7404" w:type="dxa"/>
            <w:tcBorders>
              <w:bottom w:val="double" w:sz="4" w:space="0" w:color="auto"/>
              <w:right w:val="double" w:sz="4" w:space="0" w:color="auto"/>
            </w:tcBorders>
          </w:tcPr>
          <w:p w14:paraId="75B2AD68" w14:textId="77777777" w:rsidR="003B46E3" w:rsidRPr="0068236B" w:rsidRDefault="003B46E3" w:rsidP="008E77D3">
            <w:pPr>
              <w:pStyle w:val="ListParagraph"/>
              <w:numPr>
                <w:ilvl w:val="0"/>
                <w:numId w:val="69"/>
              </w:numPr>
              <w:autoSpaceDE w:val="0"/>
              <w:autoSpaceDN w:val="0"/>
              <w:adjustRightInd w:val="0"/>
              <w:spacing w:before="0" w:after="0" w:line="240" w:lineRule="auto"/>
              <w:ind w:left="351" w:hanging="351"/>
              <w:contextualSpacing w:val="0"/>
              <w:jc w:val="left"/>
              <w:rPr>
                <w:rFonts w:cs="Arial"/>
                <w:sz w:val="20"/>
                <w:szCs w:val="20"/>
              </w:rPr>
            </w:pPr>
            <w:r w:rsidRPr="0068236B">
              <w:rPr>
                <w:rFonts w:cs="Arial"/>
                <w:sz w:val="20"/>
                <w:szCs w:val="20"/>
              </w:rPr>
              <w:t>No aquatic habitats or watercourses present</w:t>
            </w:r>
          </w:p>
          <w:p w14:paraId="62B35C66" w14:textId="77777777" w:rsidR="003B46E3" w:rsidRPr="0068236B" w:rsidRDefault="003B46E3" w:rsidP="008E77D3">
            <w:pPr>
              <w:pStyle w:val="ListParagraph"/>
              <w:numPr>
                <w:ilvl w:val="0"/>
                <w:numId w:val="69"/>
              </w:numPr>
              <w:autoSpaceDE w:val="0"/>
              <w:autoSpaceDN w:val="0"/>
              <w:adjustRightInd w:val="0"/>
              <w:spacing w:before="0" w:after="0" w:line="240" w:lineRule="auto"/>
              <w:ind w:left="351" w:hanging="351"/>
              <w:contextualSpacing w:val="0"/>
              <w:jc w:val="left"/>
              <w:rPr>
                <w:rFonts w:cs="Arial"/>
                <w:sz w:val="20"/>
                <w:szCs w:val="20"/>
              </w:rPr>
            </w:pPr>
            <w:r w:rsidRPr="0068236B">
              <w:rPr>
                <w:rFonts w:cs="Arial"/>
                <w:sz w:val="20"/>
                <w:szCs w:val="20"/>
              </w:rPr>
              <w:t>No significant groundwater present</w:t>
            </w:r>
          </w:p>
        </w:tc>
      </w:tr>
    </w:tbl>
    <w:p w14:paraId="337707B8" w14:textId="41D7E636" w:rsidR="003B46E3" w:rsidRPr="0068236B" w:rsidRDefault="003B46E3" w:rsidP="003B46E3">
      <w:pPr>
        <w:autoSpaceDE w:val="0"/>
        <w:autoSpaceDN w:val="0"/>
        <w:adjustRightInd w:val="0"/>
        <w:spacing w:before="60" w:after="240"/>
        <w:rPr>
          <w:rFonts w:cs="Tahoma"/>
          <w:sz w:val="18"/>
          <w:szCs w:val="20"/>
        </w:rPr>
      </w:pPr>
      <w:bookmarkStart w:id="431" w:name="_Toc389551036"/>
      <w:bookmarkStart w:id="432" w:name="_Toc65936956"/>
      <w:bookmarkStart w:id="433" w:name="_Toc80181265"/>
      <w:bookmarkStart w:id="434" w:name="_Toc113018220"/>
      <w:r w:rsidRPr="0068236B">
        <w:rPr>
          <w:rFonts w:cs="Tahoma"/>
          <w:sz w:val="18"/>
          <w:szCs w:val="20"/>
        </w:rPr>
        <w:t xml:space="preserve">Table </w:t>
      </w:r>
      <w:r w:rsidRPr="0068236B">
        <w:rPr>
          <w:rFonts w:cs="Tahoma"/>
          <w:i/>
          <w:sz w:val="18"/>
          <w:szCs w:val="20"/>
        </w:rPr>
        <w:fldChar w:fldCharType="begin"/>
      </w:r>
      <w:r w:rsidRPr="0068236B">
        <w:rPr>
          <w:rFonts w:cs="Tahoma"/>
          <w:sz w:val="18"/>
          <w:szCs w:val="20"/>
        </w:rPr>
        <w:instrText xml:space="preserve"> STYLEREF 1 \s </w:instrText>
      </w:r>
      <w:r w:rsidRPr="0068236B">
        <w:rPr>
          <w:rFonts w:cs="Tahoma"/>
          <w:i/>
          <w:sz w:val="18"/>
          <w:szCs w:val="20"/>
        </w:rPr>
        <w:fldChar w:fldCharType="separate"/>
      </w:r>
      <w:r w:rsidR="00FD57E6">
        <w:rPr>
          <w:rFonts w:cs="Tahoma"/>
          <w:noProof/>
          <w:sz w:val="18"/>
          <w:szCs w:val="20"/>
        </w:rPr>
        <w:t>8</w:t>
      </w:r>
      <w:r w:rsidRPr="0068236B">
        <w:rPr>
          <w:rFonts w:cs="Tahoma"/>
          <w:i/>
          <w:sz w:val="18"/>
          <w:szCs w:val="20"/>
        </w:rPr>
        <w:fldChar w:fldCharType="end"/>
      </w:r>
      <w:r w:rsidRPr="0068236B">
        <w:rPr>
          <w:rFonts w:cs="Tahoma"/>
          <w:sz w:val="18"/>
          <w:szCs w:val="20"/>
        </w:rPr>
        <w:t>.</w:t>
      </w:r>
      <w:r w:rsidRPr="0068236B">
        <w:rPr>
          <w:rFonts w:cs="Tahoma"/>
          <w:i/>
          <w:sz w:val="18"/>
          <w:szCs w:val="20"/>
        </w:rPr>
        <w:fldChar w:fldCharType="begin"/>
      </w:r>
      <w:r w:rsidRPr="0068236B">
        <w:rPr>
          <w:rFonts w:cs="Tahoma"/>
          <w:sz w:val="18"/>
          <w:szCs w:val="20"/>
        </w:rPr>
        <w:instrText xml:space="preserve"> SEQ Table \* ARABIC \s 1 </w:instrText>
      </w:r>
      <w:r w:rsidRPr="0068236B">
        <w:rPr>
          <w:rFonts w:cs="Tahoma"/>
          <w:i/>
          <w:sz w:val="18"/>
          <w:szCs w:val="20"/>
        </w:rPr>
        <w:fldChar w:fldCharType="separate"/>
      </w:r>
      <w:r w:rsidR="00FD57E6">
        <w:rPr>
          <w:rFonts w:cs="Tahoma"/>
          <w:noProof/>
          <w:sz w:val="18"/>
          <w:szCs w:val="20"/>
        </w:rPr>
        <w:t>24</w:t>
      </w:r>
      <w:r w:rsidRPr="0068236B">
        <w:rPr>
          <w:rFonts w:cs="Tahoma"/>
          <w:i/>
          <w:sz w:val="18"/>
          <w:szCs w:val="20"/>
        </w:rPr>
        <w:fldChar w:fldCharType="end"/>
      </w:r>
      <w:r w:rsidR="005F774D" w:rsidRPr="0068236B">
        <w:rPr>
          <w:rFonts w:cs="Tahoma"/>
          <w:sz w:val="18"/>
          <w:szCs w:val="20"/>
        </w:rPr>
        <w:t>:</w:t>
      </w:r>
      <w:r w:rsidRPr="0068236B">
        <w:rPr>
          <w:rFonts w:cs="Tahoma"/>
          <w:sz w:val="18"/>
          <w:szCs w:val="20"/>
        </w:rPr>
        <w:t xml:space="preserve"> Sensitivity criteria of catchment areas</w:t>
      </w:r>
      <w:bookmarkEnd w:id="431"/>
      <w:bookmarkEnd w:id="432"/>
      <w:bookmarkEnd w:id="433"/>
      <w:bookmarkEnd w:id="434"/>
    </w:p>
    <w:p w14:paraId="786FFE20" w14:textId="77777777" w:rsidR="003B46E3" w:rsidRPr="0068236B" w:rsidRDefault="003B46E3" w:rsidP="003B46E3">
      <w:pPr>
        <w:pStyle w:val="Heading4"/>
        <w:spacing w:line="240" w:lineRule="auto"/>
        <w:ind w:left="1843" w:hanging="1123"/>
        <w:rPr>
          <w:sz w:val="20"/>
        </w:rPr>
      </w:pPr>
      <w:bookmarkStart w:id="435" w:name="_Toc65936721"/>
      <w:r w:rsidRPr="0068236B">
        <w:rPr>
          <w:sz w:val="20"/>
        </w:rPr>
        <w:t>Magnitude of Impact</w:t>
      </w:r>
      <w:bookmarkEnd w:id="435"/>
    </w:p>
    <w:p w14:paraId="7B74FB1F" w14:textId="77777777" w:rsidR="003B46E3" w:rsidRPr="0068236B" w:rsidRDefault="003B46E3" w:rsidP="003B46E3">
      <w:pPr>
        <w:rPr>
          <w:rFonts w:cs="Arial"/>
          <w:sz w:val="20"/>
          <w:szCs w:val="20"/>
        </w:rPr>
      </w:pPr>
      <w:r w:rsidRPr="0068236B">
        <w:rPr>
          <w:rFonts w:cs="Arial"/>
          <w:sz w:val="20"/>
          <w:szCs w:val="20"/>
        </w:rPr>
        <w:t>Criteria for assessing the magnitude of impact are given in the Table below.</w:t>
      </w:r>
    </w:p>
    <w:p w14:paraId="2D0BA7DF" w14:textId="77777777" w:rsidR="00230397" w:rsidRDefault="00230397">
      <w:r>
        <w:br w:type="page"/>
      </w:r>
    </w:p>
    <w:tbl>
      <w:tblPr>
        <w:tblW w:w="9072"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843"/>
        <w:gridCol w:w="7229"/>
      </w:tblGrid>
      <w:tr w:rsidR="003B46E3" w:rsidRPr="0068236B" w14:paraId="6FD0272C" w14:textId="77777777" w:rsidTr="003B46E3">
        <w:tc>
          <w:tcPr>
            <w:tcW w:w="1843" w:type="dxa"/>
            <w:tcBorders>
              <w:top w:val="double" w:sz="4" w:space="0" w:color="auto"/>
              <w:bottom w:val="double" w:sz="4" w:space="0" w:color="auto"/>
              <w:right w:val="double" w:sz="4" w:space="0" w:color="auto"/>
            </w:tcBorders>
            <w:shd w:val="clear" w:color="auto" w:fill="D5DCE4" w:themeFill="text2" w:themeFillTint="33"/>
          </w:tcPr>
          <w:p w14:paraId="51D2CADF" w14:textId="56F9179C" w:rsidR="003B46E3" w:rsidRPr="0068236B" w:rsidRDefault="003B46E3" w:rsidP="003B46E3">
            <w:pPr>
              <w:tabs>
                <w:tab w:val="center" w:pos="4320"/>
                <w:tab w:val="right" w:pos="8640"/>
              </w:tabs>
              <w:spacing w:before="0" w:after="0" w:line="240" w:lineRule="auto"/>
              <w:rPr>
                <w:rFonts w:eastAsia="Calibri" w:cs="Arial"/>
                <w:sz w:val="20"/>
                <w:szCs w:val="20"/>
              </w:rPr>
            </w:pPr>
            <w:r w:rsidRPr="0068236B">
              <w:rPr>
                <w:rFonts w:eastAsia="Calibri" w:cs="Arial"/>
                <w:sz w:val="20"/>
                <w:szCs w:val="20"/>
              </w:rPr>
              <w:lastRenderedPageBreak/>
              <w:t>Level</w:t>
            </w:r>
          </w:p>
        </w:tc>
        <w:tc>
          <w:tcPr>
            <w:tcW w:w="7229" w:type="dxa"/>
            <w:tcBorders>
              <w:top w:val="double" w:sz="4" w:space="0" w:color="auto"/>
              <w:left w:val="double" w:sz="4" w:space="0" w:color="auto"/>
              <w:bottom w:val="double" w:sz="4" w:space="0" w:color="auto"/>
              <w:right w:val="double" w:sz="4" w:space="0" w:color="auto"/>
            </w:tcBorders>
            <w:shd w:val="clear" w:color="auto" w:fill="D5DCE4" w:themeFill="text2" w:themeFillTint="33"/>
          </w:tcPr>
          <w:p w14:paraId="1EBDBB89" w14:textId="77777777" w:rsidR="003B46E3" w:rsidRPr="0068236B" w:rsidRDefault="003B46E3" w:rsidP="003B46E3">
            <w:pPr>
              <w:tabs>
                <w:tab w:val="center" w:pos="4320"/>
                <w:tab w:val="right" w:pos="8640"/>
              </w:tabs>
              <w:spacing w:before="0" w:after="0" w:line="240" w:lineRule="auto"/>
              <w:rPr>
                <w:rFonts w:eastAsia="Calibri" w:cs="Arial"/>
                <w:sz w:val="20"/>
                <w:szCs w:val="20"/>
              </w:rPr>
            </w:pPr>
            <w:r w:rsidRPr="0068236B">
              <w:rPr>
                <w:rFonts w:eastAsia="Calibri" w:cs="Arial"/>
                <w:sz w:val="20"/>
                <w:szCs w:val="20"/>
              </w:rPr>
              <w:t>Typical criteria</w:t>
            </w:r>
          </w:p>
        </w:tc>
      </w:tr>
      <w:tr w:rsidR="003B46E3" w:rsidRPr="0068236B" w14:paraId="64F64E63" w14:textId="77777777" w:rsidTr="003B46E3">
        <w:trPr>
          <w:trHeight w:val="1157"/>
        </w:trPr>
        <w:tc>
          <w:tcPr>
            <w:tcW w:w="1843" w:type="dxa"/>
            <w:tcBorders>
              <w:top w:val="double" w:sz="4" w:space="0" w:color="auto"/>
              <w:bottom w:val="single" w:sz="4" w:space="0" w:color="auto"/>
            </w:tcBorders>
          </w:tcPr>
          <w:p w14:paraId="1F7BA9DD" w14:textId="77777777" w:rsidR="003B46E3" w:rsidRPr="0068236B" w:rsidRDefault="003B46E3" w:rsidP="003B46E3">
            <w:pPr>
              <w:tabs>
                <w:tab w:val="center" w:pos="4320"/>
                <w:tab w:val="right" w:pos="8640"/>
              </w:tabs>
              <w:spacing w:before="0" w:after="0" w:line="240" w:lineRule="auto"/>
              <w:rPr>
                <w:rFonts w:eastAsia="Calibri" w:cs="Arial"/>
                <w:sz w:val="20"/>
                <w:szCs w:val="20"/>
              </w:rPr>
            </w:pPr>
            <w:r w:rsidRPr="0068236B">
              <w:rPr>
                <w:rFonts w:eastAsia="Calibri" w:cs="Arial"/>
                <w:sz w:val="20"/>
                <w:szCs w:val="20"/>
              </w:rPr>
              <w:t>High</w:t>
            </w:r>
          </w:p>
        </w:tc>
        <w:tc>
          <w:tcPr>
            <w:tcW w:w="7229" w:type="dxa"/>
            <w:tcBorders>
              <w:top w:val="double" w:sz="4" w:space="0" w:color="auto"/>
              <w:bottom w:val="single" w:sz="4" w:space="0" w:color="auto"/>
            </w:tcBorders>
          </w:tcPr>
          <w:p w14:paraId="663045E5" w14:textId="77777777" w:rsidR="003B46E3" w:rsidRPr="0068236B" w:rsidRDefault="003B46E3" w:rsidP="003B46E3">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Total loss or adverse change of key characteristics, integrity and quality (wide spatial extent, irreversible change of watercourse direction or groundwater regime or level, fragmentation effect due to intake of water, fencing / dam, waste water discharge, etc.)</w:t>
            </w:r>
          </w:p>
        </w:tc>
      </w:tr>
      <w:tr w:rsidR="003B46E3" w:rsidRPr="0068236B" w14:paraId="3083696F" w14:textId="77777777" w:rsidTr="003B46E3">
        <w:trPr>
          <w:trHeight w:val="838"/>
        </w:trPr>
        <w:tc>
          <w:tcPr>
            <w:tcW w:w="1843" w:type="dxa"/>
            <w:tcBorders>
              <w:top w:val="single" w:sz="4" w:space="0" w:color="auto"/>
              <w:bottom w:val="single" w:sz="4" w:space="0" w:color="auto"/>
            </w:tcBorders>
          </w:tcPr>
          <w:p w14:paraId="582A10E4" w14:textId="77777777" w:rsidR="003B46E3" w:rsidRPr="0068236B" w:rsidRDefault="003B46E3" w:rsidP="003B46E3">
            <w:pPr>
              <w:tabs>
                <w:tab w:val="center" w:pos="4320"/>
                <w:tab w:val="right" w:pos="8640"/>
              </w:tabs>
              <w:spacing w:before="0" w:after="0" w:line="240" w:lineRule="auto"/>
              <w:rPr>
                <w:rFonts w:eastAsia="Calibri" w:cs="Arial"/>
                <w:sz w:val="20"/>
                <w:szCs w:val="20"/>
              </w:rPr>
            </w:pPr>
            <w:r w:rsidRPr="0068236B">
              <w:rPr>
                <w:rFonts w:eastAsia="Calibri" w:cs="Arial"/>
                <w:sz w:val="20"/>
                <w:szCs w:val="20"/>
              </w:rPr>
              <w:t>Medium</w:t>
            </w:r>
          </w:p>
        </w:tc>
        <w:tc>
          <w:tcPr>
            <w:tcW w:w="7229" w:type="dxa"/>
            <w:tcBorders>
              <w:top w:val="single" w:sz="4" w:space="0" w:color="auto"/>
              <w:bottom w:val="single" w:sz="4" w:space="0" w:color="auto"/>
            </w:tcBorders>
          </w:tcPr>
          <w:p w14:paraId="60D6EE5E" w14:textId="77777777" w:rsidR="003B46E3" w:rsidRPr="0068236B" w:rsidRDefault="003B46E3" w:rsidP="003B46E3">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Loss or change of key characteristics and quality, but not affecting integrity (irreversible change, permanent structures – bridges, aqueducts, siphons, su</w:t>
            </w:r>
            <w:r w:rsidRPr="0068236B">
              <w:rPr>
                <w:rFonts w:eastAsia="Calibri" w:cs="Arial"/>
                <w:sz w:val="20"/>
                <w:szCs w:val="20"/>
              </w:rPr>
              <w:t>r</w:t>
            </w:r>
            <w:r w:rsidRPr="0068236B">
              <w:rPr>
                <w:rFonts w:eastAsia="Calibri" w:cs="Arial"/>
                <w:sz w:val="20"/>
                <w:szCs w:val="20"/>
              </w:rPr>
              <w:t>face or underground pipelines, etc.)</w:t>
            </w:r>
          </w:p>
        </w:tc>
      </w:tr>
      <w:tr w:rsidR="003B46E3" w:rsidRPr="0068236B" w14:paraId="73A94ADE" w14:textId="77777777" w:rsidTr="003B46E3">
        <w:trPr>
          <w:trHeight w:val="552"/>
        </w:trPr>
        <w:tc>
          <w:tcPr>
            <w:tcW w:w="1843" w:type="dxa"/>
            <w:tcBorders>
              <w:top w:val="single" w:sz="4" w:space="0" w:color="auto"/>
            </w:tcBorders>
          </w:tcPr>
          <w:p w14:paraId="3C70A6A2" w14:textId="77777777" w:rsidR="003B46E3" w:rsidRPr="0068236B" w:rsidRDefault="003B46E3" w:rsidP="003B46E3">
            <w:pPr>
              <w:tabs>
                <w:tab w:val="center" w:pos="4320"/>
                <w:tab w:val="right" w:pos="8640"/>
              </w:tabs>
              <w:spacing w:before="0" w:after="0" w:line="240" w:lineRule="auto"/>
              <w:rPr>
                <w:rFonts w:eastAsia="Calibri" w:cs="Arial"/>
                <w:sz w:val="20"/>
                <w:szCs w:val="20"/>
              </w:rPr>
            </w:pPr>
            <w:r w:rsidRPr="0068236B">
              <w:rPr>
                <w:rFonts w:eastAsia="Calibri" w:cs="Arial"/>
                <w:sz w:val="20"/>
                <w:szCs w:val="20"/>
              </w:rPr>
              <w:t>Low</w:t>
            </w:r>
          </w:p>
        </w:tc>
        <w:tc>
          <w:tcPr>
            <w:tcW w:w="7229" w:type="dxa"/>
            <w:tcBorders>
              <w:top w:val="single" w:sz="4" w:space="0" w:color="auto"/>
            </w:tcBorders>
          </w:tcPr>
          <w:p w14:paraId="48B5707D" w14:textId="77777777" w:rsidR="003B46E3" w:rsidRPr="0068236B" w:rsidRDefault="003B46E3" w:rsidP="003B46E3">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Partial loss or some measurable changes or alteration of quality (temporary reversible changes, small incidents, etc.)</w:t>
            </w:r>
          </w:p>
        </w:tc>
      </w:tr>
      <w:tr w:rsidR="003B46E3" w:rsidRPr="0068236B" w14:paraId="61B3F4ED" w14:textId="77777777" w:rsidTr="003B46E3">
        <w:trPr>
          <w:trHeight w:val="858"/>
        </w:trPr>
        <w:tc>
          <w:tcPr>
            <w:tcW w:w="1843" w:type="dxa"/>
          </w:tcPr>
          <w:p w14:paraId="40AA1039" w14:textId="77777777" w:rsidR="003B46E3" w:rsidRPr="0068236B" w:rsidRDefault="003B46E3" w:rsidP="003B46E3">
            <w:pPr>
              <w:tabs>
                <w:tab w:val="center" w:pos="4320"/>
                <w:tab w:val="right" w:pos="8640"/>
              </w:tabs>
              <w:spacing w:before="0" w:after="0" w:line="240" w:lineRule="auto"/>
              <w:rPr>
                <w:rFonts w:eastAsia="Calibri" w:cs="Arial"/>
                <w:sz w:val="20"/>
                <w:szCs w:val="20"/>
              </w:rPr>
            </w:pPr>
            <w:r w:rsidRPr="0068236B">
              <w:rPr>
                <w:rFonts w:eastAsia="Calibri" w:cs="Arial"/>
                <w:sz w:val="20"/>
                <w:szCs w:val="20"/>
              </w:rPr>
              <w:t>Very low</w:t>
            </w:r>
          </w:p>
        </w:tc>
        <w:tc>
          <w:tcPr>
            <w:tcW w:w="7229" w:type="dxa"/>
          </w:tcPr>
          <w:p w14:paraId="573D31FF" w14:textId="77777777" w:rsidR="003B46E3" w:rsidRPr="0068236B" w:rsidRDefault="003B46E3" w:rsidP="003B46E3">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Small detectable changes, but the characteristics and quality will be similar to pre-project conditions (short-term and not likely events, culverts, emban</w:t>
            </w:r>
            <w:r w:rsidRPr="0068236B">
              <w:rPr>
                <w:rFonts w:eastAsia="Calibri" w:cs="Arial"/>
                <w:sz w:val="20"/>
                <w:szCs w:val="20"/>
              </w:rPr>
              <w:t>k</w:t>
            </w:r>
            <w:r w:rsidRPr="0068236B">
              <w:rPr>
                <w:rFonts w:eastAsia="Calibri" w:cs="Arial"/>
                <w:sz w:val="20"/>
                <w:szCs w:val="20"/>
              </w:rPr>
              <w:t>ments, etc.)</w:t>
            </w:r>
          </w:p>
        </w:tc>
      </w:tr>
      <w:tr w:rsidR="003B46E3" w:rsidRPr="0068236B" w14:paraId="0F93EE74" w14:textId="77777777" w:rsidTr="003B46E3">
        <w:trPr>
          <w:trHeight w:val="545"/>
        </w:trPr>
        <w:tc>
          <w:tcPr>
            <w:tcW w:w="1843" w:type="dxa"/>
          </w:tcPr>
          <w:p w14:paraId="4FC81A83" w14:textId="77777777" w:rsidR="003B46E3" w:rsidRPr="0068236B" w:rsidRDefault="003B46E3" w:rsidP="003B46E3">
            <w:pPr>
              <w:tabs>
                <w:tab w:val="center" w:pos="4320"/>
                <w:tab w:val="right" w:pos="8640"/>
              </w:tabs>
              <w:spacing w:before="0" w:after="0" w:line="240" w:lineRule="auto"/>
              <w:rPr>
                <w:rFonts w:eastAsia="Calibri" w:cs="Arial"/>
                <w:sz w:val="20"/>
                <w:szCs w:val="20"/>
              </w:rPr>
            </w:pPr>
            <w:r w:rsidRPr="0068236B">
              <w:rPr>
                <w:rFonts w:cs="Tahoma"/>
                <w:sz w:val="20"/>
                <w:szCs w:val="20"/>
              </w:rPr>
              <w:t>None / no change</w:t>
            </w:r>
          </w:p>
        </w:tc>
        <w:tc>
          <w:tcPr>
            <w:tcW w:w="7229" w:type="dxa"/>
          </w:tcPr>
          <w:p w14:paraId="4AADFB71" w14:textId="77777777" w:rsidR="003B46E3" w:rsidRPr="0068236B" w:rsidRDefault="003B46E3" w:rsidP="003B46E3">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No or very small changes, which are not easily distinguished (short term co</w:t>
            </w:r>
            <w:r w:rsidRPr="0068236B">
              <w:rPr>
                <w:rFonts w:eastAsia="Calibri" w:cs="Arial"/>
                <w:sz w:val="20"/>
                <w:szCs w:val="20"/>
              </w:rPr>
              <w:t>m</w:t>
            </w:r>
            <w:r w:rsidRPr="0068236B">
              <w:rPr>
                <w:rFonts w:eastAsia="Calibri" w:cs="Arial"/>
                <w:sz w:val="20"/>
                <w:szCs w:val="20"/>
              </w:rPr>
              <w:t>paction due to vehicles movements, temporary crossing structures, etc.)</w:t>
            </w:r>
          </w:p>
        </w:tc>
      </w:tr>
    </w:tbl>
    <w:p w14:paraId="392F87CC" w14:textId="08D758BA" w:rsidR="003B46E3" w:rsidRPr="0068236B" w:rsidRDefault="003B46E3" w:rsidP="003B46E3">
      <w:pPr>
        <w:pStyle w:val="Caption"/>
        <w:spacing w:after="240"/>
        <w:jc w:val="left"/>
        <w:rPr>
          <w:rFonts w:eastAsia="Calibri"/>
          <w:b w:val="0"/>
          <w:i/>
          <w:szCs w:val="20"/>
        </w:rPr>
      </w:pPr>
      <w:bookmarkStart w:id="436" w:name="_Toc446278266"/>
      <w:bookmarkStart w:id="437" w:name="_Toc481953708"/>
      <w:bookmarkStart w:id="438" w:name="_Toc65936957"/>
      <w:bookmarkStart w:id="439" w:name="_Toc80181266"/>
      <w:bookmarkStart w:id="440" w:name="_Toc113018221"/>
      <w:bookmarkStart w:id="441" w:name="_Toc388465122"/>
      <w:r w:rsidRPr="0068236B">
        <w:rPr>
          <w:b w:val="0"/>
          <w:szCs w:val="20"/>
        </w:rPr>
        <w:t xml:space="preserve">Table </w:t>
      </w:r>
      <w:r w:rsidRPr="0068236B">
        <w:rPr>
          <w:b w:val="0"/>
          <w:i/>
          <w:szCs w:val="20"/>
        </w:rPr>
        <w:fldChar w:fldCharType="begin"/>
      </w:r>
      <w:r w:rsidRPr="0068236B">
        <w:rPr>
          <w:b w:val="0"/>
          <w:szCs w:val="20"/>
        </w:rPr>
        <w:instrText xml:space="preserve"> STYLEREF 1 \s </w:instrText>
      </w:r>
      <w:r w:rsidRPr="0068236B">
        <w:rPr>
          <w:b w:val="0"/>
          <w:i/>
          <w:szCs w:val="20"/>
        </w:rPr>
        <w:fldChar w:fldCharType="separate"/>
      </w:r>
      <w:r w:rsidR="00FD57E6">
        <w:rPr>
          <w:b w:val="0"/>
          <w:noProof/>
          <w:szCs w:val="20"/>
        </w:rPr>
        <w:t>8</w:t>
      </w:r>
      <w:r w:rsidRPr="0068236B">
        <w:rPr>
          <w:b w:val="0"/>
          <w:i/>
          <w:szCs w:val="20"/>
        </w:rPr>
        <w:fldChar w:fldCharType="end"/>
      </w:r>
      <w:r w:rsidRPr="0068236B">
        <w:rPr>
          <w:b w:val="0"/>
          <w:i/>
          <w:szCs w:val="20"/>
        </w:rPr>
        <w:t>.</w:t>
      </w:r>
      <w:r w:rsidRPr="0068236B">
        <w:rPr>
          <w:b w:val="0"/>
          <w:i/>
          <w:szCs w:val="20"/>
        </w:rPr>
        <w:fldChar w:fldCharType="begin"/>
      </w:r>
      <w:r w:rsidRPr="0068236B">
        <w:rPr>
          <w:b w:val="0"/>
          <w:szCs w:val="20"/>
        </w:rPr>
        <w:instrText xml:space="preserve"> SEQ Table \* ARABIC \s 1 </w:instrText>
      </w:r>
      <w:r w:rsidRPr="0068236B">
        <w:rPr>
          <w:b w:val="0"/>
          <w:i/>
          <w:szCs w:val="20"/>
        </w:rPr>
        <w:fldChar w:fldCharType="separate"/>
      </w:r>
      <w:r w:rsidR="00FD57E6">
        <w:rPr>
          <w:b w:val="0"/>
          <w:noProof/>
          <w:szCs w:val="20"/>
        </w:rPr>
        <w:t>25</w:t>
      </w:r>
      <w:r w:rsidRPr="0068236B">
        <w:rPr>
          <w:b w:val="0"/>
          <w:i/>
          <w:szCs w:val="20"/>
        </w:rPr>
        <w:fldChar w:fldCharType="end"/>
      </w:r>
      <w:r w:rsidR="005F774D" w:rsidRPr="0068236B">
        <w:rPr>
          <w:rFonts w:eastAsia="Calibri"/>
          <w:b w:val="0"/>
          <w:szCs w:val="20"/>
        </w:rPr>
        <w:t xml:space="preserve">: </w:t>
      </w:r>
      <w:r w:rsidRPr="0068236B">
        <w:rPr>
          <w:rFonts w:eastAsia="Calibri"/>
          <w:b w:val="0"/>
          <w:szCs w:val="20"/>
        </w:rPr>
        <w:t xml:space="preserve">Criteria for assessment of magnitude of impact on </w:t>
      </w:r>
      <w:bookmarkEnd w:id="436"/>
      <w:bookmarkEnd w:id="437"/>
      <w:r w:rsidRPr="0068236B">
        <w:rPr>
          <w:rFonts w:eastAsia="Calibri"/>
          <w:b w:val="0"/>
          <w:szCs w:val="20"/>
        </w:rPr>
        <w:t>hydrological resources</w:t>
      </w:r>
      <w:bookmarkEnd w:id="438"/>
      <w:bookmarkEnd w:id="439"/>
      <w:bookmarkEnd w:id="440"/>
    </w:p>
    <w:p w14:paraId="6F7964AA" w14:textId="77777777" w:rsidR="003B46E3" w:rsidRPr="0068236B" w:rsidRDefault="003B46E3" w:rsidP="003B46E3">
      <w:pPr>
        <w:pStyle w:val="Heading4"/>
        <w:spacing w:line="240" w:lineRule="auto"/>
        <w:ind w:left="1843" w:hanging="1123"/>
        <w:rPr>
          <w:sz w:val="20"/>
        </w:rPr>
      </w:pPr>
      <w:bookmarkStart w:id="442" w:name="_Toc65936722"/>
      <w:bookmarkEnd w:id="441"/>
      <w:r w:rsidRPr="0068236B">
        <w:rPr>
          <w:sz w:val="20"/>
        </w:rPr>
        <w:t>Impact Significance</w:t>
      </w:r>
      <w:bookmarkEnd w:id="442"/>
    </w:p>
    <w:p w14:paraId="1F17B982" w14:textId="77777777" w:rsidR="003B46E3" w:rsidRPr="0068236B" w:rsidRDefault="003B46E3" w:rsidP="003B46E3">
      <w:pPr>
        <w:rPr>
          <w:rFonts w:cs="Tahoma"/>
          <w:sz w:val="20"/>
          <w:szCs w:val="20"/>
        </w:rPr>
      </w:pPr>
      <w:r w:rsidRPr="0068236B">
        <w:rPr>
          <w:rFonts w:cs="Tahoma"/>
          <w:sz w:val="20"/>
          <w:szCs w:val="20"/>
        </w:rPr>
        <w:t>The significance of effects is assessed as a combination of sensitivity and magnitude as presented in the following Tables.</w:t>
      </w:r>
    </w:p>
    <w:p w14:paraId="0FC3F91B" w14:textId="6C382BF7" w:rsidR="00EB5EEF" w:rsidRPr="0068236B" w:rsidRDefault="00EB5EEF"/>
    <w:tbl>
      <w:tblPr>
        <w:tblW w:w="850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418"/>
        <w:gridCol w:w="1134"/>
        <w:gridCol w:w="1434"/>
        <w:gridCol w:w="1685"/>
        <w:gridCol w:w="1417"/>
        <w:gridCol w:w="1418"/>
      </w:tblGrid>
      <w:tr w:rsidR="00522A12" w:rsidRPr="0068236B" w14:paraId="4FECEA0D" w14:textId="77777777" w:rsidTr="00522A12">
        <w:trPr>
          <w:cantSplit/>
          <w:trHeight w:val="20"/>
          <w:tblHeader/>
        </w:trPr>
        <w:tc>
          <w:tcPr>
            <w:tcW w:w="1418" w:type="dxa"/>
            <w:vMerge w:val="restart"/>
            <w:tcBorders>
              <w:top w:val="double" w:sz="4" w:space="0" w:color="auto"/>
              <w:bottom w:val="double" w:sz="4" w:space="0" w:color="auto"/>
              <w:right w:val="double" w:sz="4" w:space="0" w:color="auto"/>
            </w:tcBorders>
            <w:shd w:val="clear" w:color="auto" w:fill="B4C6E7" w:themeFill="accent1" w:themeFillTint="66"/>
            <w:vAlign w:val="center"/>
          </w:tcPr>
          <w:p w14:paraId="6C346B58" w14:textId="35CCE041" w:rsidR="003B46E3" w:rsidRPr="0068236B" w:rsidRDefault="003B46E3" w:rsidP="003B46E3">
            <w:pPr>
              <w:spacing w:before="0" w:after="0" w:line="240" w:lineRule="auto"/>
              <w:jc w:val="center"/>
              <w:rPr>
                <w:rFonts w:cs="Tahoma"/>
                <w:sz w:val="20"/>
                <w:szCs w:val="20"/>
              </w:rPr>
            </w:pPr>
            <w:r w:rsidRPr="0068236B">
              <w:rPr>
                <w:rFonts w:cs="Tahoma"/>
                <w:bCs/>
                <w:sz w:val="20"/>
                <w:szCs w:val="20"/>
              </w:rPr>
              <w:t>Receptor sensitivity</w:t>
            </w:r>
          </w:p>
        </w:tc>
        <w:tc>
          <w:tcPr>
            <w:tcW w:w="7088" w:type="dxa"/>
            <w:gridSpan w:val="5"/>
            <w:tcBorders>
              <w:top w:val="double" w:sz="4" w:space="0" w:color="auto"/>
              <w:left w:val="double" w:sz="4" w:space="0" w:color="auto"/>
              <w:bottom w:val="double" w:sz="4" w:space="0" w:color="auto"/>
            </w:tcBorders>
            <w:shd w:val="clear" w:color="auto" w:fill="B4C6E7" w:themeFill="accent1" w:themeFillTint="66"/>
            <w:vAlign w:val="center"/>
            <w:hideMark/>
          </w:tcPr>
          <w:p w14:paraId="3206F4DF" w14:textId="77777777" w:rsidR="003B46E3" w:rsidRPr="0068236B" w:rsidRDefault="003B46E3" w:rsidP="003B46E3">
            <w:pPr>
              <w:spacing w:before="0" w:after="0" w:line="240" w:lineRule="auto"/>
              <w:jc w:val="center"/>
              <w:rPr>
                <w:rFonts w:cs="Tahoma"/>
                <w:bCs/>
                <w:sz w:val="20"/>
                <w:szCs w:val="20"/>
              </w:rPr>
            </w:pPr>
            <w:r w:rsidRPr="0068236B">
              <w:rPr>
                <w:rFonts w:cs="Tahoma"/>
                <w:bCs/>
                <w:sz w:val="20"/>
                <w:szCs w:val="20"/>
              </w:rPr>
              <w:t>Impact magnitude</w:t>
            </w:r>
          </w:p>
        </w:tc>
      </w:tr>
      <w:tr w:rsidR="003B46E3" w:rsidRPr="0068236B" w14:paraId="0C355C23" w14:textId="77777777" w:rsidTr="003B46E3">
        <w:trPr>
          <w:cantSplit/>
          <w:trHeight w:val="20"/>
          <w:tblHeader/>
        </w:trPr>
        <w:tc>
          <w:tcPr>
            <w:tcW w:w="1418" w:type="dxa"/>
            <w:vMerge/>
            <w:tcBorders>
              <w:top w:val="double" w:sz="4" w:space="0" w:color="auto"/>
              <w:bottom w:val="double" w:sz="4" w:space="0" w:color="auto"/>
              <w:right w:val="double" w:sz="4" w:space="0" w:color="auto"/>
            </w:tcBorders>
            <w:shd w:val="clear" w:color="auto" w:fill="44697D"/>
            <w:vAlign w:val="center"/>
          </w:tcPr>
          <w:p w14:paraId="4EDBC2CC" w14:textId="77777777" w:rsidR="003B46E3" w:rsidRPr="0068236B" w:rsidRDefault="003B46E3" w:rsidP="003B46E3">
            <w:pPr>
              <w:spacing w:before="0" w:after="0" w:line="240" w:lineRule="auto"/>
              <w:ind w:left="33"/>
              <w:jc w:val="center"/>
              <w:rPr>
                <w:rFonts w:cs="Tahoma"/>
                <w:b/>
                <w:color w:val="FFFFFF" w:themeColor="background1"/>
                <w:sz w:val="20"/>
                <w:szCs w:val="20"/>
              </w:rPr>
            </w:pPr>
          </w:p>
        </w:tc>
        <w:tc>
          <w:tcPr>
            <w:tcW w:w="1134"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5FCCF049" w14:textId="77777777" w:rsidR="003B46E3" w:rsidRPr="0068236B" w:rsidRDefault="003B46E3" w:rsidP="003B46E3">
            <w:pPr>
              <w:spacing w:before="0" w:after="0" w:line="240" w:lineRule="auto"/>
              <w:ind w:left="33"/>
              <w:jc w:val="center"/>
              <w:rPr>
                <w:rFonts w:cs="Tahoma"/>
                <w:bCs/>
                <w:sz w:val="20"/>
                <w:szCs w:val="20"/>
              </w:rPr>
            </w:pPr>
            <w:r w:rsidRPr="0068236B">
              <w:rPr>
                <w:rFonts w:cs="Tahoma"/>
                <w:bCs/>
                <w:sz w:val="20"/>
                <w:szCs w:val="20"/>
              </w:rPr>
              <w:t>High</w:t>
            </w:r>
          </w:p>
        </w:tc>
        <w:tc>
          <w:tcPr>
            <w:tcW w:w="1434"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542B1B1A" w14:textId="77777777" w:rsidR="003B46E3" w:rsidRPr="0068236B" w:rsidRDefault="003B46E3" w:rsidP="003B46E3">
            <w:pPr>
              <w:spacing w:before="0" w:after="0" w:line="240" w:lineRule="auto"/>
              <w:ind w:left="33"/>
              <w:jc w:val="center"/>
              <w:rPr>
                <w:rFonts w:cs="Tahoma"/>
                <w:bCs/>
                <w:sz w:val="20"/>
                <w:szCs w:val="20"/>
              </w:rPr>
            </w:pPr>
            <w:r w:rsidRPr="0068236B">
              <w:rPr>
                <w:rFonts w:cs="Tahoma"/>
                <w:bCs/>
                <w:sz w:val="20"/>
                <w:szCs w:val="20"/>
              </w:rPr>
              <w:t>Medium</w:t>
            </w:r>
          </w:p>
        </w:tc>
        <w:tc>
          <w:tcPr>
            <w:tcW w:w="1685"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14BB9495" w14:textId="77777777" w:rsidR="003B46E3" w:rsidRPr="0068236B" w:rsidRDefault="003B46E3" w:rsidP="003B46E3">
            <w:pPr>
              <w:spacing w:before="0" w:after="0" w:line="240" w:lineRule="auto"/>
              <w:ind w:left="33"/>
              <w:jc w:val="center"/>
              <w:rPr>
                <w:rFonts w:cs="Tahoma"/>
                <w:bCs/>
                <w:sz w:val="20"/>
                <w:szCs w:val="20"/>
              </w:rPr>
            </w:pPr>
            <w:r w:rsidRPr="0068236B">
              <w:rPr>
                <w:rFonts w:cs="Tahoma"/>
                <w:bCs/>
                <w:sz w:val="20"/>
                <w:szCs w:val="20"/>
              </w:rPr>
              <w:t>Low</w:t>
            </w:r>
          </w:p>
        </w:tc>
        <w:tc>
          <w:tcPr>
            <w:tcW w:w="1417"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7B3FCD53" w14:textId="77777777" w:rsidR="003B46E3" w:rsidRPr="0068236B" w:rsidRDefault="003B46E3" w:rsidP="003B46E3">
            <w:pPr>
              <w:spacing w:before="0" w:after="0" w:line="240" w:lineRule="auto"/>
              <w:ind w:left="33"/>
              <w:jc w:val="center"/>
              <w:rPr>
                <w:rFonts w:cs="Tahoma"/>
                <w:bCs/>
                <w:sz w:val="20"/>
                <w:szCs w:val="20"/>
              </w:rPr>
            </w:pPr>
            <w:r w:rsidRPr="0068236B">
              <w:rPr>
                <w:rFonts w:cs="Tahoma"/>
                <w:bCs/>
                <w:sz w:val="20"/>
                <w:szCs w:val="20"/>
              </w:rPr>
              <w:t>Very low</w:t>
            </w:r>
          </w:p>
        </w:tc>
        <w:tc>
          <w:tcPr>
            <w:tcW w:w="1418" w:type="dxa"/>
            <w:tcBorders>
              <w:top w:val="double" w:sz="4" w:space="0" w:color="auto"/>
              <w:left w:val="double" w:sz="4" w:space="0" w:color="auto"/>
              <w:bottom w:val="double" w:sz="4" w:space="0" w:color="auto"/>
            </w:tcBorders>
            <w:shd w:val="clear" w:color="auto" w:fill="BFBFBF" w:themeFill="background1" w:themeFillShade="BF"/>
            <w:vAlign w:val="center"/>
            <w:hideMark/>
          </w:tcPr>
          <w:p w14:paraId="59B4E801" w14:textId="77777777" w:rsidR="003B46E3" w:rsidRPr="0068236B" w:rsidRDefault="003B46E3" w:rsidP="003B46E3">
            <w:pPr>
              <w:spacing w:before="0" w:after="0" w:line="240" w:lineRule="auto"/>
              <w:ind w:left="33"/>
              <w:jc w:val="center"/>
              <w:rPr>
                <w:rFonts w:cs="Tahoma"/>
                <w:bCs/>
                <w:sz w:val="20"/>
                <w:szCs w:val="20"/>
              </w:rPr>
            </w:pPr>
            <w:r w:rsidRPr="0068236B">
              <w:rPr>
                <w:rFonts w:cs="Tahoma"/>
                <w:bCs/>
                <w:sz w:val="20"/>
                <w:szCs w:val="20"/>
              </w:rPr>
              <w:t>None</w:t>
            </w:r>
          </w:p>
        </w:tc>
      </w:tr>
      <w:tr w:rsidR="003B46E3" w:rsidRPr="0068236B" w14:paraId="3E848A75" w14:textId="77777777" w:rsidTr="003B46E3">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761C6229" w14:textId="77777777" w:rsidR="003B46E3" w:rsidRPr="0068236B" w:rsidRDefault="003B46E3" w:rsidP="003B46E3">
            <w:pPr>
              <w:pStyle w:val="Default"/>
              <w:rPr>
                <w:rFonts w:ascii="Tahoma" w:hAnsi="Tahoma" w:cs="Tahoma"/>
                <w:color w:val="auto"/>
                <w:sz w:val="20"/>
                <w:szCs w:val="20"/>
              </w:rPr>
            </w:pPr>
            <w:r w:rsidRPr="0068236B">
              <w:rPr>
                <w:rFonts w:ascii="Tahoma" w:hAnsi="Tahoma" w:cs="Tahoma"/>
                <w:bCs/>
                <w:color w:val="auto"/>
                <w:sz w:val="20"/>
                <w:szCs w:val="20"/>
              </w:rPr>
              <w:t xml:space="preserve">Very high </w:t>
            </w:r>
          </w:p>
        </w:tc>
        <w:tc>
          <w:tcPr>
            <w:tcW w:w="1134" w:type="dxa"/>
            <w:tcBorders>
              <w:top w:val="double" w:sz="4" w:space="0" w:color="auto"/>
              <w:left w:val="double" w:sz="4" w:space="0" w:color="auto"/>
            </w:tcBorders>
            <w:shd w:val="clear" w:color="auto" w:fill="auto"/>
            <w:vAlign w:val="center"/>
            <w:hideMark/>
          </w:tcPr>
          <w:p w14:paraId="39EEA89E" w14:textId="77777777" w:rsidR="003B46E3" w:rsidRPr="0068236B" w:rsidRDefault="003B46E3" w:rsidP="003B46E3">
            <w:pPr>
              <w:spacing w:before="0" w:after="0" w:line="240" w:lineRule="auto"/>
              <w:jc w:val="center"/>
              <w:rPr>
                <w:rFonts w:cs="Tahoma"/>
                <w:color w:val="000000"/>
                <w:sz w:val="20"/>
                <w:szCs w:val="20"/>
              </w:rPr>
            </w:pPr>
            <w:r w:rsidRPr="0068236B">
              <w:rPr>
                <w:rFonts w:cs="Tahoma"/>
                <w:color w:val="000000"/>
                <w:sz w:val="20"/>
                <w:szCs w:val="20"/>
              </w:rPr>
              <w:t>Major</w:t>
            </w:r>
          </w:p>
        </w:tc>
        <w:tc>
          <w:tcPr>
            <w:tcW w:w="1434" w:type="dxa"/>
            <w:tcBorders>
              <w:top w:val="double" w:sz="4" w:space="0" w:color="auto"/>
            </w:tcBorders>
            <w:shd w:val="clear" w:color="auto" w:fill="auto"/>
            <w:vAlign w:val="center"/>
            <w:hideMark/>
          </w:tcPr>
          <w:p w14:paraId="13C79AA1" w14:textId="77777777" w:rsidR="003B46E3" w:rsidRPr="0068236B" w:rsidRDefault="003B46E3" w:rsidP="003B46E3">
            <w:pPr>
              <w:spacing w:before="0" w:after="0" w:line="240" w:lineRule="auto"/>
              <w:jc w:val="center"/>
              <w:rPr>
                <w:rFonts w:cs="Tahoma"/>
                <w:color w:val="000000"/>
                <w:sz w:val="20"/>
                <w:szCs w:val="20"/>
              </w:rPr>
            </w:pPr>
            <w:r w:rsidRPr="0068236B">
              <w:rPr>
                <w:rFonts w:cs="Tahoma"/>
                <w:color w:val="000000"/>
                <w:sz w:val="20"/>
                <w:szCs w:val="20"/>
              </w:rPr>
              <w:t>Major</w:t>
            </w:r>
          </w:p>
        </w:tc>
        <w:tc>
          <w:tcPr>
            <w:tcW w:w="1685" w:type="dxa"/>
            <w:tcBorders>
              <w:top w:val="double" w:sz="4" w:space="0" w:color="auto"/>
            </w:tcBorders>
            <w:shd w:val="clear" w:color="auto" w:fill="auto"/>
            <w:vAlign w:val="center"/>
            <w:hideMark/>
          </w:tcPr>
          <w:p w14:paraId="6B83D52C" w14:textId="77777777" w:rsidR="003B46E3" w:rsidRPr="0068236B" w:rsidRDefault="003B46E3" w:rsidP="003B46E3">
            <w:pPr>
              <w:spacing w:before="0" w:after="0" w:line="240" w:lineRule="auto"/>
              <w:jc w:val="center"/>
              <w:rPr>
                <w:rFonts w:cs="Tahoma"/>
                <w:color w:val="000000"/>
                <w:sz w:val="20"/>
                <w:szCs w:val="20"/>
              </w:rPr>
            </w:pPr>
            <w:r w:rsidRPr="0068236B">
              <w:rPr>
                <w:rFonts w:cs="Tahoma"/>
                <w:color w:val="000000"/>
                <w:sz w:val="20"/>
                <w:szCs w:val="20"/>
              </w:rPr>
              <w:t>Moderate</w:t>
            </w:r>
          </w:p>
        </w:tc>
        <w:tc>
          <w:tcPr>
            <w:tcW w:w="1417" w:type="dxa"/>
            <w:tcBorders>
              <w:top w:val="double" w:sz="4" w:space="0" w:color="auto"/>
            </w:tcBorders>
            <w:shd w:val="clear" w:color="auto" w:fill="auto"/>
            <w:vAlign w:val="center"/>
            <w:hideMark/>
          </w:tcPr>
          <w:p w14:paraId="3B95EC26" w14:textId="77777777" w:rsidR="003B46E3" w:rsidRPr="0068236B" w:rsidRDefault="003B46E3" w:rsidP="003B46E3">
            <w:pPr>
              <w:spacing w:before="0" w:after="0" w:line="240" w:lineRule="auto"/>
              <w:jc w:val="center"/>
              <w:rPr>
                <w:rFonts w:cs="Tahoma"/>
                <w:color w:val="000000"/>
                <w:sz w:val="20"/>
                <w:szCs w:val="20"/>
              </w:rPr>
            </w:pPr>
            <w:r w:rsidRPr="0068236B">
              <w:rPr>
                <w:rFonts w:cs="Tahoma"/>
                <w:color w:val="000000"/>
                <w:sz w:val="20"/>
                <w:szCs w:val="20"/>
              </w:rPr>
              <w:t>Moderate</w:t>
            </w:r>
          </w:p>
        </w:tc>
        <w:tc>
          <w:tcPr>
            <w:tcW w:w="1418" w:type="dxa"/>
            <w:tcBorders>
              <w:top w:val="double" w:sz="4" w:space="0" w:color="auto"/>
            </w:tcBorders>
            <w:shd w:val="clear" w:color="auto" w:fill="auto"/>
            <w:vAlign w:val="center"/>
            <w:hideMark/>
          </w:tcPr>
          <w:p w14:paraId="01914EB1" w14:textId="77777777" w:rsidR="003B46E3" w:rsidRPr="0068236B" w:rsidRDefault="003B46E3" w:rsidP="003B46E3">
            <w:pPr>
              <w:spacing w:before="0" w:after="0" w:line="240" w:lineRule="auto"/>
              <w:jc w:val="center"/>
              <w:rPr>
                <w:rFonts w:cs="Tahoma"/>
                <w:color w:val="000000"/>
                <w:sz w:val="20"/>
                <w:szCs w:val="20"/>
              </w:rPr>
            </w:pPr>
            <w:r w:rsidRPr="0068236B">
              <w:rPr>
                <w:rFonts w:cs="Tahoma"/>
                <w:bCs/>
                <w:color w:val="000000"/>
                <w:sz w:val="20"/>
                <w:szCs w:val="20"/>
              </w:rPr>
              <w:t>Negligible</w:t>
            </w:r>
          </w:p>
        </w:tc>
      </w:tr>
      <w:tr w:rsidR="003B46E3" w:rsidRPr="0068236B" w14:paraId="2014403F" w14:textId="77777777" w:rsidTr="003B46E3">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7DC08025" w14:textId="77777777" w:rsidR="003B46E3" w:rsidRPr="0068236B" w:rsidRDefault="003B46E3" w:rsidP="003B46E3">
            <w:pPr>
              <w:pStyle w:val="Default"/>
              <w:rPr>
                <w:rFonts w:ascii="Tahoma" w:hAnsi="Tahoma" w:cs="Tahoma"/>
                <w:color w:val="auto"/>
                <w:sz w:val="20"/>
                <w:szCs w:val="20"/>
              </w:rPr>
            </w:pPr>
            <w:r w:rsidRPr="0068236B">
              <w:rPr>
                <w:rFonts w:ascii="Tahoma" w:hAnsi="Tahoma" w:cs="Tahoma"/>
                <w:bCs/>
                <w:color w:val="auto"/>
                <w:sz w:val="20"/>
                <w:szCs w:val="20"/>
              </w:rPr>
              <w:t xml:space="preserve">High </w:t>
            </w:r>
          </w:p>
        </w:tc>
        <w:tc>
          <w:tcPr>
            <w:tcW w:w="1134" w:type="dxa"/>
            <w:tcBorders>
              <w:left w:val="double" w:sz="4" w:space="0" w:color="auto"/>
            </w:tcBorders>
            <w:shd w:val="clear" w:color="auto" w:fill="auto"/>
            <w:vAlign w:val="center"/>
            <w:hideMark/>
          </w:tcPr>
          <w:p w14:paraId="5D010858" w14:textId="77777777" w:rsidR="003B46E3" w:rsidRPr="0068236B" w:rsidRDefault="003B46E3" w:rsidP="003B46E3">
            <w:pPr>
              <w:spacing w:before="0" w:after="0" w:line="240" w:lineRule="auto"/>
              <w:jc w:val="center"/>
              <w:rPr>
                <w:rFonts w:cs="Tahoma"/>
                <w:color w:val="000000"/>
                <w:sz w:val="20"/>
                <w:szCs w:val="20"/>
              </w:rPr>
            </w:pPr>
            <w:r w:rsidRPr="0068236B">
              <w:rPr>
                <w:rFonts w:cs="Tahoma"/>
                <w:color w:val="000000"/>
                <w:sz w:val="20"/>
                <w:szCs w:val="20"/>
              </w:rPr>
              <w:t>Major</w:t>
            </w:r>
          </w:p>
        </w:tc>
        <w:tc>
          <w:tcPr>
            <w:tcW w:w="1434" w:type="dxa"/>
            <w:shd w:val="clear" w:color="auto" w:fill="auto"/>
            <w:hideMark/>
          </w:tcPr>
          <w:p w14:paraId="0BAA1062" w14:textId="77777777" w:rsidR="003B46E3" w:rsidRPr="0068236B" w:rsidRDefault="003B46E3" w:rsidP="003B46E3">
            <w:pPr>
              <w:spacing w:before="0" w:after="0" w:line="240" w:lineRule="auto"/>
              <w:jc w:val="center"/>
              <w:rPr>
                <w:rFonts w:cs="Tahoma"/>
                <w:sz w:val="20"/>
                <w:szCs w:val="20"/>
              </w:rPr>
            </w:pPr>
            <w:r w:rsidRPr="0068236B">
              <w:rPr>
                <w:rFonts w:cs="Tahoma"/>
                <w:color w:val="000000"/>
                <w:sz w:val="20"/>
                <w:szCs w:val="20"/>
              </w:rPr>
              <w:t>Moderate</w:t>
            </w:r>
          </w:p>
        </w:tc>
        <w:tc>
          <w:tcPr>
            <w:tcW w:w="1685" w:type="dxa"/>
            <w:shd w:val="clear" w:color="auto" w:fill="auto"/>
            <w:hideMark/>
          </w:tcPr>
          <w:p w14:paraId="16432F1C" w14:textId="77777777" w:rsidR="003B46E3" w:rsidRPr="0068236B" w:rsidRDefault="003B46E3" w:rsidP="003B46E3">
            <w:pPr>
              <w:spacing w:before="0" w:after="0" w:line="240" w:lineRule="auto"/>
              <w:jc w:val="center"/>
              <w:rPr>
                <w:rFonts w:cs="Tahoma"/>
                <w:sz w:val="20"/>
                <w:szCs w:val="20"/>
              </w:rPr>
            </w:pPr>
            <w:r w:rsidRPr="0068236B">
              <w:rPr>
                <w:rFonts w:cs="Tahoma"/>
                <w:color w:val="000000"/>
                <w:sz w:val="20"/>
                <w:szCs w:val="20"/>
              </w:rPr>
              <w:t>Moderate</w:t>
            </w:r>
          </w:p>
        </w:tc>
        <w:tc>
          <w:tcPr>
            <w:tcW w:w="1417" w:type="dxa"/>
            <w:shd w:val="clear" w:color="auto" w:fill="auto"/>
            <w:vAlign w:val="center"/>
            <w:hideMark/>
          </w:tcPr>
          <w:p w14:paraId="2A72FECB" w14:textId="77777777" w:rsidR="003B46E3" w:rsidRPr="0068236B" w:rsidRDefault="003B46E3" w:rsidP="003B46E3">
            <w:pPr>
              <w:spacing w:before="0" w:after="0" w:line="240" w:lineRule="auto"/>
              <w:ind w:left="-108"/>
              <w:jc w:val="center"/>
              <w:rPr>
                <w:rFonts w:cs="Tahoma"/>
                <w:color w:val="000000"/>
                <w:sz w:val="20"/>
                <w:szCs w:val="20"/>
              </w:rPr>
            </w:pPr>
            <w:r w:rsidRPr="0068236B">
              <w:rPr>
                <w:rFonts w:cs="Tahoma"/>
                <w:color w:val="000000"/>
                <w:sz w:val="20"/>
                <w:szCs w:val="20"/>
              </w:rPr>
              <w:t>Minor</w:t>
            </w:r>
          </w:p>
        </w:tc>
        <w:tc>
          <w:tcPr>
            <w:tcW w:w="1418" w:type="dxa"/>
            <w:shd w:val="clear" w:color="auto" w:fill="auto"/>
            <w:hideMark/>
          </w:tcPr>
          <w:p w14:paraId="18A57F60" w14:textId="77777777" w:rsidR="003B46E3" w:rsidRPr="0068236B" w:rsidRDefault="003B46E3" w:rsidP="003B46E3">
            <w:pPr>
              <w:spacing w:before="0" w:after="0" w:line="240" w:lineRule="auto"/>
              <w:jc w:val="center"/>
              <w:rPr>
                <w:rFonts w:cs="Tahoma"/>
                <w:sz w:val="20"/>
                <w:szCs w:val="20"/>
              </w:rPr>
            </w:pPr>
            <w:r w:rsidRPr="0068236B">
              <w:rPr>
                <w:rFonts w:cs="Tahoma"/>
                <w:bCs/>
                <w:color w:val="000000"/>
                <w:sz w:val="20"/>
                <w:szCs w:val="20"/>
              </w:rPr>
              <w:t>Negligible</w:t>
            </w:r>
          </w:p>
        </w:tc>
      </w:tr>
      <w:tr w:rsidR="003B46E3" w:rsidRPr="0068236B" w14:paraId="3834369B" w14:textId="77777777" w:rsidTr="003B46E3">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43F17778" w14:textId="77777777" w:rsidR="003B46E3" w:rsidRPr="0068236B" w:rsidRDefault="003B46E3" w:rsidP="003B46E3">
            <w:pPr>
              <w:pStyle w:val="Default"/>
              <w:rPr>
                <w:rFonts w:ascii="Tahoma" w:hAnsi="Tahoma" w:cs="Tahoma"/>
                <w:color w:val="auto"/>
                <w:sz w:val="20"/>
                <w:szCs w:val="20"/>
              </w:rPr>
            </w:pPr>
            <w:r w:rsidRPr="0068236B">
              <w:rPr>
                <w:rFonts w:ascii="Tahoma" w:hAnsi="Tahoma" w:cs="Tahoma"/>
                <w:bCs/>
                <w:color w:val="auto"/>
                <w:sz w:val="20"/>
                <w:szCs w:val="20"/>
              </w:rPr>
              <w:t xml:space="preserve">Medium </w:t>
            </w:r>
          </w:p>
        </w:tc>
        <w:tc>
          <w:tcPr>
            <w:tcW w:w="1134" w:type="dxa"/>
            <w:tcBorders>
              <w:left w:val="double" w:sz="4" w:space="0" w:color="auto"/>
            </w:tcBorders>
            <w:shd w:val="clear" w:color="auto" w:fill="auto"/>
            <w:hideMark/>
          </w:tcPr>
          <w:p w14:paraId="2181147B" w14:textId="77777777" w:rsidR="003B46E3" w:rsidRPr="0068236B" w:rsidRDefault="003B46E3" w:rsidP="003B46E3">
            <w:pPr>
              <w:spacing w:before="0" w:after="0" w:line="240" w:lineRule="auto"/>
              <w:jc w:val="center"/>
              <w:rPr>
                <w:rFonts w:cs="Tahoma"/>
                <w:sz w:val="20"/>
                <w:szCs w:val="20"/>
              </w:rPr>
            </w:pPr>
            <w:r w:rsidRPr="0068236B">
              <w:rPr>
                <w:rFonts w:cs="Tahoma"/>
                <w:color w:val="000000"/>
                <w:sz w:val="20"/>
                <w:szCs w:val="20"/>
              </w:rPr>
              <w:t>Moderate</w:t>
            </w:r>
          </w:p>
        </w:tc>
        <w:tc>
          <w:tcPr>
            <w:tcW w:w="1434" w:type="dxa"/>
            <w:shd w:val="clear" w:color="auto" w:fill="auto"/>
            <w:hideMark/>
          </w:tcPr>
          <w:p w14:paraId="6FFB7D03" w14:textId="77777777" w:rsidR="003B46E3" w:rsidRPr="0068236B" w:rsidRDefault="003B46E3" w:rsidP="003B46E3">
            <w:pPr>
              <w:spacing w:before="0" w:after="0" w:line="240" w:lineRule="auto"/>
              <w:jc w:val="center"/>
              <w:rPr>
                <w:rFonts w:cs="Tahoma"/>
                <w:sz w:val="20"/>
                <w:szCs w:val="20"/>
              </w:rPr>
            </w:pPr>
            <w:r w:rsidRPr="0068236B">
              <w:rPr>
                <w:rFonts w:cs="Tahoma"/>
                <w:color w:val="000000"/>
                <w:sz w:val="20"/>
                <w:szCs w:val="20"/>
              </w:rPr>
              <w:t>Moderate</w:t>
            </w:r>
          </w:p>
        </w:tc>
        <w:tc>
          <w:tcPr>
            <w:tcW w:w="1685" w:type="dxa"/>
            <w:shd w:val="clear" w:color="auto" w:fill="auto"/>
            <w:hideMark/>
          </w:tcPr>
          <w:p w14:paraId="1DF7BD20" w14:textId="77777777" w:rsidR="003B46E3" w:rsidRPr="0068236B" w:rsidRDefault="003B46E3" w:rsidP="003B46E3">
            <w:pPr>
              <w:spacing w:before="0" w:after="0" w:line="240" w:lineRule="auto"/>
              <w:jc w:val="center"/>
              <w:rPr>
                <w:rFonts w:cs="Tahoma"/>
                <w:sz w:val="20"/>
                <w:szCs w:val="20"/>
              </w:rPr>
            </w:pPr>
            <w:r w:rsidRPr="0068236B">
              <w:rPr>
                <w:rFonts w:cs="Tahoma"/>
                <w:color w:val="000000"/>
                <w:sz w:val="20"/>
                <w:szCs w:val="20"/>
              </w:rPr>
              <w:t>Minor</w:t>
            </w:r>
          </w:p>
        </w:tc>
        <w:tc>
          <w:tcPr>
            <w:tcW w:w="1417" w:type="dxa"/>
            <w:shd w:val="clear" w:color="auto" w:fill="auto"/>
            <w:hideMark/>
          </w:tcPr>
          <w:p w14:paraId="441F30CB" w14:textId="77777777" w:rsidR="003B46E3" w:rsidRPr="0068236B" w:rsidRDefault="003B46E3" w:rsidP="003B46E3">
            <w:pPr>
              <w:spacing w:before="0" w:after="0" w:line="240" w:lineRule="auto"/>
              <w:jc w:val="center"/>
              <w:rPr>
                <w:rFonts w:cs="Tahoma"/>
                <w:sz w:val="20"/>
                <w:szCs w:val="20"/>
              </w:rPr>
            </w:pPr>
            <w:r w:rsidRPr="0068236B">
              <w:rPr>
                <w:rFonts w:cs="Tahoma"/>
                <w:color w:val="000000"/>
                <w:sz w:val="20"/>
                <w:szCs w:val="20"/>
              </w:rPr>
              <w:t>Minor</w:t>
            </w:r>
          </w:p>
        </w:tc>
        <w:tc>
          <w:tcPr>
            <w:tcW w:w="1418" w:type="dxa"/>
            <w:shd w:val="clear" w:color="auto" w:fill="auto"/>
            <w:hideMark/>
          </w:tcPr>
          <w:p w14:paraId="7B9FB01D" w14:textId="77777777" w:rsidR="003B46E3" w:rsidRPr="0068236B" w:rsidRDefault="003B46E3" w:rsidP="003B46E3">
            <w:pPr>
              <w:spacing w:before="0" w:after="0" w:line="240" w:lineRule="auto"/>
              <w:jc w:val="center"/>
              <w:rPr>
                <w:rFonts w:cs="Tahoma"/>
                <w:sz w:val="20"/>
                <w:szCs w:val="20"/>
              </w:rPr>
            </w:pPr>
            <w:r w:rsidRPr="0068236B">
              <w:rPr>
                <w:rFonts w:cs="Tahoma"/>
                <w:bCs/>
                <w:color w:val="000000"/>
                <w:sz w:val="20"/>
                <w:szCs w:val="20"/>
              </w:rPr>
              <w:t>Negligible</w:t>
            </w:r>
          </w:p>
        </w:tc>
      </w:tr>
      <w:tr w:rsidR="003B46E3" w:rsidRPr="0068236B" w14:paraId="4272A08B" w14:textId="77777777" w:rsidTr="003B46E3">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461FABB4" w14:textId="77777777" w:rsidR="003B46E3" w:rsidRPr="0068236B" w:rsidRDefault="003B46E3" w:rsidP="003B46E3">
            <w:pPr>
              <w:pStyle w:val="Default"/>
              <w:rPr>
                <w:rFonts w:ascii="Tahoma" w:hAnsi="Tahoma" w:cs="Tahoma"/>
                <w:color w:val="auto"/>
                <w:sz w:val="20"/>
                <w:szCs w:val="20"/>
              </w:rPr>
            </w:pPr>
            <w:r w:rsidRPr="0068236B">
              <w:rPr>
                <w:rFonts w:ascii="Tahoma" w:hAnsi="Tahoma" w:cs="Tahoma"/>
                <w:bCs/>
                <w:color w:val="auto"/>
                <w:sz w:val="20"/>
                <w:szCs w:val="20"/>
              </w:rPr>
              <w:t xml:space="preserve">Low </w:t>
            </w:r>
          </w:p>
        </w:tc>
        <w:tc>
          <w:tcPr>
            <w:tcW w:w="1134" w:type="dxa"/>
            <w:tcBorders>
              <w:left w:val="double" w:sz="4" w:space="0" w:color="auto"/>
            </w:tcBorders>
            <w:shd w:val="clear" w:color="auto" w:fill="auto"/>
            <w:hideMark/>
          </w:tcPr>
          <w:p w14:paraId="480AF899" w14:textId="77777777" w:rsidR="003B46E3" w:rsidRPr="0068236B" w:rsidRDefault="003B46E3" w:rsidP="003B46E3">
            <w:pPr>
              <w:spacing w:before="0" w:after="0" w:line="240" w:lineRule="auto"/>
              <w:jc w:val="center"/>
              <w:rPr>
                <w:rFonts w:cs="Tahoma"/>
                <w:sz w:val="20"/>
                <w:szCs w:val="20"/>
              </w:rPr>
            </w:pPr>
            <w:r w:rsidRPr="0068236B">
              <w:rPr>
                <w:rFonts w:cs="Tahoma"/>
                <w:color w:val="000000"/>
                <w:sz w:val="20"/>
                <w:szCs w:val="20"/>
              </w:rPr>
              <w:t>Minor</w:t>
            </w:r>
          </w:p>
        </w:tc>
        <w:tc>
          <w:tcPr>
            <w:tcW w:w="1434" w:type="dxa"/>
            <w:shd w:val="clear" w:color="auto" w:fill="auto"/>
            <w:hideMark/>
          </w:tcPr>
          <w:p w14:paraId="67EFE81C" w14:textId="77777777" w:rsidR="003B46E3" w:rsidRPr="0068236B" w:rsidRDefault="003B46E3" w:rsidP="003B46E3">
            <w:pPr>
              <w:spacing w:before="0" w:after="0" w:line="240" w:lineRule="auto"/>
              <w:jc w:val="center"/>
              <w:rPr>
                <w:rFonts w:cs="Tahoma"/>
                <w:sz w:val="20"/>
                <w:szCs w:val="20"/>
              </w:rPr>
            </w:pPr>
            <w:r w:rsidRPr="0068236B">
              <w:rPr>
                <w:rFonts w:cs="Tahoma"/>
                <w:color w:val="000000"/>
                <w:sz w:val="20"/>
                <w:szCs w:val="20"/>
              </w:rPr>
              <w:t>Minor</w:t>
            </w:r>
          </w:p>
        </w:tc>
        <w:tc>
          <w:tcPr>
            <w:tcW w:w="1685" w:type="dxa"/>
            <w:shd w:val="clear" w:color="auto" w:fill="auto"/>
            <w:hideMark/>
          </w:tcPr>
          <w:p w14:paraId="79A874E7" w14:textId="77777777" w:rsidR="003B46E3" w:rsidRPr="0068236B" w:rsidRDefault="003B46E3" w:rsidP="003B46E3">
            <w:pPr>
              <w:spacing w:before="0" w:after="0" w:line="240" w:lineRule="auto"/>
              <w:jc w:val="center"/>
              <w:rPr>
                <w:rFonts w:cs="Tahoma"/>
                <w:sz w:val="20"/>
                <w:szCs w:val="20"/>
              </w:rPr>
            </w:pPr>
            <w:r w:rsidRPr="0068236B">
              <w:rPr>
                <w:rFonts w:cs="Tahoma"/>
                <w:color w:val="000000"/>
                <w:sz w:val="20"/>
                <w:szCs w:val="20"/>
              </w:rPr>
              <w:t>Minor</w:t>
            </w:r>
          </w:p>
        </w:tc>
        <w:tc>
          <w:tcPr>
            <w:tcW w:w="1417" w:type="dxa"/>
            <w:shd w:val="clear" w:color="auto" w:fill="auto"/>
            <w:hideMark/>
          </w:tcPr>
          <w:p w14:paraId="4E99AFFD" w14:textId="77777777" w:rsidR="003B46E3" w:rsidRPr="0068236B" w:rsidRDefault="003B46E3" w:rsidP="003B46E3">
            <w:pPr>
              <w:spacing w:before="0" w:after="0" w:line="240" w:lineRule="auto"/>
              <w:jc w:val="center"/>
              <w:rPr>
                <w:rFonts w:cs="Tahoma"/>
                <w:sz w:val="20"/>
                <w:szCs w:val="20"/>
              </w:rPr>
            </w:pPr>
            <w:r w:rsidRPr="0068236B">
              <w:rPr>
                <w:rFonts w:cs="Tahoma"/>
                <w:bCs/>
                <w:color w:val="000000"/>
                <w:sz w:val="20"/>
                <w:szCs w:val="20"/>
              </w:rPr>
              <w:t>Negligible</w:t>
            </w:r>
          </w:p>
        </w:tc>
        <w:tc>
          <w:tcPr>
            <w:tcW w:w="1418" w:type="dxa"/>
            <w:shd w:val="clear" w:color="auto" w:fill="auto"/>
            <w:hideMark/>
          </w:tcPr>
          <w:p w14:paraId="7901504D" w14:textId="77777777" w:rsidR="003B46E3" w:rsidRPr="0068236B" w:rsidRDefault="003B46E3" w:rsidP="003B46E3">
            <w:pPr>
              <w:spacing w:before="0" w:after="0" w:line="240" w:lineRule="auto"/>
              <w:jc w:val="center"/>
              <w:rPr>
                <w:rFonts w:cs="Tahoma"/>
                <w:sz w:val="20"/>
                <w:szCs w:val="20"/>
              </w:rPr>
            </w:pPr>
            <w:r w:rsidRPr="0068236B">
              <w:rPr>
                <w:rFonts w:cs="Tahoma"/>
                <w:bCs/>
                <w:color w:val="000000"/>
                <w:sz w:val="20"/>
                <w:szCs w:val="20"/>
              </w:rPr>
              <w:t>Negligible</w:t>
            </w:r>
          </w:p>
        </w:tc>
      </w:tr>
      <w:tr w:rsidR="003B46E3" w:rsidRPr="0068236B" w14:paraId="629F208F" w14:textId="77777777" w:rsidTr="003B46E3">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4285D707" w14:textId="77777777" w:rsidR="003B46E3" w:rsidRPr="0068236B" w:rsidRDefault="003B46E3" w:rsidP="003B46E3">
            <w:pPr>
              <w:pStyle w:val="Default"/>
              <w:rPr>
                <w:rFonts w:ascii="Tahoma" w:hAnsi="Tahoma" w:cs="Tahoma"/>
                <w:color w:val="auto"/>
                <w:sz w:val="20"/>
                <w:szCs w:val="20"/>
              </w:rPr>
            </w:pPr>
            <w:r w:rsidRPr="0068236B">
              <w:rPr>
                <w:rFonts w:ascii="Tahoma" w:hAnsi="Tahoma" w:cs="Tahoma"/>
                <w:bCs/>
                <w:color w:val="auto"/>
                <w:sz w:val="20"/>
                <w:szCs w:val="20"/>
              </w:rPr>
              <w:t xml:space="preserve">Very low </w:t>
            </w:r>
          </w:p>
        </w:tc>
        <w:tc>
          <w:tcPr>
            <w:tcW w:w="1134" w:type="dxa"/>
            <w:tcBorders>
              <w:left w:val="double" w:sz="4" w:space="0" w:color="auto"/>
            </w:tcBorders>
            <w:shd w:val="clear" w:color="auto" w:fill="auto"/>
            <w:hideMark/>
          </w:tcPr>
          <w:p w14:paraId="2396FBEA" w14:textId="77777777" w:rsidR="003B46E3" w:rsidRPr="0068236B" w:rsidRDefault="003B46E3" w:rsidP="003B46E3">
            <w:pPr>
              <w:spacing w:before="0" w:after="0" w:line="240" w:lineRule="auto"/>
              <w:jc w:val="center"/>
              <w:rPr>
                <w:rFonts w:cs="Tahoma"/>
                <w:sz w:val="20"/>
                <w:szCs w:val="20"/>
              </w:rPr>
            </w:pPr>
            <w:r w:rsidRPr="0068236B">
              <w:rPr>
                <w:rFonts w:cs="Tahoma"/>
                <w:color w:val="000000"/>
                <w:sz w:val="20"/>
                <w:szCs w:val="20"/>
              </w:rPr>
              <w:t>Minor</w:t>
            </w:r>
          </w:p>
        </w:tc>
        <w:tc>
          <w:tcPr>
            <w:tcW w:w="1434" w:type="dxa"/>
            <w:shd w:val="clear" w:color="auto" w:fill="auto"/>
            <w:hideMark/>
          </w:tcPr>
          <w:p w14:paraId="724B07B6" w14:textId="77777777" w:rsidR="003B46E3" w:rsidRPr="0068236B" w:rsidRDefault="003B46E3" w:rsidP="003B46E3">
            <w:pPr>
              <w:spacing w:before="0" w:after="0" w:line="240" w:lineRule="auto"/>
              <w:jc w:val="center"/>
              <w:rPr>
                <w:rFonts w:cs="Tahoma"/>
                <w:sz w:val="20"/>
                <w:szCs w:val="20"/>
              </w:rPr>
            </w:pPr>
            <w:r w:rsidRPr="0068236B">
              <w:rPr>
                <w:rFonts w:cs="Tahoma"/>
                <w:bCs/>
                <w:color w:val="000000"/>
                <w:sz w:val="20"/>
                <w:szCs w:val="20"/>
              </w:rPr>
              <w:t>Negligible</w:t>
            </w:r>
          </w:p>
        </w:tc>
        <w:tc>
          <w:tcPr>
            <w:tcW w:w="1685" w:type="dxa"/>
            <w:shd w:val="clear" w:color="auto" w:fill="auto"/>
            <w:hideMark/>
          </w:tcPr>
          <w:p w14:paraId="4373CACD" w14:textId="77777777" w:rsidR="003B46E3" w:rsidRPr="0068236B" w:rsidRDefault="003B46E3" w:rsidP="003B46E3">
            <w:pPr>
              <w:spacing w:before="0" w:after="0" w:line="240" w:lineRule="auto"/>
              <w:jc w:val="center"/>
              <w:rPr>
                <w:rFonts w:cs="Tahoma"/>
                <w:sz w:val="20"/>
                <w:szCs w:val="20"/>
              </w:rPr>
            </w:pPr>
            <w:r w:rsidRPr="0068236B">
              <w:rPr>
                <w:rFonts w:cs="Tahoma"/>
                <w:bCs/>
                <w:color w:val="000000"/>
                <w:sz w:val="20"/>
                <w:szCs w:val="20"/>
              </w:rPr>
              <w:t>Negligible</w:t>
            </w:r>
          </w:p>
        </w:tc>
        <w:tc>
          <w:tcPr>
            <w:tcW w:w="1417" w:type="dxa"/>
            <w:shd w:val="clear" w:color="auto" w:fill="auto"/>
            <w:hideMark/>
          </w:tcPr>
          <w:p w14:paraId="4C37F3B6" w14:textId="77777777" w:rsidR="003B46E3" w:rsidRPr="0068236B" w:rsidRDefault="003B46E3" w:rsidP="003B46E3">
            <w:pPr>
              <w:spacing w:before="0" w:after="0" w:line="240" w:lineRule="auto"/>
              <w:jc w:val="center"/>
              <w:rPr>
                <w:rFonts w:cs="Tahoma"/>
                <w:sz w:val="20"/>
                <w:szCs w:val="20"/>
              </w:rPr>
            </w:pPr>
            <w:r w:rsidRPr="0068236B">
              <w:rPr>
                <w:rFonts w:cs="Tahoma"/>
                <w:bCs/>
                <w:color w:val="000000"/>
                <w:sz w:val="20"/>
                <w:szCs w:val="20"/>
              </w:rPr>
              <w:t>Negligible</w:t>
            </w:r>
          </w:p>
        </w:tc>
        <w:tc>
          <w:tcPr>
            <w:tcW w:w="1418" w:type="dxa"/>
            <w:shd w:val="clear" w:color="auto" w:fill="auto"/>
            <w:hideMark/>
          </w:tcPr>
          <w:p w14:paraId="198D73C6" w14:textId="77777777" w:rsidR="003B46E3" w:rsidRPr="0068236B" w:rsidRDefault="003B46E3" w:rsidP="003B46E3">
            <w:pPr>
              <w:spacing w:before="0" w:after="0" w:line="240" w:lineRule="auto"/>
              <w:jc w:val="center"/>
              <w:rPr>
                <w:rFonts w:cs="Tahoma"/>
                <w:sz w:val="20"/>
                <w:szCs w:val="20"/>
              </w:rPr>
            </w:pPr>
            <w:r w:rsidRPr="0068236B">
              <w:rPr>
                <w:rFonts w:cs="Tahoma"/>
                <w:bCs/>
                <w:color w:val="000000"/>
                <w:sz w:val="20"/>
                <w:szCs w:val="20"/>
              </w:rPr>
              <w:t>Negligible</w:t>
            </w:r>
          </w:p>
        </w:tc>
      </w:tr>
    </w:tbl>
    <w:p w14:paraId="0DB0FF8B" w14:textId="1A9DDAFF" w:rsidR="003B46E3" w:rsidRPr="0068236B" w:rsidRDefault="003B46E3" w:rsidP="003B46E3">
      <w:pPr>
        <w:spacing w:before="60" w:after="240"/>
        <w:rPr>
          <w:rFonts w:cs="Tahoma"/>
          <w:bCs/>
          <w:sz w:val="18"/>
          <w:szCs w:val="20"/>
        </w:rPr>
      </w:pPr>
      <w:bookmarkStart w:id="443" w:name="_Toc389551041"/>
      <w:bookmarkStart w:id="444" w:name="_Toc65936958"/>
      <w:bookmarkStart w:id="445" w:name="_Toc80181267"/>
      <w:bookmarkStart w:id="446" w:name="_Toc113018222"/>
      <w:bookmarkStart w:id="447" w:name="_Toc446278267"/>
      <w:bookmarkStart w:id="448" w:name="_Toc481953709"/>
      <w:bookmarkStart w:id="449" w:name="_Toc65936959"/>
      <w:r w:rsidRPr="0068236B">
        <w:rPr>
          <w:rFonts w:cs="Tahoma"/>
          <w:sz w:val="18"/>
          <w:szCs w:val="20"/>
        </w:rPr>
        <w:t xml:space="preserve">Table </w:t>
      </w:r>
      <w:r w:rsidRPr="0068236B">
        <w:rPr>
          <w:rFonts w:cs="Tahoma"/>
          <w:i/>
          <w:sz w:val="18"/>
          <w:szCs w:val="20"/>
        </w:rPr>
        <w:fldChar w:fldCharType="begin"/>
      </w:r>
      <w:r w:rsidRPr="0068236B">
        <w:rPr>
          <w:rFonts w:cs="Tahoma"/>
          <w:sz w:val="18"/>
          <w:szCs w:val="20"/>
        </w:rPr>
        <w:instrText xml:space="preserve"> STYLEREF 1 \s </w:instrText>
      </w:r>
      <w:r w:rsidRPr="0068236B">
        <w:rPr>
          <w:rFonts w:cs="Tahoma"/>
          <w:i/>
          <w:sz w:val="18"/>
          <w:szCs w:val="20"/>
        </w:rPr>
        <w:fldChar w:fldCharType="separate"/>
      </w:r>
      <w:r w:rsidR="00FD57E6">
        <w:rPr>
          <w:rFonts w:cs="Tahoma"/>
          <w:noProof/>
          <w:sz w:val="18"/>
          <w:szCs w:val="20"/>
        </w:rPr>
        <w:t>8</w:t>
      </w:r>
      <w:r w:rsidRPr="0068236B">
        <w:rPr>
          <w:rFonts w:cs="Tahoma"/>
          <w:i/>
          <w:sz w:val="18"/>
          <w:szCs w:val="20"/>
        </w:rPr>
        <w:fldChar w:fldCharType="end"/>
      </w:r>
      <w:r w:rsidRPr="0068236B">
        <w:rPr>
          <w:rFonts w:cs="Tahoma"/>
          <w:i/>
          <w:sz w:val="18"/>
          <w:szCs w:val="20"/>
        </w:rPr>
        <w:t>.</w:t>
      </w:r>
      <w:r w:rsidRPr="0068236B">
        <w:rPr>
          <w:rFonts w:cs="Tahoma"/>
          <w:i/>
          <w:sz w:val="18"/>
          <w:szCs w:val="20"/>
        </w:rPr>
        <w:fldChar w:fldCharType="begin"/>
      </w:r>
      <w:r w:rsidRPr="0068236B">
        <w:rPr>
          <w:rFonts w:cs="Tahoma"/>
          <w:sz w:val="18"/>
          <w:szCs w:val="20"/>
        </w:rPr>
        <w:instrText xml:space="preserve"> SEQ Table \* ARABIC \s 1 </w:instrText>
      </w:r>
      <w:r w:rsidRPr="0068236B">
        <w:rPr>
          <w:rFonts w:cs="Tahoma"/>
          <w:i/>
          <w:sz w:val="18"/>
          <w:szCs w:val="20"/>
        </w:rPr>
        <w:fldChar w:fldCharType="separate"/>
      </w:r>
      <w:r w:rsidR="00FD57E6">
        <w:rPr>
          <w:rFonts w:cs="Tahoma"/>
          <w:noProof/>
          <w:sz w:val="18"/>
          <w:szCs w:val="20"/>
        </w:rPr>
        <w:t>26</w:t>
      </w:r>
      <w:r w:rsidRPr="0068236B">
        <w:rPr>
          <w:rFonts w:cs="Tahoma"/>
          <w:i/>
          <w:sz w:val="18"/>
          <w:szCs w:val="20"/>
        </w:rPr>
        <w:fldChar w:fldCharType="end"/>
      </w:r>
      <w:r w:rsidR="005F774D" w:rsidRPr="0068236B">
        <w:rPr>
          <w:rFonts w:cs="Tahoma"/>
          <w:sz w:val="18"/>
          <w:szCs w:val="20"/>
        </w:rPr>
        <w:t>: I</w:t>
      </w:r>
      <w:r w:rsidRPr="0068236B">
        <w:rPr>
          <w:rFonts w:cs="Tahoma"/>
          <w:sz w:val="18"/>
          <w:szCs w:val="20"/>
        </w:rPr>
        <w:t>mpact significance m</w:t>
      </w:r>
      <w:r w:rsidRPr="0068236B">
        <w:rPr>
          <w:rFonts w:cs="Tahoma"/>
          <w:bCs/>
          <w:sz w:val="18"/>
          <w:szCs w:val="20"/>
        </w:rPr>
        <w:t>atrix</w:t>
      </w:r>
      <w:bookmarkEnd w:id="443"/>
      <w:bookmarkEnd w:id="444"/>
      <w:bookmarkEnd w:id="445"/>
      <w:bookmarkEnd w:id="446"/>
    </w:p>
    <w:tbl>
      <w:tblPr>
        <w:tblW w:w="9072"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560"/>
        <w:gridCol w:w="2693"/>
        <w:gridCol w:w="4819"/>
      </w:tblGrid>
      <w:tr w:rsidR="003B46E3" w:rsidRPr="0068236B" w14:paraId="7E6E8094" w14:textId="77777777" w:rsidTr="003B46E3">
        <w:trPr>
          <w:trHeight w:val="333"/>
        </w:trPr>
        <w:tc>
          <w:tcPr>
            <w:tcW w:w="1560" w:type="dxa"/>
            <w:tcBorders>
              <w:top w:val="double" w:sz="4" w:space="0" w:color="auto"/>
              <w:bottom w:val="double" w:sz="4" w:space="0" w:color="auto"/>
              <w:right w:val="double" w:sz="4" w:space="0" w:color="auto"/>
            </w:tcBorders>
            <w:shd w:val="clear" w:color="auto" w:fill="D9E2F3" w:themeFill="accent1" w:themeFillTint="33"/>
          </w:tcPr>
          <w:bookmarkEnd w:id="447"/>
          <w:bookmarkEnd w:id="448"/>
          <w:bookmarkEnd w:id="449"/>
          <w:p w14:paraId="5A48390F" w14:textId="77777777" w:rsidR="003B46E3" w:rsidRPr="0068236B" w:rsidRDefault="003B46E3" w:rsidP="00522A12">
            <w:pPr>
              <w:tabs>
                <w:tab w:val="center" w:pos="4320"/>
                <w:tab w:val="right" w:pos="8640"/>
              </w:tabs>
              <w:spacing w:before="0" w:after="0" w:line="240" w:lineRule="auto"/>
              <w:rPr>
                <w:rFonts w:eastAsia="Calibri" w:cs="Arial"/>
                <w:sz w:val="20"/>
                <w:szCs w:val="20"/>
              </w:rPr>
            </w:pPr>
            <w:r w:rsidRPr="0068236B">
              <w:rPr>
                <w:rFonts w:eastAsia="Calibri" w:cs="Arial"/>
                <w:bCs/>
                <w:sz w:val="20"/>
                <w:szCs w:val="20"/>
              </w:rPr>
              <w:t>Significance</w:t>
            </w:r>
          </w:p>
        </w:tc>
        <w:tc>
          <w:tcPr>
            <w:tcW w:w="2693"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1FC1CBD1" w14:textId="77777777" w:rsidR="003B46E3" w:rsidRPr="0068236B" w:rsidRDefault="003B46E3" w:rsidP="006F2A58">
            <w:pPr>
              <w:tabs>
                <w:tab w:val="center" w:pos="4320"/>
                <w:tab w:val="right" w:pos="8640"/>
              </w:tabs>
              <w:spacing w:before="0" w:after="0" w:line="240" w:lineRule="auto"/>
              <w:jc w:val="left"/>
              <w:rPr>
                <w:rFonts w:eastAsia="Calibri" w:cs="Arial"/>
                <w:sz w:val="20"/>
                <w:szCs w:val="20"/>
              </w:rPr>
            </w:pPr>
            <w:r w:rsidRPr="0068236B">
              <w:rPr>
                <w:rFonts w:eastAsia="Calibri" w:cs="Arial"/>
                <w:sz w:val="20"/>
                <w:szCs w:val="20"/>
              </w:rPr>
              <w:t>Typical criteria</w:t>
            </w:r>
          </w:p>
        </w:tc>
        <w:tc>
          <w:tcPr>
            <w:tcW w:w="4819"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68B4E2D2" w14:textId="77777777" w:rsidR="003B46E3" w:rsidRPr="0068236B" w:rsidRDefault="003B46E3" w:rsidP="00522A12">
            <w:pPr>
              <w:tabs>
                <w:tab w:val="center" w:pos="4320"/>
                <w:tab w:val="right" w:pos="8640"/>
              </w:tabs>
              <w:spacing w:before="0" w:after="0" w:line="240" w:lineRule="auto"/>
              <w:jc w:val="left"/>
              <w:rPr>
                <w:rFonts w:eastAsia="Calibri" w:cs="Arial"/>
                <w:sz w:val="20"/>
                <w:szCs w:val="20"/>
              </w:rPr>
            </w:pPr>
            <w:r w:rsidRPr="0068236B">
              <w:rPr>
                <w:rFonts w:eastAsia="Calibri" w:cs="Arial"/>
                <w:sz w:val="20"/>
                <w:szCs w:val="20"/>
              </w:rPr>
              <w:t>Description</w:t>
            </w:r>
          </w:p>
        </w:tc>
      </w:tr>
      <w:tr w:rsidR="003B46E3" w:rsidRPr="0068236B" w14:paraId="726AD222" w14:textId="77777777" w:rsidTr="00522A12">
        <w:trPr>
          <w:trHeight w:val="1142"/>
        </w:trPr>
        <w:tc>
          <w:tcPr>
            <w:tcW w:w="1560" w:type="dxa"/>
            <w:tcBorders>
              <w:top w:val="double" w:sz="4" w:space="0" w:color="auto"/>
            </w:tcBorders>
          </w:tcPr>
          <w:p w14:paraId="7047BC5A" w14:textId="77777777" w:rsidR="003B46E3" w:rsidRPr="0068236B" w:rsidRDefault="003B46E3" w:rsidP="00522A12">
            <w:pPr>
              <w:tabs>
                <w:tab w:val="center" w:pos="4320"/>
                <w:tab w:val="right" w:pos="8640"/>
              </w:tabs>
              <w:spacing w:before="0" w:after="0" w:line="240" w:lineRule="auto"/>
              <w:rPr>
                <w:rFonts w:eastAsia="Calibri" w:cs="Arial"/>
                <w:sz w:val="20"/>
                <w:szCs w:val="20"/>
              </w:rPr>
            </w:pPr>
            <w:r w:rsidRPr="0068236B">
              <w:rPr>
                <w:rFonts w:eastAsia="Calibri" w:cs="Arial"/>
                <w:sz w:val="20"/>
                <w:szCs w:val="20"/>
              </w:rPr>
              <w:t>Major</w:t>
            </w:r>
          </w:p>
        </w:tc>
        <w:tc>
          <w:tcPr>
            <w:tcW w:w="2693" w:type="dxa"/>
            <w:tcBorders>
              <w:top w:val="double" w:sz="4" w:space="0" w:color="auto"/>
            </w:tcBorders>
          </w:tcPr>
          <w:p w14:paraId="0B11BC03" w14:textId="77777777" w:rsidR="003B46E3" w:rsidRPr="0068236B" w:rsidRDefault="003B46E3" w:rsidP="006F2A58">
            <w:pPr>
              <w:autoSpaceDE w:val="0"/>
              <w:autoSpaceDN w:val="0"/>
              <w:adjustRightInd w:val="0"/>
              <w:spacing w:before="0" w:after="0" w:line="240" w:lineRule="auto"/>
              <w:contextualSpacing/>
              <w:jc w:val="left"/>
              <w:rPr>
                <w:rFonts w:eastAsia="Calibri" w:cs="Arial"/>
                <w:sz w:val="20"/>
                <w:szCs w:val="20"/>
              </w:rPr>
            </w:pPr>
            <w:r w:rsidRPr="0068236B">
              <w:rPr>
                <w:rFonts w:eastAsia="Calibri" w:cs="Arial"/>
                <w:sz w:val="20"/>
                <w:szCs w:val="20"/>
              </w:rPr>
              <w:t>A fundamental change to the environment</w:t>
            </w:r>
          </w:p>
        </w:tc>
        <w:tc>
          <w:tcPr>
            <w:tcW w:w="4819" w:type="dxa"/>
            <w:tcBorders>
              <w:top w:val="double" w:sz="4" w:space="0" w:color="auto"/>
            </w:tcBorders>
          </w:tcPr>
          <w:p w14:paraId="4266878C" w14:textId="77777777" w:rsidR="003B46E3" w:rsidRPr="0068236B" w:rsidRDefault="003B46E3" w:rsidP="00522A12">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Changes on water quality or quantity affecting widespread catchment area, or changes resulting in substantial loss of conservation value to aquatic habitats and designated areas of international or national importance.</w:t>
            </w:r>
          </w:p>
        </w:tc>
      </w:tr>
      <w:tr w:rsidR="003B46E3" w:rsidRPr="0068236B" w14:paraId="600418F0" w14:textId="77777777" w:rsidTr="00522A12">
        <w:trPr>
          <w:trHeight w:val="911"/>
        </w:trPr>
        <w:tc>
          <w:tcPr>
            <w:tcW w:w="1560" w:type="dxa"/>
          </w:tcPr>
          <w:p w14:paraId="070C5F1C" w14:textId="77777777" w:rsidR="003B46E3" w:rsidRPr="0068236B" w:rsidRDefault="003B46E3" w:rsidP="00522A12">
            <w:pPr>
              <w:tabs>
                <w:tab w:val="center" w:pos="4320"/>
                <w:tab w:val="right" w:pos="8640"/>
              </w:tabs>
              <w:spacing w:before="0" w:after="0" w:line="240" w:lineRule="auto"/>
              <w:rPr>
                <w:rFonts w:eastAsia="Calibri" w:cs="Arial"/>
                <w:sz w:val="20"/>
                <w:szCs w:val="20"/>
              </w:rPr>
            </w:pPr>
            <w:r w:rsidRPr="0068236B">
              <w:rPr>
                <w:rFonts w:eastAsia="Calibri" w:cs="Arial"/>
                <w:sz w:val="20"/>
                <w:szCs w:val="20"/>
              </w:rPr>
              <w:t>Moderate</w:t>
            </w:r>
          </w:p>
        </w:tc>
        <w:tc>
          <w:tcPr>
            <w:tcW w:w="2693" w:type="dxa"/>
          </w:tcPr>
          <w:p w14:paraId="00A97949" w14:textId="77777777" w:rsidR="003B46E3" w:rsidRPr="0068236B" w:rsidRDefault="003B46E3" w:rsidP="006F2A58">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A material but non-fundamental change to the environment</w:t>
            </w:r>
          </w:p>
        </w:tc>
        <w:tc>
          <w:tcPr>
            <w:tcW w:w="4819" w:type="dxa"/>
          </w:tcPr>
          <w:p w14:paraId="009E9D45" w14:textId="77777777" w:rsidR="003B46E3" w:rsidRPr="0068236B" w:rsidRDefault="003B46E3" w:rsidP="00522A12">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Changes on water quality or quantity affecting part of a catchment area or changes resulting in loss of conservation value to aquatic habitats or designa</w:t>
            </w:r>
            <w:r w:rsidRPr="0068236B">
              <w:rPr>
                <w:rFonts w:eastAsia="Calibri" w:cs="Arial"/>
                <w:sz w:val="20"/>
                <w:szCs w:val="20"/>
              </w:rPr>
              <w:t>t</w:t>
            </w:r>
            <w:r w:rsidRPr="0068236B">
              <w:rPr>
                <w:rFonts w:eastAsia="Calibri" w:cs="Arial"/>
                <w:sz w:val="20"/>
                <w:szCs w:val="20"/>
              </w:rPr>
              <w:t>ed areas of local importance.</w:t>
            </w:r>
          </w:p>
        </w:tc>
      </w:tr>
      <w:tr w:rsidR="003B46E3" w:rsidRPr="0068236B" w14:paraId="764C0EF1" w14:textId="77777777" w:rsidTr="00522A12">
        <w:trPr>
          <w:trHeight w:val="654"/>
        </w:trPr>
        <w:tc>
          <w:tcPr>
            <w:tcW w:w="1560" w:type="dxa"/>
          </w:tcPr>
          <w:p w14:paraId="183D8F5C" w14:textId="77777777" w:rsidR="003B46E3" w:rsidRPr="0068236B" w:rsidRDefault="003B46E3" w:rsidP="00522A12">
            <w:pPr>
              <w:tabs>
                <w:tab w:val="center" w:pos="4320"/>
                <w:tab w:val="right" w:pos="8640"/>
              </w:tabs>
              <w:spacing w:before="0" w:after="0" w:line="240" w:lineRule="auto"/>
              <w:rPr>
                <w:rFonts w:eastAsia="Calibri" w:cs="Arial"/>
                <w:sz w:val="20"/>
                <w:szCs w:val="20"/>
              </w:rPr>
            </w:pPr>
            <w:r w:rsidRPr="0068236B">
              <w:rPr>
                <w:rFonts w:eastAsia="Calibri" w:cs="Arial"/>
                <w:sz w:val="20"/>
                <w:szCs w:val="20"/>
              </w:rPr>
              <w:t>Minor</w:t>
            </w:r>
          </w:p>
        </w:tc>
        <w:tc>
          <w:tcPr>
            <w:tcW w:w="2693" w:type="dxa"/>
          </w:tcPr>
          <w:p w14:paraId="0CB17153" w14:textId="77777777" w:rsidR="003B46E3" w:rsidRPr="0068236B" w:rsidRDefault="003B46E3" w:rsidP="006F2A58">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A detectable but non-material change to the</w:t>
            </w:r>
          </w:p>
          <w:p w14:paraId="0E5539C6" w14:textId="77777777" w:rsidR="003B46E3" w:rsidRPr="0068236B" w:rsidRDefault="003B46E3" w:rsidP="006F2A58">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environment</w:t>
            </w:r>
          </w:p>
        </w:tc>
        <w:tc>
          <w:tcPr>
            <w:tcW w:w="4819" w:type="dxa"/>
          </w:tcPr>
          <w:p w14:paraId="76961261" w14:textId="77777777" w:rsidR="003B46E3" w:rsidRPr="0068236B" w:rsidRDefault="003B46E3" w:rsidP="00522A12">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Local changes on drainage patterns or changes resulting in minor and reversible effects on quality or aquatic habitats.</w:t>
            </w:r>
          </w:p>
        </w:tc>
      </w:tr>
      <w:tr w:rsidR="003B46E3" w:rsidRPr="0068236B" w14:paraId="72C2E4E7" w14:textId="77777777" w:rsidTr="00522A12">
        <w:trPr>
          <w:trHeight w:val="482"/>
        </w:trPr>
        <w:tc>
          <w:tcPr>
            <w:tcW w:w="1560" w:type="dxa"/>
          </w:tcPr>
          <w:p w14:paraId="5EE62F8E" w14:textId="77777777" w:rsidR="003B46E3" w:rsidRPr="0068236B" w:rsidRDefault="003B46E3" w:rsidP="00522A12">
            <w:pPr>
              <w:tabs>
                <w:tab w:val="center" w:pos="4320"/>
                <w:tab w:val="right" w:pos="8640"/>
              </w:tabs>
              <w:spacing w:before="0" w:after="0" w:line="240" w:lineRule="auto"/>
              <w:jc w:val="left"/>
              <w:rPr>
                <w:rFonts w:eastAsia="Calibri" w:cs="Arial"/>
                <w:sz w:val="20"/>
                <w:szCs w:val="20"/>
              </w:rPr>
            </w:pPr>
            <w:r w:rsidRPr="0068236B">
              <w:rPr>
                <w:rFonts w:eastAsia="Calibri" w:cs="Arial"/>
                <w:sz w:val="20"/>
                <w:szCs w:val="20"/>
              </w:rPr>
              <w:t>Negligible / neutral</w:t>
            </w:r>
          </w:p>
        </w:tc>
        <w:tc>
          <w:tcPr>
            <w:tcW w:w="2693" w:type="dxa"/>
          </w:tcPr>
          <w:p w14:paraId="3FBB4C1A" w14:textId="77777777" w:rsidR="003B46E3" w:rsidRPr="0068236B" w:rsidRDefault="003B46E3" w:rsidP="006F2A58">
            <w:pPr>
              <w:tabs>
                <w:tab w:val="center" w:pos="4320"/>
                <w:tab w:val="right" w:pos="8640"/>
              </w:tabs>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No detectable change to the environment</w:t>
            </w:r>
          </w:p>
        </w:tc>
        <w:tc>
          <w:tcPr>
            <w:tcW w:w="4819" w:type="dxa"/>
          </w:tcPr>
          <w:p w14:paraId="0F636268" w14:textId="77777777" w:rsidR="003B46E3" w:rsidRPr="0068236B" w:rsidRDefault="003B46E3" w:rsidP="00522A12">
            <w:pPr>
              <w:autoSpaceDE w:val="0"/>
              <w:autoSpaceDN w:val="0"/>
              <w:adjustRightInd w:val="0"/>
              <w:spacing w:before="0" w:after="0" w:line="240" w:lineRule="auto"/>
              <w:jc w:val="left"/>
              <w:rPr>
                <w:rFonts w:eastAsia="Calibri" w:cs="Arial"/>
                <w:sz w:val="20"/>
                <w:szCs w:val="20"/>
              </w:rPr>
            </w:pPr>
            <w:r w:rsidRPr="0068236B">
              <w:rPr>
                <w:rFonts w:eastAsia="Calibri" w:cs="Arial"/>
                <w:sz w:val="20"/>
                <w:szCs w:val="20"/>
              </w:rPr>
              <w:t>No effects on drainage patterns and water quality or aquatic habitat.</w:t>
            </w:r>
          </w:p>
        </w:tc>
      </w:tr>
    </w:tbl>
    <w:p w14:paraId="39D469CE" w14:textId="0FC10398" w:rsidR="003B46E3" w:rsidRPr="0068236B" w:rsidRDefault="003B46E3" w:rsidP="003B46E3">
      <w:pPr>
        <w:pStyle w:val="Caption"/>
        <w:keepNext w:val="0"/>
        <w:spacing w:after="240"/>
        <w:jc w:val="both"/>
        <w:rPr>
          <w:rFonts w:eastAsia="Calibri"/>
          <w:b w:val="0"/>
          <w:szCs w:val="20"/>
        </w:rPr>
      </w:pPr>
      <w:bookmarkStart w:id="450" w:name="_Toc80181268"/>
      <w:bookmarkStart w:id="451" w:name="_Toc113018223"/>
      <w:r w:rsidRPr="0068236B">
        <w:rPr>
          <w:b w:val="0"/>
          <w:szCs w:val="20"/>
        </w:rPr>
        <w:t xml:space="preserve">Table </w:t>
      </w:r>
      <w:r w:rsidRPr="0068236B">
        <w:rPr>
          <w:b w:val="0"/>
          <w:i/>
          <w:szCs w:val="20"/>
        </w:rPr>
        <w:fldChar w:fldCharType="begin"/>
      </w:r>
      <w:r w:rsidRPr="0068236B">
        <w:rPr>
          <w:b w:val="0"/>
          <w:szCs w:val="20"/>
        </w:rPr>
        <w:instrText xml:space="preserve"> STYLEREF 1 \s </w:instrText>
      </w:r>
      <w:r w:rsidRPr="0068236B">
        <w:rPr>
          <w:b w:val="0"/>
          <w:i/>
          <w:szCs w:val="20"/>
        </w:rPr>
        <w:fldChar w:fldCharType="separate"/>
      </w:r>
      <w:r w:rsidR="00FD57E6">
        <w:rPr>
          <w:b w:val="0"/>
          <w:noProof/>
          <w:szCs w:val="20"/>
        </w:rPr>
        <w:t>8</w:t>
      </w:r>
      <w:r w:rsidRPr="0068236B">
        <w:rPr>
          <w:b w:val="0"/>
          <w:i/>
          <w:szCs w:val="20"/>
        </w:rPr>
        <w:fldChar w:fldCharType="end"/>
      </w:r>
      <w:r w:rsidRPr="0068236B">
        <w:rPr>
          <w:b w:val="0"/>
          <w:i/>
          <w:szCs w:val="20"/>
        </w:rPr>
        <w:t>.</w:t>
      </w:r>
      <w:r w:rsidRPr="0068236B">
        <w:rPr>
          <w:b w:val="0"/>
          <w:i/>
          <w:szCs w:val="20"/>
        </w:rPr>
        <w:fldChar w:fldCharType="begin"/>
      </w:r>
      <w:r w:rsidRPr="0068236B">
        <w:rPr>
          <w:b w:val="0"/>
          <w:szCs w:val="20"/>
        </w:rPr>
        <w:instrText xml:space="preserve"> SEQ Table \* ARABIC \s 1 </w:instrText>
      </w:r>
      <w:r w:rsidRPr="0068236B">
        <w:rPr>
          <w:b w:val="0"/>
          <w:i/>
          <w:szCs w:val="20"/>
        </w:rPr>
        <w:fldChar w:fldCharType="separate"/>
      </w:r>
      <w:r w:rsidR="00FD57E6">
        <w:rPr>
          <w:b w:val="0"/>
          <w:noProof/>
          <w:szCs w:val="20"/>
        </w:rPr>
        <w:t>27</w:t>
      </w:r>
      <w:r w:rsidRPr="0068236B">
        <w:rPr>
          <w:b w:val="0"/>
          <w:i/>
          <w:szCs w:val="20"/>
        </w:rPr>
        <w:fldChar w:fldCharType="end"/>
      </w:r>
      <w:r w:rsidR="005F774D" w:rsidRPr="0068236B">
        <w:rPr>
          <w:rFonts w:eastAsia="Calibri"/>
          <w:b w:val="0"/>
          <w:szCs w:val="20"/>
        </w:rPr>
        <w:t>:</w:t>
      </w:r>
      <w:r w:rsidRPr="0068236B">
        <w:rPr>
          <w:rFonts w:eastAsia="Calibri"/>
          <w:b w:val="0"/>
          <w:szCs w:val="20"/>
        </w:rPr>
        <w:t xml:space="preserve"> Matrix of significance categories for potential impacts on hydrological resources</w:t>
      </w:r>
      <w:bookmarkEnd w:id="450"/>
      <w:bookmarkEnd w:id="451"/>
    </w:p>
    <w:p w14:paraId="24EBCF4A" w14:textId="77777777" w:rsidR="003B46E3" w:rsidRPr="0068236B" w:rsidRDefault="003B46E3" w:rsidP="003B46E3">
      <w:pPr>
        <w:pStyle w:val="Heading3"/>
        <w:spacing w:line="240" w:lineRule="auto"/>
        <w:ind w:left="993" w:hanging="993"/>
      </w:pPr>
      <w:bookmarkStart w:id="452" w:name="_Toc65936723"/>
      <w:bookmarkStart w:id="453" w:name="_Toc80181166"/>
      <w:bookmarkStart w:id="454" w:name="_Toc112852285"/>
      <w:r w:rsidRPr="0068236B">
        <w:lastRenderedPageBreak/>
        <w:t>Potential Impacts</w:t>
      </w:r>
      <w:bookmarkEnd w:id="452"/>
      <w:bookmarkEnd w:id="453"/>
      <w:bookmarkEnd w:id="454"/>
    </w:p>
    <w:p w14:paraId="057C205B" w14:textId="77777777" w:rsidR="003B46E3" w:rsidRPr="0068236B" w:rsidRDefault="003B46E3" w:rsidP="003B46E3">
      <w:pPr>
        <w:pStyle w:val="Heading4"/>
        <w:spacing w:line="240" w:lineRule="auto"/>
        <w:ind w:left="1843" w:hanging="1123"/>
        <w:rPr>
          <w:sz w:val="20"/>
        </w:rPr>
      </w:pPr>
      <w:bookmarkStart w:id="455" w:name="_Toc65936724"/>
      <w:r w:rsidRPr="0068236B">
        <w:rPr>
          <w:sz w:val="20"/>
        </w:rPr>
        <w:t>Construction</w:t>
      </w:r>
      <w:bookmarkEnd w:id="455"/>
    </w:p>
    <w:p w14:paraId="05F1E7B4" w14:textId="77777777" w:rsidR="003B46E3" w:rsidRPr="0068236B" w:rsidRDefault="003B46E3" w:rsidP="003B46E3">
      <w:pPr>
        <w:rPr>
          <w:sz w:val="20"/>
        </w:rPr>
      </w:pPr>
      <w:r w:rsidRPr="0068236B">
        <w:rPr>
          <w:sz w:val="20"/>
        </w:rPr>
        <w:t>The Table below represents an overview of potential impacts on the hydrology and aquatic environment associated with construction activities of the Project. The impacts have been identified using the available information for typical construction methods for a transmission infrastructure.</w:t>
      </w:r>
    </w:p>
    <w:tbl>
      <w:tblPr>
        <w:tblW w:w="9640"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268"/>
        <w:gridCol w:w="3544"/>
        <w:gridCol w:w="3828"/>
      </w:tblGrid>
      <w:tr w:rsidR="003B46E3" w:rsidRPr="0068236B" w14:paraId="2249207D" w14:textId="77777777" w:rsidTr="003B46E3">
        <w:tc>
          <w:tcPr>
            <w:tcW w:w="2268" w:type="dxa"/>
            <w:tcBorders>
              <w:top w:val="double" w:sz="4" w:space="0" w:color="auto"/>
              <w:bottom w:val="double" w:sz="4" w:space="0" w:color="auto"/>
              <w:right w:val="double" w:sz="4" w:space="0" w:color="auto"/>
            </w:tcBorders>
            <w:shd w:val="clear" w:color="auto" w:fill="D9E2F3" w:themeFill="accent1" w:themeFillTint="33"/>
          </w:tcPr>
          <w:p w14:paraId="2C52910D" w14:textId="77777777" w:rsidR="003B46E3" w:rsidRPr="0068236B" w:rsidRDefault="003B46E3" w:rsidP="003B46E3">
            <w:pPr>
              <w:spacing w:before="0" w:after="0" w:line="240" w:lineRule="auto"/>
              <w:jc w:val="left"/>
              <w:rPr>
                <w:rFonts w:cs="Arial"/>
                <w:sz w:val="20"/>
                <w:szCs w:val="20"/>
              </w:rPr>
            </w:pPr>
            <w:r w:rsidRPr="0068236B">
              <w:rPr>
                <w:rFonts w:cs="Arial"/>
                <w:sz w:val="20"/>
                <w:szCs w:val="20"/>
              </w:rPr>
              <w:t>Project component</w:t>
            </w:r>
          </w:p>
        </w:tc>
        <w:tc>
          <w:tcPr>
            <w:tcW w:w="3544"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76935D16" w14:textId="77777777" w:rsidR="003B46E3" w:rsidRPr="0068236B" w:rsidRDefault="003B46E3" w:rsidP="003B46E3">
            <w:pPr>
              <w:spacing w:before="0" w:after="0" w:line="240" w:lineRule="auto"/>
              <w:jc w:val="left"/>
              <w:rPr>
                <w:rFonts w:cs="Arial"/>
                <w:sz w:val="20"/>
                <w:szCs w:val="20"/>
              </w:rPr>
            </w:pPr>
            <w:r w:rsidRPr="0068236B">
              <w:rPr>
                <w:rFonts w:cs="Arial"/>
                <w:sz w:val="20"/>
                <w:szCs w:val="20"/>
              </w:rPr>
              <w:t>Activity</w:t>
            </w:r>
          </w:p>
        </w:tc>
        <w:tc>
          <w:tcPr>
            <w:tcW w:w="3828" w:type="dxa"/>
            <w:tcBorders>
              <w:top w:val="double" w:sz="4" w:space="0" w:color="auto"/>
              <w:left w:val="double" w:sz="4" w:space="0" w:color="auto"/>
              <w:bottom w:val="double" w:sz="4" w:space="0" w:color="auto"/>
            </w:tcBorders>
            <w:shd w:val="clear" w:color="auto" w:fill="D9E2F3" w:themeFill="accent1" w:themeFillTint="33"/>
          </w:tcPr>
          <w:p w14:paraId="0E670C22" w14:textId="77777777" w:rsidR="003B46E3" w:rsidRPr="0068236B" w:rsidRDefault="003B46E3" w:rsidP="003B46E3">
            <w:pPr>
              <w:spacing w:before="0" w:after="0" w:line="240" w:lineRule="auto"/>
              <w:jc w:val="left"/>
              <w:rPr>
                <w:rFonts w:cs="Arial"/>
                <w:sz w:val="20"/>
                <w:szCs w:val="20"/>
              </w:rPr>
            </w:pPr>
            <w:r w:rsidRPr="0068236B">
              <w:rPr>
                <w:rFonts w:cs="Arial"/>
                <w:sz w:val="20"/>
                <w:szCs w:val="20"/>
              </w:rPr>
              <w:t>Potential impact</w:t>
            </w:r>
          </w:p>
        </w:tc>
      </w:tr>
      <w:tr w:rsidR="003B46E3" w:rsidRPr="0068236B" w14:paraId="4801AC9D" w14:textId="77777777" w:rsidTr="00522A12">
        <w:trPr>
          <w:trHeight w:val="723"/>
        </w:trPr>
        <w:tc>
          <w:tcPr>
            <w:tcW w:w="2268" w:type="dxa"/>
            <w:tcBorders>
              <w:top w:val="double" w:sz="4" w:space="0" w:color="auto"/>
            </w:tcBorders>
          </w:tcPr>
          <w:p w14:paraId="6A700E5C" w14:textId="77777777" w:rsidR="003B46E3" w:rsidRPr="0068236B" w:rsidRDefault="003B46E3" w:rsidP="003B46E3">
            <w:pPr>
              <w:spacing w:before="0" w:after="0" w:line="240" w:lineRule="auto"/>
              <w:jc w:val="left"/>
              <w:rPr>
                <w:rFonts w:cs="Arial"/>
                <w:sz w:val="20"/>
                <w:szCs w:val="20"/>
              </w:rPr>
            </w:pPr>
            <w:r w:rsidRPr="0068236B">
              <w:rPr>
                <w:rFonts w:cs="Arial"/>
                <w:sz w:val="20"/>
                <w:szCs w:val="20"/>
              </w:rPr>
              <w:t xml:space="preserve">Construction of access roads, earthworks and drainage </w:t>
            </w:r>
          </w:p>
        </w:tc>
        <w:tc>
          <w:tcPr>
            <w:tcW w:w="3544" w:type="dxa"/>
            <w:tcBorders>
              <w:top w:val="double" w:sz="4" w:space="0" w:color="auto"/>
            </w:tcBorders>
          </w:tcPr>
          <w:p w14:paraId="67E3CD0A" w14:textId="77777777" w:rsidR="003B46E3" w:rsidRPr="0068236B" w:rsidRDefault="003B46E3" w:rsidP="003B46E3">
            <w:pPr>
              <w:spacing w:before="0" w:after="0" w:line="240" w:lineRule="auto"/>
              <w:jc w:val="left"/>
              <w:rPr>
                <w:rFonts w:cs="Arial"/>
                <w:sz w:val="20"/>
                <w:szCs w:val="20"/>
              </w:rPr>
            </w:pPr>
            <w:r w:rsidRPr="0068236B">
              <w:rPr>
                <w:rFonts w:cs="Arial"/>
                <w:sz w:val="20"/>
                <w:szCs w:val="20"/>
              </w:rPr>
              <w:t>Changes in surface waters drainage patterns and run-off, removal of vegetative cover</w:t>
            </w:r>
          </w:p>
        </w:tc>
        <w:tc>
          <w:tcPr>
            <w:tcW w:w="3828" w:type="dxa"/>
            <w:tcBorders>
              <w:top w:val="double" w:sz="4" w:space="0" w:color="auto"/>
            </w:tcBorders>
          </w:tcPr>
          <w:p w14:paraId="293DEEDF" w14:textId="77777777" w:rsidR="003B46E3" w:rsidRPr="0068236B" w:rsidRDefault="003B46E3" w:rsidP="008E77D3">
            <w:pPr>
              <w:numPr>
                <w:ilvl w:val="0"/>
                <w:numId w:val="70"/>
              </w:numPr>
              <w:autoSpaceDE w:val="0"/>
              <w:autoSpaceDN w:val="0"/>
              <w:adjustRightInd w:val="0"/>
              <w:spacing w:before="0" w:after="0" w:line="240" w:lineRule="auto"/>
              <w:ind w:left="189" w:hanging="189"/>
              <w:jc w:val="left"/>
              <w:rPr>
                <w:rFonts w:cs="Arial"/>
                <w:sz w:val="20"/>
                <w:szCs w:val="20"/>
              </w:rPr>
            </w:pPr>
            <w:r w:rsidRPr="0068236B">
              <w:rPr>
                <w:rFonts w:cs="Arial"/>
                <w:sz w:val="20"/>
                <w:szCs w:val="20"/>
              </w:rPr>
              <w:t>Changes in hydrological regimes</w:t>
            </w:r>
          </w:p>
        </w:tc>
      </w:tr>
      <w:tr w:rsidR="003B46E3" w:rsidRPr="0068236B" w14:paraId="5B23CC8D" w14:textId="77777777" w:rsidTr="00522A12">
        <w:trPr>
          <w:trHeight w:val="621"/>
        </w:trPr>
        <w:tc>
          <w:tcPr>
            <w:tcW w:w="2268" w:type="dxa"/>
          </w:tcPr>
          <w:p w14:paraId="6DE3F906" w14:textId="77777777" w:rsidR="003B46E3" w:rsidRPr="0068236B" w:rsidRDefault="003B46E3" w:rsidP="003B46E3">
            <w:pPr>
              <w:autoSpaceDE w:val="0"/>
              <w:autoSpaceDN w:val="0"/>
              <w:adjustRightInd w:val="0"/>
              <w:spacing w:before="0" w:after="0" w:line="240" w:lineRule="auto"/>
              <w:jc w:val="left"/>
              <w:rPr>
                <w:rFonts w:cs="Arial"/>
                <w:sz w:val="20"/>
                <w:szCs w:val="20"/>
              </w:rPr>
            </w:pPr>
            <w:r w:rsidRPr="0068236B">
              <w:rPr>
                <w:rFonts w:cs="Arial"/>
                <w:sz w:val="20"/>
                <w:szCs w:val="20"/>
              </w:rPr>
              <w:t>Construction vehicle movements and oper</w:t>
            </w:r>
            <w:r w:rsidRPr="0068236B">
              <w:rPr>
                <w:rFonts w:cs="Arial"/>
                <w:sz w:val="20"/>
                <w:szCs w:val="20"/>
              </w:rPr>
              <w:t>a</w:t>
            </w:r>
            <w:r w:rsidRPr="0068236B">
              <w:rPr>
                <w:rFonts w:cs="Arial"/>
                <w:sz w:val="20"/>
                <w:szCs w:val="20"/>
              </w:rPr>
              <w:t>tions</w:t>
            </w:r>
          </w:p>
        </w:tc>
        <w:tc>
          <w:tcPr>
            <w:tcW w:w="3544" w:type="dxa"/>
          </w:tcPr>
          <w:p w14:paraId="5DD55CBB" w14:textId="77777777" w:rsidR="003B46E3" w:rsidRPr="0068236B" w:rsidRDefault="003B46E3" w:rsidP="003B46E3">
            <w:pPr>
              <w:autoSpaceDE w:val="0"/>
              <w:autoSpaceDN w:val="0"/>
              <w:adjustRightInd w:val="0"/>
              <w:spacing w:before="0" w:after="0" w:line="240" w:lineRule="auto"/>
              <w:jc w:val="left"/>
              <w:rPr>
                <w:rFonts w:cs="Arial"/>
                <w:sz w:val="20"/>
                <w:szCs w:val="20"/>
              </w:rPr>
            </w:pPr>
            <w:r w:rsidRPr="0068236B">
              <w:rPr>
                <w:rFonts w:cs="Arial"/>
                <w:sz w:val="20"/>
                <w:szCs w:val="20"/>
              </w:rPr>
              <w:t>Compaction of soils and soft ground, spillage of fuels and oils</w:t>
            </w:r>
          </w:p>
        </w:tc>
        <w:tc>
          <w:tcPr>
            <w:tcW w:w="3828" w:type="dxa"/>
          </w:tcPr>
          <w:p w14:paraId="5D534E05" w14:textId="77777777" w:rsidR="003B46E3" w:rsidRPr="0068236B" w:rsidRDefault="003B46E3" w:rsidP="008E77D3">
            <w:pPr>
              <w:numPr>
                <w:ilvl w:val="0"/>
                <w:numId w:val="65"/>
              </w:numPr>
              <w:autoSpaceDE w:val="0"/>
              <w:autoSpaceDN w:val="0"/>
              <w:adjustRightInd w:val="0"/>
              <w:spacing w:before="0" w:after="0" w:line="240" w:lineRule="auto"/>
              <w:ind w:left="189" w:hanging="142"/>
              <w:jc w:val="left"/>
              <w:rPr>
                <w:rFonts w:cs="Arial"/>
                <w:sz w:val="20"/>
                <w:szCs w:val="20"/>
              </w:rPr>
            </w:pPr>
            <w:r w:rsidRPr="0068236B">
              <w:rPr>
                <w:rFonts w:cs="Arial"/>
                <w:sz w:val="20"/>
                <w:szCs w:val="20"/>
              </w:rPr>
              <w:t>Changes to sub-surface water levels</w:t>
            </w:r>
          </w:p>
          <w:p w14:paraId="5FE4F8B8" w14:textId="77777777" w:rsidR="003B46E3" w:rsidRPr="0068236B" w:rsidRDefault="003B46E3" w:rsidP="008E77D3">
            <w:pPr>
              <w:numPr>
                <w:ilvl w:val="0"/>
                <w:numId w:val="65"/>
              </w:numPr>
              <w:autoSpaceDE w:val="0"/>
              <w:autoSpaceDN w:val="0"/>
              <w:adjustRightInd w:val="0"/>
              <w:spacing w:before="0" w:after="0" w:line="240" w:lineRule="auto"/>
              <w:ind w:left="189" w:hanging="142"/>
              <w:jc w:val="left"/>
              <w:rPr>
                <w:rFonts w:cs="Arial"/>
                <w:sz w:val="20"/>
                <w:szCs w:val="20"/>
              </w:rPr>
            </w:pPr>
            <w:r w:rsidRPr="0068236B">
              <w:rPr>
                <w:rFonts w:cs="Arial"/>
                <w:sz w:val="20"/>
                <w:szCs w:val="20"/>
              </w:rPr>
              <w:t>Pollution risk from fuel and oil spillage</w:t>
            </w:r>
          </w:p>
          <w:p w14:paraId="6E26A20D" w14:textId="77777777" w:rsidR="003B46E3" w:rsidRPr="0068236B" w:rsidRDefault="003B46E3" w:rsidP="008E77D3">
            <w:pPr>
              <w:numPr>
                <w:ilvl w:val="0"/>
                <w:numId w:val="65"/>
              </w:numPr>
              <w:autoSpaceDE w:val="0"/>
              <w:autoSpaceDN w:val="0"/>
              <w:adjustRightInd w:val="0"/>
              <w:spacing w:before="0" w:after="0" w:line="240" w:lineRule="auto"/>
              <w:ind w:left="189" w:hanging="142"/>
              <w:jc w:val="left"/>
              <w:rPr>
                <w:rFonts w:cs="Arial"/>
                <w:sz w:val="20"/>
                <w:szCs w:val="20"/>
              </w:rPr>
            </w:pPr>
            <w:r w:rsidRPr="0068236B">
              <w:rPr>
                <w:rFonts w:cs="Arial"/>
                <w:sz w:val="20"/>
                <w:szCs w:val="20"/>
              </w:rPr>
              <w:t>Temporary habitat disturbance</w:t>
            </w:r>
          </w:p>
        </w:tc>
      </w:tr>
      <w:tr w:rsidR="003B46E3" w:rsidRPr="0068236B" w14:paraId="141569E3" w14:textId="77777777" w:rsidTr="00522A12">
        <w:trPr>
          <w:trHeight w:val="889"/>
        </w:trPr>
        <w:tc>
          <w:tcPr>
            <w:tcW w:w="2268" w:type="dxa"/>
          </w:tcPr>
          <w:p w14:paraId="076B126B" w14:textId="77777777" w:rsidR="003B46E3" w:rsidRPr="0068236B" w:rsidRDefault="003B46E3" w:rsidP="003B46E3">
            <w:pPr>
              <w:autoSpaceDE w:val="0"/>
              <w:autoSpaceDN w:val="0"/>
              <w:adjustRightInd w:val="0"/>
              <w:spacing w:before="0" w:after="0" w:line="240" w:lineRule="auto"/>
              <w:jc w:val="left"/>
              <w:rPr>
                <w:rFonts w:cs="Arial"/>
                <w:sz w:val="20"/>
                <w:szCs w:val="20"/>
              </w:rPr>
            </w:pPr>
            <w:r w:rsidRPr="0068236B">
              <w:rPr>
                <w:rFonts w:cs="Arial"/>
                <w:sz w:val="20"/>
                <w:szCs w:val="20"/>
              </w:rPr>
              <w:t>Construction of fou</w:t>
            </w:r>
            <w:r w:rsidRPr="0068236B">
              <w:rPr>
                <w:rFonts w:cs="Arial"/>
                <w:sz w:val="20"/>
                <w:szCs w:val="20"/>
              </w:rPr>
              <w:t>n</w:t>
            </w:r>
            <w:r w:rsidRPr="0068236B">
              <w:rPr>
                <w:rFonts w:cs="Arial"/>
                <w:sz w:val="20"/>
                <w:szCs w:val="20"/>
              </w:rPr>
              <w:t xml:space="preserve">dations </w:t>
            </w:r>
          </w:p>
        </w:tc>
        <w:tc>
          <w:tcPr>
            <w:tcW w:w="3544" w:type="dxa"/>
          </w:tcPr>
          <w:p w14:paraId="31AE5A81" w14:textId="77777777" w:rsidR="003B46E3" w:rsidRPr="0068236B" w:rsidRDefault="003B46E3" w:rsidP="003B46E3">
            <w:pPr>
              <w:autoSpaceDE w:val="0"/>
              <w:autoSpaceDN w:val="0"/>
              <w:adjustRightInd w:val="0"/>
              <w:spacing w:before="0" w:after="0" w:line="240" w:lineRule="auto"/>
              <w:jc w:val="left"/>
              <w:rPr>
                <w:rFonts w:cs="Arial"/>
                <w:sz w:val="20"/>
                <w:szCs w:val="20"/>
              </w:rPr>
            </w:pPr>
            <w:r w:rsidRPr="0068236B">
              <w:rPr>
                <w:rFonts w:cs="Arial"/>
                <w:sz w:val="20"/>
                <w:szCs w:val="20"/>
              </w:rPr>
              <w:t>Disruption to surface and near su</w:t>
            </w:r>
            <w:r w:rsidRPr="0068236B">
              <w:rPr>
                <w:rFonts w:cs="Arial"/>
                <w:sz w:val="20"/>
                <w:szCs w:val="20"/>
              </w:rPr>
              <w:t>r</w:t>
            </w:r>
            <w:r w:rsidRPr="0068236B">
              <w:rPr>
                <w:rFonts w:cs="Arial"/>
                <w:sz w:val="20"/>
                <w:szCs w:val="20"/>
              </w:rPr>
              <w:t>face drainage from excavations and eventual dewatering, concrete pou</w:t>
            </w:r>
            <w:r w:rsidRPr="0068236B">
              <w:rPr>
                <w:rFonts w:cs="Arial"/>
                <w:sz w:val="20"/>
                <w:szCs w:val="20"/>
              </w:rPr>
              <w:t>r</w:t>
            </w:r>
            <w:r w:rsidRPr="0068236B">
              <w:rPr>
                <w:rFonts w:cs="Arial"/>
                <w:sz w:val="20"/>
                <w:szCs w:val="20"/>
              </w:rPr>
              <w:t>ing, removal of vegetative cover</w:t>
            </w:r>
          </w:p>
        </w:tc>
        <w:tc>
          <w:tcPr>
            <w:tcW w:w="3828" w:type="dxa"/>
          </w:tcPr>
          <w:p w14:paraId="08D2D338" w14:textId="77777777" w:rsidR="003B46E3" w:rsidRPr="0068236B" w:rsidRDefault="003B46E3" w:rsidP="008E77D3">
            <w:pPr>
              <w:numPr>
                <w:ilvl w:val="0"/>
                <w:numId w:val="71"/>
              </w:numPr>
              <w:autoSpaceDE w:val="0"/>
              <w:autoSpaceDN w:val="0"/>
              <w:adjustRightInd w:val="0"/>
              <w:spacing w:before="0" w:after="0" w:line="240" w:lineRule="auto"/>
              <w:ind w:left="209" w:hanging="142"/>
              <w:jc w:val="left"/>
              <w:rPr>
                <w:rFonts w:cs="Arial"/>
                <w:sz w:val="20"/>
                <w:szCs w:val="20"/>
              </w:rPr>
            </w:pPr>
            <w:r w:rsidRPr="0068236B">
              <w:rPr>
                <w:rFonts w:cs="Arial"/>
                <w:sz w:val="20"/>
                <w:szCs w:val="20"/>
              </w:rPr>
              <w:t>Change in surface run-off of locality</w:t>
            </w:r>
          </w:p>
          <w:p w14:paraId="1AFDC258" w14:textId="77777777" w:rsidR="003B46E3" w:rsidRPr="0068236B" w:rsidRDefault="003B46E3" w:rsidP="008E77D3">
            <w:pPr>
              <w:numPr>
                <w:ilvl w:val="0"/>
                <w:numId w:val="71"/>
              </w:numPr>
              <w:autoSpaceDE w:val="0"/>
              <w:autoSpaceDN w:val="0"/>
              <w:adjustRightInd w:val="0"/>
              <w:spacing w:before="0" w:after="0" w:line="240" w:lineRule="auto"/>
              <w:ind w:left="209" w:hanging="142"/>
              <w:jc w:val="left"/>
              <w:rPr>
                <w:rFonts w:cs="Arial"/>
                <w:sz w:val="20"/>
                <w:szCs w:val="20"/>
              </w:rPr>
            </w:pPr>
            <w:r w:rsidRPr="0068236B">
              <w:rPr>
                <w:rFonts w:cs="Arial"/>
                <w:sz w:val="20"/>
                <w:szCs w:val="20"/>
              </w:rPr>
              <w:t>Risk of alkaline concrete spillage</w:t>
            </w:r>
          </w:p>
        </w:tc>
      </w:tr>
    </w:tbl>
    <w:p w14:paraId="148BDA9F" w14:textId="7E9A59E8" w:rsidR="003B46E3" w:rsidRPr="0068236B" w:rsidRDefault="003B46E3" w:rsidP="003B46E3">
      <w:pPr>
        <w:pStyle w:val="Caption"/>
        <w:spacing w:after="240"/>
        <w:jc w:val="left"/>
        <w:rPr>
          <w:rFonts w:eastAsia="Calibri"/>
          <w:b w:val="0"/>
          <w:i/>
        </w:rPr>
      </w:pPr>
      <w:bookmarkStart w:id="456" w:name="_Toc446278264"/>
      <w:bookmarkStart w:id="457" w:name="_Toc481953706"/>
      <w:bookmarkStart w:id="458" w:name="_Toc65936960"/>
      <w:bookmarkStart w:id="459" w:name="_Toc80181269"/>
      <w:bookmarkStart w:id="460" w:name="_Toc113018224"/>
      <w:r w:rsidRPr="0068236B">
        <w:rPr>
          <w:b w:val="0"/>
        </w:rPr>
        <w:t xml:space="preserve">Table </w:t>
      </w:r>
      <w:r w:rsidRPr="0068236B">
        <w:rPr>
          <w:b w:val="0"/>
          <w:i/>
        </w:rPr>
        <w:fldChar w:fldCharType="begin"/>
      </w:r>
      <w:r w:rsidRPr="0068236B">
        <w:rPr>
          <w:b w:val="0"/>
        </w:rPr>
        <w:instrText xml:space="preserve"> STYLEREF 1 \s </w:instrText>
      </w:r>
      <w:r w:rsidRPr="0068236B">
        <w:rPr>
          <w:b w:val="0"/>
          <w:i/>
        </w:rPr>
        <w:fldChar w:fldCharType="separate"/>
      </w:r>
      <w:r w:rsidR="00FD57E6">
        <w:rPr>
          <w:b w:val="0"/>
          <w:noProof/>
        </w:rPr>
        <w:t>8</w:t>
      </w:r>
      <w:r w:rsidRPr="0068236B">
        <w:rPr>
          <w:b w:val="0"/>
          <w:i/>
        </w:rPr>
        <w:fldChar w:fldCharType="end"/>
      </w:r>
      <w:r w:rsidRPr="0068236B">
        <w:rPr>
          <w:b w:val="0"/>
        </w:rPr>
        <w:t>.</w:t>
      </w:r>
      <w:r w:rsidRPr="0068236B">
        <w:rPr>
          <w:b w:val="0"/>
          <w:i/>
        </w:rPr>
        <w:fldChar w:fldCharType="begin"/>
      </w:r>
      <w:r w:rsidRPr="0068236B">
        <w:rPr>
          <w:b w:val="0"/>
        </w:rPr>
        <w:instrText xml:space="preserve"> SEQ Table \* ARABIC \s 1 </w:instrText>
      </w:r>
      <w:r w:rsidRPr="0068236B">
        <w:rPr>
          <w:b w:val="0"/>
          <w:i/>
        </w:rPr>
        <w:fldChar w:fldCharType="separate"/>
      </w:r>
      <w:r w:rsidR="00FD57E6">
        <w:rPr>
          <w:b w:val="0"/>
          <w:noProof/>
        </w:rPr>
        <w:t>28</w:t>
      </w:r>
      <w:r w:rsidRPr="0068236B">
        <w:rPr>
          <w:b w:val="0"/>
          <w:i/>
        </w:rPr>
        <w:fldChar w:fldCharType="end"/>
      </w:r>
      <w:r w:rsidR="005F774D" w:rsidRPr="0068236B">
        <w:rPr>
          <w:b w:val="0"/>
        </w:rPr>
        <w:t xml:space="preserve">: </w:t>
      </w:r>
      <w:r w:rsidRPr="0068236B">
        <w:rPr>
          <w:b w:val="0"/>
        </w:rPr>
        <w:t>Summary of potential construction impacts on hydrolog</w:t>
      </w:r>
      <w:bookmarkEnd w:id="456"/>
      <w:bookmarkEnd w:id="457"/>
      <w:r w:rsidRPr="0068236B">
        <w:rPr>
          <w:b w:val="0"/>
        </w:rPr>
        <w:t>ical resources</w:t>
      </w:r>
      <w:bookmarkEnd w:id="458"/>
      <w:bookmarkEnd w:id="459"/>
      <w:bookmarkEnd w:id="460"/>
    </w:p>
    <w:p w14:paraId="544EBF3B" w14:textId="77777777" w:rsidR="003B46E3" w:rsidRPr="0068236B" w:rsidRDefault="003B46E3" w:rsidP="003B46E3">
      <w:pPr>
        <w:pStyle w:val="Heading4"/>
        <w:spacing w:line="240" w:lineRule="auto"/>
        <w:ind w:left="1843" w:hanging="1123"/>
        <w:rPr>
          <w:sz w:val="20"/>
        </w:rPr>
      </w:pPr>
      <w:bookmarkStart w:id="461" w:name="_Toc65936725"/>
      <w:r w:rsidRPr="0068236B">
        <w:rPr>
          <w:sz w:val="20"/>
        </w:rPr>
        <w:t>Operation</w:t>
      </w:r>
      <w:bookmarkEnd w:id="461"/>
    </w:p>
    <w:p w14:paraId="6C0B207C" w14:textId="77777777" w:rsidR="003B46E3" w:rsidRPr="0068236B" w:rsidRDefault="003B46E3" w:rsidP="003B46E3">
      <w:pPr>
        <w:rPr>
          <w:sz w:val="20"/>
        </w:rPr>
      </w:pPr>
      <w:r w:rsidRPr="0068236B">
        <w:rPr>
          <w:sz w:val="20"/>
        </w:rPr>
        <w:t>During its operational phase, the Project will not directly discharge pollutants to the aquatic environment.</w:t>
      </w:r>
    </w:p>
    <w:p w14:paraId="01EA1E07" w14:textId="77777777" w:rsidR="003B46E3" w:rsidRPr="0068236B" w:rsidRDefault="003B46E3" w:rsidP="003B46E3">
      <w:pPr>
        <w:rPr>
          <w:sz w:val="20"/>
        </w:rPr>
      </w:pPr>
      <w:r w:rsidRPr="0068236B">
        <w:rPr>
          <w:sz w:val="20"/>
        </w:rPr>
        <w:t>The operational Project could result in minor potential impacts on water quality, especially due to maint</w:t>
      </w:r>
      <w:r w:rsidRPr="0068236B">
        <w:rPr>
          <w:sz w:val="20"/>
        </w:rPr>
        <w:t>e</w:t>
      </w:r>
      <w:r w:rsidRPr="0068236B">
        <w:rPr>
          <w:sz w:val="20"/>
        </w:rPr>
        <w:t xml:space="preserve">nance activities and the control of the infrastructure and equipment (Table below). </w:t>
      </w:r>
    </w:p>
    <w:tbl>
      <w:tblPr>
        <w:tblW w:w="9214"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552"/>
        <w:gridCol w:w="2835"/>
        <w:gridCol w:w="3827"/>
      </w:tblGrid>
      <w:tr w:rsidR="003B46E3" w:rsidRPr="0068236B" w14:paraId="33F0840F" w14:textId="77777777" w:rsidTr="003B46E3">
        <w:trPr>
          <w:trHeight w:val="377"/>
        </w:trPr>
        <w:tc>
          <w:tcPr>
            <w:tcW w:w="2552" w:type="dxa"/>
            <w:tcBorders>
              <w:top w:val="double" w:sz="4" w:space="0" w:color="auto"/>
              <w:bottom w:val="double" w:sz="4" w:space="0" w:color="auto"/>
              <w:right w:val="double" w:sz="4" w:space="0" w:color="auto"/>
            </w:tcBorders>
            <w:shd w:val="clear" w:color="auto" w:fill="D9E2F3" w:themeFill="accent1" w:themeFillTint="33"/>
          </w:tcPr>
          <w:p w14:paraId="0D8E9217" w14:textId="77777777" w:rsidR="003B46E3" w:rsidRPr="0068236B" w:rsidRDefault="003B46E3" w:rsidP="003B46E3">
            <w:pPr>
              <w:spacing w:before="0" w:after="0" w:line="240" w:lineRule="auto"/>
              <w:jc w:val="left"/>
              <w:rPr>
                <w:rFonts w:cs="Arial"/>
                <w:sz w:val="20"/>
                <w:szCs w:val="20"/>
              </w:rPr>
            </w:pPr>
            <w:r w:rsidRPr="0068236B">
              <w:rPr>
                <w:rFonts w:cs="Arial"/>
                <w:sz w:val="20"/>
                <w:szCs w:val="20"/>
              </w:rPr>
              <w:t>Project component</w:t>
            </w:r>
          </w:p>
        </w:tc>
        <w:tc>
          <w:tcPr>
            <w:tcW w:w="2835"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318741E4" w14:textId="77777777" w:rsidR="003B46E3" w:rsidRPr="0068236B" w:rsidRDefault="003B46E3" w:rsidP="003B46E3">
            <w:pPr>
              <w:spacing w:before="0" w:after="0" w:line="240" w:lineRule="auto"/>
              <w:jc w:val="left"/>
              <w:rPr>
                <w:rFonts w:cs="Arial"/>
                <w:sz w:val="20"/>
                <w:szCs w:val="20"/>
              </w:rPr>
            </w:pPr>
            <w:r w:rsidRPr="0068236B">
              <w:rPr>
                <w:rFonts w:cs="Arial"/>
                <w:sz w:val="20"/>
                <w:szCs w:val="20"/>
              </w:rPr>
              <w:t>Activity</w:t>
            </w:r>
          </w:p>
        </w:tc>
        <w:tc>
          <w:tcPr>
            <w:tcW w:w="3827" w:type="dxa"/>
            <w:tcBorders>
              <w:top w:val="double" w:sz="4" w:space="0" w:color="auto"/>
              <w:left w:val="double" w:sz="4" w:space="0" w:color="auto"/>
              <w:bottom w:val="double" w:sz="4" w:space="0" w:color="auto"/>
            </w:tcBorders>
            <w:shd w:val="clear" w:color="auto" w:fill="D9E2F3" w:themeFill="accent1" w:themeFillTint="33"/>
          </w:tcPr>
          <w:p w14:paraId="2CF7A7E3" w14:textId="77777777" w:rsidR="003B46E3" w:rsidRPr="0068236B" w:rsidRDefault="003B46E3" w:rsidP="003B46E3">
            <w:pPr>
              <w:spacing w:before="0" w:after="0" w:line="240" w:lineRule="auto"/>
              <w:jc w:val="left"/>
              <w:rPr>
                <w:rFonts w:cs="Arial"/>
                <w:sz w:val="20"/>
                <w:szCs w:val="20"/>
              </w:rPr>
            </w:pPr>
            <w:r w:rsidRPr="0068236B">
              <w:rPr>
                <w:rFonts w:cs="Arial"/>
                <w:sz w:val="20"/>
                <w:szCs w:val="20"/>
              </w:rPr>
              <w:t>Potential impact</w:t>
            </w:r>
          </w:p>
        </w:tc>
      </w:tr>
      <w:tr w:rsidR="003B46E3" w:rsidRPr="0068236B" w14:paraId="6CEE25C4" w14:textId="77777777" w:rsidTr="00522A12">
        <w:trPr>
          <w:trHeight w:val="616"/>
        </w:trPr>
        <w:tc>
          <w:tcPr>
            <w:tcW w:w="2552" w:type="dxa"/>
          </w:tcPr>
          <w:p w14:paraId="2D071010" w14:textId="67FB9422" w:rsidR="003B46E3" w:rsidRPr="0068236B" w:rsidRDefault="003B46E3" w:rsidP="003B46E3">
            <w:pPr>
              <w:autoSpaceDE w:val="0"/>
              <w:autoSpaceDN w:val="0"/>
              <w:adjustRightInd w:val="0"/>
              <w:spacing w:before="0" w:after="0" w:line="240" w:lineRule="auto"/>
              <w:jc w:val="left"/>
              <w:rPr>
                <w:rFonts w:cs="Arial"/>
                <w:sz w:val="20"/>
                <w:szCs w:val="20"/>
              </w:rPr>
            </w:pPr>
            <w:r w:rsidRPr="0068236B">
              <w:rPr>
                <w:rFonts w:cs="Arial"/>
                <w:sz w:val="20"/>
                <w:szCs w:val="20"/>
              </w:rPr>
              <w:t>Maintenance traffic t</w:t>
            </w:r>
            <w:r w:rsidR="00522A12" w:rsidRPr="0068236B">
              <w:rPr>
                <w:rFonts w:cs="Arial"/>
                <w:sz w:val="20"/>
                <w:szCs w:val="20"/>
              </w:rPr>
              <w:t>o access transmission lines</w:t>
            </w:r>
          </w:p>
        </w:tc>
        <w:tc>
          <w:tcPr>
            <w:tcW w:w="2835" w:type="dxa"/>
          </w:tcPr>
          <w:p w14:paraId="02FFFCC6" w14:textId="77777777" w:rsidR="003B46E3" w:rsidRPr="0068236B" w:rsidRDefault="003B46E3" w:rsidP="003B46E3">
            <w:pPr>
              <w:autoSpaceDE w:val="0"/>
              <w:autoSpaceDN w:val="0"/>
              <w:adjustRightInd w:val="0"/>
              <w:spacing w:before="0" w:after="0" w:line="240" w:lineRule="auto"/>
              <w:jc w:val="left"/>
              <w:rPr>
                <w:rFonts w:cs="Arial"/>
                <w:sz w:val="20"/>
                <w:szCs w:val="20"/>
              </w:rPr>
            </w:pPr>
            <w:r w:rsidRPr="0068236B">
              <w:rPr>
                <w:rFonts w:cs="Arial"/>
                <w:sz w:val="20"/>
                <w:szCs w:val="20"/>
              </w:rPr>
              <w:t>Spillage of oils and fuels from vehicles, compaction of land around tower foundations</w:t>
            </w:r>
          </w:p>
        </w:tc>
        <w:tc>
          <w:tcPr>
            <w:tcW w:w="3827" w:type="dxa"/>
          </w:tcPr>
          <w:p w14:paraId="3190EBEE" w14:textId="77777777" w:rsidR="003B46E3" w:rsidRPr="0068236B" w:rsidRDefault="003B46E3" w:rsidP="008E77D3">
            <w:pPr>
              <w:numPr>
                <w:ilvl w:val="0"/>
                <w:numId w:val="66"/>
              </w:numPr>
              <w:autoSpaceDE w:val="0"/>
              <w:autoSpaceDN w:val="0"/>
              <w:adjustRightInd w:val="0"/>
              <w:spacing w:before="0" w:after="0" w:line="240" w:lineRule="auto"/>
              <w:ind w:left="175" w:hanging="175"/>
              <w:jc w:val="left"/>
              <w:rPr>
                <w:rFonts w:cs="Arial"/>
                <w:sz w:val="20"/>
                <w:szCs w:val="20"/>
              </w:rPr>
            </w:pPr>
            <w:r w:rsidRPr="0068236B">
              <w:rPr>
                <w:rFonts w:cs="Arial"/>
                <w:sz w:val="20"/>
                <w:szCs w:val="20"/>
              </w:rPr>
              <w:t>Risk of pollution from fuel / oils</w:t>
            </w:r>
          </w:p>
          <w:p w14:paraId="1FB7E58D" w14:textId="77777777" w:rsidR="003B46E3" w:rsidRPr="0068236B" w:rsidRDefault="003B46E3" w:rsidP="008E77D3">
            <w:pPr>
              <w:numPr>
                <w:ilvl w:val="0"/>
                <w:numId w:val="66"/>
              </w:numPr>
              <w:autoSpaceDE w:val="0"/>
              <w:autoSpaceDN w:val="0"/>
              <w:adjustRightInd w:val="0"/>
              <w:spacing w:before="0" w:after="0" w:line="240" w:lineRule="auto"/>
              <w:ind w:left="175" w:hanging="175"/>
              <w:jc w:val="left"/>
              <w:rPr>
                <w:rFonts w:cs="Arial"/>
                <w:sz w:val="20"/>
                <w:szCs w:val="20"/>
              </w:rPr>
            </w:pPr>
            <w:r w:rsidRPr="0068236B">
              <w:rPr>
                <w:rFonts w:cs="Arial"/>
                <w:sz w:val="20"/>
                <w:szCs w:val="20"/>
              </w:rPr>
              <w:t>Local effects on hydrology from co</w:t>
            </w:r>
            <w:r w:rsidRPr="0068236B">
              <w:rPr>
                <w:rFonts w:cs="Arial"/>
                <w:sz w:val="20"/>
                <w:szCs w:val="20"/>
              </w:rPr>
              <w:t>m</w:t>
            </w:r>
            <w:r w:rsidRPr="0068236B">
              <w:rPr>
                <w:rFonts w:cs="Arial"/>
                <w:sz w:val="20"/>
                <w:szCs w:val="20"/>
              </w:rPr>
              <w:t>paction</w:t>
            </w:r>
          </w:p>
        </w:tc>
      </w:tr>
      <w:tr w:rsidR="003B46E3" w:rsidRPr="0068236B" w14:paraId="3FBA0CC4" w14:textId="77777777" w:rsidTr="00522A12">
        <w:trPr>
          <w:trHeight w:val="164"/>
        </w:trPr>
        <w:tc>
          <w:tcPr>
            <w:tcW w:w="2552" w:type="dxa"/>
          </w:tcPr>
          <w:p w14:paraId="072BBE5A" w14:textId="77777777" w:rsidR="003B46E3" w:rsidRPr="0068236B" w:rsidRDefault="003B46E3" w:rsidP="003B46E3">
            <w:pPr>
              <w:autoSpaceDE w:val="0"/>
              <w:autoSpaceDN w:val="0"/>
              <w:adjustRightInd w:val="0"/>
              <w:spacing w:before="0" w:after="0" w:line="240" w:lineRule="auto"/>
              <w:jc w:val="left"/>
              <w:rPr>
                <w:rFonts w:cs="Arial"/>
                <w:sz w:val="20"/>
                <w:szCs w:val="20"/>
              </w:rPr>
            </w:pPr>
            <w:r w:rsidRPr="0068236B">
              <w:rPr>
                <w:rFonts w:cs="Arial"/>
                <w:sz w:val="20"/>
                <w:szCs w:val="20"/>
              </w:rPr>
              <w:t>Substation operation</w:t>
            </w:r>
          </w:p>
        </w:tc>
        <w:tc>
          <w:tcPr>
            <w:tcW w:w="2835" w:type="dxa"/>
          </w:tcPr>
          <w:p w14:paraId="5752967A" w14:textId="080C8AAC" w:rsidR="003F7E72" w:rsidRPr="0068236B" w:rsidRDefault="003F7E72" w:rsidP="003B46E3">
            <w:pPr>
              <w:numPr>
                <w:ilvl w:val="0"/>
                <w:numId w:val="66"/>
              </w:numPr>
              <w:autoSpaceDE w:val="0"/>
              <w:autoSpaceDN w:val="0"/>
              <w:adjustRightInd w:val="0"/>
              <w:spacing w:before="0" w:after="0" w:line="240" w:lineRule="auto"/>
              <w:ind w:left="175" w:hanging="175"/>
              <w:jc w:val="left"/>
              <w:rPr>
                <w:rFonts w:cs="Arial"/>
                <w:sz w:val="20"/>
                <w:szCs w:val="20"/>
              </w:rPr>
            </w:pPr>
            <w:r w:rsidRPr="0068236B">
              <w:rPr>
                <w:rFonts w:cs="Arial"/>
                <w:sz w:val="20"/>
                <w:szCs w:val="20"/>
              </w:rPr>
              <w:t xml:space="preserve">Wastewater </w:t>
            </w:r>
            <w:r w:rsidRPr="0068236B">
              <w:rPr>
                <w:sz w:val="20"/>
                <w:szCs w:val="20"/>
                <w:lang w:eastAsia="zh-CN"/>
              </w:rPr>
              <w:t>generated from the daily activities of the employed personnel</w:t>
            </w:r>
          </w:p>
          <w:p w14:paraId="3432369F" w14:textId="1663A70E" w:rsidR="003B46E3" w:rsidRPr="0068236B" w:rsidRDefault="003B46E3" w:rsidP="003B46E3">
            <w:pPr>
              <w:numPr>
                <w:ilvl w:val="0"/>
                <w:numId w:val="66"/>
              </w:numPr>
              <w:autoSpaceDE w:val="0"/>
              <w:autoSpaceDN w:val="0"/>
              <w:adjustRightInd w:val="0"/>
              <w:spacing w:before="0" w:after="0" w:line="240" w:lineRule="auto"/>
              <w:ind w:left="175" w:hanging="175"/>
              <w:jc w:val="left"/>
              <w:rPr>
                <w:rFonts w:cs="Arial"/>
                <w:sz w:val="20"/>
                <w:szCs w:val="20"/>
              </w:rPr>
            </w:pPr>
            <w:r w:rsidRPr="0068236B">
              <w:rPr>
                <w:rFonts w:cs="Arial"/>
                <w:sz w:val="20"/>
                <w:szCs w:val="20"/>
              </w:rPr>
              <w:t>Spillage of transformer oil</w:t>
            </w:r>
            <w:r w:rsidR="003F7E72" w:rsidRPr="0068236B">
              <w:rPr>
                <w:rFonts w:cs="Arial"/>
                <w:sz w:val="20"/>
                <w:szCs w:val="20"/>
              </w:rPr>
              <w:t>, in a case of accident</w:t>
            </w:r>
          </w:p>
        </w:tc>
        <w:tc>
          <w:tcPr>
            <w:tcW w:w="3827" w:type="dxa"/>
          </w:tcPr>
          <w:p w14:paraId="056646E2" w14:textId="77777777" w:rsidR="003B46E3" w:rsidRPr="0068236B" w:rsidRDefault="003B46E3" w:rsidP="008E77D3">
            <w:pPr>
              <w:numPr>
                <w:ilvl w:val="0"/>
                <w:numId w:val="66"/>
              </w:numPr>
              <w:autoSpaceDE w:val="0"/>
              <w:autoSpaceDN w:val="0"/>
              <w:adjustRightInd w:val="0"/>
              <w:spacing w:before="0" w:after="0" w:line="240" w:lineRule="auto"/>
              <w:ind w:left="175" w:hanging="175"/>
              <w:jc w:val="left"/>
              <w:rPr>
                <w:rFonts w:cs="Arial"/>
                <w:sz w:val="20"/>
                <w:szCs w:val="20"/>
              </w:rPr>
            </w:pPr>
            <w:r w:rsidRPr="0068236B">
              <w:rPr>
                <w:rFonts w:cs="Arial"/>
                <w:sz w:val="20"/>
                <w:szCs w:val="20"/>
              </w:rPr>
              <w:t>Risk of pollution of groundwater</w:t>
            </w:r>
          </w:p>
        </w:tc>
      </w:tr>
    </w:tbl>
    <w:p w14:paraId="5F888BAD" w14:textId="767539DA" w:rsidR="003B46E3" w:rsidRPr="0068236B" w:rsidRDefault="003B46E3" w:rsidP="003B46E3">
      <w:pPr>
        <w:pStyle w:val="Caption"/>
        <w:spacing w:after="240"/>
        <w:jc w:val="left"/>
        <w:rPr>
          <w:rFonts w:eastAsia="Calibri"/>
          <w:b w:val="0"/>
          <w:i/>
          <w:szCs w:val="20"/>
        </w:rPr>
      </w:pPr>
      <w:bookmarkStart w:id="462" w:name="_Toc446278265"/>
      <w:bookmarkStart w:id="463" w:name="_Toc481953707"/>
      <w:bookmarkStart w:id="464" w:name="_Toc65936961"/>
      <w:bookmarkStart w:id="465" w:name="_Toc80181270"/>
      <w:bookmarkStart w:id="466" w:name="_Toc113018225"/>
      <w:r w:rsidRPr="0068236B">
        <w:rPr>
          <w:b w:val="0"/>
          <w:szCs w:val="20"/>
        </w:rPr>
        <w:t xml:space="preserve">Table </w:t>
      </w:r>
      <w:r w:rsidRPr="0068236B">
        <w:rPr>
          <w:b w:val="0"/>
          <w:i/>
          <w:szCs w:val="20"/>
        </w:rPr>
        <w:fldChar w:fldCharType="begin"/>
      </w:r>
      <w:r w:rsidRPr="0068236B">
        <w:rPr>
          <w:b w:val="0"/>
          <w:szCs w:val="20"/>
        </w:rPr>
        <w:instrText xml:space="preserve"> STYLEREF 1 \s </w:instrText>
      </w:r>
      <w:r w:rsidRPr="0068236B">
        <w:rPr>
          <w:b w:val="0"/>
          <w:i/>
          <w:szCs w:val="20"/>
        </w:rPr>
        <w:fldChar w:fldCharType="separate"/>
      </w:r>
      <w:r w:rsidR="00FD57E6">
        <w:rPr>
          <w:b w:val="0"/>
          <w:noProof/>
          <w:szCs w:val="20"/>
        </w:rPr>
        <w:t>8</w:t>
      </w:r>
      <w:r w:rsidRPr="0068236B">
        <w:rPr>
          <w:b w:val="0"/>
          <w:i/>
          <w:szCs w:val="20"/>
        </w:rPr>
        <w:fldChar w:fldCharType="end"/>
      </w:r>
      <w:r w:rsidRPr="0068236B">
        <w:rPr>
          <w:b w:val="0"/>
          <w:szCs w:val="20"/>
        </w:rPr>
        <w:t>.</w:t>
      </w:r>
      <w:r w:rsidRPr="0068236B">
        <w:rPr>
          <w:b w:val="0"/>
          <w:i/>
          <w:szCs w:val="20"/>
        </w:rPr>
        <w:fldChar w:fldCharType="begin"/>
      </w:r>
      <w:r w:rsidRPr="0068236B">
        <w:rPr>
          <w:b w:val="0"/>
          <w:szCs w:val="20"/>
        </w:rPr>
        <w:instrText xml:space="preserve"> SEQ Table \* ARABIC \s 1 </w:instrText>
      </w:r>
      <w:r w:rsidRPr="0068236B">
        <w:rPr>
          <w:b w:val="0"/>
          <w:i/>
          <w:szCs w:val="20"/>
        </w:rPr>
        <w:fldChar w:fldCharType="separate"/>
      </w:r>
      <w:r w:rsidR="00FD57E6">
        <w:rPr>
          <w:b w:val="0"/>
          <w:noProof/>
          <w:szCs w:val="20"/>
        </w:rPr>
        <w:t>29</w:t>
      </w:r>
      <w:r w:rsidRPr="0068236B">
        <w:rPr>
          <w:b w:val="0"/>
          <w:i/>
          <w:szCs w:val="20"/>
        </w:rPr>
        <w:fldChar w:fldCharType="end"/>
      </w:r>
      <w:r w:rsidR="005F774D" w:rsidRPr="0068236B">
        <w:rPr>
          <w:rFonts w:eastAsia="Calibri"/>
          <w:b w:val="0"/>
          <w:szCs w:val="20"/>
        </w:rPr>
        <w:t xml:space="preserve">: </w:t>
      </w:r>
      <w:r w:rsidRPr="0068236B">
        <w:rPr>
          <w:b w:val="0"/>
          <w:szCs w:val="20"/>
        </w:rPr>
        <w:t>Summary of potential operational impacts on hydrolog</w:t>
      </w:r>
      <w:bookmarkEnd w:id="462"/>
      <w:bookmarkEnd w:id="463"/>
      <w:r w:rsidRPr="0068236B">
        <w:rPr>
          <w:b w:val="0"/>
          <w:szCs w:val="20"/>
        </w:rPr>
        <w:t>ical resources</w:t>
      </w:r>
      <w:bookmarkEnd w:id="464"/>
      <w:bookmarkEnd w:id="465"/>
      <w:bookmarkEnd w:id="466"/>
    </w:p>
    <w:p w14:paraId="146348D6" w14:textId="77777777" w:rsidR="003B46E3" w:rsidRPr="0068236B" w:rsidRDefault="003B46E3" w:rsidP="003B46E3">
      <w:pPr>
        <w:pStyle w:val="Heading3"/>
        <w:spacing w:line="240" w:lineRule="auto"/>
        <w:ind w:left="993" w:hanging="993"/>
      </w:pPr>
      <w:bookmarkStart w:id="467" w:name="_Toc65936726"/>
      <w:bookmarkStart w:id="468" w:name="_Toc80181167"/>
      <w:bookmarkStart w:id="469" w:name="_Toc112852286"/>
      <w:r w:rsidRPr="0068236B">
        <w:t>Assessment of Impacts</w:t>
      </w:r>
      <w:bookmarkEnd w:id="467"/>
      <w:bookmarkEnd w:id="468"/>
      <w:bookmarkEnd w:id="469"/>
    </w:p>
    <w:p w14:paraId="3FEDFD2E" w14:textId="77777777" w:rsidR="003B46E3" w:rsidRPr="0068236B" w:rsidRDefault="003B46E3" w:rsidP="003B46E3">
      <w:pPr>
        <w:pStyle w:val="Heading4"/>
        <w:spacing w:line="240" w:lineRule="auto"/>
        <w:ind w:left="1843" w:hanging="1123"/>
        <w:rPr>
          <w:sz w:val="20"/>
        </w:rPr>
      </w:pPr>
      <w:bookmarkStart w:id="470" w:name="_Toc65936727"/>
      <w:r w:rsidRPr="0068236B">
        <w:rPr>
          <w:sz w:val="20"/>
        </w:rPr>
        <w:t>Catchment Areas – Wide Impacts</w:t>
      </w:r>
      <w:bookmarkEnd w:id="470"/>
    </w:p>
    <w:p w14:paraId="28169379" w14:textId="2ECB1482" w:rsidR="003B46E3" w:rsidRPr="0068236B" w:rsidRDefault="003B46E3" w:rsidP="003B46E3">
      <w:pPr>
        <w:autoSpaceDE w:val="0"/>
        <w:autoSpaceDN w:val="0"/>
        <w:adjustRightInd w:val="0"/>
        <w:rPr>
          <w:rFonts w:cs="Tahoma"/>
          <w:sz w:val="20"/>
          <w:szCs w:val="20"/>
        </w:rPr>
      </w:pPr>
      <w:r w:rsidRPr="0068236B">
        <w:rPr>
          <w:rFonts w:cs="Tahoma"/>
          <w:sz w:val="20"/>
          <w:szCs w:val="20"/>
        </w:rPr>
        <w:t xml:space="preserve">The Table below summarizes the sensitivity of the catchment areas of the main watercourses in the </w:t>
      </w:r>
      <w:r w:rsidR="00D66F94" w:rsidRPr="0068236B">
        <w:rPr>
          <w:rFonts w:cs="Tahoma"/>
          <w:sz w:val="20"/>
          <w:szCs w:val="20"/>
        </w:rPr>
        <w:t>P</w:t>
      </w:r>
      <w:r w:rsidRPr="0068236B">
        <w:rPr>
          <w:rFonts w:cs="Tahoma"/>
          <w:sz w:val="20"/>
          <w:szCs w:val="20"/>
        </w:rPr>
        <w:t xml:space="preserve">roject region – </w:t>
      </w:r>
      <w:r w:rsidR="00522A12" w:rsidRPr="0068236B">
        <w:rPr>
          <w:rFonts w:cs="Tahoma"/>
          <w:sz w:val="20"/>
          <w:szCs w:val="20"/>
        </w:rPr>
        <w:t>Vardar River and Anska Reka</w:t>
      </w:r>
      <w:r w:rsidRPr="0068236B">
        <w:rPr>
          <w:rFonts w:cs="Tahoma"/>
          <w:sz w:val="20"/>
        </w:rPr>
        <w:t>.</w:t>
      </w:r>
    </w:p>
    <w:tbl>
      <w:tblPr>
        <w:tblW w:w="0" w:type="auto"/>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701"/>
        <w:gridCol w:w="5670"/>
        <w:gridCol w:w="1417"/>
      </w:tblGrid>
      <w:tr w:rsidR="003B46E3" w:rsidRPr="0068236B" w14:paraId="0128939E" w14:textId="77777777" w:rsidTr="003B46E3">
        <w:trPr>
          <w:tblHeader/>
        </w:trPr>
        <w:tc>
          <w:tcPr>
            <w:tcW w:w="1701" w:type="dxa"/>
            <w:tcBorders>
              <w:top w:val="double" w:sz="4" w:space="0" w:color="auto"/>
              <w:bottom w:val="double" w:sz="4" w:space="0" w:color="auto"/>
              <w:right w:val="double" w:sz="4" w:space="0" w:color="auto"/>
            </w:tcBorders>
            <w:shd w:val="clear" w:color="auto" w:fill="D9E2F3" w:themeFill="accent1" w:themeFillTint="33"/>
          </w:tcPr>
          <w:p w14:paraId="0524408F" w14:textId="77777777" w:rsidR="003B46E3" w:rsidRPr="0068236B" w:rsidRDefault="003B46E3" w:rsidP="003B46E3">
            <w:pPr>
              <w:autoSpaceDE w:val="0"/>
              <w:autoSpaceDN w:val="0"/>
              <w:adjustRightInd w:val="0"/>
              <w:spacing w:before="0" w:after="0" w:line="240" w:lineRule="auto"/>
              <w:rPr>
                <w:rFonts w:eastAsia="Calibri" w:cs="Tahoma"/>
                <w:sz w:val="20"/>
                <w:szCs w:val="20"/>
              </w:rPr>
            </w:pPr>
            <w:r w:rsidRPr="0068236B">
              <w:rPr>
                <w:rFonts w:eastAsia="Calibri" w:cs="Tahoma"/>
                <w:sz w:val="20"/>
                <w:szCs w:val="20"/>
              </w:rPr>
              <w:t>Catchment /</w:t>
            </w:r>
          </w:p>
          <w:p w14:paraId="5ACD58E2" w14:textId="77777777" w:rsidR="003B46E3" w:rsidRPr="0068236B" w:rsidRDefault="003B46E3" w:rsidP="003B46E3">
            <w:pPr>
              <w:autoSpaceDE w:val="0"/>
              <w:autoSpaceDN w:val="0"/>
              <w:adjustRightInd w:val="0"/>
              <w:spacing w:before="0" w:after="0" w:line="240" w:lineRule="auto"/>
              <w:rPr>
                <w:rFonts w:eastAsia="Calibri" w:cs="Tahoma"/>
                <w:sz w:val="20"/>
                <w:szCs w:val="20"/>
              </w:rPr>
            </w:pPr>
            <w:r w:rsidRPr="0068236B">
              <w:rPr>
                <w:rFonts w:eastAsia="Calibri" w:cs="Tahoma"/>
                <w:sz w:val="20"/>
                <w:szCs w:val="20"/>
              </w:rPr>
              <w:t>main river</w:t>
            </w:r>
          </w:p>
        </w:tc>
        <w:tc>
          <w:tcPr>
            <w:tcW w:w="5670"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12D7B304" w14:textId="77777777" w:rsidR="003B46E3" w:rsidRPr="0068236B" w:rsidRDefault="003B46E3" w:rsidP="003B46E3">
            <w:pPr>
              <w:autoSpaceDE w:val="0"/>
              <w:autoSpaceDN w:val="0"/>
              <w:adjustRightInd w:val="0"/>
              <w:spacing w:before="0" w:after="0" w:line="240" w:lineRule="auto"/>
              <w:rPr>
                <w:rFonts w:eastAsia="Calibri" w:cs="Tahoma"/>
                <w:sz w:val="20"/>
                <w:szCs w:val="20"/>
              </w:rPr>
            </w:pPr>
            <w:r w:rsidRPr="0068236B">
              <w:rPr>
                <w:rFonts w:eastAsia="Calibri" w:cs="Tahoma"/>
                <w:sz w:val="20"/>
                <w:szCs w:val="20"/>
              </w:rPr>
              <w:t>Key sensitivity issues</w:t>
            </w:r>
          </w:p>
        </w:tc>
        <w:tc>
          <w:tcPr>
            <w:tcW w:w="1417" w:type="dxa"/>
            <w:tcBorders>
              <w:top w:val="double" w:sz="4" w:space="0" w:color="auto"/>
              <w:left w:val="double" w:sz="4" w:space="0" w:color="auto"/>
              <w:bottom w:val="double" w:sz="4" w:space="0" w:color="auto"/>
            </w:tcBorders>
            <w:shd w:val="clear" w:color="auto" w:fill="D9E2F3" w:themeFill="accent1" w:themeFillTint="33"/>
          </w:tcPr>
          <w:p w14:paraId="77FB5CEB" w14:textId="77777777" w:rsidR="003B46E3" w:rsidRPr="0068236B" w:rsidRDefault="003B46E3" w:rsidP="003B46E3">
            <w:pPr>
              <w:autoSpaceDE w:val="0"/>
              <w:autoSpaceDN w:val="0"/>
              <w:adjustRightInd w:val="0"/>
              <w:spacing w:before="0" w:after="0" w:line="240" w:lineRule="auto"/>
              <w:rPr>
                <w:rFonts w:eastAsia="Calibri" w:cs="Tahoma"/>
                <w:sz w:val="20"/>
                <w:szCs w:val="20"/>
              </w:rPr>
            </w:pPr>
            <w:r w:rsidRPr="0068236B">
              <w:rPr>
                <w:rFonts w:eastAsia="Calibri" w:cs="Tahoma"/>
                <w:sz w:val="20"/>
                <w:szCs w:val="20"/>
              </w:rPr>
              <w:t>Sensitivity</w:t>
            </w:r>
          </w:p>
        </w:tc>
      </w:tr>
      <w:tr w:rsidR="003B46E3" w:rsidRPr="0068236B" w14:paraId="2B299B2D" w14:textId="77777777" w:rsidTr="003B46E3">
        <w:tc>
          <w:tcPr>
            <w:tcW w:w="1701" w:type="dxa"/>
          </w:tcPr>
          <w:p w14:paraId="0CB3CBA0" w14:textId="0BA32DC3" w:rsidR="003B46E3" w:rsidRPr="0068236B" w:rsidRDefault="005F1ED9" w:rsidP="003B46E3">
            <w:pPr>
              <w:autoSpaceDE w:val="0"/>
              <w:autoSpaceDN w:val="0"/>
              <w:adjustRightInd w:val="0"/>
              <w:spacing w:before="0" w:after="0" w:line="240" w:lineRule="auto"/>
              <w:rPr>
                <w:rFonts w:eastAsia="Calibri" w:cs="Tahoma"/>
                <w:sz w:val="20"/>
                <w:szCs w:val="20"/>
              </w:rPr>
            </w:pPr>
            <w:r w:rsidRPr="0068236B">
              <w:rPr>
                <w:rFonts w:eastAsia="Calibri" w:cs="Tahoma"/>
                <w:sz w:val="20"/>
                <w:szCs w:val="20"/>
              </w:rPr>
              <w:t>Vardar River</w:t>
            </w:r>
          </w:p>
        </w:tc>
        <w:tc>
          <w:tcPr>
            <w:tcW w:w="5670" w:type="dxa"/>
          </w:tcPr>
          <w:p w14:paraId="515613BE" w14:textId="77777777" w:rsidR="00D66F94" w:rsidRPr="0068236B" w:rsidRDefault="00D66F94" w:rsidP="00D24CEF">
            <w:pPr>
              <w:numPr>
                <w:ilvl w:val="0"/>
                <w:numId w:val="86"/>
              </w:numPr>
              <w:tabs>
                <w:tab w:val="left" w:pos="317"/>
              </w:tabs>
              <w:autoSpaceDE w:val="0"/>
              <w:autoSpaceDN w:val="0"/>
              <w:adjustRightInd w:val="0"/>
              <w:spacing w:before="0" w:after="0" w:line="240" w:lineRule="auto"/>
              <w:ind w:left="176" w:hanging="176"/>
              <w:contextualSpacing/>
              <w:jc w:val="left"/>
              <w:rPr>
                <w:rFonts w:eastAsia="Calibri" w:cs="Tahoma"/>
                <w:sz w:val="20"/>
                <w:szCs w:val="20"/>
              </w:rPr>
            </w:pPr>
            <w:r w:rsidRPr="0068236B">
              <w:rPr>
                <w:sz w:val="20"/>
                <w:szCs w:val="20"/>
              </w:rPr>
              <w:t>Degraded riparian vegetation</w:t>
            </w:r>
          </w:p>
          <w:p w14:paraId="571E8D82" w14:textId="34C22C28" w:rsidR="00D66F94" w:rsidRPr="0068236B" w:rsidRDefault="00D66F94" w:rsidP="00D24CEF">
            <w:pPr>
              <w:numPr>
                <w:ilvl w:val="0"/>
                <w:numId w:val="86"/>
              </w:numPr>
              <w:tabs>
                <w:tab w:val="left" w:pos="317"/>
              </w:tabs>
              <w:autoSpaceDE w:val="0"/>
              <w:autoSpaceDN w:val="0"/>
              <w:adjustRightInd w:val="0"/>
              <w:spacing w:before="0" w:after="0" w:line="240" w:lineRule="auto"/>
              <w:ind w:left="176" w:hanging="176"/>
              <w:contextualSpacing/>
              <w:jc w:val="left"/>
              <w:rPr>
                <w:rFonts w:eastAsia="Calibri" w:cs="Tahoma"/>
                <w:sz w:val="20"/>
                <w:szCs w:val="20"/>
              </w:rPr>
            </w:pPr>
            <w:r w:rsidRPr="0068236B">
              <w:rPr>
                <w:sz w:val="20"/>
                <w:szCs w:val="20"/>
              </w:rPr>
              <w:t>Used for agricultural purposes (irrigation)</w:t>
            </w:r>
          </w:p>
          <w:p w14:paraId="136D95C9" w14:textId="056AA8E6" w:rsidR="003B46E3" w:rsidRPr="0068236B" w:rsidRDefault="005F1ED9" w:rsidP="00D24CEF">
            <w:pPr>
              <w:pStyle w:val="ListParagraph"/>
              <w:numPr>
                <w:ilvl w:val="0"/>
                <w:numId w:val="86"/>
              </w:numPr>
              <w:tabs>
                <w:tab w:val="left" w:pos="317"/>
              </w:tabs>
              <w:autoSpaceDE w:val="0"/>
              <w:autoSpaceDN w:val="0"/>
              <w:adjustRightInd w:val="0"/>
              <w:spacing w:before="0" w:after="0" w:line="240" w:lineRule="auto"/>
              <w:ind w:left="176" w:hanging="176"/>
              <w:jc w:val="left"/>
              <w:rPr>
                <w:rFonts w:eastAsia="Calibri" w:cs="Tahoma"/>
                <w:sz w:val="20"/>
                <w:szCs w:val="20"/>
              </w:rPr>
            </w:pPr>
            <w:r w:rsidRPr="0068236B">
              <w:rPr>
                <w:rFonts w:eastAsia="Calibri" w:cs="Tahoma"/>
                <w:sz w:val="20"/>
                <w:szCs w:val="20"/>
              </w:rPr>
              <w:t>No designation status</w:t>
            </w:r>
          </w:p>
        </w:tc>
        <w:tc>
          <w:tcPr>
            <w:tcW w:w="1417" w:type="dxa"/>
          </w:tcPr>
          <w:p w14:paraId="6E18094C" w14:textId="59F92E01" w:rsidR="003B46E3" w:rsidRPr="0068236B" w:rsidRDefault="00522A12" w:rsidP="003B46E3">
            <w:pPr>
              <w:tabs>
                <w:tab w:val="left" w:pos="317"/>
              </w:tabs>
              <w:autoSpaceDE w:val="0"/>
              <w:autoSpaceDN w:val="0"/>
              <w:adjustRightInd w:val="0"/>
              <w:spacing w:before="0" w:after="0" w:line="240" w:lineRule="auto"/>
              <w:rPr>
                <w:rFonts w:eastAsia="Calibri" w:cs="Tahoma"/>
                <w:sz w:val="20"/>
                <w:szCs w:val="20"/>
              </w:rPr>
            </w:pPr>
            <w:r w:rsidRPr="0068236B">
              <w:rPr>
                <w:rFonts w:eastAsia="Calibri" w:cs="Tahoma"/>
                <w:sz w:val="20"/>
                <w:szCs w:val="20"/>
              </w:rPr>
              <w:t>Low</w:t>
            </w:r>
          </w:p>
        </w:tc>
      </w:tr>
      <w:tr w:rsidR="005F1ED9" w:rsidRPr="0068236B" w14:paraId="6F36038E" w14:textId="77777777" w:rsidTr="003B46E3">
        <w:tc>
          <w:tcPr>
            <w:tcW w:w="1701" w:type="dxa"/>
          </w:tcPr>
          <w:p w14:paraId="7632DCD8" w14:textId="4DF61BDB" w:rsidR="005F1ED9" w:rsidRPr="0068236B" w:rsidRDefault="005F1ED9" w:rsidP="003B46E3">
            <w:pPr>
              <w:autoSpaceDE w:val="0"/>
              <w:autoSpaceDN w:val="0"/>
              <w:adjustRightInd w:val="0"/>
              <w:spacing w:before="0" w:after="0" w:line="240" w:lineRule="auto"/>
              <w:rPr>
                <w:rFonts w:eastAsia="Calibri" w:cs="Tahoma"/>
                <w:sz w:val="20"/>
                <w:szCs w:val="20"/>
              </w:rPr>
            </w:pPr>
            <w:r w:rsidRPr="0068236B">
              <w:rPr>
                <w:rFonts w:eastAsia="Calibri" w:cs="Tahoma"/>
                <w:sz w:val="20"/>
                <w:szCs w:val="20"/>
              </w:rPr>
              <w:t>Anska Reka</w:t>
            </w:r>
          </w:p>
        </w:tc>
        <w:tc>
          <w:tcPr>
            <w:tcW w:w="5670" w:type="dxa"/>
          </w:tcPr>
          <w:p w14:paraId="7CA2A1EC" w14:textId="5D0E654A" w:rsidR="005F1ED9" w:rsidRPr="0068236B" w:rsidRDefault="005F1ED9" w:rsidP="00D24CEF">
            <w:pPr>
              <w:numPr>
                <w:ilvl w:val="0"/>
                <w:numId w:val="86"/>
              </w:numPr>
              <w:tabs>
                <w:tab w:val="left" w:pos="317"/>
              </w:tabs>
              <w:autoSpaceDE w:val="0"/>
              <w:autoSpaceDN w:val="0"/>
              <w:adjustRightInd w:val="0"/>
              <w:spacing w:before="0" w:after="0" w:line="240" w:lineRule="auto"/>
              <w:ind w:left="176" w:hanging="176"/>
              <w:contextualSpacing/>
              <w:jc w:val="left"/>
              <w:rPr>
                <w:rFonts w:eastAsia="Calibri" w:cs="Tahoma"/>
                <w:sz w:val="20"/>
                <w:szCs w:val="20"/>
              </w:rPr>
            </w:pPr>
            <w:r w:rsidRPr="0068236B">
              <w:rPr>
                <w:sz w:val="20"/>
                <w:szCs w:val="20"/>
              </w:rPr>
              <w:t>Canalised watercourse</w:t>
            </w:r>
          </w:p>
          <w:p w14:paraId="0318B879" w14:textId="0E3ED207" w:rsidR="005F1ED9" w:rsidRPr="0068236B" w:rsidRDefault="005F1ED9" w:rsidP="00D24CEF">
            <w:pPr>
              <w:numPr>
                <w:ilvl w:val="0"/>
                <w:numId w:val="86"/>
              </w:numPr>
              <w:tabs>
                <w:tab w:val="left" w:pos="317"/>
              </w:tabs>
              <w:autoSpaceDE w:val="0"/>
              <w:autoSpaceDN w:val="0"/>
              <w:adjustRightInd w:val="0"/>
              <w:spacing w:before="0" w:after="0" w:line="240" w:lineRule="auto"/>
              <w:ind w:left="176" w:hanging="176"/>
              <w:contextualSpacing/>
              <w:jc w:val="left"/>
              <w:rPr>
                <w:rFonts w:eastAsia="Calibri" w:cs="Tahoma"/>
                <w:sz w:val="20"/>
                <w:szCs w:val="20"/>
              </w:rPr>
            </w:pPr>
            <w:r w:rsidRPr="0068236B">
              <w:rPr>
                <w:sz w:val="20"/>
                <w:szCs w:val="20"/>
              </w:rPr>
              <w:t>Degraded riparian vegetation</w:t>
            </w:r>
          </w:p>
          <w:p w14:paraId="58FCFDA8" w14:textId="36F4DE7B" w:rsidR="005F1ED9" w:rsidRPr="0068236B" w:rsidRDefault="005F1ED9" w:rsidP="00D24CEF">
            <w:pPr>
              <w:numPr>
                <w:ilvl w:val="0"/>
                <w:numId w:val="86"/>
              </w:numPr>
              <w:tabs>
                <w:tab w:val="left" w:pos="317"/>
              </w:tabs>
              <w:autoSpaceDE w:val="0"/>
              <w:autoSpaceDN w:val="0"/>
              <w:adjustRightInd w:val="0"/>
              <w:spacing w:before="0" w:after="0" w:line="240" w:lineRule="auto"/>
              <w:ind w:left="176" w:hanging="176"/>
              <w:contextualSpacing/>
              <w:jc w:val="left"/>
              <w:rPr>
                <w:rFonts w:eastAsia="Calibri" w:cs="Tahoma"/>
                <w:sz w:val="20"/>
                <w:szCs w:val="20"/>
              </w:rPr>
            </w:pPr>
            <w:r w:rsidRPr="0068236B">
              <w:rPr>
                <w:sz w:val="20"/>
                <w:szCs w:val="20"/>
              </w:rPr>
              <w:t>Used for agricultural purposes (irrigation)</w:t>
            </w:r>
          </w:p>
          <w:p w14:paraId="184F3FF6" w14:textId="5FAEC709" w:rsidR="005F1ED9" w:rsidRPr="0068236B" w:rsidRDefault="005F1ED9" w:rsidP="00D24CEF">
            <w:pPr>
              <w:numPr>
                <w:ilvl w:val="0"/>
                <w:numId w:val="86"/>
              </w:numPr>
              <w:tabs>
                <w:tab w:val="left" w:pos="317"/>
              </w:tabs>
              <w:autoSpaceDE w:val="0"/>
              <w:autoSpaceDN w:val="0"/>
              <w:adjustRightInd w:val="0"/>
              <w:spacing w:before="0" w:after="0" w:line="240" w:lineRule="auto"/>
              <w:ind w:left="176" w:hanging="176"/>
              <w:contextualSpacing/>
              <w:jc w:val="left"/>
              <w:rPr>
                <w:rFonts w:eastAsia="Calibri" w:cs="Tahoma"/>
                <w:sz w:val="20"/>
                <w:szCs w:val="20"/>
              </w:rPr>
            </w:pPr>
            <w:r w:rsidRPr="0068236B">
              <w:rPr>
                <w:rFonts w:eastAsia="Calibri" w:cs="Tahoma"/>
                <w:sz w:val="20"/>
                <w:szCs w:val="20"/>
              </w:rPr>
              <w:t>No designation status</w:t>
            </w:r>
          </w:p>
        </w:tc>
        <w:tc>
          <w:tcPr>
            <w:tcW w:w="1417" w:type="dxa"/>
          </w:tcPr>
          <w:p w14:paraId="33556CA7" w14:textId="2B75E96E" w:rsidR="005F1ED9" w:rsidRPr="0068236B" w:rsidRDefault="005F1ED9" w:rsidP="003B46E3">
            <w:pPr>
              <w:tabs>
                <w:tab w:val="left" w:pos="317"/>
              </w:tabs>
              <w:autoSpaceDE w:val="0"/>
              <w:autoSpaceDN w:val="0"/>
              <w:adjustRightInd w:val="0"/>
              <w:spacing w:before="0" w:after="0" w:line="240" w:lineRule="auto"/>
              <w:rPr>
                <w:rFonts w:eastAsia="Calibri" w:cs="Tahoma"/>
                <w:sz w:val="20"/>
                <w:szCs w:val="20"/>
              </w:rPr>
            </w:pPr>
            <w:r w:rsidRPr="0068236B">
              <w:rPr>
                <w:rFonts w:eastAsia="Calibri" w:cs="Tahoma"/>
                <w:sz w:val="20"/>
                <w:szCs w:val="20"/>
              </w:rPr>
              <w:t>Low</w:t>
            </w:r>
          </w:p>
        </w:tc>
      </w:tr>
    </w:tbl>
    <w:p w14:paraId="063343F8" w14:textId="3EF07D7D" w:rsidR="003B46E3" w:rsidRPr="0068236B" w:rsidRDefault="003B46E3" w:rsidP="003B46E3">
      <w:pPr>
        <w:autoSpaceDE w:val="0"/>
        <w:autoSpaceDN w:val="0"/>
        <w:adjustRightInd w:val="0"/>
        <w:spacing w:before="60" w:after="240"/>
        <w:rPr>
          <w:rFonts w:cs="Tahoma"/>
          <w:sz w:val="18"/>
          <w:szCs w:val="20"/>
        </w:rPr>
      </w:pPr>
      <w:bookmarkStart w:id="471" w:name="_Toc113018226"/>
      <w:bookmarkStart w:id="472" w:name="_Toc65936962"/>
      <w:bookmarkStart w:id="473" w:name="_Toc80181271"/>
      <w:r w:rsidRPr="0068236B">
        <w:rPr>
          <w:rFonts w:cs="Tahoma"/>
          <w:sz w:val="18"/>
          <w:szCs w:val="20"/>
        </w:rPr>
        <w:t xml:space="preserve">Table </w:t>
      </w:r>
      <w:r w:rsidRPr="0068236B">
        <w:rPr>
          <w:rFonts w:cs="Tahoma"/>
          <w:i/>
          <w:sz w:val="18"/>
          <w:szCs w:val="20"/>
        </w:rPr>
        <w:fldChar w:fldCharType="begin"/>
      </w:r>
      <w:r w:rsidRPr="0068236B">
        <w:rPr>
          <w:rFonts w:cs="Tahoma"/>
          <w:sz w:val="18"/>
          <w:szCs w:val="20"/>
        </w:rPr>
        <w:instrText xml:space="preserve"> STYLEREF 1 \s </w:instrText>
      </w:r>
      <w:r w:rsidRPr="0068236B">
        <w:rPr>
          <w:rFonts w:cs="Tahoma"/>
          <w:i/>
          <w:sz w:val="18"/>
          <w:szCs w:val="20"/>
        </w:rPr>
        <w:fldChar w:fldCharType="separate"/>
      </w:r>
      <w:r w:rsidR="00FD57E6">
        <w:rPr>
          <w:rFonts w:cs="Tahoma"/>
          <w:noProof/>
          <w:sz w:val="18"/>
          <w:szCs w:val="20"/>
        </w:rPr>
        <w:t>8</w:t>
      </w:r>
      <w:r w:rsidRPr="0068236B">
        <w:rPr>
          <w:rFonts w:cs="Tahoma"/>
          <w:i/>
          <w:sz w:val="18"/>
          <w:szCs w:val="20"/>
        </w:rPr>
        <w:fldChar w:fldCharType="end"/>
      </w:r>
      <w:r w:rsidRPr="0068236B">
        <w:rPr>
          <w:rFonts w:cs="Tahoma"/>
          <w:sz w:val="18"/>
          <w:szCs w:val="20"/>
        </w:rPr>
        <w:t>.</w:t>
      </w:r>
      <w:r w:rsidRPr="0068236B">
        <w:rPr>
          <w:rFonts w:cs="Tahoma"/>
          <w:i/>
          <w:sz w:val="18"/>
          <w:szCs w:val="20"/>
        </w:rPr>
        <w:fldChar w:fldCharType="begin"/>
      </w:r>
      <w:r w:rsidRPr="0068236B">
        <w:rPr>
          <w:rFonts w:cs="Tahoma"/>
          <w:sz w:val="18"/>
          <w:szCs w:val="20"/>
        </w:rPr>
        <w:instrText xml:space="preserve"> SEQ Table \* ARABIC \s 1 </w:instrText>
      </w:r>
      <w:r w:rsidRPr="0068236B">
        <w:rPr>
          <w:rFonts w:cs="Tahoma"/>
          <w:i/>
          <w:sz w:val="18"/>
          <w:szCs w:val="20"/>
        </w:rPr>
        <w:fldChar w:fldCharType="separate"/>
      </w:r>
      <w:r w:rsidR="00FD57E6">
        <w:rPr>
          <w:rFonts w:cs="Tahoma"/>
          <w:noProof/>
          <w:sz w:val="18"/>
          <w:szCs w:val="20"/>
        </w:rPr>
        <w:t>30</w:t>
      </w:r>
      <w:r w:rsidRPr="0068236B">
        <w:rPr>
          <w:rFonts w:cs="Tahoma"/>
          <w:i/>
          <w:sz w:val="18"/>
          <w:szCs w:val="20"/>
        </w:rPr>
        <w:fldChar w:fldCharType="end"/>
      </w:r>
      <w:r w:rsidR="005F774D" w:rsidRPr="0068236B">
        <w:rPr>
          <w:rFonts w:cs="Tahoma"/>
          <w:sz w:val="18"/>
          <w:szCs w:val="20"/>
        </w:rPr>
        <w:t>:</w:t>
      </w:r>
      <w:r w:rsidRPr="0068236B">
        <w:rPr>
          <w:rFonts w:cs="Tahoma"/>
          <w:sz w:val="18"/>
          <w:szCs w:val="20"/>
        </w:rPr>
        <w:t xml:space="preserve"> Sensitivity of the catchment areas</w:t>
      </w:r>
      <w:bookmarkEnd w:id="471"/>
      <w:r w:rsidRPr="0068236B">
        <w:rPr>
          <w:rFonts w:cs="Tahoma"/>
          <w:sz w:val="18"/>
          <w:szCs w:val="20"/>
        </w:rPr>
        <w:t xml:space="preserve"> </w:t>
      </w:r>
      <w:bookmarkEnd w:id="472"/>
      <w:bookmarkEnd w:id="473"/>
    </w:p>
    <w:p w14:paraId="77C32B6D" w14:textId="77777777" w:rsidR="003B46E3" w:rsidRPr="0068236B" w:rsidRDefault="003B46E3" w:rsidP="003B46E3">
      <w:pPr>
        <w:rPr>
          <w:rFonts w:cs="Tahoma"/>
          <w:sz w:val="20"/>
          <w:szCs w:val="20"/>
        </w:rPr>
      </w:pPr>
      <w:r w:rsidRPr="0068236B">
        <w:rPr>
          <w:rFonts w:cs="Tahoma"/>
          <w:sz w:val="20"/>
          <w:szCs w:val="20"/>
        </w:rPr>
        <w:lastRenderedPageBreak/>
        <w:t xml:space="preserve">The significance of predicted impacts on the catchment areas in the Project region, assessed based on the above approach for their </w:t>
      </w:r>
      <w:r w:rsidRPr="0068236B">
        <w:rPr>
          <w:rFonts w:cs="Tahoma"/>
          <w:sz w:val="20"/>
          <w:szCs w:val="20"/>
          <w:lang w:eastAsia="en-US"/>
        </w:rPr>
        <w:t>evaluation, taking account of the sensitivity of the baseline environment affected and the magnitude of effects,</w:t>
      </w:r>
      <w:r w:rsidRPr="0068236B">
        <w:rPr>
          <w:rFonts w:cs="Tahoma"/>
          <w:sz w:val="20"/>
          <w:szCs w:val="20"/>
        </w:rPr>
        <w:t xml:space="preserve"> is presented in the following Table.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4428"/>
        <w:gridCol w:w="1417"/>
      </w:tblGrid>
      <w:tr w:rsidR="003B46E3" w:rsidRPr="0068236B" w14:paraId="537254E0" w14:textId="77777777" w:rsidTr="003B46E3">
        <w:trPr>
          <w:trHeight w:val="325"/>
        </w:trPr>
        <w:tc>
          <w:tcPr>
            <w:tcW w:w="2835"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1565E67E" w14:textId="77777777" w:rsidR="003B46E3" w:rsidRPr="0068236B" w:rsidRDefault="003B46E3" w:rsidP="003B46E3">
            <w:pPr>
              <w:autoSpaceDE w:val="0"/>
              <w:autoSpaceDN w:val="0"/>
              <w:adjustRightInd w:val="0"/>
              <w:spacing w:before="0" w:after="0" w:line="240" w:lineRule="auto"/>
              <w:rPr>
                <w:rFonts w:eastAsia="Calibri" w:cs="Tahoma"/>
                <w:sz w:val="20"/>
                <w:szCs w:val="20"/>
              </w:rPr>
            </w:pPr>
            <w:r w:rsidRPr="0068236B">
              <w:rPr>
                <w:rFonts w:eastAsia="Calibri" w:cs="Tahoma"/>
                <w:sz w:val="20"/>
                <w:szCs w:val="20"/>
              </w:rPr>
              <w:t>Catchment /main river</w:t>
            </w:r>
          </w:p>
        </w:tc>
        <w:tc>
          <w:tcPr>
            <w:tcW w:w="4428"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014826DA" w14:textId="577E2B88" w:rsidR="003B46E3" w:rsidRPr="0068236B" w:rsidRDefault="003B46E3" w:rsidP="003B46E3">
            <w:pPr>
              <w:autoSpaceDE w:val="0"/>
              <w:autoSpaceDN w:val="0"/>
              <w:adjustRightInd w:val="0"/>
              <w:spacing w:before="0" w:after="0" w:line="240" w:lineRule="auto"/>
              <w:rPr>
                <w:rFonts w:eastAsia="Calibri" w:cs="Tahoma"/>
                <w:sz w:val="20"/>
                <w:szCs w:val="20"/>
              </w:rPr>
            </w:pPr>
            <w:r w:rsidRPr="0068236B">
              <w:rPr>
                <w:rFonts w:eastAsia="Calibri" w:cs="Tahoma"/>
                <w:sz w:val="20"/>
                <w:szCs w:val="20"/>
              </w:rPr>
              <w:t>Typical effects and</w:t>
            </w:r>
            <w:r w:rsidR="000A5E7D" w:rsidRPr="0068236B">
              <w:rPr>
                <w:rFonts w:eastAsia="Calibri" w:cs="Tahoma"/>
                <w:sz w:val="20"/>
                <w:szCs w:val="20"/>
              </w:rPr>
              <w:t xml:space="preserve"> magnitude</w:t>
            </w:r>
          </w:p>
        </w:tc>
        <w:tc>
          <w:tcPr>
            <w:tcW w:w="1417" w:type="dxa"/>
            <w:tcBorders>
              <w:top w:val="double" w:sz="4" w:space="0" w:color="auto"/>
              <w:left w:val="double" w:sz="4" w:space="0" w:color="auto"/>
              <w:bottom w:val="double" w:sz="4" w:space="0" w:color="auto"/>
              <w:right w:val="double" w:sz="4" w:space="0" w:color="auto"/>
            </w:tcBorders>
            <w:shd w:val="clear" w:color="auto" w:fill="D9E2F3" w:themeFill="accent1" w:themeFillTint="33"/>
          </w:tcPr>
          <w:p w14:paraId="480719B7" w14:textId="77777777" w:rsidR="003B46E3" w:rsidRPr="0068236B" w:rsidRDefault="003B46E3" w:rsidP="003B46E3">
            <w:pPr>
              <w:autoSpaceDE w:val="0"/>
              <w:autoSpaceDN w:val="0"/>
              <w:adjustRightInd w:val="0"/>
              <w:spacing w:before="0" w:after="0" w:line="240" w:lineRule="auto"/>
              <w:rPr>
                <w:rFonts w:eastAsia="Calibri" w:cs="Tahoma"/>
                <w:sz w:val="20"/>
                <w:szCs w:val="20"/>
              </w:rPr>
            </w:pPr>
            <w:r w:rsidRPr="0068236B">
              <w:rPr>
                <w:rFonts w:eastAsia="Calibri" w:cs="Tahoma"/>
                <w:sz w:val="20"/>
                <w:szCs w:val="20"/>
              </w:rPr>
              <w:t>Significance</w:t>
            </w:r>
          </w:p>
        </w:tc>
      </w:tr>
      <w:tr w:rsidR="003B46E3" w:rsidRPr="0068236B" w14:paraId="20CFD54B" w14:textId="77777777" w:rsidTr="003B46E3">
        <w:trPr>
          <w:trHeight w:val="627"/>
        </w:trPr>
        <w:tc>
          <w:tcPr>
            <w:tcW w:w="2835" w:type="dxa"/>
            <w:tcBorders>
              <w:top w:val="double" w:sz="4" w:space="0" w:color="auto"/>
              <w:left w:val="double" w:sz="4" w:space="0" w:color="auto"/>
              <w:bottom w:val="single" w:sz="4" w:space="0" w:color="auto"/>
            </w:tcBorders>
          </w:tcPr>
          <w:p w14:paraId="642F010C" w14:textId="43E514BC" w:rsidR="003B46E3" w:rsidRPr="0068236B" w:rsidRDefault="005F1ED9" w:rsidP="003B46E3">
            <w:pPr>
              <w:autoSpaceDE w:val="0"/>
              <w:autoSpaceDN w:val="0"/>
              <w:adjustRightInd w:val="0"/>
              <w:spacing w:before="0" w:after="0" w:line="240" w:lineRule="auto"/>
              <w:rPr>
                <w:rFonts w:eastAsia="Calibri" w:cs="Tahoma"/>
                <w:sz w:val="20"/>
                <w:szCs w:val="20"/>
              </w:rPr>
            </w:pPr>
            <w:r w:rsidRPr="0068236B">
              <w:rPr>
                <w:rFonts w:eastAsia="Calibri" w:cs="Tahoma"/>
                <w:sz w:val="20"/>
                <w:szCs w:val="20"/>
              </w:rPr>
              <w:t>Vardar River</w:t>
            </w:r>
          </w:p>
          <w:p w14:paraId="7A4803DF" w14:textId="53BFECAA" w:rsidR="003B46E3" w:rsidRPr="0068236B" w:rsidRDefault="003B46E3" w:rsidP="005F1ED9">
            <w:pPr>
              <w:autoSpaceDE w:val="0"/>
              <w:autoSpaceDN w:val="0"/>
              <w:adjustRightInd w:val="0"/>
              <w:spacing w:before="0" w:after="0" w:line="240" w:lineRule="auto"/>
              <w:rPr>
                <w:rFonts w:eastAsia="Calibri" w:cs="Tahoma"/>
                <w:sz w:val="20"/>
                <w:szCs w:val="20"/>
              </w:rPr>
            </w:pPr>
            <w:r w:rsidRPr="0068236B">
              <w:rPr>
                <w:rFonts w:eastAsia="Calibri" w:cs="Tahoma"/>
                <w:sz w:val="20"/>
                <w:szCs w:val="20"/>
              </w:rPr>
              <w:t>(</w:t>
            </w:r>
            <w:r w:rsidR="005F1ED9" w:rsidRPr="0068236B">
              <w:rPr>
                <w:rFonts w:eastAsia="Calibri" w:cs="Tahoma"/>
                <w:sz w:val="20"/>
                <w:szCs w:val="20"/>
              </w:rPr>
              <w:t>low</w:t>
            </w:r>
            <w:r w:rsidRPr="0068236B">
              <w:rPr>
                <w:rFonts w:eastAsia="Calibri" w:cs="Tahoma"/>
                <w:sz w:val="20"/>
                <w:szCs w:val="20"/>
              </w:rPr>
              <w:t xml:space="preserve"> sensitivity)</w:t>
            </w:r>
          </w:p>
        </w:tc>
        <w:tc>
          <w:tcPr>
            <w:tcW w:w="4428" w:type="dxa"/>
            <w:vMerge w:val="restart"/>
            <w:tcBorders>
              <w:top w:val="double" w:sz="4" w:space="0" w:color="auto"/>
              <w:bottom w:val="single" w:sz="4" w:space="0" w:color="auto"/>
            </w:tcBorders>
            <w:vAlign w:val="center"/>
          </w:tcPr>
          <w:p w14:paraId="1B678ABC" w14:textId="5FE681A5" w:rsidR="000A5E7D" w:rsidRPr="0068236B" w:rsidRDefault="000A5E7D" w:rsidP="000A5E7D">
            <w:pPr>
              <w:autoSpaceDE w:val="0"/>
              <w:autoSpaceDN w:val="0"/>
              <w:adjustRightInd w:val="0"/>
              <w:spacing w:before="0" w:after="0" w:line="240" w:lineRule="auto"/>
              <w:jc w:val="left"/>
              <w:rPr>
                <w:rFonts w:eastAsia="Calibri" w:cs="Tahoma"/>
                <w:sz w:val="20"/>
                <w:szCs w:val="20"/>
              </w:rPr>
            </w:pPr>
            <w:r w:rsidRPr="0068236B">
              <w:rPr>
                <w:rFonts w:eastAsia="Calibri" w:cs="Tahoma"/>
                <w:sz w:val="20"/>
                <w:szCs w:val="20"/>
              </w:rPr>
              <w:t>Magnitude assessed as very low.</w:t>
            </w:r>
          </w:p>
          <w:p w14:paraId="4642B9B3" w14:textId="630BC212" w:rsidR="000A5E7D" w:rsidRPr="0068236B" w:rsidRDefault="000A5E7D" w:rsidP="000A5E7D">
            <w:pPr>
              <w:autoSpaceDE w:val="0"/>
              <w:autoSpaceDN w:val="0"/>
              <w:adjustRightInd w:val="0"/>
              <w:spacing w:before="0" w:after="0" w:line="240" w:lineRule="auto"/>
              <w:jc w:val="left"/>
              <w:rPr>
                <w:rFonts w:eastAsia="Calibri" w:cs="Tahoma"/>
                <w:sz w:val="20"/>
                <w:szCs w:val="20"/>
              </w:rPr>
            </w:pPr>
            <w:r w:rsidRPr="0068236B">
              <w:rPr>
                <w:rFonts w:eastAsia="Calibri" w:cs="Tahoma"/>
                <w:sz w:val="20"/>
                <w:szCs w:val="20"/>
              </w:rPr>
              <w:t xml:space="preserve">Key </w:t>
            </w:r>
            <w:r w:rsidR="005E6643" w:rsidRPr="0068236B">
              <w:rPr>
                <w:rFonts w:eastAsia="Calibri" w:cs="Tahoma"/>
                <w:sz w:val="20"/>
                <w:szCs w:val="20"/>
              </w:rPr>
              <w:t>effects</w:t>
            </w:r>
            <w:r w:rsidRPr="0068236B">
              <w:rPr>
                <w:rFonts w:eastAsia="Calibri" w:cs="Tahoma"/>
                <w:sz w:val="20"/>
                <w:szCs w:val="20"/>
              </w:rPr>
              <w:t>:</w:t>
            </w:r>
          </w:p>
          <w:p w14:paraId="0AE52F4C" w14:textId="5D5FFB90" w:rsidR="000A5E7D" w:rsidRPr="0068236B" w:rsidRDefault="000A5E7D" w:rsidP="00D24CEF">
            <w:pPr>
              <w:pStyle w:val="ListParagraph"/>
              <w:numPr>
                <w:ilvl w:val="0"/>
                <w:numId w:val="87"/>
              </w:numPr>
              <w:autoSpaceDE w:val="0"/>
              <w:autoSpaceDN w:val="0"/>
              <w:adjustRightInd w:val="0"/>
              <w:spacing w:before="0" w:after="0" w:line="240" w:lineRule="auto"/>
              <w:ind w:left="175" w:hanging="175"/>
              <w:contextualSpacing w:val="0"/>
              <w:jc w:val="left"/>
              <w:rPr>
                <w:rFonts w:eastAsia="Calibri" w:cs="Tahoma"/>
                <w:sz w:val="20"/>
                <w:szCs w:val="20"/>
              </w:rPr>
            </w:pPr>
            <w:r w:rsidRPr="0068236B">
              <w:rPr>
                <w:rFonts w:eastAsia="Calibri" w:cs="Tahoma"/>
                <w:sz w:val="20"/>
                <w:szCs w:val="20"/>
              </w:rPr>
              <w:t>temporary disruption during construction in proximity to watercourses</w:t>
            </w:r>
          </w:p>
          <w:p w14:paraId="07B1D421" w14:textId="77777777" w:rsidR="003B46E3" w:rsidRPr="0068236B" w:rsidRDefault="000A5E7D" w:rsidP="00D24CEF">
            <w:pPr>
              <w:pStyle w:val="ListParagraph"/>
              <w:numPr>
                <w:ilvl w:val="0"/>
                <w:numId w:val="87"/>
              </w:numPr>
              <w:autoSpaceDE w:val="0"/>
              <w:autoSpaceDN w:val="0"/>
              <w:adjustRightInd w:val="0"/>
              <w:spacing w:before="0" w:after="0" w:line="240" w:lineRule="auto"/>
              <w:ind w:left="175" w:hanging="175"/>
              <w:contextualSpacing w:val="0"/>
              <w:jc w:val="left"/>
              <w:rPr>
                <w:rFonts w:eastAsia="Calibri" w:cs="Tahoma"/>
                <w:sz w:val="20"/>
                <w:szCs w:val="20"/>
              </w:rPr>
            </w:pPr>
            <w:r w:rsidRPr="0068236B">
              <w:rPr>
                <w:rFonts w:eastAsia="Calibri" w:cs="Tahoma"/>
                <w:sz w:val="20"/>
                <w:szCs w:val="20"/>
              </w:rPr>
              <w:t>poor spoil or waste management, spillage hazards</w:t>
            </w:r>
            <w:r w:rsidR="003B46E3" w:rsidRPr="0068236B">
              <w:rPr>
                <w:rFonts w:eastAsia="Calibri" w:cs="Tahoma"/>
                <w:sz w:val="20"/>
                <w:szCs w:val="20"/>
              </w:rPr>
              <w:t xml:space="preserve"> </w:t>
            </w:r>
          </w:p>
          <w:p w14:paraId="37C96C09" w14:textId="70B53C3F" w:rsidR="000A5E7D" w:rsidRPr="0068236B" w:rsidRDefault="000A5E7D" w:rsidP="000A5E7D">
            <w:pPr>
              <w:autoSpaceDE w:val="0"/>
              <w:autoSpaceDN w:val="0"/>
              <w:adjustRightInd w:val="0"/>
              <w:spacing w:before="0" w:after="0" w:line="240" w:lineRule="auto"/>
              <w:jc w:val="left"/>
              <w:rPr>
                <w:rFonts w:eastAsia="Calibri" w:cs="Tahoma"/>
                <w:sz w:val="20"/>
                <w:szCs w:val="20"/>
              </w:rPr>
            </w:pPr>
            <w:r w:rsidRPr="0068236B">
              <w:rPr>
                <w:rFonts w:eastAsia="Calibri" w:cs="Tahoma"/>
                <w:sz w:val="20"/>
                <w:szCs w:val="20"/>
              </w:rPr>
              <w:t>Use of modern construction methods and good construction practice would avoid / minimise adverse effects.</w:t>
            </w:r>
          </w:p>
        </w:tc>
        <w:tc>
          <w:tcPr>
            <w:tcW w:w="1417" w:type="dxa"/>
            <w:tcBorders>
              <w:top w:val="double" w:sz="4" w:space="0" w:color="auto"/>
              <w:bottom w:val="single" w:sz="4" w:space="0" w:color="auto"/>
              <w:right w:val="double" w:sz="4" w:space="0" w:color="auto"/>
            </w:tcBorders>
          </w:tcPr>
          <w:p w14:paraId="45427002" w14:textId="649DB959" w:rsidR="003B46E3" w:rsidRPr="0068236B" w:rsidRDefault="000A5E7D" w:rsidP="003B46E3">
            <w:pPr>
              <w:tabs>
                <w:tab w:val="left" w:pos="317"/>
              </w:tabs>
              <w:autoSpaceDE w:val="0"/>
              <w:autoSpaceDN w:val="0"/>
              <w:adjustRightInd w:val="0"/>
              <w:spacing w:before="0" w:after="0" w:line="240" w:lineRule="auto"/>
              <w:rPr>
                <w:rFonts w:eastAsia="Calibri" w:cs="Tahoma"/>
                <w:sz w:val="20"/>
                <w:szCs w:val="20"/>
              </w:rPr>
            </w:pPr>
            <w:r w:rsidRPr="0068236B">
              <w:rPr>
                <w:rFonts w:cs="Tahoma"/>
                <w:bCs/>
                <w:sz w:val="20"/>
                <w:szCs w:val="20"/>
              </w:rPr>
              <w:t>Negligible</w:t>
            </w:r>
          </w:p>
        </w:tc>
      </w:tr>
      <w:tr w:rsidR="003B46E3" w:rsidRPr="0068236B" w14:paraId="381BA3D6" w14:textId="77777777" w:rsidTr="003B46E3">
        <w:tc>
          <w:tcPr>
            <w:tcW w:w="2835" w:type="dxa"/>
            <w:tcBorders>
              <w:top w:val="single" w:sz="4" w:space="0" w:color="auto"/>
              <w:left w:val="double" w:sz="4" w:space="0" w:color="auto"/>
              <w:bottom w:val="double" w:sz="4" w:space="0" w:color="auto"/>
            </w:tcBorders>
          </w:tcPr>
          <w:p w14:paraId="60366C8B" w14:textId="6E0BB5F3" w:rsidR="003B46E3" w:rsidRPr="0068236B" w:rsidRDefault="005F1ED9" w:rsidP="003B46E3">
            <w:pPr>
              <w:autoSpaceDE w:val="0"/>
              <w:autoSpaceDN w:val="0"/>
              <w:adjustRightInd w:val="0"/>
              <w:spacing w:before="0" w:after="0" w:line="240" w:lineRule="auto"/>
              <w:rPr>
                <w:rFonts w:eastAsia="Calibri" w:cs="Tahoma"/>
                <w:sz w:val="20"/>
                <w:szCs w:val="20"/>
              </w:rPr>
            </w:pPr>
            <w:r w:rsidRPr="0068236B">
              <w:rPr>
                <w:rFonts w:eastAsia="Calibri" w:cs="Tahoma"/>
                <w:sz w:val="20"/>
                <w:szCs w:val="20"/>
              </w:rPr>
              <w:t>Anska Reka</w:t>
            </w:r>
          </w:p>
          <w:p w14:paraId="22EF0995" w14:textId="64DB0AE2" w:rsidR="003B46E3" w:rsidRPr="0068236B" w:rsidRDefault="003B46E3" w:rsidP="005F1ED9">
            <w:pPr>
              <w:autoSpaceDE w:val="0"/>
              <w:autoSpaceDN w:val="0"/>
              <w:adjustRightInd w:val="0"/>
              <w:spacing w:before="0" w:after="0" w:line="240" w:lineRule="auto"/>
              <w:rPr>
                <w:rFonts w:eastAsia="Calibri" w:cs="Tahoma"/>
                <w:sz w:val="20"/>
                <w:szCs w:val="20"/>
              </w:rPr>
            </w:pPr>
            <w:r w:rsidRPr="0068236B">
              <w:rPr>
                <w:rFonts w:eastAsia="Calibri" w:cs="Tahoma"/>
                <w:sz w:val="20"/>
                <w:szCs w:val="20"/>
              </w:rPr>
              <w:t>(</w:t>
            </w:r>
            <w:r w:rsidR="005F1ED9" w:rsidRPr="0068236B">
              <w:rPr>
                <w:rFonts w:eastAsia="Calibri" w:cs="Tahoma"/>
                <w:sz w:val="20"/>
                <w:szCs w:val="20"/>
              </w:rPr>
              <w:t>low</w:t>
            </w:r>
            <w:r w:rsidRPr="0068236B">
              <w:rPr>
                <w:rFonts w:eastAsia="Calibri" w:cs="Tahoma"/>
                <w:sz w:val="20"/>
                <w:szCs w:val="20"/>
              </w:rPr>
              <w:t xml:space="preserve"> sensitivity)</w:t>
            </w:r>
          </w:p>
        </w:tc>
        <w:tc>
          <w:tcPr>
            <w:tcW w:w="4428" w:type="dxa"/>
            <w:vMerge/>
            <w:tcBorders>
              <w:top w:val="single" w:sz="4" w:space="0" w:color="auto"/>
              <w:bottom w:val="double" w:sz="4" w:space="0" w:color="auto"/>
            </w:tcBorders>
          </w:tcPr>
          <w:p w14:paraId="474F60FC" w14:textId="77777777" w:rsidR="003B46E3" w:rsidRPr="0068236B" w:rsidRDefault="003B46E3" w:rsidP="003B46E3">
            <w:pPr>
              <w:autoSpaceDE w:val="0"/>
              <w:autoSpaceDN w:val="0"/>
              <w:adjustRightInd w:val="0"/>
              <w:spacing w:before="0" w:after="0" w:line="240" w:lineRule="auto"/>
              <w:rPr>
                <w:rFonts w:eastAsia="Calibri" w:cs="Tahoma"/>
                <w:sz w:val="20"/>
                <w:szCs w:val="20"/>
              </w:rPr>
            </w:pPr>
          </w:p>
        </w:tc>
        <w:tc>
          <w:tcPr>
            <w:tcW w:w="1417" w:type="dxa"/>
            <w:tcBorders>
              <w:top w:val="single" w:sz="4" w:space="0" w:color="auto"/>
              <w:bottom w:val="double" w:sz="4" w:space="0" w:color="auto"/>
              <w:right w:val="double" w:sz="4" w:space="0" w:color="auto"/>
            </w:tcBorders>
          </w:tcPr>
          <w:p w14:paraId="4B4884CE" w14:textId="51AE9D4C" w:rsidR="003B46E3" w:rsidRPr="0068236B" w:rsidRDefault="000A5E7D" w:rsidP="003B46E3">
            <w:pPr>
              <w:tabs>
                <w:tab w:val="left" w:pos="317"/>
              </w:tabs>
              <w:autoSpaceDE w:val="0"/>
              <w:autoSpaceDN w:val="0"/>
              <w:adjustRightInd w:val="0"/>
              <w:spacing w:before="0" w:after="0" w:line="240" w:lineRule="auto"/>
              <w:rPr>
                <w:rFonts w:eastAsia="Calibri" w:cs="Tahoma"/>
                <w:sz w:val="20"/>
                <w:szCs w:val="20"/>
              </w:rPr>
            </w:pPr>
            <w:r w:rsidRPr="0068236B">
              <w:rPr>
                <w:rFonts w:cs="Tahoma"/>
                <w:bCs/>
                <w:sz w:val="20"/>
                <w:szCs w:val="20"/>
              </w:rPr>
              <w:t>Negligible</w:t>
            </w:r>
          </w:p>
        </w:tc>
      </w:tr>
    </w:tbl>
    <w:p w14:paraId="176909C8" w14:textId="310C4644" w:rsidR="003B46E3" w:rsidRPr="0068236B" w:rsidRDefault="003B46E3" w:rsidP="003B46E3">
      <w:pPr>
        <w:spacing w:before="60" w:after="240"/>
        <w:rPr>
          <w:rFonts w:cs="Tahoma"/>
          <w:sz w:val="18"/>
          <w:szCs w:val="20"/>
        </w:rPr>
      </w:pPr>
      <w:bookmarkStart w:id="474" w:name="_Toc389551043"/>
      <w:bookmarkStart w:id="475" w:name="_Toc65936963"/>
      <w:bookmarkStart w:id="476" w:name="_Toc80181272"/>
      <w:bookmarkStart w:id="477" w:name="_Toc113018227"/>
      <w:r w:rsidRPr="0068236B">
        <w:rPr>
          <w:rFonts w:cs="Tahoma"/>
          <w:sz w:val="18"/>
          <w:szCs w:val="20"/>
        </w:rPr>
        <w:t xml:space="preserve">Table </w:t>
      </w:r>
      <w:r w:rsidRPr="0068236B">
        <w:rPr>
          <w:rFonts w:cs="Tahoma"/>
          <w:i/>
          <w:sz w:val="18"/>
          <w:szCs w:val="20"/>
        </w:rPr>
        <w:fldChar w:fldCharType="begin"/>
      </w:r>
      <w:r w:rsidRPr="0068236B">
        <w:rPr>
          <w:rFonts w:cs="Tahoma"/>
          <w:sz w:val="18"/>
          <w:szCs w:val="20"/>
        </w:rPr>
        <w:instrText xml:space="preserve"> STYLEREF 1 \s </w:instrText>
      </w:r>
      <w:r w:rsidRPr="0068236B">
        <w:rPr>
          <w:rFonts w:cs="Tahoma"/>
          <w:i/>
          <w:sz w:val="18"/>
          <w:szCs w:val="20"/>
        </w:rPr>
        <w:fldChar w:fldCharType="separate"/>
      </w:r>
      <w:r w:rsidR="00FD57E6">
        <w:rPr>
          <w:rFonts w:cs="Tahoma"/>
          <w:noProof/>
          <w:sz w:val="18"/>
          <w:szCs w:val="20"/>
        </w:rPr>
        <w:t>8</w:t>
      </w:r>
      <w:r w:rsidRPr="0068236B">
        <w:rPr>
          <w:rFonts w:cs="Tahoma"/>
          <w:i/>
          <w:sz w:val="18"/>
          <w:szCs w:val="20"/>
        </w:rPr>
        <w:fldChar w:fldCharType="end"/>
      </w:r>
      <w:r w:rsidRPr="0068236B">
        <w:rPr>
          <w:rFonts w:cs="Tahoma"/>
          <w:sz w:val="18"/>
          <w:szCs w:val="20"/>
        </w:rPr>
        <w:t>.</w:t>
      </w:r>
      <w:r w:rsidRPr="0068236B">
        <w:rPr>
          <w:rFonts w:cs="Tahoma"/>
          <w:i/>
          <w:sz w:val="18"/>
          <w:szCs w:val="20"/>
        </w:rPr>
        <w:fldChar w:fldCharType="begin"/>
      </w:r>
      <w:r w:rsidRPr="0068236B">
        <w:rPr>
          <w:rFonts w:cs="Tahoma"/>
          <w:sz w:val="18"/>
          <w:szCs w:val="20"/>
        </w:rPr>
        <w:instrText xml:space="preserve"> SEQ Table \* ARABIC \s 1 </w:instrText>
      </w:r>
      <w:r w:rsidRPr="0068236B">
        <w:rPr>
          <w:rFonts w:cs="Tahoma"/>
          <w:i/>
          <w:sz w:val="18"/>
          <w:szCs w:val="20"/>
        </w:rPr>
        <w:fldChar w:fldCharType="separate"/>
      </w:r>
      <w:r w:rsidR="00FD57E6">
        <w:rPr>
          <w:rFonts w:cs="Tahoma"/>
          <w:noProof/>
          <w:sz w:val="18"/>
          <w:szCs w:val="20"/>
        </w:rPr>
        <w:t>31</w:t>
      </w:r>
      <w:r w:rsidRPr="0068236B">
        <w:rPr>
          <w:rFonts w:cs="Tahoma"/>
          <w:i/>
          <w:sz w:val="18"/>
          <w:szCs w:val="20"/>
        </w:rPr>
        <w:fldChar w:fldCharType="end"/>
      </w:r>
      <w:r w:rsidR="005F774D" w:rsidRPr="0068236B">
        <w:rPr>
          <w:rFonts w:cs="Tahoma"/>
          <w:sz w:val="18"/>
          <w:szCs w:val="20"/>
        </w:rPr>
        <w:t>:</w:t>
      </w:r>
      <w:r w:rsidRPr="0068236B">
        <w:rPr>
          <w:rFonts w:cs="Tahoma"/>
          <w:sz w:val="18"/>
          <w:szCs w:val="20"/>
        </w:rPr>
        <w:t xml:space="preserve"> Significance of impacts on the catchment areas</w:t>
      </w:r>
      <w:bookmarkEnd w:id="474"/>
      <w:bookmarkEnd w:id="475"/>
      <w:bookmarkEnd w:id="476"/>
      <w:bookmarkEnd w:id="477"/>
    </w:p>
    <w:p w14:paraId="33A90A9C" w14:textId="77777777" w:rsidR="003B46E3" w:rsidRPr="0068236B" w:rsidRDefault="003B46E3" w:rsidP="003B46E3">
      <w:pPr>
        <w:pStyle w:val="Heading4"/>
        <w:spacing w:line="240" w:lineRule="auto"/>
        <w:ind w:left="1843" w:hanging="1123"/>
        <w:rPr>
          <w:sz w:val="20"/>
        </w:rPr>
      </w:pPr>
      <w:bookmarkStart w:id="478" w:name="_Toc65936728"/>
      <w:r w:rsidRPr="0068236B">
        <w:rPr>
          <w:sz w:val="20"/>
        </w:rPr>
        <w:t>Location Specific Impacts</w:t>
      </w:r>
      <w:bookmarkEnd w:id="478"/>
    </w:p>
    <w:p w14:paraId="7708CB0D" w14:textId="77777777" w:rsidR="003B46E3" w:rsidRPr="0068236B" w:rsidRDefault="003B46E3" w:rsidP="003B46E3">
      <w:pPr>
        <w:rPr>
          <w:rFonts w:cs="Arial"/>
          <w:sz w:val="20"/>
        </w:rPr>
      </w:pPr>
      <w:r w:rsidRPr="0068236B">
        <w:rPr>
          <w:rFonts w:cs="Arial"/>
          <w:sz w:val="20"/>
        </w:rPr>
        <w:t xml:space="preserve">The above assessment has been applied taking into account the potential effects </w:t>
      </w:r>
      <w:r w:rsidRPr="0068236B">
        <w:rPr>
          <w:rFonts w:cs="Arial"/>
          <w:sz w:val="20"/>
          <w:szCs w:val="20"/>
        </w:rPr>
        <w:t>at a catchment-wide level</w:t>
      </w:r>
      <w:r w:rsidRPr="0068236B">
        <w:rPr>
          <w:rFonts w:cs="Arial"/>
          <w:sz w:val="20"/>
        </w:rPr>
        <w:t>. Due to this, the evaluation of the impact significance implies certain degree of flexibility since the actual impact would be subject to particular site-specific characteristic. Therefore, further site-specific assessment would need to be undertaken during the next development phases of the Project and prior to construction commencement. This may result in a slightly different interpretation of the impact concerned, in which case site-specific mitigation measures along the corridor of the transmission line should be proposed and unde</w:t>
      </w:r>
      <w:r w:rsidRPr="0068236B">
        <w:rPr>
          <w:rFonts w:cs="Arial"/>
          <w:sz w:val="20"/>
        </w:rPr>
        <w:t>r</w:t>
      </w:r>
      <w:r w:rsidRPr="0068236B">
        <w:rPr>
          <w:rFonts w:cs="Arial"/>
          <w:sz w:val="20"/>
        </w:rPr>
        <w:t>taken to minimize the effect.</w:t>
      </w:r>
    </w:p>
    <w:p w14:paraId="27629D65" w14:textId="77777777" w:rsidR="003B46E3" w:rsidRPr="0068236B" w:rsidRDefault="003B46E3" w:rsidP="003B46E3">
      <w:pPr>
        <w:pStyle w:val="Heading3"/>
        <w:spacing w:line="240" w:lineRule="auto"/>
        <w:ind w:left="993" w:hanging="993"/>
      </w:pPr>
      <w:bookmarkStart w:id="479" w:name="_Toc80181168"/>
      <w:bookmarkStart w:id="480" w:name="_Toc112852287"/>
      <w:r w:rsidRPr="0068236B">
        <w:t>Mitigation</w:t>
      </w:r>
      <w:bookmarkEnd w:id="479"/>
      <w:bookmarkEnd w:id="480"/>
    </w:p>
    <w:p w14:paraId="0D3D0648" w14:textId="77777777" w:rsidR="003B46E3" w:rsidRPr="0068236B" w:rsidRDefault="003B46E3" w:rsidP="003B46E3">
      <w:pPr>
        <w:pStyle w:val="Heading4"/>
        <w:spacing w:line="240" w:lineRule="auto"/>
        <w:ind w:left="1843" w:hanging="1123"/>
        <w:rPr>
          <w:sz w:val="20"/>
        </w:rPr>
      </w:pPr>
      <w:r w:rsidRPr="0068236B">
        <w:rPr>
          <w:sz w:val="20"/>
        </w:rPr>
        <w:t>Construction</w:t>
      </w:r>
    </w:p>
    <w:p w14:paraId="7926C2C8" w14:textId="77777777" w:rsidR="003B46E3" w:rsidRPr="0068236B" w:rsidRDefault="003B46E3" w:rsidP="003B46E3">
      <w:pPr>
        <w:rPr>
          <w:rFonts w:cs="Tahoma"/>
          <w:sz w:val="20"/>
          <w:szCs w:val="20"/>
        </w:rPr>
      </w:pPr>
      <w:r w:rsidRPr="0068236B">
        <w:rPr>
          <w:sz w:val="20"/>
        </w:rPr>
        <w:t xml:space="preserve">Project construction impacts on hydrological resources would be managed by a number of mitigation actions and measures of good construction practice and would be set in Project’s CESMP. </w:t>
      </w:r>
      <w:r w:rsidRPr="0068236B">
        <w:rPr>
          <w:rFonts w:cs="Tahoma"/>
          <w:sz w:val="20"/>
          <w:szCs w:val="20"/>
        </w:rPr>
        <w:t>These include key measures of good international practice that are typically adopted on construction projects, which are d</w:t>
      </w:r>
      <w:r w:rsidRPr="0068236B">
        <w:rPr>
          <w:rFonts w:cs="Tahoma"/>
          <w:sz w:val="20"/>
          <w:szCs w:val="20"/>
        </w:rPr>
        <w:t>e</w:t>
      </w:r>
      <w:r w:rsidRPr="0068236B">
        <w:rPr>
          <w:rFonts w:cs="Tahoma"/>
          <w:sz w:val="20"/>
          <w:szCs w:val="20"/>
        </w:rPr>
        <w:t>signed to prevent the occurrence of significant impacts, in minimum:</w:t>
      </w:r>
    </w:p>
    <w:p w14:paraId="5F0B6F8F" w14:textId="6A952D77" w:rsidR="003B46E3" w:rsidRPr="0068236B" w:rsidRDefault="003B46E3" w:rsidP="00D24CEF">
      <w:pPr>
        <w:pStyle w:val="ListBullet"/>
        <w:numPr>
          <w:ilvl w:val="0"/>
          <w:numId w:val="97"/>
        </w:numPr>
        <w:jc w:val="left"/>
        <w:rPr>
          <w:sz w:val="20"/>
        </w:rPr>
      </w:pPr>
      <w:r w:rsidRPr="0068236B">
        <w:rPr>
          <w:sz w:val="20"/>
        </w:rPr>
        <w:t xml:space="preserve">Construction sites and activities will be planned / located away from watercourses and wetland areas, and in dry locations with well consolidated geology. </w:t>
      </w:r>
    </w:p>
    <w:p w14:paraId="54C3B95C" w14:textId="77777777" w:rsidR="003B46E3" w:rsidRPr="0068236B" w:rsidRDefault="003B46E3" w:rsidP="00D24CEF">
      <w:pPr>
        <w:pStyle w:val="ListBullet"/>
        <w:numPr>
          <w:ilvl w:val="0"/>
          <w:numId w:val="97"/>
        </w:numPr>
        <w:jc w:val="left"/>
        <w:rPr>
          <w:rFonts w:eastAsia="Calibri"/>
          <w:sz w:val="20"/>
        </w:rPr>
      </w:pPr>
      <w:r w:rsidRPr="0068236B">
        <w:rPr>
          <w:sz w:val="20"/>
        </w:rPr>
        <w:t>Minimize work on soft ground in wet weather, wherever possible.</w:t>
      </w:r>
    </w:p>
    <w:p w14:paraId="73AAD449" w14:textId="77777777" w:rsidR="003B46E3" w:rsidRPr="0068236B" w:rsidRDefault="003B46E3" w:rsidP="00D24CEF">
      <w:pPr>
        <w:pStyle w:val="ListBullet"/>
        <w:numPr>
          <w:ilvl w:val="0"/>
          <w:numId w:val="97"/>
        </w:numPr>
        <w:jc w:val="left"/>
        <w:rPr>
          <w:rFonts w:eastAsia="Calibri"/>
          <w:sz w:val="20"/>
        </w:rPr>
      </w:pPr>
      <w:r w:rsidRPr="0068236B">
        <w:rPr>
          <w:rFonts w:eastAsia="Calibri"/>
          <w:sz w:val="20"/>
        </w:rPr>
        <w:t>Prohibit any discharge of effluent (water or other liquid) or other materials to surface waters.</w:t>
      </w:r>
    </w:p>
    <w:p w14:paraId="7B9EFADD" w14:textId="77777777" w:rsidR="003B46E3" w:rsidRPr="0068236B" w:rsidRDefault="003B46E3" w:rsidP="00D24CEF">
      <w:pPr>
        <w:pStyle w:val="ListBullet"/>
        <w:numPr>
          <w:ilvl w:val="0"/>
          <w:numId w:val="97"/>
        </w:numPr>
        <w:jc w:val="left"/>
        <w:rPr>
          <w:rFonts w:eastAsia="Calibri"/>
          <w:sz w:val="20"/>
        </w:rPr>
      </w:pPr>
      <w:r w:rsidRPr="0068236B">
        <w:rPr>
          <w:rFonts w:eastAsia="Calibri"/>
          <w:sz w:val="20"/>
        </w:rPr>
        <w:t xml:space="preserve">Prevent erosion and run-off of sediment from construction works, including roads. </w:t>
      </w:r>
    </w:p>
    <w:p w14:paraId="1D0AE45A" w14:textId="77777777" w:rsidR="003B46E3" w:rsidRPr="0068236B" w:rsidRDefault="003B46E3" w:rsidP="00D24CEF">
      <w:pPr>
        <w:pStyle w:val="ListBullet"/>
        <w:numPr>
          <w:ilvl w:val="0"/>
          <w:numId w:val="97"/>
        </w:numPr>
        <w:jc w:val="left"/>
        <w:rPr>
          <w:sz w:val="20"/>
        </w:rPr>
      </w:pPr>
      <w:r w:rsidRPr="0068236B">
        <w:rPr>
          <w:sz w:val="20"/>
        </w:rPr>
        <w:t xml:space="preserve">Do not store soil or other materials close to </w:t>
      </w:r>
      <w:r w:rsidRPr="0068236B">
        <w:rPr>
          <w:rFonts w:eastAsia="Calibri"/>
          <w:sz w:val="20"/>
        </w:rPr>
        <w:t>surface waters</w:t>
      </w:r>
      <w:r w:rsidRPr="0068236B">
        <w:rPr>
          <w:sz w:val="20"/>
        </w:rPr>
        <w:t>.</w:t>
      </w:r>
    </w:p>
    <w:p w14:paraId="45E7121C" w14:textId="77777777" w:rsidR="003B46E3" w:rsidRPr="0068236B" w:rsidRDefault="003B46E3" w:rsidP="00D24CEF">
      <w:pPr>
        <w:pStyle w:val="ListBullet"/>
        <w:numPr>
          <w:ilvl w:val="0"/>
          <w:numId w:val="97"/>
        </w:numPr>
        <w:jc w:val="left"/>
        <w:rPr>
          <w:sz w:val="20"/>
        </w:rPr>
      </w:pPr>
      <w:r w:rsidRPr="0068236B">
        <w:rPr>
          <w:sz w:val="20"/>
        </w:rPr>
        <w:t xml:space="preserve">Provide spill clean-up equipment at all sites where fuel or other material is stored. </w:t>
      </w:r>
    </w:p>
    <w:p w14:paraId="4CAE859A" w14:textId="77777777" w:rsidR="003B46E3" w:rsidRPr="0068236B" w:rsidRDefault="003B46E3" w:rsidP="00D24CEF">
      <w:pPr>
        <w:pStyle w:val="ListBullet"/>
        <w:numPr>
          <w:ilvl w:val="0"/>
          <w:numId w:val="97"/>
        </w:numPr>
        <w:jc w:val="left"/>
        <w:rPr>
          <w:sz w:val="20"/>
        </w:rPr>
      </w:pPr>
      <w:r w:rsidRPr="0068236B">
        <w:rPr>
          <w:sz w:val="20"/>
        </w:rPr>
        <w:t>Fuel tanker vehicles for servicing the construction plant and equipment will carry a suitable sized spill kit and drivers will be trained in spill clean-up.</w:t>
      </w:r>
    </w:p>
    <w:p w14:paraId="5E483F15" w14:textId="77777777" w:rsidR="003B46E3" w:rsidRPr="0068236B" w:rsidRDefault="003B46E3" w:rsidP="00D24CEF">
      <w:pPr>
        <w:pStyle w:val="ListBullet"/>
        <w:numPr>
          <w:ilvl w:val="0"/>
          <w:numId w:val="97"/>
        </w:numPr>
        <w:jc w:val="left"/>
        <w:rPr>
          <w:rFonts w:eastAsia="Calibri"/>
          <w:sz w:val="20"/>
        </w:rPr>
      </w:pPr>
      <w:r w:rsidRPr="0068236B">
        <w:rPr>
          <w:rFonts w:eastAsia="Calibri"/>
          <w:sz w:val="20"/>
        </w:rPr>
        <w:t>Keep all engines in good working condition and repair any leaking equipment immediately.</w:t>
      </w:r>
    </w:p>
    <w:p w14:paraId="14A8F62D" w14:textId="7DE96617" w:rsidR="003B46E3" w:rsidRPr="0068236B" w:rsidRDefault="003B46E3" w:rsidP="00D24CEF">
      <w:pPr>
        <w:pStyle w:val="ListBullet"/>
        <w:numPr>
          <w:ilvl w:val="0"/>
          <w:numId w:val="97"/>
        </w:numPr>
        <w:jc w:val="left"/>
        <w:rPr>
          <w:rFonts w:eastAsia="Calibri"/>
          <w:sz w:val="20"/>
        </w:rPr>
      </w:pPr>
      <w:r w:rsidRPr="0068236B">
        <w:rPr>
          <w:sz w:val="20"/>
        </w:rPr>
        <w:lastRenderedPageBreak/>
        <w:t>Rain</w:t>
      </w:r>
      <w:r w:rsidRPr="0068236B">
        <w:rPr>
          <w:sz w:val="20"/>
          <w:szCs w:val="20"/>
        </w:rPr>
        <w:t>water from vehicle parking areas and machinery areas shall be subject to treatment with oil separators</w:t>
      </w:r>
      <w:r w:rsidR="00202F16" w:rsidRPr="0068236B">
        <w:rPr>
          <w:sz w:val="20"/>
          <w:szCs w:val="20"/>
        </w:rPr>
        <w:t xml:space="preserve"> </w:t>
      </w:r>
      <w:r w:rsidR="00202F16" w:rsidRPr="0068236B">
        <w:rPr>
          <w:rFonts w:cs="Tahoma"/>
          <w:sz w:val="20"/>
          <w:szCs w:val="20"/>
        </w:rPr>
        <w:t>(in complaince with the respective European Standards, i.e. EN 858</w:t>
      </w:r>
      <w:r w:rsidR="00202F16" w:rsidRPr="0068236B">
        <w:rPr>
          <w:rStyle w:val="FootnoteReference"/>
          <w:rFonts w:cs="Tahoma"/>
          <w:sz w:val="20"/>
          <w:szCs w:val="20"/>
        </w:rPr>
        <w:footnoteReference w:id="119"/>
      </w:r>
      <w:r w:rsidR="00202F16" w:rsidRPr="0068236B">
        <w:rPr>
          <w:rFonts w:cs="Tahoma"/>
          <w:sz w:val="20"/>
          <w:szCs w:val="20"/>
        </w:rPr>
        <w:t>)</w:t>
      </w:r>
      <w:r w:rsidRPr="0068236B">
        <w:rPr>
          <w:sz w:val="20"/>
          <w:szCs w:val="20"/>
        </w:rPr>
        <w:t>.</w:t>
      </w:r>
    </w:p>
    <w:p w14:paraId="30F8E541" w14:textId="77777777" w:rsidR="003B46E3" w:rsidRPr="0068236B" w:rsidRDefault="003B46E3" w:rsidP="00D24CEF">
      <w:pPr>
        <w:pStyle w:val="ListBullet"/>
        <w:numPr>
          <w:ilvl w:val="0"/>
          <w:numId w:val="97"/>
        </w:numPr>
        <w:jc w:val="left"/>
        <w:rPr>
          <w:rFonts w:eastAsia="Calibri"/>
          <w:sz w:val="20"/>
        </w:rPr>
      </w:pPr>
      <w:r w:rsidRPr="0068236B">
        <w:rPr>
          <w:sz w:val="20"/>
        </w:rPr>
        <w:t xml:space="preserve">Provide, install and maintain welfare facilities for sewage collection (e.g. portable toilets) and </w:t>
      </w:r>
      <w:r w:rsidRPr="0068236B">
        <w:rPr>
          <w:rFonts w:eastAsia="Calibri"/>
          <w:sz w:val="20"/>
        </w:rPr>
        <w:t xml:space="preserve">have authorized </w:t>
      </w:r>
      <w:r w:rsidRPr="0068236B">
        <w:rPr>
          <w:sz w:val="20"/>
        </w:rPr>
        <w:t>service company remove and properly dispose wastewater from the toilets. F</w:t>
      </w:r>
      <w:r w:rsidRPr="0068236B">
        <w:rPr>
          <w:sz w:val="20"/>
        </w:rPr>
        <w:t>a</w:t>
      </w:r>
      <w:r w:rsidRPr="0068236B">
        <w:rPr>
          <w:sz w:val="20"/>
        </w:rPr>
        <w:t>cilities will be sufficient for the number of personnel.</w:t>
      </w:r>
    </w:p>
    <w:p w14:paraId="577FBE56" w14:textId="77777777" w:rsidR="003B46E3" w:rsidRPr="0068236B" w:rsidRDefault="003B46E3" w:rsidP="00D24CEF">
      <w:pPr>
        <w:pStyle w:val="ListBullet"/>
        <w:numPr>
          <w:ilvl w:val="0"/>
          <w:numId w:val="97"/>
        </w:numPr>
        <w:jc w:val="left"/>
        <w:rPr>
          <w:rFonts w:eastAsia="Calibri"/>
          <w:sz w:val="20"/>
        </w:rPr>
      </w:pPr>
      <w:r w:rsidRPr="0068236B">
        <w:rPr>
          <w:rFonts w:eastAsia="Calibri"/>
          <w:sz w:val="20"/>
        </w:rPr>
        <w:t>In areas where significant tree felling is necessary, establish buffer zones and drainage ditches during felling, particularly on sloping ground.</w:t>
      </w:r>
    </w:p>
    <w:p w14:paraId="5AB5CD45" w14:textId="77777777" w:rsidR="003B46E3" w:rsidRPr="0068236B" w:rsidRDefault="003B46E3" w:rsidP="00D24CEF">
      <w:pPr>
        <w:pStyle w:val="ListBullet"/>
        <w:numPr>
          <w:ilvl w:val="0"/>
          <w:numId w:val="97"/>
        </w:numPr>
        <w:jc w:val="left"/>
        <w:rPr>
          <w:rFonts w:eastAsia="Calibri"/>
          <w:sz w:val="20"/>
        </w:rPr>
      </w:pPr>
      <w:r w:rsidRPr="0068236B">
        <w:rPr>
          <w:sz w:val="20"/>
        </w:rPr>
        <w:t>In the event of an incident or non-compliance, monitoring will take place on a daily basis until the results indicate that the pre-incident condition has been achieved.</w:t>
      </w:r>
    </w:p>
    <w:p w14:paraId="0B90BCB7" w14:textId="77777777" w:rsidR="003B46E3" w:rsidRPr="0068236B" w:rsidRDefault="003B46E3" w:rsidP="003B46E3">
      <w:pPr>
        <w:pStyle w:val="ListBullet"/>
        <w:numPr>
          <w:ilvl w:val="0"/>
          <w:numId w:val="0"/>
        </w:numPr>
        <w:spacing w:before="120" w:after="120"/>
        <w:rPr>
          <w:sz w:val="20"/>
        </w:rPr>
      </w:pPr>
      <w:r w:rsidRPr="0068236B">
        <w:rPr>
          <w:sz w:val="20"/>
        </w:rPr>
        <w:t>It is considered that the use of GIP will ensure that no significant water quality impacts would occur due to the construction of the Project.</w:t>
      </w:r>
    </w:p>
    <w:p w14:paraId="4AA47A7E" w14:textId="77777777" w:rsidR="003B46E3" w:rsidRPr="0068236B" w:rsidRDefault="003B46E3" w:rsidP="003B46E3">
      <w:pPr>
        <w:autoSpaceDE w:val="0"/>
        <w:autoSpaceDN w:val="0"/>
        <w:adjustRightInd w:val="0"/>
        <w:rPr>
          <w:sz w:val="20"/>
        </w:rPr>
      </w:pPr>
      <w:r w:rsidRPr="0068236B">
        <w:rPr>
          <w:rFonts w:cs="Tahoma"/>
          <w:sz w:val="20"/>
          <w:szCs w:val="20"/>
          <w:lang w:eastAsia="en-US"/>
        </w:rPr>
        <w:t>In addition, close communications with the competent authorities in relation to water environment and flood risk would be established during the construction phase of the Project</w:t>
      </w:r>
      <w:r w:rsidRPr="0068236B">
        <w:rPr>
          <w:rFonts w:eastAsia="Calibri" w:cs="Arial"/>
          <w:sz w:val="20"/>
          <w:szCs w:val="20"/>
        </w:rPr>
        <w:t xml:space="preserve"> in order to minimise the potential for negative effects of the construction works to water resources in the study area.</w:t>
      </w:r>
    </w:p>
    <w:p w14:paraId="22FC0E97" w14:textId="77777777" w:rsidR="003B46E3" w:rsidRPr="0068236B" w:rsidRDefault="003B46E3" w:rsidP="003B46E3">
      <w:pPr>
        <w:pStyle w:val="Heading4"/>
        <w:ind w:hanging="1091"/>
        <w:rPr>
          <w:sz w:val="20"/>
        </w:rPr>
      </w:pPr>
      <w:r w:rsidRPr="0068236B">
        <w:rPr>
          <w:sz w:val="20"/>
        </w:rPr>
        <w:t>Operation</w:t>
      </w:r>
    </w:p>
    <w:p w14:paraId="3AC87007" w14:textId="77777777" w:rsidR="003B46E3" w:rsidRPr="0068236B" w:rsidRDefault="003B46E3" w:rsidP="003B46E3">
      <w:pPr>
        <w:autoSpaceDE w:val="0"/>
        <w:autoSpaceDN w:val="0"/>
        <w:adjustRightInd w:val="0"/>
        <w:rPr>
          <w:rFonts w:cs="Tahoma"/>
          <w:sz w:val="20"/>
          <w:lang w:eastAsia="en-US"/>
        </w:rPr>
      </w:pPr>
      <w:r w:rsidRPr="0068236B">
        <w:rPr>
          <w:rFonts w:cs="Tahoma"/>
          <w:sz w:val="20"/>
          <w:lang w:eastAsia="en-US"/>
        </w:rPr>
        <w:t xml:space="preserve">To eliminate or mitigate these potential operational risks to hydrological resources, good operational and maintenance practice measures would be employed including </w:t>
      </w:r>
      <w:r w:rsidRPr="0068236B">
        <w:rPr>
          <w:sz w:val="20"/>
        </w:rPr>
        <w:t>preparation and implementation of spill r</w:t>
      </w:r>
      <w:r w:rsidRPr="0068236B">
        <w:rPr>
          <w:sz w:val="20"/>
        </w:rPr>
        <w:t>e</w:t>
      </w:r>
      <w:r w:rsidRPr="0068236B">
        <w:rPr>
          <w:sz w:val="20"/>
        </w:rPr>
        <w:t>sponse and clean-up plans.</w:t>
      </w:r>
    </w:p>
    <w:p w14:paraId="0FDA9472" w14:textId="77777777" w:rsidR="0005405B" w:rsidRPr="0068236B" w:rsidRDefault="003B46E3" w:rsidP="003B46E3">
      <w:pPr>
        <w:autoSpaceDE w:val="0"/>
        <w:autoSpaceDN w:val="0"/>
        <w:adjustRightInd w:val="0"/>
        <w:rPr>
          <w:rFonts w:cs="Tahoma"/>
          <w:sz w:val="20"/>
          <w:lang w:eastAsia="en-US"/>
        </w:rPr>
      </w:pPr>
      <w:r w:rsidRPr="0068236B">
        <w:rPr>
          <w:rFonts w:cs="Tahoma"/>
          <w:sz w:val="20"/>
          <w:lang w:eastAsia="en-US"/>
        </w:rPr>
        <w:t>In addition, primary mitigation would need to be incorporated into the Project design for the substation</w:t>
      </w:r>
      <w:r w:rsidR="0005405B" w:rsidRPr="0068236B">
        <w:rPr>
          <w:rFonts w:cs="Tahoma"/>
          <w:sz w:val="20"/>
          <w:lang w:eastAsia="en-US"/>
        </w:rPr>
        <w:t>:</w:t>
      </w:r>
    </w:p>
    <w:p w14:paraId="73A90353" w14:textId="7F184538" w:rsidR="0005405B" w:rsidRPr="0068236B" w:rsidRDefault="0005405B" w:rsidP="00D24CEF">
      <w:pPr>
        <w:pStyle w:val="TableText"/>
        <w:numPr>
          <w:ilvl w:val="0"/>
          <w:numId w:val="97"/>
        </w:numPr>
        <w:spacing w:after="0" w:line="240" w:lineRule="auto"/>
        <w:rPr>
          <w:rFonts w:ascii="Tahoma" w:hAnsi="Tahoma" w:cs="Tahoma"/>
          <w:sz w:val="20"/>
          <w:szCs w:val="20"/>
          <w:lang w:eastAsia="en-US"/>
        </w:rPr>
      </w:pPr>
      <w:r w:rsidRPr="0068236B">
        <w:rPr>
          <w:rFonts w:ascii="Tahoma" w:hAnsi="Tahoma" w:cs="Tahoma"/>
          <w:sz w:val="20"/>
          <w:szCs w:val="20"/>
          <w:lang w:eastAsia="en-US"/>
        </w:rPr>
        <w:t>to prevent pollution due to wastewater by installation of a wastewater treatment plant to e</w:t>
      </w:r>
      <w:r w:rsidRPr="0068236B">
        <w:rPr>
          <w:rFonts w:ascii="Tahoma" w:hAnsi="Tahoma" w:cs="Tahoma"/>
          <w:sz w:val="20"/>
          <w:szCs w:val="20"/>
          <w:lang w:eastAsia="en-US"/>
        </w:rPr>
        <w:t>n</w:t>
      </w:r>
      <w:r w:rsidRPr="0068236B">
        <w:rPr>
          <w:rFonts w:ascii="Tahoma" w:hAnsi="Tahoma" w:cs="Tahoma"/>
          <w:sz w:val="20"/>
          <w:szCs w:val="20"/>
          <w:lang w:eastAsia="en-US"/>
        </w:rPr>
        <w:t xml:space="preserve">sure a </w:t>
      </w:r>
      <w:r w:rsidRPr="0068236B">
        <w:rPr>
          <w:rFonts w:ascii="Tahoma" w:hAnsi="Tahoma" w:cs="Tahoma"/>
          <w:sz w:val="20"/>
          <w:szCs w:val="20"/>
          <w:lang w:eastAsia="zh-CN"/>
        </w:rPr>
        <w:t>level of effluent quality that meets the legally prescribed limit values</w:t>
      </w:r>
      <w:r w:rsidRPr="0068236B">
        <w:rPr>
          <w:rStyle w:val="FootnoteReference"/>
          <w:rFonts w:ascii="Tahoma" w:hAnsi="Tahoma" w:cs="Tahoma"/>
          <w:sz w:val="20"/>
          <w:szCs w:val="20"/>
          <w:lang w:eastAsia="zh-CN"/>
        </w:rPr>
        <w:footnoteReference w:id="120"/>
      </w:r>
      <w:r w:rsidRPr="0068236B">
        <w:rPr>
          <w:rFonts w:ascii="Tahoma" w:hAnsi="Tahoma" w:cs="Tahoma"/>
          <w:sz w:val="20"/>
          <w:szCs w:val="20"/>
          <w:lang w:eastAsia="zh-CN"/>
        </w:rPr>
        <w:t xml:space="preserve"> ​​for release into a natural recipient.</w:t>
      </w:r>
    </w:p>
    <w:p w14:paraId="367E86B9" w14:textId="5EA8253A" w:rsidR="003B46E3" w:rsidRPr="0068236B" w:rsidRDefault="003B46E3" w:rsidP="00D24CEF">
      <w:pPr>
        <w:pStyle w:val="ListBullet"/>
        <w:numPr>
          <w:ilvl w:val="0"/>
          <w:numId w:val="97"/>
        </w:numPr>
        <w:jc w:val="left"/>
        <w:rPr>
          <w:rFonts w:eastAsia="Calibri"/>
          <w:sz w:val="20"/>
        </w:rPr>
      </w:pPr>
      <w:r w:rsidRPr="0068236B">
        <w:rPr>
          <w:rFonts w:cs="Tahoma"/>
          <w:sz w:val="20"/>
          <w:lang w:eastAsia="en-US"/>
        </w:rPr>
        <w:t xml:space="preserve">to prevent accidental spillages of transformer oils by </w:t>
      </w:r>
      <w:r w:rsidR="00B96DFD" w:rsidRPr="0068236B">
        <w:rPr>
          <w:rFonts w:cs="Tahoma"/>
          <w:sz w:val="20"/>
          <w:lang w:eastAsia="en-US"/>
        </w:rPr>
        <w:t>installation</w:t>
      </w:r>
      <w:r w:rsidRPr="0068236B">
        <w:rPr>
          <w:rFonts w:cs="Tahoma"/>
          <w:sz w:val="20"/>
          <w:lang w:eastAsia="en-US"/>
        </w:rPr>
        <w:t xml:space="preserve"> of protection</w:t>
      </w:r>
      <w:r w:rsidRPr="0068236B">
        <w:rPr>
          <w:rFonts w:cs="Tahoma"/>
          <w:sz w:val="20"/>
        </w:rPr>
        <w:t xml:space="preserve"> measures against spills in line with </w:t>
      </w:r>
      <w:r w:rsidR="00D66F94" w:rsidRPr="0068236B">
        <w:rPr>
          <w:rFonts w:cs="Tahoma"/>
          <w:sz w:val="20"/>
        </w:rPr>
        <w:t xml:space="preserve">the technical </w:t>
      </w:r>
      <w:r w:rsidRPr="0068236B">
        <w:rPr>
          <w:rFonts w:cs="Tahoma"/>
          <w:sz w:val="20"/>
        </w:rPr>
        <w:t xml:space="preserve">design standards. </w:t>
      </w:r>
      <w:r w:rsidRPr="0068236B">
        <w:rPr>
          <w:sz w:val="20"/>
        </w:rPr>
        <w:t>These include o</w:t>
      </w:r>
      <w:r w:rsidRPr="0068236B">
        <w:rPr>
          <w:color w:val="000000"/>
          <w:sz w:val="20"/>
        </w:rPr>
        <w:t xml:space="preserve">il / storm water tank, placed bellow energy transformers with suitable capacity designed to </w:t>
      </w:r>
      <w:r w:rsidRPr="0068236B">
        <w:rPr>
          <w:sz w:val="20"/>
          <w:szCs w:val="20"/>
        </w:rPr>
        <w:t>accept accident oil spillage.</w:t>
      </w:r>
      <w:r w:rsidRPr="0068236B">
        <w:rPr>
          <w:color w:val="000000"/>
          <w:sz w:val="20"/>
        </w:rPr>
        <w:t xml:space="preserve"> Regular inspection throughout substation operation period would be performed to ensure the containment is secure.</w:t>
      </w:r>
    </w:p>
    <w:p w14:paraId="2F033A4E" w14:textId="77777777" w:rsidR="003B46E3" w:rsidRPr="0068236B" w:rsidRDefault="003B46E3" w:rsidP="003B46E3">
      <w:pPr>
        <w:pStyle w:val="Heading3"/>
        <w:spacing w:line="240" w:lineRule="auto"/>
        <w:ind w:left="993" w:hanging="993"/>
      </w:pPr>
      <w:bookmarkStart w:id="481" w:name="_Toc80181169"/>
      <w:bookmarkStart w:id="482" w:name="_Toc112852288"/>
      <w:r w:rsidRPr="0068236B">
        <w:t>Residual Impacts</w:t>
      </w:r>
      <w:bookmarkEnd w:id="481"/>
      <w:bookmarkEnd w:id="482"/>
    </w:p>
    <w:p w14:paraId="29E086AC" w14:textId="77777777" w:rsidR="003B46E3" w:rsidRPr="0068236B" w:rsidRDefault="003B46E3" w:rsidP="003B46E3">
      <w:pPr>
        <w:autoSpaceDE w:val="0"/>
        <w:autoSpaceDN w:val="0"/>
        <w:adjustRightInd w:val="0"/>
        <w:rPr>
          <w:rFonts w:cs="Tahoma"/>
          <w:sz w:val="20"/>
          <w:szCs w:val="20"/>
          <w:lang w:eastAsia="en-US"/>
        </w:rPr>
      </w:pPr>
      <w:r w:rsidRPr="0068236B">
        <w:rPr>
          <w:rFonts w:cs="Tahoma"/>
          <w:sz w:val="20"/>
          <w:szCs w:val="20"/>
          <w:lang w:eastAsia="en-US"/>
        </w:rPr>
        <w:t>Provided that the mitigation measures are incorporated in the further Project design and implemented throughout the construction and operational phases of the Project, no likely significant residual effects to hydrological resources from the Project are anticipated.</w:t>
      </w:r>
    </w:p>
    <w:p w14:paraId="044C5FC1" w14:textId="18A53375" w:rsidR="003B46E3" w:rsidRPr="0068236B" w:rsidRDefault="000325D9" w:rsidP="003B46E3">
      <w:pPr>
        <w:pStyle w:val="Heading2"/>
        <w:spacing w:before="480" w:after="240"/>
        <w:ind w:left="576" w:hanging="576"/>
        <w:rPr>
          <w:rFonts w:cs="Tahoma"/>
          <w:szCs w:val="20"/>
        </w:rPr>
      </w:pPr>
      <w:r w:rsidRPr="007044BB">
        <w:rPr>
          <w:rFonts w:cs="Tahoma"/>
          <w:szCs w:val="20"/>
        </w:rPr>
        <w:lastRenderedPageBreak/>
        <w:t>Biodiversity, natural heritage and ecosystem services</w:t>
      </w:r>
    </w:p>
    <w:p w14:paraId="01021C60" w14:textId="77777777" w:rsidR="003B46E3" w:rsidRPr="0068236B" w:rsidRDefault="003B46E3" w:rsidP="003B46E3">
      <w:pPr>
        <w:pStyle w:val="Heading3"/>
        <w:spacing w:line="240" w:lineRule="auto"/>
        <w:ind w:left="993" w:hanging="993"/>
      </w:pPr>
      <w:bookmarkStart w:id="483" w:name="_Toc80181171"/>
      <w:bookmarkStart w:id="484" w:name="_Toc112852290"/>
      <w:r w:rsidRPr="0068236B">
        <w:t>Impact Methodology</w:t>
      </w:r>
      <w:bookmarkEnd w:id="483"/>
      <w:bookmarkEnd w:id="484"/>
    </w:p>
    <w:p w14:paraId="49073743" w14:textId="6D73463E" w:rsidR="003B46E3" w:rsidRPr="0068236B" w:rsidRDefault="003B46E3" w:rsidP="003B46E3">
      <w:pPr>
        <w:autoSpaceDE w:val="0"/>
        <w:autoSpaceDN w:val="0"/>
        <w:adjustRightInd w:val="0"/>
        <w:rPr>
          <w:rFonts w:cs="Arial"/>
          <w:sz w:val="20"/>
          <w:szCs w:val="20"/>
        </w:rPr>
      </w:pPr>
      <w:r w:rsidRPr="0068236B">
        <w:rPr>
          <w:rFonts w:cs="Arial"/>
          <w:sz w:val="20"/>
          <w:szCs w:val="20"/>
        </w:rPr>
        <w:t xml:space="preserve">The biodiversity impact assessment is based on quantification (where applicable) of the envisaged changes (e.g. clearance of vegetation and habitats for the construction and operation of the </w:t>
      </w:r>
      <w:r w:rsidR="00DF56C1" w:rsidRPr="0068236B">
        <w:rPr>
          <w:rFonts w:cs="Arial"/>
          <w:sz w:val="20"/>
          <w:szCs w:val="20"/>
        </w:rPr>
        <w:t>substation and the transmission lines</w:t>
      </w:r>
      <w:r w:rsidRPr="0068236B">
        <w:rPr>
          <w:rFonts w:cs="Arial"/>
          <w:sz w:val="20"/>
          <w:szCs w:val="20"/>
        </w:rPr>
        <w:t>) or qualitative criteria (e.g. analysis of the threat status of species and habitats) as well as by expert judgement.</w:t>
      </w:r>
    </w:p>
    <w:p w14:paraId="34DFDB82" w14:textId="77777777" w:rsidR="003B46E3" w:rsidRPr="0068236B" w:rsidRDefault="003B46E3" w:rsidP="003B46E3">
      <w:pPr>
        <w:autoSpaceDE w:val="0"/>
        <w:autoSpaceDN w:val="0"/>
        <w:adjustRightInd w:val="0"/>
        <w:rPr>
          <w:rFonts w:cs="Arial"/>
          <w:sz w:val="20"/>
          <w:szCs w:val="20"/>
        </w:rPr>
      </w:pPr>
      <w:r w:rsidRPr="0068236B">
        <w:rPr>
          <w:rFonts w:cs="Arial"/>
          <w:sz w:val="20"/>
          <w:szCs w:val="20"/>
        </w:rPr>
        <w:t>The effects are considered in relation to the bases of several criteria: type of impact (direct or indirect), r</w:t>
      </w:r>
      <w:r w:rsidRPr="0068236B">
        <w:rPr>
          <w:rFonts w:cs="Arial"/>
          <w:sz w:val="20"/>
          <w:szCs w:val="20"/>
        </w:rPr>
        <w:t>e</w:t>
      </w:r>
      <w:r w:rsidRPr="0068236B">
        <w:rPr>
          <w:rFonts w:cs="Arial"/>
          <w:sz w:val="20"/>
          <w:szCs w:val="20"/>
        </w:rPr>
        <w:t>versibility, scope of impact (spatial extent), duration, probability of occurrence and intensity. The assessment is carried out based on the key project development phases in which the impact is predicted to occur: co</w:t>
      </w:r>
      <w:r w:rsidRPr="0068236B">
        <w:rPr>
          <w:rFonts w:cs="Arial"/>
          <w:sz w:val="20"/>
          <w:szCs w:val="20"/>
        </w:rPr>
        <w:t>n</w:t>
      </w:r>
      <w:r w:rsidRPr="0068236B">
        <w:rPr>
          <w:rFonts w:cs="Arial"/>
          <w:sz w:val="20"/>
          <w:szCs w:val="20"/>
        </w:rPr>
        <w:t>struction and operation phase.</w:t>
      </w:r>
    </w:p>
    <w:p w14:paraId="0AF4EB30" w14:textId="77777777" w:rsidR="003B46E3" w:rsidRPr="0068236B" w:rsidRDefault="003B46E3" w:rsidP="003B46E3">
      <w:pPr>
        <w:autoSpaceDE w:val="0"/>
        <w:autoSpaceDN w:val="0"/>
        <w:adjustRightInd w:val="0"/>
        <w:rPr>
          <w:rFonts w:cs="Arial"/>
          <w:sz w:val="20"/>
          <w:szCs w:val="20"/>
        </w:rPr>
      </w:pPr>
      <w:r w:rsidRPr="0068236B">
        <w:rPr>
          <w:rFonts w:cs="Arial"/>
          <w:sz w:val="20"/>
          <w:szCs w:val="20"/>
        </w:rPr>
        <w:t xml:space="preserve">For each potential impact of the Project, an assessment of impact significance is provided based on </w:t>
      </w:r>
    </w:p>
    <w:p w14:paraId="70EF458F" w14:textId="77777777" w:rsidR="003B46E3" w:rsidRPr="0068236B" w:rsidRDefault="003B46E3" w:rsidP="00D24CEF">
      <w:pPr>
        <w:pStyle w:val="ListBullet"/>
        <w:numPr>
          <w:ilvl w:val="0"/>
          <w:numId w:val="97"/>
        </w:numPr>
        <w:spacing w:before="120" w:line="240" w:lineRule="auto"/>
        <w:jc w:val="left"/>
        <w:rPr>
          <w:rFonts w:cs="Arial"/>
          <w:sz w:val="20"/>
          <w:szCs w:val="20"/>
        </w:rPr>
      </w:pPr>
      <w:r w:rsidRPr="0068236B">
        <w:rPr>
          <w:rFonts w:cs="Arial"/>
          <w:sz w:val="20"/>
          <w:szCs w:val="20"/>
        </w:rPr>
        <w:t>the assessment of the sensitivity of the receptor (i.e. its level of values) – evaluated based on the following criteria:</w:t>
      </w:r>
    </w:p>
    <w:p w14:paraId="264C76D6" w14:textId="77777777" w:rsidR="003B46E3" w:rsidRPr="0068236B" w:rsidRDefault="003B46E3" w:rsidP="008E77D3">
      <w:pPr>
        <w:pStyle w:val="ListParagraph"/>
        <w:numPr>
          <w:ilvl w:val="0"/>
          <w:numId w:val="72"/>
        </w:numPr>
        <w:autoSpaceDE w:val="0"/>
        <w:autoSpaceDN w:val="0"/>
        <w:adjustRightInd w:val="0"/>
        <w:rPr>
          <w:rFonts w:eastAsia="Calibri"/>
          <w:b/>
          <w:sz w:val="20"/>
          <w:szCs w:val="20"/>
        </w:rPr>
      </w:pPr>
      <w:r w:rsidRPr="0068236B">
        <w:rPr>
          <w:sz w:val="20"/>
          <w:szCs w:val="20"/>
        </w:rPr>
        <w:t>EU Habitats Directive</w:t>
      </w:r>
      <w:r w:rsidRPr="0068236B">
        <w:rPr>
          <w:rStyle w:val="FootnoteReference"/>
          <w:sz w:val="20"/>
          <w:szCs w:val="20"/>
        </w:rPr>
        <w:footnoteReference w:id="121"/>
      </w:r>
      <w:r w:rsidRPr="0068236B">
        <w:rPr>
          <w:sz w:val="20"/>
          <w:szCs w:val="20"/>
        </w:rPr>
        <w:t xml:space="preserve">. The list of important habitats is given in Annex I of the EU Habitats Directive - Natural habitat types of community interest whose conservation requires the designation of special areas of conservation. </w:t>
      </w:r>
    </w:p>
    <w:p w14:paraId="5E77BB32" w14:textId="77777777" w:rsidR="003B46E3" w:rsidRPr="0068236B" w:rsidRDefault="003B46E3" w:rsidP="008E77D3">
      <w:pPr>
        <w:pStyle w:val="ListParagraph"/>
        <w:numPr>
          <w:ilvl w:val="0"/>
          <w:numId w:val="72"/>
        </w:numPr>
        <w:autoSpaceDE w:val="0"/>
        <w:autoSpaceDN w:val="0"/>
        <w:adjustRightInd w:val="0"/>
        <w:jc w:val="left"/>
        <w:rPr>
          <w:sz w:val="20"/>
          <w:szCs w:val="20"/>
        </w:rPr>
      </w:pPr>
      <w:r w:rsidRPr="0068236B">
        <w:rPr>
          <w:sz w:val="20"/>
          <w:szCs w:val="20"/>
        </w:rPr>
        <w:t>Presence of important plant and species (IUCN Global and national red lists and EU Habitats Directive: Annex II - Animal and plant species of community interest whose conservation requires designation of special areas of conservation and Annex IV - Animal and plant sp</w:t>
      </w:r>
      <w:r w:rsidRPr="0068236B">
        <w:rPr>
          <w:sz w:val="20"/>
          <w:szCs w:val="20"/>
        </w:rPr>
        <w:t>e</w:t>
      </w:r>
      <w:r w:rsidRPr="0068236B">
        <w:rPr>
          <w:sz w:val="20"/>
          <w:szCs w:val="20"/>
        </w:rPr>
        <w:t>cies of community interest in need of strict protection).</w:t>
      </w:r>
    </w:p>
    <w:p w14:paraId="325543A2" w14:textId="77777777" w:rsidR="003B46E3" w:rsidRPr="0068236B" w:rsidRDefault="003B46E3" w:rsidP="008E77D3">
      <w:pPr>
        <w:pStyle w:val="ListParagraph"/>
        <w:numPr>
          <w:ilvl w:val="0"/>
          <w:numId w:val="72"/>
        </w:numPr>
        <w:autoSpaceDE w:val="0"/>
        <w:autoSpaceDN w:val="0"/>
        <w:adjustRightInd w:val="0"/>
        <w:jc w:val="left"/>
        <w:rPr>
          <w:sz w:val="20"/>
          <w:szCs w:val="20"/>
        </w:rPr>
      </w:pPr>
      <w:r w:rsidRPr="0068236B">
        <w:rPr>
          <w:sz w:val="20"/>
          <w:szCs w:val="20"/>
        </w:rPr>
        <w:t>Presence of threatened bird species. This criterion is based on several international agre</w:t>
      </w:r>
      <w:r w:rsidRPr="0068236B">
        <w:rPr>
          <w:sz w:val="20"/>
          <w:szCs w:val="20"/>
        </w:rPr>
        <w:t>e</w:t>
      </w:r>
      <w:r w:rsidRPr="0068236B">
        <w:rPr>
          <w:sz w:val="20"/>
          <w:szCs w:val="20"/>
        </w:rPr>
        <w:t>ments. The following international documents and conventions were taken into account: IUCN Red list (2020-1), EU Birds Directive</w:t>
      </w:r>
      <w:r w:rsidRPr="0068236B">
        <w:rPr>
          <w:rStyle w:val="FootnoteReference"/>
          <w:sz w:val="20"/>
          <w:szCs w:val="20"/>
        </w:rPr>
        <w:footnoteReference w:id="122"/>
      </w:r>
      <w:r w:rsidRPr="0068236B">
        <w:rPr>
          <w:sz w:val="20"/>
          <w:szCs w:val="20"/>
        </w:rPr>
        <w:t xml:space="preserve"> (Annex I - Species of special conservation measures concerning their habitat in order to ensure their survival and reproduction in their area of distribution; Annex II), Bern Convention</w:t>
      </w:r>
      <w:r w:rsidRPr="0068236B">
        <w:rPr>
          <w:rStyle w:val="FootnoteReference"/>
          <w:rFonts w:cs="Tahoma"/>
          <w:sz w:val="20"/>
          <w:szCs w:val="20"/>
        </w:rPr>
        <w:footnoteReference w:id="123"/>
      </w:r>
      <w:r w:rsidRPr="0068236B">
        <w:rPr>
          <w:sz w:val="20"/>
          <w:szCs w:val="20"/>
        </w:rPr>
        <w:t xml:space="preserve"> and national red list. Some of the i</w:t>
      </w:r>
      <w:r w:rsidRPr="0068236B">
        <w:rPr>
          <w:sz w:val="20"/>
          <w:szCs w:val="20"/>
        </w:rPr>
        <w:t>m</w:t>
      </w:r>
      <w:r w:rsidRPr="0068236B">
        <w:rPr>
          <w:sz w:val="20"/>
          <w:szCs w:val="20"/>
        </w:rPr>
        <w:t xml:space="preserve">portant bird species were used as a trigger for establishment of the important bird areas. </w:t>
      </w:r>
    </w:p>
    <w:p w14:paraId="0C1068DC" w14:textId="77777777" w:rsidR="003B46E3" w:rsidRPr="0068236B" w:rsidRDefault="003B46E3" w:rsidP="008E77D3">
      <w:pPr>
        <w:pStyle w:val="ListParagraph"/>
        <w:numPr>
          <w:ilvl w:val="0"/>
          <w:numId w:val="72"/>
        </w:numPr>
        <w:autoSpaceDE w:val="0"/>
        <w:autoSpaceDN w:val="0"/>
        <w:adjustRightInd w:val="0"/>
        <w:rPr>
          <w:rFonts w:cs="Tahoma"/>
          <w:sz w:val="20"/>
          <w:szCs w:val="20"/>
        </w:rPr>
      </w:pPr>
      <w:r w:rsidRPr="0068236B">
        <w:rPr>
          <w:sz w:val="20"/>
          <w:szCs w:val="20"/>
        </w:rPr>
        <w:t>Presence of nationally important areas. Both protected and proposed areas for protection according to the national legislation are taken into account. This criterion also includes the national ecological network.</w:t>
      </w:r>
    </w:p>
    <w:p w14:paraId="6C936C94" w14:textId="77777777" w:rsidR="003B46E3" w:rsidRPr="0068236B" w:rsidRDefault="003B46E3" w:rsidP="008E77D3">
      <w:pPr>
        <w:pStyle w:val="ListParagraph"/>
        <w:numPr>
          <w:ilvl w:val="0"/>
          <w:numId w:val="72"/>
        </w:numPr>
        <w:autoSpaceDE w:val="0"/>
        <w:autoSpaceDN w:val="0"/>
        <w:adjustRightInd w:val="0"/>
        <w:rPr>
          <w:rFonts w:cs="Tahoma"/>
          <w:sz w:val="20"/>
          <w:szCs w:val="20"/>
        </w:rPr>
      </w:pPr>
      <w:r w:rsidRPr="0068236B">
        <w:rPr>
          <w:sz w:val="20"/>
          <w:szCs w:val="20"/>
        </w:rPr>
        <w:t>Presence of internationally important areas (Emerald sites or areas important for plants, birds or butterflies).</w:t>
      </w:r>
    </w:p>
    <w:p w14:paraId="6EB94D7E" w14:textId="77777777" w:rsidR="003B46E3" w:rsidRPr="0068236B" w:rsidRDefault="003B46E3" w:rsidP="003B46E3">
      <w:pPr>
        <w:autoSpaceDE w:val="0"/>
        <w:autoSpaceDN w:val="0"/>
        <w:adjustRightInd w:val="0"/>
        <w:ind w:left="1134"/>
        <w:rPr>
          <w:rFonts w:cs="Tahoma"/>
          <w:sz w:val="20"/>
          <w:szCs w:val="20"/>
        </w:rPr>
      </w:pPr>
      <w:bookmarkStart w:id="485" w:name="_Toc61786442"/>
      <w:r w:rsidRPr="0068236B">
        <w:rPr>
          <w:rFonts w:cs="Tahoma"/>
          <w:sz w:val="20"/>
          <w:szCs w:val="20"/>
        </w:rPr>
        <w:t>The sensitivity categories are provided in the Table below.</w:t>
      </w:r>
    </w:p>
    <w:tbl>
      <w:tblPr>
        <w:tblW w:w="8608" w:type="dxa"/>
        <w:tblInd w:w="1242" w:type="dxa"/>
        <w:tblBorders>
          <w:top w:val="double" w:sz="4" w:space="0" w:color="auto"/>
          <w:left w:val="double" w:sz="4" w:space="0" w:color="auto"/>
          <w:bottom w:val="double" w:sz="4" w:space="0" w:color="auto"/>
          <w:right w:val="double" w:sz="4" w:space="0" w:color="auto"/>
          <w:insideH w:val="single" w:sz="4" w:space="0" w:color="9DBCB0"/>
          <w:insideV w:val="single" w:sz="4" w:space="0" w:color="9DBCB0"/>
        </w:tblBorders>
        <w:tblLook w:val="04A0" w:firstRow="1" w:lastRow="0" w:firstColumn="1" w:lastColumn="0" w:noHBand="0" w:noVBand="1"/>
      </w:tblPr>
      <w:tblGrid>
        <w:gridCol w:w="1946"/>
        <w:gridCol w:w="6662"/>
      </w:tblGrid>
      <w:tr w:rsidR="003B46E3" w:rsidRPr="0068236B" w14:paraId="3529A40B" w14:textId="77777777" w:rsidTr="00FB6123">
        <w:trPr>
          <w:cantSplit/>
          <w:tblHeader/>
        </w:trPr>
        <w:tc>
          <w:tcPr>
            <w:tcW w:w="1946" w:type="dxa"/>
            <w:tcBorders>
              <w:top w:val="double" w:sz="4" w:space="0" w:color="auto"/>
              <w:bottom w:val="double" w:sz="4" w:space="0" w:color="auto"/>
              <w:right w:val="double" w:sz="4" w:space="0" w:color="auto"/>
            </w:tcBorders>
            <w:shd w:val="clear" w:color="auto" w:fill="B4C6E7" w:themeFill="accent1" w:themeFillTint="66"/>
            <w:noWrap/>
            <w:hideMark/>
          </w:tcPr>
          <w:bookmarkEnd w:id="485"/>
          <w:p w14:paraId="55DED1FC" w14:textId="77777777" w:rsidR="003B46E3" w:rsidRPr="0068236B" w:rsidRDefault="003B46E3" w:rsidP="003B46E3">
            <w:pPr>
              <w:keepNext/>
              <w:spacing w:before="0" w:after="0" w:line="240" w:lineRule="auto"/>
              <w:jc w:val="left"/>
              <w:rPr>
                <w:rFonts w:cs="Tahoma"/>
                <w:bCs/>
                <w:sz w:val="20"/>
                <w:szCs w:val="20"/>
                <w:lang w:eastAsia="el-GR"/>
              </w:rPr>
            </w:pPr>
            <w:r w:rsidRPr="0068236B">
              <w:rPr>
                <w:rFonts w:cs="Tahoma"/>
                <w:bCs/>
                <w:sz w:val="20"/>
                <w:szCs w:val="20"/>
                <w:lang w:eastAsia="el-GR"/>
              </w:rPr>
              <w:t>Receptor sensitivity / value</w:t>
            </w:r>
          </w:p>
        </w:tc>
        <w:tc>
          <w:tcPr>
            <w:tcW w:w="6662" w:type="dxa"/>
            <w:tcBorders>
              <w:top w:val="double" w:sz="4" w:space="0" w:color="auto"/>
              <w:left w:val="double" w:sz="4" w:space="0" w:color="auto"/>
              <w:bottom w:val="double" w:sz="4" w:space="0" w:color="auto"/>
            </w:tcBorders>
            <w:shd w:val="clear" w:color="auto" w:fill="B4C6E7" w:themeFill="accent1" w:themeFillTint="66"/>
            <w:noWrap/>
            <w:hideMark/>
          </w:tcPr>
          <w:p w14:paraId="602A8A16" w14:textId="77777777" w:rsidR="003B46E3" w:rsidRPr="0068236B" w:rsidRDefault="003B46E3" w:rsidP="003B46E3">
            <w:pPr>
              <w:keepNext/>
              <w:spacing w:before="0" w:after="0" w:line="240" w:lineRule="auto"/>
              <w:jc w:val="left"/>
              <w:rPr>
                <w:rFonts w:cs="Tahoma"/>
                <w:bCs/>
                <w:sz w:val="20"/>
                <w:szCs w:val="20"/>
                <w:lang w:eastAsia="el-GR"/>
              </w:rPr>
            </w:pPr>
            <w:r w:rsidRPr="0068236B">
              <w:rPr>
                <w:rFonts w:cs="Tahoma"/>
                <w:bCs/>
                <w:sz w:val="20"/>
                <w:szCs w:val="20"/>
                <w:lang w:eastAsia="el-GR"/>
              </w:rPr>
              <w:t>Description - typical descriptors</w:t>
            </w:r>
          </w:p>
          <w:p w14:paraId="5B004A27" w14:textId="77777777" w:rsidR="003B46E3" w:rsidRPr="0068236B" w:rsidRDefault="003B46E3" w:rsidP="003B46E3">
            <w:pPr>
              <w:keepNext/>
              <w:spacing w:before="0" w:after="0" w:line="240" w:lineRule="auto"/>
              <w:jc w:val="left"/>
              <w:rPr>
                <w:rFonts w:cs="Tahoma"/>
                <w:bCs/>
                <w:sz w:val="20"/>
                <w:szCs w:val="20"/>
                <w:lang w:eastAsia="el-GR"/>
              </w:rPr>
            </w:pPr>
            <w:r w:rsidRPr="0068236B">
              <w:rPr>
                <w:rFonts w:cs="Tahoma"/>
                <w:bCs/>
                <w:sz w:val="20"/>
                <w:szCs w:val="20"/>
                <w:lang w:eastAsia="el-GR"/>
              </w:rPr>
              <w:t>(</w:t>
            </w:r>
            <w:r w:rsidRPr="0068236B">
              <w:rPr>
                <w:rFonts w:cs="Tahoma"/>
                <w:bCs/>
                <w:iCs/>
                <w:sz w:val="20"/>
                <w:szCs w:val="20"/>
                <w:lang w:eastAsia="en-US"/>
              </w:rPr>
              <w:t>often dependent on professional judgment)</w:t>
            </w:r>
          </w:p>
        </w:tc>
      </w:tr>
      <w:tr w:rsidR="003B46E3" w:rsidRPr="0068236B" w14:paraId="330FBB08" w14:textId="77777777" w:rsidTr="003B46E3">
        <w:trPr>
          <w:trHeight w:val="288"/>
        </w:trPr>
        <w:tc>
          <w:tcPr>
            <w:tcW w:w="1946" w:type="dxa"/>
            <w:tcBorders>
              <w:top w:val="double" w:sz="4" w:space="0" w:color="auto"/>
              <w:bottom w:val="single" w:sz="4" w:space="0" w:color="auto"/>
              <w:right w:val="single" w:sz="4" w:space="0" w:color="auto"/>
            </w:tcBorders>
            <w:shd w:val="clear" w:color="auto" w:fill="auto"/>
            <w:noWrap/>
            <w:hideMark/>
          </w:tcPr>
          <w:p w14:paraId="198706BA" w14:textId="77777777" w:rsidR="003B46E3" w:rsidRPr="0068236B" w:rsidRDefault="003B46E3" w:rsidP="003B46E3">
            <w:pPr>
              <w:pStyle w:val="Default"/>
              <w:rPr>
                <w:rFonts w:ascii="Tahoma" w:hAnsi="Tahoma" w:cs="Tahoma"/>
                <w:color w:val="auto"/>
                <w:sz w:val="20"/>
                <w:szCs w:val="20"/>
              </w:rPr>
            </w:pPr>
            <w:r w:rsidRPr="0068236B">
              <w:rPr>
                <w:rFonts w:ascii="Tahoma" w:hAnsi="Tahoma" w:cs="Tahoma"/>
                <w:bCs/>
                <w:color w:val="auto"/>
                <w:sz w:val="20"/>
                <w:szCs w:val="20"/>
              </w:rPr>
              <w:t xml:space="preserve">Very high </w:t>
            </w:r>
          </w:p>
        </w:tc>
        <w:tc>
          <w:tcPr>
            <w:tcW w:w="6662" w:type="dxa"/>
            <w:tcBorders>
              <w:top w:val="double" w:sz="4" w:space="0" w:color="auto"/>
              <w:left w:val="single" w:sz="4" w:space="0" w:color="auto"/>
              <w:bottom w:val="single" w:sz="4" w:space="0" w:color="auto"/>
            </w:tcBorders>
            <w:shd w:val="clear" w:color="auto" w:fill="auto"/>
            <w:noWrap/>
            <w:hideMark/>
          </w:tcPr>
          <w:p w14:paraId="6C19C10B" w14:textId="77777777" w:rsidR="003B46E3" w:rsidRPr="0068236B" w:rsidRDefault="003B46E3" w:rsidP="003B46E3">
            <w:pPr>
              <w:pStyle w:val="Tableau-textesetchiffres-BIOTOPE"/>
              <w:spacing w:before="0"/>
              <w:jc w:val="left"/>
              <w:rPr>
                <w:rFonts w:ascii="Tahoma" w:hAnsi="Tahoma" w:cs="Tahoma"/>
                <w:sz w:val="20"/>
                <w:szCs w:val="20"/>
                <w:lang w:val="en-GB"/>
              </w:rPr>
            </w:pPr>
            <w:r w:rsidRPr="0068236B">
              <w:rPr>
                <w:rFonts w:ascii="Tahoma" w:hAnsi="Tahoma" w:cs="Tahoma"/>
                <w:sz w:val="20"/>
                <w:szCs w:val="20"/>
                <w:lang w:val="en-GB"/>
              </w:rPr>
              <w:t>Very high importance and rarity, international scale and very limited potential for substitution</w:t>
            </w:r>
          </w:p>
        </w:tc>
      </w:tr>
      <w:tr w:rsidR="003B46E3" w:rsidRPr="0068236B" w14:paraId="0586BD80" w14:textId="77777777" w:rsidTr="003B46E3">
        <w:trPr>
          <w:trHeight w:val="288"/>
        </w:trPr>
        <w:tc>
          <w:tcPr>
            <w:tcW w:w="1946" w:type="dxa"/>
            <w:tcBorders>
              <w:top w:val="single" w:sz="4" w:space="0" w:color="auto"/>
              <w:bottom w:val="single" w:sz="4" w:space="0" w:color="auto"/>
              <w:right w:val="single" w:sz="4" w:space="0" w:color="auto"/>
            </w:tcBorders>
            <w:shd w:val="clear" w:color="auto" w:fill="auto"/>
            <w:noWrap/>
            <w:hideMark/>
          </w:tcPr>
          <w:p w14:paraId="7D86FB4B" w14:textId="77777777" w:rsidR="003B46E3" w:rsidRPr="0068236B" w:rsidRDefault="003B46E3" w:rsidP="003B46E3">
            <w:pPr>
              <w:pStyle w:val="Default"/>
              <w:rPr>
                <w:rFonts w:ascii="Tahoma" w:hAnsi="Tahoma" w:cs="Tahoma"/>
                <w:color w:val="auto"/>
                <w:sz w:val="20"/>
                <w:szCs w:val="20"/>
              </w:rPr>
            </w:pPr>
            <w:r w:rsidRPr="0068236B">
              <w:rPr>
                <w:rFonts w:ascii="Tahoma" w:hAnsi="Tahoma" w:cs="Tahoma"/>
                <w:bCs/>
                <w:color w:val="auto"/>
                <w:sz w:val="20"/>
                <w:szCs w:val="20"/>
              </w:rPr>
              <w:t xml:space="preserve">High </w:t>
            </w:r>
          </w:p>
        </w:tc>
        <w:tc>
          <w:tcPr>
            <w:tcW w:w="6662" w:type="dxa"/>
            <w:tcBorders>
              <w:top w:val="single" w:sz="4" w:space="0" w:color="auto"/>
              <w:left w:val="single" w:sz="4" w:space="0" w:color="auto"/>
              <w:bottom w:val="single" w:sz="4" w:space="0" w:color="auto"/>
            </w:tcBorders>
            <w:shd w:val="clear" w:color="auto" w:fill="auto"/>
            <w:noWrap/>
            <w:hideMark/>
          </w:tcPr>
          <w:p w14:paraId="3E6360D6" w14:textId="77777777" w:rsidR="003B46E3" w:rsidRPr="0068236B" w:rsidRDefault="003B46E3" w:rsidP="003B46E3">
            <w:pPr>
              <w:pStyle w:val="Tableau-textesetchiffres-BIOTOPE"/>
              <w:spacing w:before="0"/>
              <w:jc w:val="left"/>
              <w:rPr>
                <w:rFonts w:ascii="Tahoma" w:hAnsi="Tahoma" w:cs="Tahoma"/>
                <w:sz w:val="20"/>
                <w:szCs w:val="20"/>
                <w:lang w:val="en-GB"/>
              </w:rPr>
            </w:pPr>
            <w:r w:rsidRPr="0068236B">
              <w:rPr>
                <w:rFonts w:ascii="Tahoma" w:hAnsi="Tahoma" w:cs="Tahoma"/>
                <w:sz w:val="20"/>
                <w:szCs w:val="20"/>
                <w:lang w:val="en-GB"/>
              </w:rPr>
              <w:t>High importance and rarity, national scale and limited potential for su</w:t>
            </w:r>
            <w:r w:rsidRPr="0068236B">
              <w:rPr>
                <w:rFonts w:ascii="Tahoma" w:hAnsi="Tahoma" w:cs="Tahoma"/>
                <w:sz w:val="20"/>
                <w:szCs w:val="20"/>
                <w:lang w:val="en-GB"/>
              </w:rPr>
              <w:t>b</w:t>
            </w:r>
            <w:r w:rsidRPr="0068236B">
              <w:rPr>
                <w:rFonts w:ascii="Tahoma" w:hAnsi="Tahoma" w:cs="Tahoma"/>
                <w:sz w:val="20"/>
                <w:szCs w:val="20"/>
                <w:lang w:val="en-GB"/>
              </w:rPr>
              <w:t>stitution</w:t>
            </w:r>
          </w:p>
        </w:tc>
      </w:tr>
      <w:tr w:rsidR="003B46E3" w:rsidRPr="0068236B" w14:paraId="1C9FB765" w14:textId="77777777" w:rsidTr="003B46E3">
        <w:trPr>
          <w:trHeight w:val="288"/>
        </w:trPr>
        <w:tc>
          <w:tcPr>
            <w:tcW w:w="1946" w:type="dxa"/>
            <w:tcBorders>
              <w:top w:val="single" w:sz="4" w:space="0" w:color="auto"/>
              <w:bottom w:val="single" w:sz="4" w:space="0" w:color="auto"/>
              <w:right w:val="single" w:sz="4" w:space="0" w:color="auto"/>
            </w:tcBorders>
            <w:shd w:val="clear" w:color="auto" w:fill="auto"/>
            <w:noWrap/>
            <w:hideMark/>
          </w:tcPr>
          <w:p w14:paraId="1D207D1E" w14:textId="77777777" w:rsidR="003B46E3" w:rsidRPr="0068236B" w:rsidRDefault="003B46E3" w:rsidP="003B46E3">
            <w:pPr>
              <w:pStyle w:val="Default"/>
              <w:rPr>
                <w:rFonts w:ascii="Tahoma" w:hAnsi="Tahoma" w:cs="Tahoma"/>
                <w:color w:val="auto"/>
                <w:sz w:val="20"/>
                <w:szCs w:val="20"/>
              </w:rPr>
            </w:pPr>
            <w:r w:rsidRPr="0068236B">
              <w:rPr>
                <w:rFonts w:ascii="Tahoma" w:hAnsi="Tahoma" w:cs="Tahoma"/>
                <w:bCs/>
                <w:color w:val="auto"/>
                <w:sz w:val="20"/>
                <w:szCs w:val="20"/>
              </w:rPr>
              <w:t xml:space="preserve">Medium </w:t>
            </w:r>
          </w:p>
        </w:tc>
        <w:tc>
          <w:tcPr>
            <w:tcW w:w="6662" w:type="dxa"/>
            <w:tcBorders>
              <w:top w:val="single" w:sz="4" w:space="0" w:color="auto"/>
              <w:left w:val="single" w:sz="4" w:space="0" w:color="auto"/>
              <w:bottom w:val="single" w:sz="4" w:space="0" w:color="auto"/>
            </w:tcBorders>
            <w:shd w:val="clear" w:color="auto" w:fill="auto"/>
            <w:noWrap/>
            <w:hideMark/>
          </w:tcPr>
          <w:p w14:paraId="026CA26C" w14:textId="77777777" w:rsidR="003B46E3" w:rsidRPr="0068236B" w:rsidRDefault="003B46E3" w:rsidP="003B46E3">
            <w:pPr>
              <w:pStyle w:val="Tableau-textesetchiffres-BIOTOPE"/>
              <w:spacing w:before="0"/>
              <w:jc w:val="left"/>
              <w:rPr>
                <w:rFonts w:ascii="Tahoma" w:hAnsi="Tahoma" w:cs="Tahoma"/>
                <w:sz w:val="20"/>
                <w:szCs w:val="20"/>
                <w:lang w:val="en-GB"/>
              </w:rPr>
            </w:pPr>
            <w:r w:rsidRPr="0068236B">
              <w:rPr>
                <w:rFonts w:ascii="Tahoma" w:hAnsi="Tahoma" w:cs="Tahoma"/>
                <w:sz w:val="20"/>
                <w:szCs w:val="20"/>
                <w:lang w:val="en-GB"/>
              </w:rPr>
              <w:t>High or medium importance and rarity, regional scale, limited potential for substitution</w:t>
            </w:r>
          </w:p>
        </w:tc>
      </w:tr>
      <w:tr w:rsidR="003B46E3" w:rsidRPr="0068236B" w14:paraId="5C04550E" w14:textId="77777777" w:rsidTr="003B46E3">
        <w:trPr>
          <w:trHeight w:val="288"/>
        </w:trPr>
        <w:tc>
          <w:tcPr>
            <w:tcW w:w="1946" w:type="dxa"/>
            <w:tcBorders>
              <w:top w:val="single" w:sz="4" w:space="0" w:color="auto"/>
              <w:bottom w:val="single" w:sz="4" w:space="0" w:color="auto"/>
              <w:right w:val="single" w:sz="4" w:space="0" w:color="auto"/>
            </w:tcBorders>
            <w:shd w:val="clear" w:color="auto" w:fill="auto"/>
            <w:noWrap/>
            <w:hideMark/>
          </w:tcPr>
          <w:p w14:paraId="364B4CF9" w14:textId="77777777" w:rsidR="003B46E3" w:rsidRPr="0068236B" w:rsidRDefault="003B46E3" w:rsidP="003B46E3">
            <w:pPr>
              <w:pStyle w:val="Default"/>
              <w:rPr>
                <w:rFonts w:ascii="Tahoma" w:hAnsi="Tahoma" w:cs="Tahoma"/>
                <w:color w:val="auto"/>
                <w:sz w:val="20"/>
                <w:szCs w:val="20"/>
              </w:rPr>
            </w:pPr>
            <w:r w:rsidRPr="0068236B">
              <w:rPr>
                <w:rFonts w:ascii="Tahoma" w:hAnsi="Tahoma" w:cs="Tahoma"/>
                <w:bCs/>
                <w:color w:val="auto"/>
                <w:sz w:val="20"/>
                <w:szCs w:val="20"/>
              </w:rPr>
              <w:t xml:space="preserve">Low </w:t>
            </w:r>
          </w:p>
        </w:tc>
        <w:tc>
          <w:tcPr>
            <w:tcW w:w="6662" w:type="dxa"/>
            <w:tcBorders>
              <w:top w:val="single" w:sz="4" w:space="0" w:color="auto"/>
              <w:left w:val="single" w:sz="4" w:space="0" w:color="auto"/>
              <w:bottom w:val="single" w:sz="4" w:space="0" w:color="auto"/>
            </w:tcBorders>
            <w:shd w:val="clear" w:color="auto" w:fill="auto"/>
            <w:noWrap/>
            <w:hideMark/>
          </w:tcPr>
          <w:p w14:paraId="01D4CE8B" w14:textId="77777777" w:rsidR="003B46E3" w:rsidRPr="0068236B" w:rsidRDefault="003B46E3" w:rsidP="003B46E3">
            <w:pPr>
              <w:pStyle w:val="Tableau-textesetchiffres-BIOTOPE"/>
              <w:spacing w:before="0"/>
              <w:jc w:val="left"/>
              <w:rPr>
                <w:rFonts w:ascii="Tahoma" w:hAnsi="Tahoma" w:cs="Tahoma"/>
                <w:sz w:val="20"/>
                <w:szCs w:val="20"/>
                <w:lang w:val="en-GB"/>
              </w:rPr>
            </w:pPr>
            <w:r w:rsidRPr="0068236B">
              <w:rPr>
                <w:rFonts w:ascii="Tahoma" w:hAnsi="Tahoma" w:cs="Tahoma"/>
                <w:sz w:val="20"/>
                <w:szCs w:val="20"/>
                <w:lang w:val="en-GB"/>
              </w:rPr>
              <w:t>Low or medium importance and rarity, local scale</w:t>
            </w:r>
          </w:p>
        </w:tc>
      </w:tr>
      <w:tr w:rsidR="003B46E3" w:rsidRPr="0068236B" w14:paraId="26E1C9A2" w14:textId="77777777" w:rsidTr="003B46E3">
        <w:trPr>
          <w:trHeight w:val="288"/>
        </w:trPr>
        <w:tc>
          <w:tcPr>
            <w:tcW w:w="1946" w:type="dxa"/>
            <w:tcBorders>
              <w:top w:val="single" w:sz="4" w:space="0" w:color="auto"/>
              <w:bottom w:val="double" w:sz="4" w:space="0" w:color="auto"/>
              <w:right w:val="single" w:sz="4" w:space="0" w:color="auto"/>
            </w:tcBorders>
            <w:shd w:val="clear" w:color="auto" w:fill="auto"/>
            <w:noWrap/>
            <w:hideMark/>
          </w:tcPr>
          <w:p w14:paraId="2D3FDA86" w14:textId="77777777" w:rsidR="003B46E3" w:rsidRPr="0068236B" w:rsidRDefault="003B46E3" w:rsidP="003B46E3">
            <w:pPr>
              <w:pStyle w:val="Default"/>
              <w:rPr>
                <w:rFonts w:ascii="Tahoma" w:hAnsi="Tahoma" w:cs="Tahoma"/>
                <w:color w:val="auto"/>
                <w:sz w:val="20"/>
                <w:szCs w:val="20"/>
              </w:rPr>
            </w:pPr>
            <w:r w:rsidRPr="0068236B">
              <w:rPr>
                <w:rFonts w:ascii="Tahoma" w:hAnsi="Tahoma" w:cs="Tahoma"/>
                <w:bCs/>
                <w:color w:val="auto"/>
                <w:sz w:val="20"/>
                <w:szCs w:val="20"/>
              </w:rPr>
              <w:lastRenderedPageBreak/>
              <w:t>Very low</w:t>
            </w:r>
          </w:p>
        </w:tc>
        <w:tc>
          <w:tcPr>
            <w:tcW w:w="6662" w:type="dxa"/>
            <w:tcBorders>
              <w:top w:val="single" w:sz="4" w:space="0" w:color="auto"/>
              <w:left w:val="single" w:sz="4" w:space="0" w:color="auto"/>
              <w:bottom w:val="double" w:sz="4" w:space="0" w:color="auto"/>
            </w:tcBorders>
            <w:shd w:val="clear" w:color="auto" w:fill="auto"/>
            <w:noWrap/>
            <w:hideMark/>
          </w:tcPr>
          <w:p w14:paraId="05AF0865" w14:textId="77777777" w:rsidR="003B46E3" w:rsidRPr="0068236B" w:rsidRDefault="003B46E3" w:rsidP="003B46E3">
            <w:pPr>
              <w:pStyle w:val="Tableau-textesetchiffres-BIOTOPE"/>
              <w:spacing w:before="0"/>
              <w:jc w:val="left"/>
              <w:rPr>
                <w:rFonts w:ascii="Tahoma" w:hAnsi="Tahoma" w:cs="Tahoma"/>
                <w:sz w:val="20"/>
                <w:szCs w:val="20"/>
                <w:lang w:val="en-GB"/>
              </w:rPr>
            </w:pPr>
            <w:r w:rsidRPr="0068236B">
              <w:rPr>
                <w:rFonts w:ascii="Tahoma" w:hAnsi="Tahoma" w:cs="Tahoma"/>
                <w:sz w:val="20"/>
                <w:szCs w:val="20"/>
                <w:lang w:val="en-GB"/>
              </w:rPr>
              <w:t>Very low importance and rarity, local scale</w:t>
            </w:r>
          </w:p>
        </w:tc>
      </w:tr>
    </w:tbl>
    <w:p w14:paraId="3F011582" w14:textId="4B685CC4" w:rsidR="003B46E3" w:rsidRPr="0068236B" w:rsidRDefault="003B46E3" w:rsidP="003B46E3">
      <w:pPr>
        <w:autoSpaceDE w:val="0"/>
        <w:autoSpaceDN w:val="0"/>
        <w:adjustRightInd w:val="0"/>
        <w:spacing w:before="60" w:after="240"/>
        <w:ind w:left="1134"/>
        <w:jc w:val="left"/>
        <w:rPr>
          <w:rFonts w:cs="Tahoma"/>
          <w:sz w:val="18"/>
          <w:szCs w:val="18"/>
        </w:rPr>
      </w:pPr>
      <w:bookmarkStart w:id="486" w:name="_Toc80181273"/>
      <w:bookmarkStart w:id="487" w:name="_Toc113018228"/>
      <w:r w:rsidRPr="0068236B">
        <w:rPr>
          <w:rFonts w:cs="Tahoma"/>
          <w:sz w:val="18"/>
          <w:szCs w:val="18"/>
        </w:rPr>
        <w:t xml:space="preserve">Table </w:t>
      </w:r>
      <w:r w:rsidRPr="0068236B">
        <w:rPr>
          <w:rFonts w:cs="Tahoma"/>
          <w:i/>
          <w:sz w:val="18"/>
          <w:szCs w:val="18"/>
        </w:rPr>
        <w:fldChar w:fldCharType="begin"/>
      </w:r>
      <w:r w:rsidRPr="0068236B">
        <w:rPr>
          <w:rFonts w:cs="Tahoma"/>
          <w:sz w:val="18"/>
          <w:szCs w:val="18"/>
        </w:rPr>
        <w:instrText xml:space="preserve"> STYLEREF 1 \s </w:instrText>
      </w:r>
      <w:r w:rsidRPr="0068236B">
        <w:rPr>
          <w:rFonts w:cs="Tahoma"/>
          <w:i/>
          <w:sz w:val="18"/>
          <w:szCs w:val="18"/>
        </w:rPr>
        <w:fldChar w:fldCharType="separate"/>
      </w:r>
      <w:r w:rsidR="00FD57E6">
        <w:rPr>
          <w:rFonts w:cs="Tahoma"/>
          <w:noProof/>
          <w:sz w:val="18"/>
          <w:szCs w:val="18"/>
        </w:rPr>
        <w:t>8</w:t>
      </w:r>
      <w:r w:rsidRPr="0068236B">
        <w:rPr>
          <w:rFonts w:cs="Tahoma"/>
          <w:i/>
          <w:sz w:val="18"/>
          <w:szCs w:val="18"/>
        </w:rPr>
        <w:fldChar w:fldCharType="end"/>
      </w:r>
      <w:r w:rsidRPr="0068236B">
        <w:rPr>
          <w:rFonts w:cs="Tahoma"/>
          <w:sz w:val="18"/>
          <w:szCs w:val="18"/>
        </w:rPr>
        <w:t>.</w:t>
      </w:r>
      <w:r w:rsidRPr="0068236B">
        <w:rPr>
          <w:rFonts w:cs="Tahoma"/>
          <w:i/>
          <w:sz w:val="18"/>
          <w:szCs w:val="18"/>
        </w:rPr>
        <w:fldChar w:fldCharType="begin"/>
      </w:r>
      <w:r w:rsidRPr="0068236B">
        <w:rPr>
          <w:rFonts w:cs="Tahoma"/>
          <w:sz w:val="18"/>
          <w:szCs w:val="18"/>
        </w:rPr>
        <w:instrText xml:space="preserve"> SEQ Table \* ARABIC \s 1 </w:instrText>
      </w:r>
      <w:r w:rsidRPr="0068236B">
        <w:rPr>
          <w:rFonts w:cs="Tahoma"/>
          <w:i/>
          <w:sz w:val="18"/>
          <w:szCs w:val="18"/>
        </w:rPr>
        <w:fldChar w:fldCharType="separate"/>
      </w:r>
      <w:r w:rsidR="00FD57E6">
        <w:rPr>
          <w:rFonts w:cs="Tahoma"/>
          <w:noProof/>
          <w:sz w:val="18"/>
          <w:szCs w:val="18"/>
        </w:rPr>
        <w:t>32</w:t>
      </w:r>
      <w:r w:rsidRPr="0068236B">
        <w:rPr>
          <w:rFonts w:cs="Tahoma"/>
          <w:i/>
          <w:sz w:val="18"/>
          <w:szCs w:val="18"/>
        </w:rPr>
        <w:fldChar w:fldCharType="end"/>
      </w:r>
      <w:r w:rsidR="005F774D" w:rsidRPr="0068236B">
        <w:rPr>
          <w:rFonts w:cs="Tahoma"/>
          <w:sz w:val="18"/>
          <w:szCs w:val="18"/>
        </w:rPr>
        <w:t xml:space="preserve">: </w:t>
      </w:r>
      <w:r w:rsidRPr="0068236B">
        <w:rPr>
          <w:rFonts w:cs="Tahoma"/>
          <w:sz w:val="18"/>
          <w:szCs w:val="18"/>
        </w:rPr>
        <w:t>Sensitivity criteria of biodiversity receptors and natural heritage</w:t>
      </w:r>
      <w:bookmarkEnd w:id="486"/>
      <w:bookmarkEnd w:id="487"/>
    </w:p>
    <w:p w14:paraId="27A2E4E9" w14:textId="77777777" w:rsidR="003B46E3" w:rsidRPr="0068236B" w:rsidRDefault="003B46E3" w:rsidP="00D24CEF">
      <w:pPr>
        <w:pStyle w:val="ListBullet"/>
        <w:numPr>
          <w:ilvl w:val="0"/>
          <w:numId w:val="97"/>
        </w:numPr>
        <w:spacing w:before="120" w:after="120" w:line="240" w:lineRule="auto"/>
        <w:jc w:val="left"/>
        <w:rPr>
          <w:sz w:val="20"/>
        </w:rPr>
      </w:pPr>
      <w:r w:rsidRPr="0068236B">
        <w:rPr>
          <w:rFonts w:cs="Arial"/>
          <w:sz w:val="20"/>
          <w:szCs w:val="20"/>
        </w:rPr>
        <w:t>The impact magnitude, ranked to a scale from “none/no change” to “high” as presented in the Table below.</w:t>
      </w:r>
    </w:p>
    <w:tbl>
      <w:tblPr>
        <w:tblW w:w="8647" w:type="dxa"/>
        <w:tblInd w:w="1242" w:type="dxa"/>
        <w:tblBorders>
          <w:top w:val="double" w:sz="4" w:space="0" w:color="auto"/>
          <w:left w:val="double" w:sz="4" w:space="0" w:color="auto"/>
          <w:bottom w:val="double" w:sz="4" w:space="0" w:color="auto"/>
          <w:right w:val="double" w:sz="4" w:space="0" w:color="auto"/>
          <w:insideH w:val="single" w:sz="4" w:space="0" w:color="9DBCB0"/>
          <w:insideV w:val="single" w:sz="4" w:space="0" w:color="9DBCB0"/>
        </w:tblBorders>
        <w:tblLook w:val="04A0" w:firstRow="1" w:lastRow="0" w:firstColumn="1" w:lastColumn="0" w:noHBand="0" w:noVBand="1"/>
      </w:tblPr>
      <w:tblGrid>
        <w:gridCol w:w="1379"/>
        <w:gridCol w:w="7268"/>
      </w:tblGrid>
      <w:tr w:rsidR="003B46E3" w:rsidRPr="0068236B" w14:paraId="021F6215" w14:textId="77777777" w:rsidTr="00FB6123">
        <w:trPr>
          <w:cantSplit/>
          <w:tblHeader/>
        </w:trPr>
        <w:tc>
          <w:tcPr>
            <w:tcW w:w="1379" w:type="dxa"/>
            <w:tcBorders>
              <w:top w:val="double" w:sz="4" w:space="0" w:color="auto"/>
              <w:bottom w:val="double" w:sz="4" w:space="0" w:color="auto"/>
              <w:right w:val="double" w:sz="4" w:space="0" w:color="auto"/>
            </w:tcBorders>
            <w:shd w:val="clear" w:color="auto" w:fill="B4C6E7" w:themeFill="accent1" w:themeFillTint="66"/>
            <w:noWrap/>
            <w:vAlign w:val="center"/>
            <w:hideMark/>
          </w:tcPr>
          <w:p w14:paraId="2F347977" w14:textId="77777777" w:rsidR="003B46E3" w:rsidRPr="0068236B" w:rsidRDefault="003B46E3" w:rsidP="003B46E3">
            <w:pPr>
              <w:keepNext/>
              <w:spacing w:before="0" w:after="0"/>
              <w:jc w:val="left"/>
              <w:rPr>
                <w:rFonts w:cs="Tahoma"/>
                <w:bCs/>
                <w:sz w:val="20"/>
                <w:szCs w:val="20"/>
                <w:lang w:eastAsia="el-GR"/>
              </w:rPr>
            </w:pPr>
            <w:r w:rsidRPr="0068236B">
              <w:rPr>
                <w:rFonts w:cs="Tahoma"/>
                <w:bCs/>
                <w:sz w:val="20"/>
                <w:szCs w:val="20"/>
                <w:lang w:eastAsia="el-GR"/>
              </w:rPr>
              <w:t>Impact</w:t>
            </w:r>
          </w:p>
          <w:p w14:paraId="0B249443" w14:textId="77777777" w:rsidR="003B46E3" w:rsidRPr="0068236B" w:rsidRDefault="003B46E3" w:rsidP="003B46E3">
            <w:pPr>
              <w:keepNext/>
              <w:spacing w:before="0" w:after="0"/>
              <w:jc w:val="left"/>
              <w:rPr>
                <w:rFonts w:cs="Tahoma"/>
                <w:bCs/>
                <w:sz w:val="20"/>
                <w:szCs w:val="20"/>
                <w:lang w:eastAsia="el-GR"/>
              </w:rPr>
            </w:pPr>
            <w:r w:rsidRPr="0068236B">
              <w:rPr>
                <w:rFonts w:cs="Tahoma"/>
                <w:bCs/>
                <w:sz w:val="20"/>
                <w:szCs w:val="20"/>
                <w:lang w:eastAsia="el-GR"/>
              </w:rPr>
              <w:t>magnitude</w:t>
            </w:r>
          </w:p>
        </w:tc>
        <w:tc>
          <w:tcPr>
            <w:tcW w:w="7268" w:type="dxa"/>
            <w:tcBorders>
              <w:top w:val="double" w:sz="4" w:space="0" w:color="auto"/>
              <w:left w:val="double" w:sz="4" w:space="0" w:color="auto"/>
              <w:bottom w:val="double" w:sz="4" w:space="0" w:color="auto"/>
            </w:tcBorders>
            <w:shd w:val="clear" w:color="auto" w:fill="B4C6E7" w:themeFill="accent1" w:themeFillTint="66"/>
            <w:noWrap/>
            <w:vAlign w:val="center"/>
            <w:hideMark/>
          </w:tcPr>
          <w:p w14:paraId="15589380" w14:textId="77777777" w:rsidR="003B46E3" w:rsidRPr="0068236B" w:rsidRDefault="003B46E3" w:rsidP="003B46E3">
            <w:pPr>
              <w:keepNext/>
              <w:spacing w:before="0" w:after="0"/>
              <w:rPr>
                <w:rFonts w:cs="Tahoma"/>
                <w:bCs/>
                <w:sz w:val="20"/>
                <w:szCs w:val="20"/>
                <w:lang w:eastAsia="el-GR"/>
              </w:rPr>
            </w:pPr>
            <w:r w:rsidRPr="0068236B">
              <w:rPr>
                <w:rFonts w:cs="Tahoma"/>
                <w:bCs/>
                <w:sz w:val="20"/>
                <w:szCs w:val="20"/>
                <w:lang w:eastAsia="el-GR"/>
              </w:rPr>
              <w:t>Description - typical descriptors</w:t>
            </w:r>
          </w:p>
        </w:tc>
      </w:tr>
      <w:tr w:rsidR="003B46E3" w:rsidRPr="0068236B" w14:paraId="00B80368" w14:textId="77777777" w:rsidTr="003B46E3">
        <w:trPr>
          <w:trHeight w:val="283"/>
        </w:trPr>
        <w:tc>
          <w:tcPr>
            <w:tcW w:w="1379" w:type="dxa"/>
            <w:tcBorders>
              <w:top w:val="double" w:sz="4" w:space="0" w:color="auto"/>
              <w:bottom w:val="single" w:sz="4" w:space="0" w:color="auto"/>
              <w:right w:val="single" w:sz="4" w:space="0" w:color="auto"/>
            </w:tcBorders>
            <w:shd w:val="clear" w:color="auto" w:fill="auto"/>
            <w:noWrap/>
            <w:vAlign w:val="center"/>
            <w:hideMark/>
          </w:tcPr>
          <w:p w14:paraId="0902652C" w14:textId="77777777" w:rsidR="003B46E3" w:rsidRPr="0068236B" w:rsidRDefault="003B46E3" w:rsidP="003B46E3">
            <w:pPr>
              <w:tabs>
                <w:tab w:val="center" w:pos="4320"/>
                <w:tab w:val="right" w:pos="8640"/>
              </w:tabs>
              <w:spacing w:before="0" w:after="0"/>
              <w:jc w:val="left"/>
              <w:rPr>
                <w:rFonts w:cs="Tahoma"/>
                <w:sz w:val="20"/>
                <w:szCs w:val="20"/>
              </w:rPr>
            </w:pPr>
            <w:r w:rsidRPr="0068236B">
              <w:rPr>
                <w:rFonts w:cs="Tahoma"/>
                <w:sz w:val="20"/>
                <w:szCs w:val="20"/>
              </w:rPr>
              <w:t>High</w:t>
            </w:r>
          </w:p>
        </w:tc>
        <w:tc>
          <w:tcPr>
            <w:tcW w:w="7268" w:type="dxa"/>
            <w:tcBorders>
              <w:top w:val="double" w:sz="4" w:space="0" w:color="auto"/>
              <w:left w:val="single" w:sz="4" w:space="0" w:color="auto"/>
            </w:tcBorders>
            <w:shd w:val="clear" w:color="auto" w:fill="auto"/>
            <w:noWrap/>
            <w:vAlign w:val="center"/>
            <w:hideMark/>
          </w:tcPr>
          <w:p w14:paraId="3BEFFC8A" w14:textId="77777777" w:rsidR="003B46E3" w:rsidRPr="0068236B" w:rsidRDefault="003B46E3" w:rsidP="003B46E3">
            <w:pPr>
              <w:spacing w:before="0" w:after="0"/>
              <w:ind w:left="10"/>
              <w:rPr>
                <w:rFonts w:cs="Tahoma"/>
                <w:sz w:val="20"/>
                <w:szCs w:val="20"/>
              </w:rPr>
            </w:pPr>
            <w:r w:rsidRPr="0068236B">
              <w:rPr>
                <w:rFonts w:cs="Tahoma"/>
                <w:bCs/>
                <w:iCs/>
                <w:sz w:val="20"/>
                <w:szCs w:val="20"/>
              </w:rPr>
              <w:t>Long-term / permanent reduction in nature conservation value, including large habitat loss, permanent reduction in population and/or species richness.</w:t>
            </w:r>
          </w:p>
        </w:tc>
      </w:tr>
      <w:tr w:rsidR="003B46E3" w:rsidRPr="0068236B" w14:paraId="78F6046B" w14:textId="77777777" w:rsidTr="003B46E3">
        <w:trPr>
          <w:trHeight w:val="283"/>
        </w:trPr>
        <w:tc>
          <w:tcPr>
            <w:tcW w:w="1379" w:type="dxa"/>
            <w:tcBorders>
              <w:top w:val="single" w:sz="4" w:space="0" w:color="auto"/>
              <w:bottom w:val="single" w:sz="4" w:space="0" w:color="auto"/>
              <w:right w:val="single" w:sz="4" w:space="0" w:color="auto"/>
            </w:tcBorders>
            <w:shd w:val="clear" w:color="auto" w:fill="auto"/>
            <w:noWrap/>
            <w:vAlign w:val="center"/>
            <w:hideMark/>
          </w:tcPr>
          <w:p w14:paraId="2E6769B3" w14:textId="77777777" w:rsidR="003B46E3" w:rsidRPr="0068236B" w:rsidRDefault="003B46E3" w:rsidP="003B46E3">
            <w:pPr>
              <w:tabs>
                <w:tab w:val="center" w:pos="4320"/>
                <w:tab w:val="right" w:pos="8640"/>
              </w:tabs>
              <w:spacing w:before="0" w:after="0"/>
              <w:jc w:val="left"/>
              <w:rPr>
                <w:rFonts w:cs="Tahoma"/>
                <w:sz w:val="20"/>
                <w:szCs w:val="20"/>
              </w:rPr>
            </w:pPr>
            <w:r w:rsidRPr="0068236B">
              <w:rPr>
                <w:rFonts w:cs="Tahoma"/>
                <w:sz w:val="20"/>
                <w:szCs w:val="20"/>
              </w:rPr>
              <w:t>Medium</w:t>
            </w:r>
          </w:p>
        </w:tc>
        <w:tc>
          <w:tcPr>
            <w:tcW w:w="7268" w:type="dxa"/>
            <w:tcBorders>
              <w:top w:val="single" w:sz="4" w:space="0" w:color="auto"/>
              <w:left w:val="single" w:sz="4" w:space="0" w:color="auto"/>
            </w:tcBorders>
            <w:shd w:val="clear" w:color="auto" w:fill="auto"/>
            <w:noWrap/>
            <w:vAlign w:val="center"/>
            <w:hideMark/>
          </w:tcPr>
          <w:p w14:paraId="504EC55B" w14:textId="77777777" w:rsidR="003B46E3" w:rsidRPr="0068236B" w:rsidRDefault="003B46E3" w:rsidP="003B46E3">
            <w:pPr>
              <w:spacing w:before="0" w:after="0"/>
              <w:ind w:left="10"/>
              <w:rPr>
                <w:rFonts w:cs="Tahoma"/>
                <w:sz w:val="20"/>
                <w:szCs w:val="20"/>
              </w:rPr>
            </w:pPr>
            <w:r w:rsidRPr="0068236B">
              <w:rPr>
                <w:rFonts w:cs="Tahoma"/>
                <w:sz w:val="20"/>
                <w:szCs w:val="20"/>
              </w:rPr>
              <w:t>Medium-term reduction in nature conservation value, including small habitat loss, temporary reduction in population and/or species-richness likely.</w:t>
            </w:r>
          </w:p>
        </w:tc>
      </w:tr>
      <w:tr w:rsidR="003B46E3" w:rsidRPr="0068236B" w14:paraId="0056C464" w14:textId="77777777" w:rsidTr="003B46E3">
        <w:trPr>
          <w:trHeight w:val="283"/>
        </w:trPr>
        <w:tc>
          <w:tcPr>
            <w:tcW w:w="1379" w:type="dxa"/>
            <w:tcBorders>
              <w:top w:val="single" w:sz="4" w:space="0" w:color="auto"/>
              <w:bottom w:val="single" w:sz="4" w:space="0" w:color="auto"/>
              <w:right w:val="single" w:sz="4" w:space="0" w:color="auto"/>
            </w:tcBorders>
            <w:shd w:val="clear" w:color="auto" w:fill="auto"/>
            <w:noWrap/>
            <w:vAlign w:val="center"/>
            <w:hideMark/>
          </w:tcPr>
          <w:p w14:paraId="111462A0" w14:textId="77777777" w:rsidR="003B46E3" w:rsidRPr="0068236B" w:rsidRDefault="003B46E3" w:rsidP="003B46E3">
            <w:pPr>
              <w:tabs>
                <w:tab w:val="center" w:pos="4320"/>
                <w:tab w:val="right" w:pos="8640"/>
              </w:tabs>
              <w:spacing w:before="0" w:after="0"/>
              <w:jc w:val="left"/>
              <w:rPr>
                <w:rFonts w:cs="Tahoma"/>
                <w:sz w:val="20"/>
                <w:szCs w:val="20"/>
              </w:rPr>
            </w:pPr>
            <w:r w:rsidRPr="0068236B">
              <w:rPr>
                <w:rFonts w:cs="Tahoma"/>
                <w:sz w:val="20"/>
                <w:szCs w:val="20"/>
              </w:rPr>
              <w:t>Low</w:t>
            </w:r>
          </w:p>
        </w:tc>
        <w:tc>
          <w:tcPr>
            <w:tcW w:w="7268" w:type="dxa"/>
            <w:tcBorders>
              <w:top w:val="single" w:sz="4" w:space="0" w:color="auto"/>
              <w:left w:val="single" w:sz="4" w:space="0" w:color="auto"/>
            </w:tcBorders>
            <w:shd w:val="clear" w:color="auto" w:fill="auto"/>
            <w:noWrap/>
            <w:vAlign w:val="center"/>
            <w:hideMark/>
          </w:tcPr>
          <w:p w14:paraId="5618613A" w14:textId="77777777" w:rsidR="003B46E3" w:rsidRPr="0068236B" w:rsidRDefault="003B46E3" w:rsidP="003B46E3">
            <w:pPr>
              <w:spacing w:before="0" w:after="0"/>
              <w:ind w:left="10"/>
              <w:rPr>
                <w:rFonts w:cs="Tahoma"/>
                <w:sz w:val="20"/>
                <w:szCs w:val="20"/>
              </w:rPr>
            </w:pPr>
            <w:r w:rsidRPr="0068236B">
              <w:rPr>
                <w:rFonts w:cs="Tahoma"/>
                <w:sz w:val="20"/>
                <w:szCs w:val="20"/>
              </w:rPr>
              <w:t>Short-term disturbance to habitats / species. No permanent reduction in pop</w:t>
            </w:r>
            <w:r w:rsidRPr="0068236B">
              <w:rPr>
                <w:rFonts w:cs="Tahoma"/>
                <w:sz w:val="20"/>
                <w:szCs w:val="20"/>
              </w:rPr>
              <w:t>u</w:t>
            </w:r>
            <w:r w:rsidRPr="0068236B">
              <w:rPr>
                <w:rFonts w:cs="Tahoma"/>
                <w:sz w:val="20"/>
                <w:szCs w:val="20"/>
              </w:rPr>
              <w:t>lation size, habitat diversity and/or species richness.</w:t>
            </w:r>
          </w:p>
        </w:tc>
      </w:tr>
      <w:tr w:rsidR="003B46E3" w:rsidRPr="0068236B" w14:paraId="3A158002" w14:textId="77777777" w:rsidTr="003B46E3">
        <w:trPr>
          <w:trHeight w:val="283"/>
        </w:trPr>
        <w:tc>
          <w:tcPr>
            <w:tcW w:w="1379" w:type="dxa"/>
            <w:tcBorders>
              <w:top w:val="single" w:sz="4" w:space="0" w:color="auto"/>
              <w:bottom w:val="single" w:sz="4" w:space="0" w:color="auto"/>
              <w:right w:val="single" w:sz="4" w:space="0" w:color="auto"/>
            </w:tcBorders>
            <w:shd w:val="clear" w:color="auto" w:fill="auto"/>
            <w:noWrap/>
            <w:vAlign w:val="center"/>
            <w:hideMark/>
          </w:tcPr>
          <w:p w14:paraId="1BB8ED66" w14:textId="77777777" w:rsidR="003B46E3" w:rsidRPr="0068236B" w:rsidRDefault="003B46E3" w:rsidP="003B46E3">
            <w:pPr>
              <w:tabs>
                <w:tab w:val="center" w:pos="4320"/>
                <w:tab w:val="right" w:pos="8640"/>
              </w:tabs>
              <w:spacing w:before="0" w:after="0"/>
              <w:jc w:val="left"/>
              <w:rPr>
                <w:rFonts w:cs="Tahoma"/>
                <w:sz w:val="20"/>
                <w:szCs w:val="20"/>
              </w:rPr>
            </w:pPr>
            <w:r w:rsidRPr="0068236B">
              <w:rPr>
                <w:rFonts w:cs="Tahoma"/>
                <w:bCs/>
                <w:sz w:val="20"/>
                <w:szCs w:val="20"/>
              </w:rPr>
              <w:t>Very low</w:t>
            </w:r>
          </w:p>
        </w:tc>
        <w:tc>
          <w:tcPr>
            <w:tcW w:w="7268" w:type="dxa"/>
            <w:tcBorders>
              <w:top w:val="single" w:sz="4" w:space="0" w:color="auto"/>
              <w:left w:val="single" w:sz="4" w:space="0" w:color="auto"/>
            </w:tcBorders>
            <w:shd w:val="clear" w:color="auto" w:fill="auto"/>
            <w:noWrap/>
            <w:vAlign w:val="center"/>
            <w:hideMark/>
          </w:tcPr>
          <w:p w14:paraId="207816F5" w14:textId="77777777" w:rsidR="003B46E3" w:rsidRPr="0068236B" w:rsidRDefault="003B46E3" w:rsidP="003B46E3">
            <w:pPr>
              <w:spacing w:before="0" w:after="0"/>
              <w:ind w:left="10"/>
              <w:rPr>
                <w:rFonts w:cs="Tahoma"/>
                <w:sz w:val="20"/>
                <w:szCs w:val="20"/>
              </w:rPr>
            </w:pPr>
            <w:r w:rsidRPr="0068236B">
              <w:rPr>
                <w:rFonts w:cs="Tahoma"/>
                <w:bCs/>
                <w:iCs/>
                <w:sz w:val="20"/>
                <w:szCs w:val="20"/>
              </w:rPr>
              <w:t>Limited disturbance of habitats / species of a temporary nature.</w:t>
            </w:r>
          </w:p>
        </w:tc>
      </w:tr>
      <w:tr w:rsidR="003B46E3" w:rsidRPr="0068236B" w14:paraId="1F33BDAC" w14:textId="77777777" w:rsidTr="003B46E3">
        <w:trPr>
          <w:trHeight w:val="283"/>
        </w:trPr>
        <w:tc>
          <w:tcPr>
            <w:tcW w:w="1379" w:type="dxa"/>
            <w:tcBorders>
              <w:top w:val="single" w:sz="4" w:space="0" w:color="auto"/>
              <w:bottom w:val="single" w:sz="4" w:space="0" w:color="auto"/>
              <w:right w:val="single" w:sz="4" w:space="0" w:color="auto"/>
            </w:tcBorders>
            <w:shd w:val="clear" w:color="auto" w:fill="auto"/>
            <w:noWrap/>
            <w:vAlign w:val="center"/>
            <w:hideMark/>
          </w:tcPr>
          <w:p w14:paraId="65DC9FBF" w14:textId="77777777" w:rsidR="003B46E3" w:rsidRPr="0068236B" w:rsidRDefault="003B46E3" w:rsidP="003B46E3">
            <w:pPr>
              <w:tabs>
                <w:tab w:val="center" w:pos="4320"/>
                <w:tab w:val="right" w:pos="8640"/>
              </w:tabs>
              <w:spacing w:before="0" w:after="0"/>
              <w:jc w:val="left"/>
              <w:rPr>
                <w:rFonts w:cs="Tahoma"/>
                <w:sz w:val="20"/>
                <w:szCs w:val="20"/>
              </w:rPr>
            </w:pPr>
            <w:r w:rsidRPr="0068236B">
              <w:rPr>
                <w:rFonts w:cs="Tahoma"/>
                <w:sz w:val="20"/>
                <w:szCs w:val="20"/>
              </w:rPr>
              <w:t>None / no change</w:t>
            </w:r>
          </w:p>
        </w:tc>
        <w:tc>
          <w:tcPr>
            <w:tcW w:w="7268" w:type="dxa"/>
            <w:tcBorders>
              <w:top w:val="single" w:sz="4" w:space="0" w:color="auto"/>
              <w:left w:val="single" w:sz="4" w:space="0" w:color="auto"/>
              <w:bottom w:val="single" w:sz="4" w:space="0" w:color="auto"/>
            </w:tcBorders>
            <w:shd w:val="clear" w:color="auto" w:fill="auto"/>
            <w:noWrap/>
            <w:vAlign w:val="center"/>
            <w:hideMark/>
          </w:tcPr>
          <w:p w14:paraId="5BE9461D" w14:textId="77777777" w:rsidR="003B46E3" w:rsidRPr="0068236B" w:rsidRDefault="003B46E3" w:rsidP="003B46E3">
            <w:pPr>
              <w:spacing w:before="0" w:after="0"/>
              <w:ind w:left="10"/>
              <w:rPr>
                <w:rFonts w:cs="Tahoma"/>
                <w:sz w:val="20"/>
                <w:szCs w:val="20"/>
              </w:rPr>
            </w:pPr>
            <w:r w:rsidRPr="0068236B">
              <w:rPr>
                <w:rFonts w:cs="Tahoma"/>
                <w:bCs/>
                <w:iCs/>
                <w:sz w:val="20"/>
                <w:szCs w:val="20"/>
                <w:lang w:eastAsia="en-US"/>
              </w:rPr>
              <w:t>No loss or no detectable adverse impact(s) on biodiversity receptors.</w:t>
            </w:r>
          </w:p>
        </w:tc>
      </w:tr>
      <w:tr w:rsidR="003B46E3" w:rsidRPr="0068236B" w14:paraId="0028DCC3" w14:textId="77777777" w:rsidTr="003B46E3">
        <w:trPr>
          <w:trHeight w:val="283"/>
        </w:trPr>
        <w:tc>
          <w:tcPr>
            <w:tcW w:w="1379" w:type="dxa"/>
            <w:tcBorders>
              <w:top w:val="single" w:sz="4" w:space="0" w:color="auto"/>
              <w:bottom w:val="double" w:sz="4" w:space="0" w:color="auto"/>
              <w:right w:val="single" w:sz="4" w:space="0" w:color="auto"/>
            </w:tcBorders>
            <w:shd w:val="clear" w:color="auto" w:fill="auto"/>
            <w:noWrap/>
            <w:vAlign w:val="center"/>
            <w:hideMark/>
          </w:tcPr>
          <w:p w14:paraId="1F0041FC" w14:textId="77777777" w:rsidR="003B46E3" w:rsidRPr="0068236B" w:rsidRDefault="003B46E3" w:rsidP="003B46E3">
            <w:pPr>
              <w:tabs>
                <w:tab w:val="center" w:pos="4320"/>
                <w:tab w:val="right" w:pos="8640"/>
              </w:tabs>
              <w:spacing w:before="0" w:after="0"/>
              <w:jc w:val="left"/>
              <w:rPr>
                <w:rFonts w:cs="Tahoma"/>
                <w:sz w:val="20"/>
                <w:szCs w:val="20"/>
              </w:rPr>
            </w:pPr>
            <w:r w:rsidRPr="0068236B">
              <w:rPr>
                <w:rFonts w:cs="Tahoma"/>
                <w:sz w:val="20"/>
                <w:szCs w:val="20"/>
              </w:rPr>
              <w:t>Positive</w:t>
            </w:r>
          </w:p>
        </w:tc>
        <w:tc>
          <w:tcPr>
            <w:tcW w:w="7268" w:type="dxa"/>
            <w:tcBorders>
              <w:top w:val="single" w:sz="4" w:space="0" w:color="auto"/>
              <w:left w:val="single" w:sz="4" w:space="0" w:color="auto"/>
              <w:bottom w:val="double" w:sz="4" w:space="0" w:color="auto"/>
            </w:tcBorders>
            <w:shd w:val="clear" w:color="auto" w:fill="auto"/>
            <w:noWrap/>
            <w:vAlign w:val="center"/>
            <w:hideMark/>
          </w:tcPr>
          <w:p w14:paraId="67F0137F" w14:textId="77777777" w:rsidR="003B46E3" w:rsidRPr="0068236B" w:rsidRDefault="003B46E3" w:rsidP="003B46E3">
            <w:pPr>
              <w:autoSpaceDE w:val="0"/>
              <w:autoSpaceDN w:val="0"/>
              <w:adjustRightInd w:val="0"/>
              <w:spacing w:before="0" w:after="0"/>
              <w:jc w:val="left"/>
              <w:rPr>
                <w:rFonts w:cs="Tahoma"/>
                <w:bCs/>
                <w:iCs/>
                <w:sz w:val="20"/>
                <w:szCs w:val="20"/>
                <w:lang w:eastAsia="en-US"/>
              </w:rPr>
            </w:pPr>
            <w:r w:rsidRPr="0068236B">
              <w:rPr>
                <w:rFonts w:cs="Tahoma"/>
                <w:bCs/>
                <w:iCs/>
                <w:sz w:val="20"/>
                <w:szCs w:val="20"/>
                <w:lang w:eastAsia="en-US"/>
              </w:rPr>
              <w:t>Impact(s) would result in positive effect on individual biodiversity receptors or groups.</w:t>
            </w:r>
          </w:p>
        </w:tc>
      </w:tr>
    </w:tbl>
    <w:p w14:paraId="3AA9CE5A" w14:textId="22FC6591" w:rsidR="003B46E3" w:rsidRPr="0068236B" w:rsidRDefault="003B46E3" w:rsidP="003B46E3">
      <w:pPr>
        <w:autoSpaceDE w:val="0"/>
        <w:autoSpaceDN w:val="0"/>
        <w:adjustRightInd w:val="0"/>
        <w:spacing w:before="60" w:after="240" w:line="240" w:lineRule="auto"/>
        <w:ind w:left="1134"/>
        <w:jc w:val="left"/>
        <w:rPr>
          <w:rFonts w:cs="Tahoma"/>
          <w:sz w:val="18"/>
          <w:szCs w:val="20"/>
        </w:rPr>
      </w:pPr>
      <w:bookmarkStart w:id="488" w:name="_Toc61786443"/>
      <w:bookmarkStart w:id="489" w:name="_Toc80181274"/>
      <w:bookmarkStart w:id="490" w:name="_Toc113018229"/>
      <w:r w:rsidRPr="0068236B">
        <w:rPr>
          <w:rFonts w:cs="Tahoma"/>
          <w:sz w:val="18"/>
          <w:szCs w:val="20"/>
        </w:rPr>
        <w:t xml:space="preserve">Table </w:t>
      </w:r>
      <w:r w:rsidRPr="0068236B">
        <w:rPr>
          <w:rFonts w:cs="Tahoma"/>
          <w:i/>
          <w:sz w:val="18"/>
          <w:szCs w:val="20"/>
        </w:rPr>
        <w:fldChar w:fldCharType="begin"/>
      </w:r>
      <w:r w:rsidRPr="0068236B">
        <w:rPr>
          <w:rFonts w:cs="Tahoma"/>
          <w:sz w:val="18"/>
          <w:szCs w:val="20"/>
        </w:rPr>
        <w:instrText xml:space="preserve"> STYLEREF 1 \s </w:instrText>
      </w:r>
      <w:r w:rsidRPr="0068236B">
        <w:rPr>
          <w:rFonts w:cs="Tahoma"/>
          <w:i/>
          <w:sz w:val="18"/>
          <w:szCs w:val="20"/>
        </w:rPr>
        <w:fldChar w:fldCharType="separate"/>
      </w:r>
      <w:r w:rsidR="00FD57E6">
        <w:rPr>
          <w:rFonts w:cs="Tahoma"/>
          <w:noProof/>
          <w:sz w:val="18"/>
          <w:szCs w:val="20"/>
        </w:rPr>
        <w:t>8</w:t>
      </w:r>
      <w:r w:rsidRPr="0068236B">
        <w:rPr>
          <w:rFonts w:cs="Tahoma"/>
          <w:i/>
          <w:sz w:val="18"/>
          <w:szCs w:val="20"/>
        </w:rPr>
        <w:fldChar w:fldCharType="end"/>
      </w:r>
      <w:r w:rsidRPr="0068236B">
        <w:rPr>
          <w:rFonts w:cs="Tahoma"/>
          <w:sz w:val="18"/>
          <w:szCs w:val="20"/>
        </w:rPr>
        <w:t>.</w:t>
      </w:r>
      <w:r w:rsidRPr="0068236B">
        <w:rPr>
          <w:rFonts w:cs="Tahoma"/>
          <w:i/>
          <w:sz w:val="18"/>
          <w:szCs w:val="20"/>
        </w:rPr>
        <w:fldChar w:fldCharType="begin"/>
      </w:r>
      <w:r w:rsidRPr="0068236B">
        <w:rPr>
          <w:rFonts w:cs="Tahoma"/>
          <w:sz w:val="18"/>
          <w:szCs w:val="20"/>
        </w:rPr>
        <w:instrText xml:space="preserve"> SEQ Table \* ARABIC \s 1 </w:instrText>
      </w:r>
      <w:r w:rsidRPr="0068236B">
        <w:rPr>
          <w:rFonts w:cs="Tahoma"/>
          <w:i/>
          <w:sz w:val="18"/>
          <w:szCs w:val="20"/>
        </w:rPr>
        <w:fldChar w:fldCharType="separate"/>
      </w:r>
      <w:r w:rsidR="00FD57E6">
        <w:rPr>
          <w:rFonts w:cs="Tahoma"/>
          <w:noProof/>
          <w:sz w:val="18"/>
          <w:szCs w:val="20"/>
        </w:rPr>
        <w:t>33</w:t>
      </w:r>
      <w:r w:rsidRPr="0068236B">
        <w:rPr>
          <w:rFonts w:cs="Tahoma"/>
          <w:i/>
          <w:sz w:val="18"/>
          <w:szCs w:val="20"/>
        </w:rPr>
        <w:fldChar w:fldCharType="end"/>
      </w:r>
      <w:r w:rsidR="005F774D" w:rsidRPr="0068236B">
        <w:rPr>
          <w:rFonts w:cs="Tahoma"/>
          <w:sz w:val="18"/>
          <w:szCs w:val="20"/>
        </w:rPr>
        <w:t xml:space="preserve">: </w:t>
      </w:r>
      <w:r w:rsidRPr="0068236B">
        <w:rPr>
          <w:rFonts w:eastAsia="Calibri"/>
          <w:sz w:val="18"/>
          <w:szCs w:val="20"/>
        </w:rPr>
        <w:t xml:space="preserve">Criteria for assessment of magnitude of impact on biodiversity receptors </w:t>
      </w:r>
      <w:r w:rsidRPr="0068236B">
        <w:rPr>
          <w:rFonts w:cs="Tahoma"/>
          <w:sz w:val="18"/>
          <w:szCs w:val="20"/>
        </w:rPr>
        <w:t>and natural heritage</w:t>
      </w:r>
      <w:bookmarkEnd w:id="488"/>
      <w:bookmarkEnd w:id="489"/>
      <w:bookmarkEnd w:id="490"/>
    </w:p>
    <w:p w14:paraId="1F5E1E4D" w14:textId="77777777" w:rsidR="003B46E3" w:rsidRPr="0068236B" w:rsidRDefault="003B46E3" w:rsidP="003B46E3">
      <w:pPr>
        <w:rPr>
          <w:sz w:val="20"/>
        </w:rPr>
      </w:pPr>
      <w:r w:rsidRPr="0068236B">
        <w:rPr>
          <w:sz w:val="20"/>
        </w:rPr>
        <w:t>The significance of effects is assessed as a combination of sensitivity and magnitude as presented in the following Tables.</w:t>
      </w:r>
    </w:p>
    <w:tbl>
      <w:tblPr>
        <w:tblW w:w="850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418"/>
        <w:gridCol w:w="1134"/>
        <w:gridCol w:w="1434"/>
        <w:gridCol w:w="1685"/>
        <w:gridCol w:w="1417"/>
        <w:gridCol w:w="1418"/>
      </w:tblGrid>
      <w:tr w:rsidR="003B46E3" w:rsidRPr="0068236B" w14:paraId="4960145A" w14:textId="77777777" w:rsidTr="00FB6123">
        <w:trPr>
          <w:cantSplit/>
          <w:trHeight w:val="20"/>
          <w:tblHeader/>
        </w:trPr>
        <w:tc>
          <w:tcPr>
            <w:tcW w:w="1418" w:type="dxa"/>
            <w:vMerge w:val="restart"/>
            <w:tcBorders>
              <w:top w:val="double" w:sz="4" w:space="0" w:color="auto"/>
              <w:bottom w:val="double" w:sz="4" w:space="0" w:color="auto"/>
              <w:right w:val="double" w:sz="4" w:space="0" w:color="auto"/>
            </w:tcBorders>
            <w:shd w:val="clear" w:color="auto" w:fill="B4C6E7" w:themeFill="accent1" w:themeFillTint="66"/>
            <w:vAlign w:val="center"/>
          </w:tcPr>
          <w:p w14:paraId="68E606D5" w14:textId="77777777" w:rsidR="003B46E3" w:rsidRPr="0068236B" w:rsidRDefault="003B46E3" w:rsidP="003B46E3">
            <w:pPr>
              <w:spacing w:before="0" w:after="0" w:line="240" w:lineRule="auto"/>
              <w:jc w:val="center"/>
              <w:rPr>
                <w:rFonts w:cs="Tahoma"/>
                <w:sz w:val="20"/>
                <w:szCs w:val="20"/>
              </w:rPr>
            </w:pPr>
            <w:r w:rsidRPr="0068236B">
              <w:rPr>
                <w:rFonts w:cs="Tahoma"/>
                <w:bCs/>
                <w:sz w:val="20"/>
                <w:szCs w:val="20"/>
              </w:rPr>
              <w:t>Receptor sensitivity</w:t>
            </w:r>
          </w:p>
        </w:tc>
        <w:tc>
          <w:tcPr>
            <w:tcW w:w="7088" w:type="dxa"/>
            <w:gridSpan w:val="5"/>
            <w:tcBorders>
              <w:top w:val="double" w:sz="4" w:space="0" w:color="auto"/>
              <w:left w:val="double" w:sz="4" w:space="0" w:color="auto"/>
              <w:bottom w:val="double" w:sz="4" w:space="0" w:color="auto"/>
            </w:tcBorders>
            <w:shd w:val="clear" w:color="auto" w:fill="B4C6E7" w:themeFill="accent1" w:themeFillTint="66"/>
            <w:vAlign w:val="center"/>
            <w:hideMark/>
          </w:tcPr>
          <w:p w14:paraId="5BA0F83D" w14:textId="77777777" w:rsidR="003B46E3" w:rsidRPr="0068236B" w:rsidRDefault="003B46E3" w:rsidP="003B46E3">
            <w:pPr>
              <w:spacing w:before="0" w:after="0" w:line="240" w:lineRule="auto"/>
              <w:jc w:val="center"/>
              <w:rPr>
                <w:rFonts w:cs="Tahoma"/>
                <w:bCs/>
                <w:sz w:val="20"/>
                <w:szCs w:val="20"/>
              </w:rPr>
            </w:pPr>
            <w:r w:rsidRPr="0068236B">
              <w:rPr>
                <w:rFonts w:cs="Tahoma"/>
                <w:bCs/>
                <w:sz w:val="20"/>
                <w:szCs w:val="20"/>
              </w:rPr>
              <w:t>Impact magnitude</w:t>
            </w:r>
          </w:p>
        </w:tc>
      </w:tr>
      <w:tr w:rsidR="003B46E3" w:rsidRPr="0068236B" w14:paraId="12431F1A" w14:textId="77777777" w:rsidTr="003B46E3">
        <w:trPr>
          <w:cantSplit/>
          <w:trHeight w:val="20"/>
          <w:tblHeader/>
        </w:trPr>
        <w:tc>
          <w:tcPr>
            <w:tcW w:w="1418" w:type="dxa"/>
            <w:vMerge/>
            <w:tcBorders>
              <w:top w:val="double" w:sz="4" w:space="0" w:color="auto"/>
              <w:bottom w:val="double" w:sz="4" w:space="0" w:color="auto"/>
              <w:right w:val="double" w:sz="4" w:space="0" w:color="auto"/>
            </w:tcBorders>
            <w:shd w:val="clear" w:color="auto" w:fill="44697D"/>
            <w:vAlign w:val="center"/>
          </w:tcPr>
          <w:p w14:paraId="05F99285" w14:textId="77777777" w:rsidR="003B46E3" w:rsidRPr="0068236B" w:rsidRDefault="003B46E3" w:rsidP="003B46E3">
            <w:pPr>
              <w:spacing w:before="0" w:after="0" w:line="240" w:lineRule="auto"/>
              <w:ind w:left="33"/>
              <w:jc w:val="center"/>
              <w:rPr>
                <w:rFonts w:cs="Tahoma"/>
                <w:b/>
                <w:color w:val="FFFFFF" w:themeColor="background1"/>
                <w:sz w:val="20"/>
                <w:szCs w:val="20"/>
              </w:rPr>
            </w:pPr>
          </w:p>
        </w:tc>
        <w:tc>
          <w:tcPr>
            <w:tcW w:w="1134"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5276B947" w14:textId="77777777" w:rsidR="003B46E3" w:rsidRPr="0068236B" w:rsidRDefault="003B46E3" w:rsidP="003B46E3">
            <w:pPr>
              <w:spacing w:before="0" w:after="0" w:line="240" w:lineRule="auto"/>
              <w:ind w:left="33"/>
              <w:jc w:val="center"/>
              <w:rPr>
                <w:rFonts w:cs="Tahoma"/>
                <w:bCs/>
                <w:sz w:val="20"/>
                <w:szCs w:val="20"/>
              </w:rPr>
            </w:pPr>
            <w:r w:rsidRPr="0068236B">
              <w:rPr>
                <w:rFonts w:cs="Tahoma"/>
                <w:bCs/>
                <w:sz w:val="20"/>
                <w:szCs w:val="20"/>
              </w:rPr>
              <w:t>High</w:t>
            </w:r>
          </w:p>
        </w:tc>
        <w:tc>
          <w:tcPr>
            <w:tcW w:w="1434"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2FAEC524" w14:textId="77777777" w:rsidR="003B46E3" w:rsidRPr="0068236B" w:rsidRDefault="003B46E3" w:rsidP="003B46E3">
            <w:pPr>
              <w:spacing w:before="0" w:after="0" w:line="240" w:lineRule="auto"/>
              <w:ind w:left="33"/>
              <w:jc w:val="center"/>
              <w:rPr>
                <w:rFonts w:cs="Tahoma"/>
                <w:bCs/>
                <w:sz w:val="20"/>
                <w:szCs w:val="20"/>
              </w:rPr>
            </w:pPr>
            <w:r w:rsidRPr="0068236B">
              <w:rPr>
                <w:rFonts w:cs="Tahoma"/>
                <w:bCs/>
                <w:sz w:val="20"/>
                <w:szCs w:val="20"/>
              </w:rPr>
              <w:t>Medium</w:t>
            </w:r>
          </w:p>
        </w:tc>
        <w:tc>
          <w:tcPr>
            <w:tcW w:w="1685"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5ECDC294" w14:textId="77777777" w:rsidR="003B46E3" w:rsidRPr="0068236B" w:rsidRDefault="003B46E3" w:rsidP="003B46E3">
            <w:pPr>
              <w:spacing w:before="0" w:after="0" w:line="240" w:lineRule="auto"/>
              <w:ind w:left="33"/>
              <w:jc w:val="center"/>
              <w:rPr>
                <w:rFonts w:cs="Tahoma"/>
                <w:bCs/>
                <w:sz w:val="20"/>
                <w:szCs w:val="20"/>
              </w:rPr>
            </w:pPr>
            <w:r w:rsidRPr="0068236B">
              <w:rPr>
                <w:rFonts w:cs="Tahoma"/>
                <w:bCs/>
                <w:sz w:val="20"/>
                <w:szCs w:val="20"/>
              </w:rPr>
              <w:t>Low</w:t>
            </w:r>
          </w:p>
        </w:tc>
        <w:tc>
          <w:tcPr>
            <w:tcW w:w="1417" w:type="dxa"/>
            <w:tcBorders>
              <w:top w:val="double" w:sz="4" w:space="0" w:color="auto"/>
              <w:left w:val="double" w:sz="4" w:space="0" w:color="auto"/>
              <w:bottom w:val="double" w:sz="4" w:space="0" w:color="auto"/>
              <w:right w:val="double" w:sz="4" w:space="0" w:color="auto"/>
            </w:tcBorders>
            <w:shd w:val="clear" w:color="auto" w:fill="BFBFBF" w:themeFill="background1" w:themeFillShade="BF"/>
            <w:vAlign w:val="center"/>
            <w:hideMark/>
          </w:tcPr>
          <w:p w14:paraId="16AE9311" w14:textId="77777777" w:rsidR="003B46E3" w:rsidRPr="0068236B" w:rsidRDefault="003B46E3" w:rsidP="003B46E3">
            <w:pPr>
              <w:spacing w:before="0" w:after="0" w:line="240" w:lineRule="auto"/>
              <w:ind w:left="33"/>
              <w:jc w:val="center"/>
              <w:rPr>
                <w:rFonts w:cs="Tahoma"/>
                <w:bCs/>
                <w:sz w:val="20"/>
                <w:szCs w:val="20"/>
              </w:rPr>
            </w:pPr>
            <w:r w:rsidRPr="0068236B">
              <w:rPr>
                <w:rFonts w:cs="Tahoma"/>
                <w:bCs/>
                <w:sz w:val="20"/>
                <w:szCs w:val="20"/>
              </w:rPr>
              <w:t>Very low</w:t>
            </w:r>
          </w:p>
        </w:tc>
        <w:tc>
          <w:tcPr>
            <w:tcW w:w="1418" w:type="dxa"/>
            <w:tcBorders>
              <w:top w:val="double" w:sz="4" w:space="0" w:color="auto"/>
              <w:left w:val="double" w:sz="4" w:space="0" w:color="auto"/>
              <w:bottom w:val="double" w:sz="4" w:space="0" w:color="auto"/>
            </w:tcBorders>
            <w:shd w:val="clear" w:color="auto" w:fill="BFBFBF" w:themeFill="background1" w:themeFillShade="BF"/>
            <w:vAlign w:val="center"/>
            <w:hideMark/>
          </w:tcPr>
          <w:p w14:paraId="424CAAD9" w14:textId="77777777" w:rsidR="003B46E3" w:rsidRPr="0068236B" w:rsidRDefault="003B46E3" w:rsidP="003B46E3">
            <w:pPr>
              <w:spacing w:before="0" w:after="0" w:line="240" w:lineRule="auto"/>
              <w:ind w:left="33"/>
              <w:jc w:val="center"/>
              <w:rPr>
                <w:rFonts w:cs="Tahoma"/>
                <w:bCs/>
                <w:sz w:val="20"/>
                <w:szCs w:val="20"/>
              </w:rPr>
            </w:pPr>
            <w:r w:rsidRPr="0068236B">
              <w:rPr>
                <w:rFonts w:cs="Tahoma"/>
                <w:bCs/>
                <w:sz w:val="20"/>
                <w:szCs w:val="20"/>
              </w:rPr>
              <w:t>None</w:t>
            </w:r>
          </w:p>
        </w:tc>
      </w:tr>
      <w:tr w:rsidR="003B46E3" w:rsidRPr="0068236B" w14:paraId="4D8A1056" w14:textId="77777777" w:rsidTr="003B46E3">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340CDAE0" w14:textId="77777777" w:rsidR="003B46E3" w:rsidRPr="0068236B" w:rsidRDefault="003B46E3" w:rsidP="003B46E3">
            <w:pPr>
              <w:pStyle w:val="Default"/>
              <w:rPr>
                <w:rFonts w:ascii="Tahoma" w:hAnsi="Tahoma" w:cs="Tahoma"/>
                <w:color w:val="auto"/>
                <w:sz w:val="20"/>
                <w:szCs w:val="20"/>
              </w:rPr>
            </w:pPr>
            <w:r w:rsidRPr="0068236B">
              <w:rPr>
                <w:rFonts w:ascii="Tahoma" w:hAnsi="Tahoma" w:cs="Tahoma"/>
                <w:bCs/>
                <w:color w:val="auto"/>
                <w:sz w:val="20"/>
                <w:szCs w:val="20"/>
              </w:rPr>
              <w:t xml:space="preserve">Very high </w:t>
            </w:r>
          </w:p>
        </w:tc>
        <w:tc>
          <w:tcPr>
            <w:tcW w:w="1134" w:type="dxa"/>
            <w:tcBorders>
              <w:top w:val="double" w:sz="4" w:space="0" w:color="auto"/>
              <w:left w:val="double" w:sz="4" w:space="0" w:color="auto"/>
            </w:tcBorders>
            <w:shd w:val="clear" w:color="auto" w:fill="auto"/>
            <w:vAlign w:val="center"/>
            <w:hideMark/>
          </w:tcPr>
          <w:p w14:paraId="6C358037" w14:textId="77777777" w:rsidR="003B46E3" w:rsidRPr="0068236B" w:rsidRDefault="003B46E3" w:rsidP="003B46E3">
            <w:pPr>
              <w:spacing w:before="0" w:after="0" w:line="240" w:lineRule="auto"/>
              <w:jc w:val="center"/>
              <w:rPr>
                <w:rFonts w:cs="Tahoma"/>
                <w:color w:val="000000"/>
                <w:sz w:val="20"/>
                <w:szCs w:val="20"/>
              </w:rPr>
            </w:pPr>
            <w:r w:rsidRPr="0068236B">
              <w:rPr>
                <w:rFonts w:cs="Tahoma"/>
                <w:color w:val="000000"/>
                <w:sz w:val="20"/>
                <w:szCs w:val="20"/>
              </w:rPr>
              <w:t>Major</w:t>
            </w:r>
          </w:p>
        </w:tc>
        <w:tc>
          <w:tcPr>
            <w:tcW w:w="1434" w:type="dxa"/>
            <w:tcBorders>
              <w:top w:val="double" w:sz="4" w:space="0" w:color="auto"/>
            </w:tcBorders>
            <w:shd w:val="clear" w:color="auto" w:fill="auto"/>
            <w:vAlign w:val="center"/>
            <w:hideMark/>
          </w:tcPr>
          <w:p w14:paraId="5B84AAB3" w14:textId="77777777" w:rsidR="003B46E3" w:rsidRPr="0068236B" w:rsidRDefault="003B46E3" w:rsidP="003B46E3">
            <w:pPr>
              <w:spacing w:before="0" w:after="0" w:line="240" w:lineRule="auto"/>
              <w:jc w:val="center"/>
              <w:rPr>
                <w:rFonts w:cs="Tahoma"/>
                <w:color w:val="000000"/>
                <w:sz w:val="20"/>
                <w:szCs w:val="20"/>
              </w:rPr>
            </w:pPr>
            <w:r w:rsidRPr="0068236B">
              <w:rPr>
                <w:rFonts w:cs="Tahoma"/>
                <w:color w:val="000000"/>
                <w:sz w:val="20"/>
                <w:szCs w:val="20"/>
              </w:rPr>
              <w:t>Major</w:t>
            </w:r>
          </w:p>
        </w:tc>
        <w:tc>
          <w:tcPr>
            <w:tcW w:w="1685" w:type="dxa"/>
            <w:tcBorders>
              <w:top w:val="double" w:sz="4" w:space="0" w:color="auto"/>
            </w:tcBorders>
            <w:shd w:val="clear" w:color="auto" w:fill="auto"/>
            <w:vAlign w:val="center"/>
            <w:hideMark/>
          </w:tcPr>
          <w:p w14:paraId="0B958473" w14:textId="77777777" w:rsidR="003B46E3" w:rsidRPr="0068236B" w:rsidRDefault="003B46E3" w:rsidP="003B46E3">
            <w:pPr>
              <w:spacing w:before="0" w:after="0" w:line="240" w:lineRule="auto"/>
              <w:jc w:val="center"/>
              <w:rPr>
                <w:rFonts w:cs="Tahoma"/>
                <w:color w:val="000000"/>
                <w:sz w:val="20"/>
                <w:szCs w:val="20"/>
              </w:rPr>
            </w:pPr>
            <w:r w:rsidRPr="0068236B">
              <w:rPr>
                <w:rFonts w:cs="Tahoma"/>
                <w:color w:val="000000"/>
                <w:sz w:val="20"/>
                <w:szCs w:val="20"/>
              </w:rPr>
              <w:t>Moderate</w:t>
            </w:r>
          </w:p>
        </w:tc>
        <w:tc>
          <w:tcPr>
            <w:tcW w:w="1417" w:type="dxa"/>
            <w:tcBorders>
              <w:top w:val="double" w:sz="4" w:space="0" w:color="auto"/>
            </w:tcBorders>
            <w:shd w:val="clear" w:color="auto" w:fill="auto"/>
            <w:vAlign w:val="center"/>
            <w:hideMark/>
          </w:tcPr>
          <w:p w14:paraId="0206E714" w14:textId="77777777" w:rsidR="003B46E3" w:rsidRPr="0068236B" w:rsidRDefault="003B46E3" w:rsidP="003B46E3">
            <w:pPr>
              <w:spacing w:before="0" w:after="0" w:line="240" w:lineRule="auto"/>
              <w:jc w:val="center"/>
              <w:rPr>
                <w:rFonts w:cs="Tahoma"/>
                <w:color w:val="000000"/>
                <w:sz w:val="20"/>
                <w:szCs w:val="20"/>
              </w:rPr>
            </w:pPr>
            <w:r w:rsidRPr="0068236B">
              <w:rPr>
                <w:rFonts w:cs="Tahoma"/>
                <w:color w:val="000000"/>
                <w:sz w:val="20"/>
                <w:szCs w:val="20"/>
              </w:rPr>
              <w:t>Moderate</w:t>
            </w:r>
          </w:p>
        </w:tc>
        <w:tc>
          <w:tcPr>
            <w:tcW w:w="1418" w:type="dxa"/>
            <w:tcBorders>
              <w:top w:val="double" w:sz="4" w:space="0" w:color="auto"/>
            </w:tcBorders>
            <w:shd w:val="clear" w:color="auto" w:fill="auto"/>
            <w:vAlign w:val="center"/>
            <w:hideMark/>
          </w:tcPr>
          <w:p w14:paraId="5DDB9FB0" w14:textId="77777777" w:rsidR="003B46E3" w:rsidRPr="0068236B" w:rsidRDefault="003B46E3" w:rsidP="003B46E3">
            <w:pPr>
              <w:spacing w:before="0" w:after="0" w:line="240" w:lineRule="auto"/>
              <w:jc w:val="center"/>
              <w:rPr>
                <w:rFonts w:cs="Tahoma"/>
                <w:color w:val="000000"/>
                <w:sz w:val="20"/>
                <w:szCs w:val="20"/>
              </w:rPr>
            </w:pPr>
            <w:r w:rsidRPr="0068236B">
              <w:rPr>
                <w:rFonts w:cs="Tahoma"/>
                <w:bCs/>
                <w:color w:val="000000"/>
                <w:sz w:val="20"/>
                <w:szCs w:val="20"/>
              </w:rPr>
              <w:t>Negligible</w:t>
            </w:r>
          </w:p>
        </w:tc>
      </w:tr>
      <w:tr w:rsidR="003B46E3" w:rsidRPr="0068236B" w14:paraId="1CE778F9" w14:textId="77777777" w:rsidTr="003B46E3">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44A18537" w14:textId="77777777" w:rsidR="003B46E3" w:rsidRPr="0068236B" w:rsidRDefault="003B46E3" w:rsidP="003B46E3">
            <w:pPr>
              <w:pStyle w:val="Default"/>
              <w:rPr>
                <w:rFonts w:ascii="Tahoma" w:hAnsi="Tahoma" w:cs="Tahoma"/>
                <w:color w:val="auto"/>
                <w:sz w:val="20"/>
                <w:szCs w:val="20"/>
              </w:rPr>
            </w:pPr>
            <w:r w:rsidRPr="0068236B">
              <w:rPr>
                <w:rFonts w:ascii="Tahoma" w:hAnsi="Tahoma" w:cs="Tahoma"/>
                <w:bCs/>
                <w:color w:val="auto"/>
                <w:sz w:val="20"/>
                <w:szCs w:val="20"/>
              </w:rPr>
              <w:t xml:space="preserve">High </w:t>
            </w:r>
          </w:p>
        </w:tc>
        <w:tc>
          <w:tcPr>
            <w:tcW w:w="1134" w:type="dxa"/>
            <w:tcBorders>
              <w:left w:val="double" w:sz="4" w:space="0" w:color="auto"/>
            </w:tcBorders>
            <w:shd w:val="clear" w:color="auto" w:fill="auto"/>
            <w:vAlign w:val="center"/>
            <w:hideMark/>
          </w:tcPr>
          <w:p w14:paraId="03805DE2" w14:textId="77777777" w:rsidR="003B46E3" w:rsidRPr="0068236B" w:rsidRDefault="003B46E3" w:rsidP="003B46E3">
            <w:pPr>
              <w:spacing w:before="0" w:after="0" w:line="240" w:lineRule="auto"/>
              <w:jc w:val="center"/>
              <w:rPr>
                <w:rFonts w:cs="Tahoma"/>
                <w:color w:val="000000"/>
                <w:sz w:val="20"/>
                <w:szCs w:val="20"/>
              </w:rPr>
            </w:pPr>
            <w:r w:rsidRPr="0068236B">
              <w:rPr>
                <w:rFonts w:cs="Tahoma"/>
                <w:color w:val="000000"/>
                <w:sz w:val="20"/>
                <w:szCs w:val="20"/>
              </w:rPr>
              <w:t>Major</w:t>
            </w:r>
          </w:p>
        </w:tc>
        <w:tc>
          <w:tcPr>
            <w:tcW w:w="1434" w:type="dxa"/>
            <w:shd w:val="clear" w:color="auto" w:fill="auto"/>
            <w:hideMark/>
          </w:tcPr>
          <w:p w14:paraId="6E9E64D7" w14:textId="77777777" w:rsidR="003B46E3" w:rsidRPr="0068236B" w:rsidRDefault="003B46E3" w:rsidP="003B46E3">
            <w:pPr>
              <w:spacing w:before="0" w:after="0" w:line="240" w:lineRule="auto"/>
              <w:jc w:val="center"/>
              <w:rPr>
                <w:rFonts w:cs="Tahoma"/>
                <w:sz w:val="20"/>
                <w:szCs w:val="20"/>
              </w:rPr>
            </w:pPr>
            <w:r w:rsidRPr="0068236B">
              <w:rPr>
                <w:rFonts w:cs="Tahoma"/>
                <w:color w:val="000000"/>
                <w:sz w:val="20"/>
                <w:szCs w:val="20"/>
              </w:rPr>
              <w:t>Moderate</w:t>
            </w:r>
          </w:p>
        </w:tc>
        <w:tc>
          <w:tcPr>
            <w:tcW w:w="1685" w:type="dxa"/>
            <w:shd w:val="clear" w:color="auto" w:fill="auto"/>
            <w:hideMark/>
          </w:tcPr>
          <w:p w14:paraId="4D8F7FB8" w14:textId="77777777" w:rsidR="003B46E3" w:rsidRPr="0068236B" w:rsidRDefault="003B46E3" w:rsidP="003B46E3">
            <w:pPr>
              <w:spacing w:before="0" w:after="0" w:line="240" w:lineRule="auto"/>
              <w:jc w:val="center"/>
              <w:rPr>
                <w:rFonts w:cs="Tahoma"/>
                <w:sz w:val="20"/>
                <w:szCs w:val="20"/>
              </w:rPr>
            </w:pPr>
            <w:r w:rsidRPr="0068236B">
              <w:rPr>
                <w:rFonts w:cs="Tahoma"/>
                <w:color w:val="000000"/>
                <w:sz w:val="20"/>
                <w:szCs w:val="20"/>
              </w:rPr>
              <w:t>Moderate</w:t>
            </w:r>
          </w:p>
        </w:tc>
        <w:tc>
          <w:tcPr>
            <w:tcW w:w="1417" w:type="dxa"/>
            <w:shd w:val="clear" w:color="auto" w:fill="auto"/>
            <w:vAlign w:val="center"/>
            <w:hideMark/>
          </w:tcPr>
          <w:p w14:paraId="15239A2D" w14:textId="77777777" w:rsidR="003B46E3" w:rsidRPr="0068236B" w:rsidRDefault="003B46E3" w:rsidP="003B46E3">
            <w:pPr>
              <w:spacing w:before="0" w:after="0" w:line="240" w:lineRule="auto"/>
              <w:ind w:left="-108"/>
              <w:jc w:val="center"/>
              <w:rPr>
                <w:rFonts w:cs="Tahoma"/>
                <w:color w:val="000000"/>
                <w:sz w:val="20"/>
                <w:szCs w:val="20"/>
              </w:rPr>
            </w:pPr>
            <w:r w:rsidRPr="0068236B">
              <w:rPr>
                <w:rFonts w:cs="Tahoma"/>
                <w:color w:val="000000"/>
                <w:sz w:val="20"/>
                <w:szCs w:val="20"/>
              </w:rPr>
              <w:t>Minor</w:t>
            </w:r>
          </w:p>
        </w:tc>
        <w:tc>
          <w:tcPr>
            <w:tcW w:w="1418" w:type="dxa"/>
            <w:shd w:val="clear" w:color="auto" w:fill="auto"/>
            <w:hideMark/>
          </w:tcPr>
          <w:p w14:paraId="11DE6C25" w14:textId="77777777" w:rsidR="003B46E3" w:rsidRPr="0068236B" w:rsidRDefault="003B46E3" w:rsidP="003B46E3">
            <w:pPr>
              <w:spacing w:before="0" w:after="0" w:line="240" w:lineRule="auto"/>
              <w:jc w:val="center"/>
              <w:rPr>
                <w:rFonts w:cs="Tahoma"/>
                <w:sz w:val="20"/>
                <w:szCs w:val="20"/>
              </w:rPr>
            </w:pPr>
            <w:r w:rsidRPr="0068236B">
              <w:rPr>
                <w:rFonts w:cs="Tahoma"/>
                <w:bCs/>
                <w:color w:val="000000"/>
                <w:sz w:val="20"/>
                <w:szCs w:val="20"/>
              </w:rPr>
              <w:t>Negligible</w:t>
            </w:r>
          </w:p>
        </w:tc>
      </w:tr>
      <w:tr w:rsidR="003B46E3" w:rsidRPr="0068236B" w14:paraId="27650F0E" w14:textId="77777777" w:rsidTr="003B46E3">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77189E67" w14:textId="77777777" w:rsidR="003B46E3" w:rsidRPr="0068236B" w:rsidRDefault="003B46E3" w:rsidP="003B46E3">
            <w:pPr>
              <w:pStyle w:val="Default"/>
              <w:rPr>
                <w:rFonts w:ascii="Tahoma" w:hAnsi="Tahoma" w:cs="Tahoma"/>
                <w:color w:val="auto"/>
                <w:sz w:val="20"/>
                <w:szCs w:val="20"/>
              </w:rPr>
            </w:pPr>
            <w:r w:rsidRPr="0068236B">
              <w:rPr>
                <w:rFonts w:ascii="Tahoma" w:hAnsi="Tahoma" w:cs="Tahoma"/>
                <w:bCs/>
                <w:color w:val="auto"/>
                <w:sz w:val="20"/>
                <w:szCs w:val="20"/>
              </w:rPr>
              <w:t xml:space="preserve">Medium </w:t>
            </w:r>
          </w:p>
        </w:tc>
        <w:tc>
          <w:tcPr>
            <w:tcW w:w="1134" w:type="dxa"/>
            <w:tcBorders>
              <w:left w:val="double" w:sz="4" w:space="0" w:color="auto"/>
            </w:tcBorders>
            <w:shd w:val="clear" w:color="auto" w:fill="auto"/>
            <w:hideMark/>
          </w:tcPr>
          <w:p w14:paraId="0681CD3B" w14:textId="77777777" w:rsidR="003B46E3" w:rsidRPr="0068236B" w:rsidRDefault="003B46E3" w:rsidP="003B46E3">
            <w:pPr>
              <w:spacing w:before="0" w:after="0" w:line="240" w:lineRule="auto"/>
              <w:jc w:val="center"/>
              <w:rPr>
                <w:rFonts w:cs="Tahoma"/>
                <w:sz w:val="20"/>
                <w:szCs w:val="20"/>
              </w:rPr>
            </w:pPr>
            <w:r w:rsidRPr="0068236B">
              <w:rPr>
                <w:rFonts w:cs="Tahoma"/>
                <w:color w:val="000000"/>
                <w:sz w:val="20"/>
                <w:szCs w:val="20"/>
              </w:rPr>
              <w:t>Moderate</w:t>
            </w:r>
          </w:p>
        </w:tc>
        <w:tc>
          <w:tcPr>
            <w:tcW w:w="1434" w:type="dxa"/>
            <w:shd w:val="clear" w:color="auto" w:fill="auto"/>
            <w:hideMark/>
          </w:tcPr>
          <w:p w14:paraId="3CAB14FE" w14:textId="77777777" w:rsidR="003B46E3" w:rsidRPr="0068236B" w:rsidRDefault="003B46E3" w:rsidP="003B46E3">
            <w:pPr>
              <w:spacing w:before="0" w:after="0" w:line="240" w:lineRule="auto"/>
              <w:jc w:val="center"/>
              <w:rPr>
                <w:rFonts w:cs="Tahoma"/>
                <w:sz w:val="20"/>
                <w:szCs w:val="20"/>
              </w:rPr>
            </w:pPr>
            <w:r w:rsidRPr="0068236B">
              <w:rPr>
                <w:rFonts w:cs="Tahoma"/>
                <w:color w:val="000000"/>
                <w:sz w:val="20"/>
                <w:szCs w:val="20"/>
              </w:rPr>
              <w:t>Moderate</w:t>
            </w:r>
          </w:p>
        </w:tc>
        <w:tc>
          <w:tcPr>
            <w:tcW w:w="1685" w:type="dxa"/>
            <w:shd w:val="clear" w:color="auto" w:fill="auto"/>
            <w:hideMark/>
          </w:tcPr>
          <w:p w14:paraId="0A5135D5" w14:textId="77777777" w:rsidR="003B46E3" w:rsidRPr="0068236B" w:rsidRDefault="003B46E3" w:rsidP="003B46E3">
            <w:pPr>
              <w:spacing w:before="0" w:after="0" w:line="240" w:lineRule="auto"/>
              <w:jc w:val="center"/>
              <w:rPr>
                <w:rFonts w:cs="Tahoma"/>
                <w:sz w:val="20"/>
                <w:szCs w:val="20"/>
              </w:rPr>
            </w:pPr>
            <w:r w:rsidRPr="0068236B">
              <w:rPr>
                <w:rFonts w:cs="Tahoma"/>
                <w:color w:val="000000"/>
                <w:sz w:val="20"/>
                <w:szCs w:val="20"/>
              </w:rPr>
              <w:t>Minor</w:t>
            </w:r>
          </w:p>
        </w:tc>
        <w:tc>
          <w:tcPr>
            <w:tcW w:w="1417" w:type="dxa"/>
            <w:shd w:val="clear" w:color="auto" w:fill="auto"/>
            <w:hideMark/>
          </w:tcPr>
          <w:p w14:paraId="688AF2E2" w14:textId="77777777" w:rsidR="003B46E3" w:rsidRPr="0068236B" w:rsidRDefault="003B46E3" w:rsidP="003B46E3">
            <w:pPr>
              <w:spacing w:before="0" w:after="0" w:line="240" w:lineRule="auto"/>
              <w:jc w:val="center"/>
              <w:rPr>
                <w:rFonts w:cs="Tahoma"/>
                <w:sz w:val="20"/>
                <w:szCs w:val="20"/>
              </w:rPr>
            </w:pPr>
            <w:r w:rsidRPr="0068236B">
              <w:rPr>
                <w:rFonts w:cs="Tahoma"/>
                <w:color w:val="000000"/>
                <w:sz w:val="20"/>
                <w:szCs w:val="20"/>
              </w:rPr>
              <w:t>Minor</w:t>
            </w:r>
          </w:p>
        </w:tc>
        <w:tc>
          <w:tcPr>
            <w:tcW w:w="1418" w:type="dxa"/>
            <w:shd w:val="clear" w:color="auto" w:fill="auto"/>
            <w:hideMark/>
          </w:tcPr>
          <w:p w14:paraId="3594C562" w14:textId="77777777" w:rsidR="003B46E3" w:rsidRPr="0068236B" w:rsidRDefault="003B46E3" w:rsidP="003B46E3">
            <w:pPr>
              <w:spacing w:before="0" w:after="0" w:line="240" w:lineRule="auto"/>
              <w:jc w:val="center"/>
              <w:rPr>
                <w:rFonts w:cs="Tahoma"/>
                <w:sz w:val="20"/>
                <w:szCs w:val="20"/>
              </w:rPr>
            </w:pPr>
            <w:r w:rsidRPr="0068236B">
              <w:rPr>
                <w:rFonts w:cs="Tahoma"/>
                <w:bCs/>
                <w:color w:val="000000"/>
                <w:sz w:val="20"/>
                <w:szCs w:val="20"/>
              </w:rPr>
              <w:t>Negligible</w:t>
            </w:r>
          </w:p>
        </w:tc>
      </w:tr>
      <w:tr w:rsidR="003B46E3" w:rsidRPr="0068236B" w14:paraId="0F3662BC" w14:textId="77777777" w:rsidTr="003B46E3">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6AFF4661" w14:textId="77777777" w:rsidR="003B46E3" w:rsidRPr="0068236B" w:rsidRDefault="003B46E3" w:rsidP="003B46E3">
            <w:pPr>
              <w:pStyle w:val="Default"/>
              <w:rPr>
                <w:rFonts w:ascii="Tahoma" w:hAnsi="Tahoma" w:cs="Tahoma"/>
                <w:color w:val="auto"/>
                <w:sz w:val="20"/>
                <w:szCs w:val="20"/>
              </w:rPr>
            </w:pPr>
            <w:r w:rsidRPr="0068236B">
              <w:rPr>
                <w:rFonts w:ascii="Tahoma" w:hAnsi="Tahoma" w:cs="Tahoma"/>
                <w:bCs/>
                <w:color w:val="auto"/>
                <w:sz w:val="20"/>
                <w:szCs w:val="20"/>
              </w:rPr>
              <w:t xml:space="preserve">Low </w:t>
            </w:r>
          </w:p>
        </w:tc>
        <w:tc>
          <w:tcPr>
            <w:tcW w:w="1134" w:type="dxa"/>
            <w:tcBorders>
              <w:left w:val="double" w:sz="4" w:space="0" w:color="auto"/>
            </w:tcBorders>
            <w:shd w:val="clear" w:color="auto" w:fill="auto"/>
            <w:hideMark/>
          </w:tcPr>
          <w:p w14:paraId="5E3BDD37" w14:textId="77777777" w:rsidR="003B46E3" w:rsidRPr="0068236B" w:rsidRDefault="003B46E3" w:rsidP="003B46E3">
            <w:pPr>
              <w:spacing w:before="0" w:after="0" w:line="240" w:lineRule="auto"/>
              <w:jc w:val="center"/>
              <w:rPr>
                <w:rFonts w:cs="Tahoma"/>
                <w:sz w:val="20"/>
                <w:szCs w:val="20"/>
              </w:rPr>
            </w:pPr>
            <w:r w:rsidRPr="0068236B">
              <w:rPr>
                <w:rFonts w:cs="Tahoma"/>
                <w:color w:val="000000"/>
                <w:sz w:val="20"/>
                <w:szCs w:val="20"/>
              </w:rPr>
              <w:t>Minor</w:t>
            </w:r>
          </w:p>
        </w:tc>
        <w:tc>
          <w:tcPr>
            <w:tcW w:w="1434" w:type="dxa"/>
            <w:shd w:val="clear" w:color="auto" w:fill="auto"/>
            <w:hideMark/>
          </w:tcPr>
          <w:p w14:paraId="39A26910" w14:textId="77777777" w:rsidR="003B46E3" w:rsidRPr="0068236B" w:rsidRDefault="003B46E3" w:rsidP="003B46E3">
            <w:pPr>
              <w:spacing w:before="0" w:after="0" w:line="240" w:lineRule="auto"/>
              <w:jc w:val="center"/>
              <w:rPr>
                <w:rFonts w:cs="Tahoma"/>
                <w:sz w:val="20"/>
                <w:szCs w:val="20"/>
              </w:rPr>
            </w:pPr>
            <w:r w:rsidRPr="0068236B">
              <w:rPr>
                <w:rFonts w:cs="Tahoma"/>
                <w:color w:val="000000"/>
                <w:sz w:val="20"/>
                <w:szCs w:val="20"/>
              </w:rPr>
              <w:t>Minor</w:t>
            </w:r>
          </w:p>
        </w:tc>
        <w:tc>
          <w:tcPr>
            <w:tcW w:w="1685" w:type="dxa"/>
            <w:shd w:val="clear" w:color="auto" w:fill="auto"/>
            <w:hideMark/>
          </w:tcPr>
          <w:p w14:paraId="26A55BBD" w14:textId="77777777" w:rsidR="003B46E3" w:rsidRPr="0068236B" w:rsidRDefault="003B46E3" w:rsidP="003B46E3">
            <w:pPr>
              <w:spacing w:before="0" w:after="0" w:line="240" w:lineRule="auto"/>
              <w:jc w:val="center"/>
              <w:rPr>
                <w:rFonts w:cs="Tahoma"/>
                <w:sz w:val="20"/>
                <w:szCs w:val="20"/>
              </w:rPr>
            </w:pPr>
            <w:r w:rsidRPr="0068236B">
              <w:rPr>
                <w:rFonts w:cs="Tahoma"/>
                <w:color w:val="000000"/>
                <w:sz w:val="20"/>
                <w:szCs w:val="20"/>
              </w:rPr>
              <w:t>Minor</w:t>
            </w:r>
          </w:p>
        </w:tc>
        <w:tc>
          <w:tcPr>
            <w:tcW w:w="1417" w:type="dxa"/>
            <w:shd w:val="clear" w:color="auto" w:fill="auto"/>
            <w:hideMark/>
          </w:tcPr>
          <w:p w14:paraId="30BD1BBB" w14:textId="77777777" w:rsidR="003B46E3" w:rsidRPr="0068236B" w:rsidRDefault="003B46E3" w:rsidP="003B46E3">
            <w:pPr>
              <w:spacing w:before="0" w:after="0" w:line="240" w:lineRule="auto"/>
              <w:jc w:val="center"/>
              <w:rPr>
                <w:rFonts w:cs="Tahoma"/>
                <w:sz w:val="20"/>
                <w:szCs w:val="20"/>
              </w:rPr>
            </w:pPr>
            <w:r w:rsidRPr="0068236B">
              <w:rPr>
                <w:rFonts w:cs="Tahoma"/>
                <w:bCs/>
                <w:color w:val="000000"/>
                <w:sz w:val="20"/>
                <w:szCs w:val="20"/>
              </w:rPr>
              <w:t>Negligible</w:t>
            </w:r>
          </w:p>
        </w:tc>
        <w:tc>
          <w:tcPr>
            <w:tcW w:w="1418" w:type="dxa"/>
            <w:shd w:val="clear" w:color="auto" w:fill="auto"/>
            <w:hideMark/>
          </w:tcPr>
          <w:p w14:paraId="61DDA601" w14:textId="77777777" w:rsidR="003B46E3" w:rsidRPr="0068236B" w:rsidRDefault="003B46E3" w:rsidP="003B46E3">
            <w:pPr>
              <w:spacing w:before="0" w:after="0" w:line="240" w:lineRule="auto"/>
              <w:jc w:val="center"/>
              <w:rPr>
                <w:rFonts w:cs="Tahoma"/>
                <w:sz w:val="20"/>
                <w:szCs w:val="20"/>
              </w:rPr>
            </w:pPr>
            <w:r w:rsidRPr="0068236B">
              <w:rPr>
                <w:rFonts w:cs="Tahoma"/>
                <w:bCs/>
                <w:color w:val="000000"/>
                <w:sz w:val="20"/>
                <w:szCs w:val="20"/>
              </w:rPr>
              <w:t>Negligible</w:t>
            </w:r>
          </w:p>
        </w:tc>
      </w:tr>
      <w:tr w:rsidR="003B46E3" w:rsidRPr="0068236B" w14:paraId="0E94227F" w14:textId="77777777" w:rsidTr="003B46E3">
        <w:trPr>
          <w:cantSplit/>
          <w:trHeight w:val="20"/>
        </w:trPr>
        <w:tc>
          <w:tcPr>
            <w:tcW w:w="1418" w:type="dxa"/>
            <w:tcBorders>
              <w:top w:val="double" w:sz="4" w:space="0" w:color="auto"/>
              <w:bottom w:val="double" w:sz="4" w:space="0" w:color="auto"/>
              <w:right w:val="double" w:sz="4" w:space="0" w:color="auto"/>
            </w:tcBorders>
            <w:shd w:val="clear" w:color="auto" w:fill="BFBFBF" w:themeFill="background1" w:themeFillShade="BF"/>
            <w:vAlign w:val="center"/>
            <w:hideMark/>
          </w:tcPr>
          <w:p w14:paraId="34768F21" w14:textId="77777777" w:rsidR="003B46E3" w:rsidRPr="0068236B" w:rsidRDefault="003B46E3" w:rsidP="003B46E3">
            <w:pPr>
              <w:pStyle w:val="Default"/>
              <w:rPr>
                <w:rFonts w:ascii="Tahoma" w:hAnsi="Tahoma" w:cs="Tahoma"/>
                <w:color w:val="auto"/>
                <w:sz w:val="20"/>
                <w:szCs w:val="20"/>
              </w:rPr>
            </w:pPr>
            <w:r w:rsidRPr="0068236B">
              <w:rPr>
                <w:rFonts w:ascii="Tahoma" w:hAnsi="Tahoma" w:cs="Tahoma"/>
                <w:bCs/>
                <w:color w:val="auto"/>
                <w:sz w:val="20"/>
                <w:szCs w:val="20"/>
              </w:rPr>
              <w:t xml:space="preserve">Very low </w:t>
            </w:r>
          </w:p>
        </w:tc>
        <w:tc>
          <w:tcPr>
            <w:tcW w:w="1134" w:type="dxa"/>
            <w:tcBorders>
              <w:left w:val="double" w:sz="4" w:space="0" w:color="auto"/>
            </w:tcBorders>
            <w:shd w:val="clear" w:color="auto" w:fill="auto"/>
            <w:hideMark/>
          </w:tcPr>
          <w:p w14:paraId="435DADBE" w14:textId="77777777" w:rsidR="003B46E3" w:rsidRPr="0068236B" w:rsidRDefault="003B46E3" w:rsidP="003B46E3">
            <w:pPr>
              <w:spacing w:before="0" w:after="0" w:line="240" w:lineRule="auto"/>
              <w:jc w:val="center"/>
              <w:rPr>
                <w:rFonts w:cs="Tahoma"/>
                <w:sz w:val="20"/>
                <w:szCs w:val="20"/>
              </w:rPr>
            </w:pPr>
            <w:r w:rsidRPr="0068236B">
              <w:rPr>
                <w:rFonts w:cs="Tahoma"/>
                <w:color w:val="000000"/>
                <w:sz w:val="20"/>
                <w:szCs w:val="20"/>
              </w:rPr>
              <w:t>Minor</w:t>
            </w:r>
          </w:p>
        </w:tc>
        <w:tc>
          <w:tcPr>
            <w:tcW w:w="1434" w:type="dxa"/>
            <w:shd w:val="clear" w:color="auto" w:fill="auto"/>
            <w:hideMark/>
          </w:tcPr>
          <w:p w14:paraId="7BDF3A2C" w14:textId="77777777" w:rsidR="003B46E3" w:rsidRPr="0068236B" w:rsidRDefault="003B46E3" w:rsidP="003B46E3">
            <w:pPr>
              <w:spacing w:before="0" w:after="0" w:line="240" w:lineRule="auto"/>
              <w:jc w:val="center"/>
              <w:rPr>
                <w:rFonts w:cs="Tahoma"/>
                <w:sz w:val="20"/>
                <w:szCs w:val="20"/>
              </w:rPr>
            </w:pPr>
            <w:r w:rsidRPr="0068236B">
              <w:rPr>
                <w:rFonts w:cs="Tahoma"/>
                <w:bCs/>
                <w:color w:val="000000"/>
                <w:sz w:val="20"/>
                <w:szCs w:val="20"/>
              </w:rPr>
              <w:t>Negligible</w:t>
            </w:r>
          </w:p>
        </w:tc>
        <w:tc>
          <w:tcPr>
            <w:tcW w:w="1685" w:type="dxa"/>
            <w:shd w:val="clear" w:color="auto" w:fill="auto"/>
            <w:hideMark/>
          </w:tcPr>
          <w:p w14:paraId="3DC79642" w14:textId="77777777" w:rsidR="003B46E3" w:rsidRPr="0068236B" w:rsidRDefault="003B46E3" w:rsidP="003B46E3">
            <w:pPr>
              <w:spacing w:before="0" w:after="0" w:line="240" w:lineRule="auto"/>
              <w:jc w:val="center"/>
              <w:rPr>
                <w:rFonts w:cs="Tahoma"/>
                <w:sz w:val="20"/>
                <w:szCs w:val="20"/>
              </w:rPr>
            </w:pPr>
            <w:r w:rsidRPr="0068236B">
              <w:rPr>
                <w:rFonts w:cs="Tahoma"/>
                <w:bCs/>
                <w:color w:val="000000"/>
                <w:sz w:val="20"/>
                <w:szCs w:val="20"/>
              </w:rPr>
              <w:t>Negligible</w:t>
            </w:r>
          </w:p>
        </w:tc>
        <w:tc>
          <w:tcPr>
            <w:tcW w:w="1417" w:type="dxa"/>
            <w:shd w:val="clear" w:color="auto" w:fill="auto"/>
            <w:hideMark/>
          </w:tcPr>
          <w:p w14:paraId="2CDC2796" w14:textId="77777777" w:rsidR="003B46E3" w:rsidRPr="0068236B" w:rsidRDefault="003B46E3" w:rsidP="003B46E3">
            <w:pPr>
              <w:spacing w:before="0" w:after="0" w:line="240" w:lineRule="auto"/>
              <w:jc w:val="center"/>
              <w:rPr>
                <w:rFonts w:cs="Tahoma"/>
                <w:sz w:val="20"/>
                <w:szCs w:val="20"/>
              </w:rPr>
            </w:pPr>
            <w:r w:rsidRPr="0068236B">
              <w:rPr>
                <w:rFonts w:cs="Tahoma"/>
                <w:bCs/>
                <w:color w:val="000000"/>
                <w:sz w:val="20"/>
                <w:szCs w:val="20"/>
              </w:rPr>
              <w:t>Negligible</w:t>
            </w:r>
          </w:p>
        </w:tc>
        <w:tc>
          <w:tcPr>
            <w:tcW w:w="1418" w:type="dxa"/>
            <w:shd w:val="clear" w:color="auto" w:fill="auto"/>
            <w:hideMark/>
          </w:tcPr>
          <w:p w14:paraId="14E77585" w14:textId="77777777" w:rsidR="003B46E3" w:rsidRPr="0068236B" w:rsidRDefault="003B46E3" w:rsidP="003B46E3">
            <w:pPr>
              <w:spacing w:before="0" w:after="0" w:line="240" w:lineRule="auto"/>
              <w:jc w:val="center"/>
              <w:rPr>
                <w:rFonts w:cs="Tahoma"/>
                <w:sz w:val="20"/>
                <w:szCs w:val="20"/>
              </w:rPr>
            </w:pPr>
            <w:r w:rsidRPr="0068236B">
              <w:rPr>
                <w:rFonts w:cs="Tahoma"/>
                <w:bCs/>
                <w:color w:val="000000"/>
                <w:sz w:val="20"/>
                <w:szCs w:val="20"/>
              </w:rPr>
              <w:t>Negligible</w:t>
            </w:r>
          </w:p>
        </w:tc>
      </w:tr>
    </w:tbl>
    <w:p w14:paraId="63FC17EF" w14:textId="3F0091AF" w:rsidR="003B46E3" w:rsidRPr="0068236B" w:rsidRDefault="003B46E3" w:rsidP="003B46E3">
      <w:pPr>
        <w:spacing w:before="60" w:after="240"/>
        <w:rPr>
          <w:rFonts w:cs="Tahoma"/>
          <w:bCs/>
          <w:sz w:val="18"/>
          <w:szCs w:val="20"/>
        </w:rPr>
      </w:pPr>
      <w:bookmarkStart w:id="491" w:name="_Toc61786444"/>
      <w:bookmarkStart w:id="492" w:name="_Toc80181275"/>
      <w:bookmarkStart w:id="493" w:name="_Toc113018230"/>
      <w:bookmarkStart w:id="494" w:name="_Toc61786445"/>
      <w:r w:rsidRPr="0068236B">
        <w:rPr>
          <w:rFonts w:cs="Tahoma"/>
          <w:sz w:val="18"/>
          <w:szCs w:val="20"/>
        </w:rPr>
        <w:t xml:space="preserve">Table </w:t>
      </w:r>
      <w:r w:rsidRPr="0068236B">
        <w:rPr>
          <w:rFonts w:cs="Tahoma"/>
          <w:i/>
          <w:sz w:val="18"/>
          <w:szCs w:val="20"/>
        </w:rPr>
        <w:fldChar w:fldCharType="begin"/>
      </w:r>
      <w:r w:rsidRPr="0068236B">
        <w:rPr>
          <w:rFonts w:cs="Tahoma"/>
          <w:sz w:val="18"/>
          <w:szCs w:val="20"/>
        </w:rPr>
        <w:instrText xml:space="preserve"> STYLEREF 1 \s </w:instrText>
      </w:r>
      <w:r w:rsidRPr="0068236B">
        <w:rPr>
          <w:rFonts w:cs="Tahoma"/>
          <w:i/>
          <w:sz w:val="18"/>
          <w:szCs w:val="20"/>
        </w:rPr>
        <w:fldChar w:fldCharType="separate"/>
      </w:r>
      <w:r w:rsidR="00FD57E6">
        <w:rPr>
          <w:rFonts w:cs="Tahoma"/>
          <w:noProof/>
          <w:sz w:val="18"/>
          <w:szCs w:val="20"/>
        </w:rPr>
        <w:t>8</w:t>
      </w:r>
      <w:r w:rsidRPr="0068236B">
        <w:rPr>
          <w:rFonts w:cs="Tahoma"/>
          <w:i/>
          <w:sz w:val="18"/>
          <w:szCs w:val="20"/>
        </w:rPr>
        <w:fldChar w:fldCharType="end"/>
      </w:r>
      <w:r w:rsidRPr="0068236B">
        <w:rPr>
          <w:rFonts w:cs="Tahoma"/>
          <w:sz w:val="18"/>
          <w:szCs w:val="20"/>
        </w:rPr>
        <w:t>.</w:t>
      </w:r>
      <w:r w:rsidRPr="0068236B">
        <w:rPr>
          <w:rFonts w:cs="Tahoma"/>
          <w:i/>
          <w:sz w:val="18"/>
          <w:szCs w:val="20"/>
        </w:rPr>
        <w:fldChar w:fldCharType="begin"/>
      </w:r>
      <w:r w:rsidRPr="0068236B">
        <w:rPr>
          <w:rFonts w:cs="Tahoma"/>
          <w:sz w:val="18"/>
          <w:szCs w:val="20"/>
        </w:rPr>
        <w:instrText xml:space="preserve"> SEQ Table \* ARABIC \s 1 </w:instrText>
      </w:r>
      <w:r w:rsidRPr="0068236B">
        <w:rPr>
          <w:rFonts w:cs="Tahoma"/>
          <w:i/>
          <w:sz w:val="18"/>
          <w:szCs w:val="20"/>
        </w:rPr>
        <w:fldChar w:fldCharType="separate"/>
      </w:r>
      <w:r w:rsidR="00FD57E6">
        <w:rPr>
          <w:rFonts w:cs="Tahoma"/>
          <w:noProof/>
          <w:sz w:val="18"/>
          <w:szCs w:val="20"/>
        </w:rPr>
        <w:t>34</w:t>
      </w:r>
      <w:r w:rsidRPr="0068236B">
        <w:rPr>
          <w:rFonts w:cs="Tahoma"/>
          <w:i/>
          <w:sz w:val="18"/>
          <w:szCs w:val="20"/>
        </w:rPr>
        <w:fldChar w:fldCharType="end"/>
      </w:r>
      <w:r w:rsidR="005F774D" w:rsidRPr="0068236B">
        <w:rPr>
          <w:rFonts w:cs="Tahoma"/>
          <w:sz w:val="18"/>
          <w:szCs w:val="20"/>
        </w:rPr>
        <w:t xml:space="preserve">: </w:t>
      </w:r>
      <w:r w:rsidRPr="0068236B">
        <w:rPr>
          <w:rFonts w:cs="Tahoma"/>
          <w:sz w:val="18"/>
          <w:szCs w:val="20"/>
        </w:rPr>
        <w:t>Impact significance m</w:t>
      </w:r>
      <w:r w:rsidRPr="0068236B">
        <w:rPr>
          <w:rFonts w:cs="Tahoma"/>
          <w:bCs/>
          <w:sz w:val="18"/>
          <w:szCs w:val="20"/>
        </w:rPr>
        <w:t>atrix</w:t>
      </w:r>
      <w:bookmarkEnd w:id="491"/>
      <w:bookmarkEnd w:id="492"/>
      <w:bookmarkEnd w:id="493"/>
    </w:p>
    <w:tbl>
      <w:tblPr>
        <w:tblW w:w="9214"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276"/>
        <w:gridCol w:w="2693"/>
        <w:gridCol w:w="5245"/>
      </w:tblGrid>
      <w:tr w:rsidR="003B46E3" w:rsidRPr="0068236B" w14:paraId="356E3363" w14:textId="77777777" w:rsidTr="00EB5EEF">
        <w:trPr>
          <w:cantSplit/>
          <w:tblHeader/>
        </w:trPr>
        <w:tc>
          <w:tcPr>
            <w:tcW w:w="1276" w:type="dxa"/>
            <w:tcBorders>
              <w:top w:val="double" w:sz="4" w:space="0" w:color="auto"/>
              <w:bottom w:val="double" w:sz="4" w:space="0" w:color="auto"/>
              <w:right w:val="double" w:sz="4" w:space="0" w:color="auto"/>
            </w:tcBorders>
            <w:shd w:val="clear" w:color="auto" w:fill="B4C6E7" w:themeFill="accent1" w:themeFillTint="66"/>
          </w:tcPr>
          <w:bookmarkEnd w:id="494"/>
          <w:p w14:paraId="592F15B2" w14:textId="77777777" w:rsidR="003B46E3" w:rsidRPr="0068236B" w:rsidRDefault="003B46E3" w:rsidP="003B46E3">
            <w:pPr>
              <w:tabs>
                <w:tab w:val="center" w:pos="4320"/>
                <w:tab w:val="right" w:pos="8640"/>
              </w:tabs>
              <w:spacing w:before="0" w:after="0" w:line="240" w:lineRule="auto"/>
              <w:rPr>
                <w:rFonts w:eastAsia="Calibri" w:cs="Tahoma"/>
                <w:sz w:val="20"/>
                <w:szCs w:val="20"/>
              </w:rPr>
            </w:pPr>
            <w:r w:rsidRPr="0068236B">
              <w:rPr>
                <w:rFonts w:eastAsia="Calibri" w:cs="Tahoma"/>
                <w:bCs/>
                <w:sz w:val="20"/>
                <w:szCs w:val="20"/>
              </w:rPr>
              <w:t>Significance</w:t>
            </w:r>
          </w:p>
        </w:tc>
        <w:tc>
          <w:tcPr>
            <w:tcW w:w="2693"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7E6040C0" w14:textId="77777777" w:rsidR="003B46E3" w:rsidRPr="0068236B" w:rsidRDefault="003B46E3" w:rsidP="003B46E3">
            <w:pPr>
              <w:tabs>
                <w:tab w:val="center" w:pos="4320"/>
                <w:tab w:val="right" w:pos="8640"/>
              </w:tabs>
              <w:spacing w:before="0" w:after="0" w:line="240" w:lineRule="auto"/>
              <w:rPr>
                <w:rFonts w:eastAsia="Calibri" w:cs="Tahoma"/>
                <w:sz w:val="20"/>
                <w:szCs w:val="20"/>
              </w:rPr>
            </w:pPr>
            <w:r w:rsidRPr="0068236B">
              <w:rPr>
                <w:rFonts w:eastAsia="Calibri" w:cs="Tahoma"/>
                <w:sz w:val="20"/>
                <w:szCs w:val="20"/>
              </w:rPr>
              <w:t>Typical criteria</w:t>
            </w:r>
          </w:p>
        </w:tc>
        <w:tc>
          <w:tcPr>
            <w:tcW w:w="5245"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4DA105F4" w14:textId="77777777" w:rsidR="003B46E3" w:rsidRPr="0068236B" w:rsidRDefault="003B46E3" w:rsidP="003B46E3">
            <w:pPr>
              <w:tabs>
                <w:tab w:val="center" w:pos="4320"/>
                <w:tab w:val="right" w:pos="8640"/>
              </w:tabs>
              <w:spacing w:before="0" w:after="0" w:line="240" w:lineRule="auto"/>
              <w:jc w:val="left"/>
              <w:rPr>
                <w:rFonts w:eastAsia="Calibri" w:cs="Tahoma"/>
                <w:sz w:val="20"/>
                <w:szCs w:val="20"/>
              </w:rPr>
            </w:pPr>
            <w:r w:rsidRPr="0068236B">
              <w:rPr>
                <w:rFonts w:eastAsia="Calibri" w:cs="Tahoma"/>
                <w:sz w:val="20"/>
                <w:szCs w:val="20"/>
              </w:rPr>
              <w:t>Description</w:t>
            </w:r>
          </w:p>
        </w:tc>
      </w:tr>
      <w:tr w:rsidR="003B46E3" w:rsidRPr="0068236B" w14:paraId="02467F45" w14:textId="77777777" w:rsidTr="00EB5EEF">
        <w:tc>
          <w:tcPr>
            <w:tcW w:w="1276" w:type="dxa"/>
            <w:tcBorders>
              <w:top w:val="double" w:sz="4" w:space="0" w:color="auto"/>
            </w:tcBorders>
          </w:tcPr>
          <w:p w14:paraId="5FB63D52" w14:textId="77777777" w:rsidR="003B46E3" w:rsidRPr="0068236B" w:rsidRDefault="003B46E3" w:rsidP="003B46E3">
            <w:pPr>
              <w:tabs>
                <w:tab w:val="center" w:pos="4320"/>
                <w:tab w:val="right" w:pos="8640"/>
              </w:tabs>
              <w:spacing w:before="0" w:after="0" w:line="240" w:lineRule="auto"/>
              <w:rPr>
                <w:rFonts w:eastAsia="Calibri" w:cs="Tahoma"/>
                <w:sz w:val="20"/>
                <w:szCs w:val="20"/>
              </w:rPr>
            </w:pPr>
            <w:r w:rsidRPr="0068236B">
              <w:rPr>
                <w:rFonts w:eastAsia="Calibri" w:cs="Tahoma"/>
                <w:sz w:val="20"/>
                <w:szCs w:val="20"/>
              </w:rPr>
              <w:t>Major</w:t>
            </w:r>
          </w:p>
        </w:tc>
        <w:tc>
          <w:tcPr>
            <w:tcW w:w="2693" w:type="dxa"/>
            <w:tcBorders>
              <w:top w:val="double" w:sz="4" w:space="0" w:color="auto"/>
            </w:tcBorders>
          </w:tcPr>
          <w:p w14:paraId="6D5B6341" w14:textId="77777777" w:rsidR="003B46E3" w:rsidRPr="0068236B" w:rsidRDefault="003B46E3" w:rsidP="003B46E3">
            <w:pPr>
              <w:autoSpaceDE w:val="0"/>
              <w:autoSpaceDN w:val="0"/>
              <w:adjustRightInd w:val="0"/>
              <w:spacing w:before="0" w:after="0" w:line="240" w:lineRule="auto"/>
              <w:contextualSpacing/>
              <w:jc w:val="left"/>
              <w:rPr>
                <w:rFonts w:eastAsia="Calibri" w:cs="Tahoma"/>
                <w:sz w:val="20"/>
                <w:szCs w:val="20"/>
              </w:rPr>
            </w:pPr>
            <w:r w:rsidRPr="0068236B">
              <w:rPr>
                <w:rFonts w:eastAsia="Calibri" w:cs="Tahoma"/>
                <w:sz w:val="20"/>
                <w:szCs w:val="20"/>
              </w:rPr>
              <w:t>A fundamental change to the environment</w:t>
            </w:r>
          </w:p>
        </w:tc>
        <w:tc>
          <w:tcPr>
            <w:tcW w:w="5245" w:type="dxa"/>
            <w:tcBorders>
              <w:top w:val="double" w:sz="4" w:space="0" w:color="auto"/>
            </w:tcBorders>
          </w:tcPr>
          <w:p w14:paraId="65FBA71A" w14:textId="77777777" w:rsidR="003B46E3" w:rsidRPr="0068236B" w:rsidRDefault="003B46E3" w:rsidP="003B46E3">
            <w:pPr>
              <w:autoSpaceDE w:val="0"/>
              <w:autoSpaceDN w:val="0"/>
              <w:adjustRightInd w:val="0"/>
              <w:spacing w:before="0" w:after="0" w:line="240" w:lineRule="auto"/>
              <w:jc w:val="left"/>
              <w:rPr>
                <w:rFonts w:eastAsia="Calibri" w:cs="Tahoma"/>
                <w:sz w:val="20"/>
                <w:szCs w:val="20"/>
              </w:rPr>
            </w:pPr>
            <w:r w:rsidRPr="0068236B">
              <w:rPr>
                <w:rFonts w:cs="Tahoma"/>
                <w:bCs/>
                <w:iCs/>
                <w:sz w:val="20"/>
                <w:szCs w:val="20"/>
                <w:lang w:eastAsia="en-US"/>
              </w:rPr>
              <w:t>Major effects on biodiversity receptor / natural heritage value usually of high to medium magnitude (e.g. su</w:t>
            </w:r>
            <w:r w:rsidRPr="0068236B">
              <w:rPr>
                <w:rFonts w:cs="Tahoma"/>
                <w:bCs/>
                <w:iCs/>
                <w:sz w:val="20"/>
                <w:szCs w:val="20"/>
                <w:lang w:eastAsia="en-US"/>
              </w:rPr>
              <w:t>b</w:t>
            </w:r>
            <w:r w:rsidRPr="0068236B">
              <w:rPr>
                <w:rFonts w:cs="Tahoma"/>
                <w:bCs/>
                <w:iCs/>
                <w:sz w:val="20"/>
                <w:szCs w:val="20"/>
                <w:lang w:eastAsia="en-US"/>
              </w:rPr>
              <w:t>stantial loss of value on a national or international scale).</w:t>
            </w:r>
          </w:p>
        </w:tc>
      </w:tr>
      <w:tr w:rsidR="003B46E3" w:rsidRPr="0068236B" w14:paraId="59927AFC" w14:textId="77777777" w:rsidTr="00EB5EEF">
        <w:tc>
          <w:tcPr>
            <w:tcW w:w="1276" w:type="dxa"/>
          </w:tcPr>
          <w:p w14:paraId="658D1FFA" w14:textId="77777777" w:rsidR="003B46E3" w:rsidRPr="0068236B" w:rsidRDefault="003B46E3" w:rsidP="003B46E3">
            <w:pPr>
              <w:tabs>
                <w:tab w:val="center" w:pos="4320"/>
                <w:tab w:val="right" w:pos="8640"/>
              </w:tabs>
              <w:spacing w:before="0" w:after="0" w:line="240" w:lineRule="auto"/>
              <w:rPr>
                <w:rFonts w:eastAsia="Calibri" w:cs="Tahoma"/>
                <w:sz w:val="20"/>
                <w:szCs w:val="20"/>
              </w:rPr>
            </w:pPr>
            <w:r w:rsidRPr="0068236B">
              <w:rPr>
                <w:rFonts w:eastAsia="Calibri" w:cs="Tahoma"/>
                <w:sz w:val="20"/>
                <w:szCs w:val="20"/>
              </w:rPr>
              <w:t>Moderate</w:t>
            </w:r>
          </w:p>
        </w:tc>
        <w:tc>
          <w:tcPr>
            <w:tcW w:w="2693" w:type="dxa"/>
          </w:tcPr>
          <w:p w14:paraId="7210B693" w14:textId="77777777" w:rsidR="003B46E3" w:rsidRPr="0068236B" w:rsidRDefault="003B46E3" w:rsidP="003B46E3">
            <w:pPr>
              <w:autoSpaceDE w:val="0"/>
              <w:autoSpaceDN w:val="0"/>
              <w:adjustRightInd w:val="0"/>
              <w:spacing w:before="0" w:after="0" w:line="240" w:lineRule="auto"/>
              <w:jc w:val="left"/>
              <w:rPr>
                <w:rFonts w:eastAsia="Calibri" w:cs="Tahoma"/>
                <w:sz w:val="20"/>
                <w:szCs w:val="20"/>
              </w:rPr>
            </w:pPr>
            <w:r w:rsidRPr="0068236B">
              <w:rPr>
                <w:rFonts w:eastAsia="Calibri" w:cs="Tahoma"/>
                <w:sz w:val="20"/>
                <w:szCs w:val="20"/>
              </w:rPr>
              <w:t>A material but non-fundamental change to the environment</w:t>
            </w:r>
          </w:p>
        </w:tc>
        <w:tc>
          <w:tcPr>
            <w:tcW w:w="5245" w:type="dxa"/>
          </w:tcPr>
          <w:p w14:paraId="063926CF" w14:textId="77777777" w:rsidR="003B46E3" w:rsidRPr="0068236B" w:rsidRDefault="003B46E3" w:rsidP="003B46E3">
            <w:pPr>
              <w:autoSpaceDE w:val="0"/>
              <w:autoSpaceDN w:val="0"/>
              <w:adjustRightInd w:val="0"/>
              <w:spacing w:before="0" w:after="0" w:line="240" w:lineRule="auto"/>
              <w:jc w:val="left"/>
              <w:rPr>
                <w:rFonts w:eastAsia="Calibri" w:cs="Tahoma"/>
                <w:sz w:val="20"/>
                <w:szCs w:val="20"/>
              </w:rPr>
            </w:pPr>
            <w:r w:rsidRPr="0068236B">
              <w:rPr>
                <w:rFonts w:cs="Tahoma"/>
                <w:bCs/>
                <w:iCs/>
                <w:sz w:val="20"/>
                <w:szCs w:val="20"/>
                <w:lang w:eastAsia="en-US"/>
              </w:rPr>
              <w:t>Moderate effects on biodiversity receptor / natural heri</w:t>
            </w:r>
            <w:r w:rsidRPr="0068236B">
              <w:rPr>
                <w:rFonts w:cs="Tahoma"/>
                <w:bCs/>
                <w:iCs/>
                <w:sz w:val="20"/>
                <w:szCs w:val="20"/>
                <w:lang w:eastAsia="en-US"/>
              </w:rPr>
              <w:t>t</w:t>
            </w:r>
            <w:r w:rsidRPr="0068236B">
              <w:rPr>
                <w:rFonts w:cs="Tahoma"/>
                <w:bCs/>
                <w:iCs/>
                <w:sz w:val="20"/>
                <w:szCs w:val="20"/>
                <w:lang w:eastAsia="en-US"/>
              </w:rPr>
              <w:t>age value usually of medium magnitude (e.g. substantial loss of value on a high local or regional scale).</w:t>
            </w:r>
          </w:p>
        </w:tc>
      </w:tr>
      <w:tr w:rsidR="003B46E3" w:rsidRPr="0068236B" w14:paraId="0F409F61" w14:textId="77777777" w:rsidTr="00EB5EEF">
        <w:tc>
          <w:tcPr>
            <w:tcW w:w="1276" w:type="dxa"/>
          </w:tcPr>
          <w:p w14:paraId="638500B1" w14:textId="77777777" w:rsidR="003B46E3" w:rsidRPr="0068236B" w:rsidRDefault="003B46E3" w:rsidP="003B46E3">
            <w:pPr>
              <w:tabs>
                <w:tab w:val="center" w:pos="4320"/>
                <w:tab w:val="right" w:pos="8640"/>
              </w:tabs>
              <w:spacing w:before="0" w:after="0" w:line="240" w:lineRule="auto"/>
              <w:rPr>
                <w:rFonts w:eastAsia="Calibri" w:cs="Tahoma"/>
                <w:sz w:val="20"/>
                <w:szCs w:val="20"/>
              </w:rPr>
            </w:pPr>
            <w:r w:rsidRPr="0068236B">
              <w:rPr>
                <w:rFonts w:eastAsia="Calibri" w:cs="Tahoma"/>
                <w:sz w:val="20"/>
                <w:szCs w:val="20"/>
              </w:rPr>
              <w:t>Minor</w:t>
            </w:r>
          </w:p>
        </w:tc>
        <w:tc>
          <w:tcPr>
            <w:tcW w:w="2693" w:type="dxa"/>
          </w:tcPr>
          <w:p w14:paraId="00787CC4" w14:textId="77777777" w:rsidR="003B46E3" w:rsidRPr="0068236B" w:rsidRDefault="003B46E3" w:rsidP="003B46E3">
            <w:pPr>
              <w:autoSpaceDE w:val="0"/>
              <w:autoSpaceDN w:val="0"/>
              <w:adjustRightInd w:val="0"/>
              <w:spacing w:before="0" w:after="0" w:line="240" w:lineRule="auto"/>
              <w:jc w:val="left"/>
              <w:rPr>
                <w:rFonts w:eastAsia="Calibri" w:cs="Tahoma"/>
                <w:sz w:val="20"/>
                <w:szCs w:val="20"/>
              </w:rPr>
            </w:pPr>
            <w:r w:rsidRPr="0068236B">
              <w:rPr>
                <w:rFonts w:eastAsia="Calibri" w:cs="Tahoma"/>
                <w:sz w:val="20"/>
                <w:szCs w:val="20"/>
              </w:rPr>
              <w:t>A detectable but non-material change to the environment</w:t>
            </w:r>
          </w:p>
        </w:tc>
        <w:tc>
          <w:tcPr>
            <w:tcW w:w="5245" w:type="dxa"/>
          </w:tcPr>
          <w:p w14:paraId="29572559" w14:textId="77777777" w:rsidR="003B46E3" w:rsidRPr="0068236B" w:rsidRDefault="003B46E3" w:rsidP="003B46E3">
            <w:pPr>
              <w:autoSpaceDE w:val="0"/>
              <w:autoSpaceDN w:val="0"/>
              <w:adjustRightInd w:val="0"/>
              <w:spacing w:before="0" w:after="0" w:line="240" w:lineRule="auto"/>
              <w:jc w:val="left"/>
              <w:rPr>
                <w:rFonts w:eastAsia="Calibri" w:cs="Tahoma"/>
                <w:sz w:val="20"/>
                <w:szCs w:val="20"/>
              </w:rPr>
            </w:pPr>
            <w:r w:rsidRPr="0068236B">
              <w:rPr>
                <w:rFonts w:cs="Tahoma"/>
                <w:bCs/>
                <w:iCs/>
                <w:sz w:val="20"/>
                <w:szCs w:val="20"/>
                <w:lang w:eastAsia="en-US"/>
              </w:rPr>
              <w:t>Low effects on biodiversity receptor value / natural he</w:t>
            </w:r>
            <w:r w:rsidRPr="0068236B">
              <w:rPr>
                <w:rFonts w:cs="Tahoma"/>
                <w:bCs/>
                <w:iCs/>
                <w:sz w:val="20"/>
                <w:szCs w:val="20"/>
                <w:lang w:eastAsia="en-US"/>
              </w:rPr>
              <w:t>r</w:t>
            </w:r>
            <w:r w:rsidRPr="0068236B">
              <w:rPr>
                <w:rFonts w:cs="Tahoma"/>
                <w:bCs/>
                <w:iCs/>
                <w:sz w:val="20"/>
                <w:szCs w:val="20"/>
                <w:lang w:eastAsia="en-US"/>
              </w:rPr>
              <w:t>itage usually of low or lesser magnitude (e.g. loss of value on a very local scale (i.e. immediate vicinity of the study area).</w:t>
            </w:r>
          </w:p>
        </w:tc>
      </w:tr>
      <w:tr w:rsidR="003B46E3" w:rsidRPr="0068236B" w14:paraId="0B9FEDD4" w14:textId="77777777" w:rsidTr="00EB5EEF">
        <w:tc>
          <w:tcPr>
            <w:tcW w:w="1276" w:type="dxa"/>
          </w:tcPr>
          <w:p w14:paraId="3D2EF543" w14:textId="77777777" w:rsidR="003B46E3" w:rsidRPr="0068236B" w:rsidRDefault="003B46E3" w:rsidP="003B46E3">
            <w:pPr>
              <w:tabs>
                <w:tab w:val="center" w:pos="4320"/>
                <w:tab w:val="right" w:pos="8640"/>
              </w:tabs>
              <w:spacing w:before="0" w:after="0" w:line="240" w:lineRule="auto"/>
              <w:jc w:val="left"/>
              <w:rPr>
                <w:rFonts w:eastAsia="Calibri" w:cs="Tahoma"/>
                <w:sz w:val="20"/>
                <w:szCs w:val="20"/>
              </w:rPr>
            </w:pPr>
            <w:r w:rsidRPr="0068236B">
              <w:rPr>
                <w:rFonts w:eastAsia="Calibri" w:cs="Tahoma"/>
                <w:sz w:val="20"/>
                <w:szCs w:val="20"/>
              </w:rPr>
              <w:t>Negligible / neutral</w:t>
            </w:r>
          </w:p>
        </w:tc>
        <w:tc>
          <w:tcPr>
            <w:tcW w:w="2693" w:type="dxa"/>
          </w:tcPr>
          <w:p w14:paraId="4D83E331" w14:textId="77777777" w:rsidR="003B46E3" w:rsidRPr="0068236B" w:rsidRDefault="003B46E3" w:rsidP="003B46E3">
            <w:pPr>
              <w:tabs>
                <w:tab w:val="center" w:pos="4320"/>
                <w:tab w:val="right" w:pos="8640"/>
              </w:tabs>
              <w:autoSpaceDE w:val="0"/>
              <w:autoSpaceDN w:val="0"/>
              <w:adjustRightInd w:val="0"/>
              <w:spacing w:before="0" w:after="0" w:line="240" w:lineRule="auto"/>
              <w:jc w:val="left"/>
              <w:rPr>
                <w:rFonts w:eastAsia="Calibri" w:cs="Tahoma"/>
                <w:sz w:val="20"/>
                <w:szCs w:val="20"/>
              </w:rPr>
            </w:pPr>
            <w:r w:rsidRPr="0068236B">
              <w:rPr>
                <w:rFonts w:eastAsia="Calibri" w:cs="Tahoma"/>
                <w:sz w:val="20"/>
                <w:szCs w:val="20"/>
              </w:rPr>
              <w:t>No detectable change to the environment</w:t>
            </w:r>
          </w:p>
        </w:tc>
        <w:tc>
          <w:tcPr>
            <w:tcW w:w="5245" w:type="dxa"/>
          </w:tcPr>
          <w:p w14:paraId="57AFBAD9" w14:textId="77777777" w:rsidR="003B46E3" w:rsidRPr="0068236B" w:rsidRDefault="003B46E3" w:rsidP="003B46E3">
            <w:pPr>
              <w:autoSpaceDE w:val="0"/>
              <w:autoSpaceDN w:val="0"/>
              <w:adjustRightInd w:val="0"/>
              <w:spacing w:before="0" w:after="0" w:line="240" w:lineRule="auto"/>
              <w:jc w:val="left"/>
              <w:rPr>
                <w:rFonts w:eastAsia="Calibri" w:cs="Tahoma"/>
                <w:sz w:val="20"/>
                <w:szCs w:val="20"/>
              </w:rPr>
            </w:pPr>
            <w:r w:rsidRPr="0068236B">
              <w:rPr>
                <w:rFonts w:cs="Tahoma"/>
                <w:bCs/>
                <w:iCs/>
                <w:sz w:val="20"/>
                <w:szCs w:val="20"/>
                <w:lang w:eastAsia="en-US"/>
              </w:rPr>
              <w:t>No impacts or neutral effects.</w:t>
            </w:r>
          </w:p>
        </w:tc>
      </w:tr>
      <w:tr w:rsidR="003B46E3" w:rsidRPr="0068236B" w14:paraId="075D071A" w14:textId="77777777" w:rsidTr="00EB5EEF">
        <w:tc>
          <w:tcPr>
            <w:tcW w:w="1276" w:type="dxa"/>
          </w:tcPr>
          <w:p w14:paraId="11738D13" w14:textId="77777777" w:rsidR="003B46E3" w:rsidRPr="0068236B" w:rsidRDefault="003B46E3" w:rsidP="003B46E3">
            <w:pPr>
              <w:tabs>
                <w:tab w:val="center" w:pos="4320"/>
                <w:tab w:val="right" w:pos="8640"/>
              </w:tabs>
              <w:spacing w:before="0" w:after="0" w:line="240" w:lineRule="auto"/>
              <w:jc w:val="left"/>
              <w:rPr>
                <w:rFonts w:eastAsia="Calibri" w:cs="Tahoma"/>
                <w:sz w:val="20"/>
                <w:szCs w:val="20"/>
              </w:rPr>
            </w:pPr>
            <w:r w:rsidRPr="0068236B">
              <w:rPr>
                <w:rFonts w:eastAsia="Calibri" w:cs="Tahoma"/>
                <w:sz w:val="20"/>
                <w:szCs w:val="20"/>
              </w:rPr>
              <w:t>Positive</w:t>
            </w:r>
          </w:p>
        </w:tc>
        <w:tc>
          <w:tcPr>
            <w:tcW w:w="2693" w:type="dxa"/>
          </w:tcPr>
          <w:p w14:paraId="18F7C814" w14:textId="77777777" w:rsidR="003B46E3" w:rsidRPr="0068236B" w:rsidRDefault="003B46E3" w:rsidP="003B46E3">
            <w:pPr>
              <w:tabs>
                <w:tab w:val="center" w:pos="4320"/>
                <w:tab w:val="right" w:pos="8640"/>
              </w:tabs>
              <w:autoSpaceDE w:val="0"/>
              <w:autoSpaceDN w:val="0"/>
              <w:adjustRightInd w:val="0"/>
              <w:spacing w:before="0" w:after="0" w:line="240" w:lineRule="auto"/>
              <w:jc w:val="left"/>
              <w:rPr>
                <w:rFonts w:eastAsia="Calibri" w:cs="Tahoma"/>
                <w:sz w:val="20"/>
                <w:szCs w:val="20"/>
              </w:rPr>
            </w:pPr>
            <w:r w:rsidRPr="0068236B">
              <w:rPr>
                <w:rFonts w:eastAsia="Calibri" w:cs="Tahoma"/>
                <w:sz w:val="20"/>
                <w:szCs w:val="20"/>
              </w:rPr>
              <w:t>Improvement of the bas</w:t>
            </w:r>
            <w:r w:rsidRPr="0068236B">
              <w:rPr>
                <w:rFonts w:eastAsia="Calibri" w:cs="Tahoma"/>
                <w:sz w:val="20"/>
                <w:szCs w:val="20"/>
              </w:rPr>
              <w:t>e</w:t>
            </w:r>
            <w:r w:rsidRPr="0068236B">
              <w:rPr>
                <w:rFonts w:eastAsia="Calibri" w:cs="Tahoma"/>
                <w:sz w:val="20"/>
                <w:szCs w:val="20"/>
              </w:rPr>
              <w:t>line</w:t>
            </w:r>
          </w:p>
        </w:tc>
        <w:tc>
          <w:tcPr>
            <w:tcW w:w="5245" w:type="dxa"/>
          </w:tcPr>
          <w:p w14:paraId="74C36740" w14:textId="77777777" w:rsidR="003B46E3" w:rsidRPr="0068236B" w:rsidRDefault="003B46E3" w:rsidP="003B46E3">
            <w:pPr>
              <w:autoSpaceDE w:val="0"/>
              <w:autoSpaceDN w:val="0"/>
              <w:adjustRightInd w:val="0"/>
              <w:spacing w:before="0" w:after="0" w:line="240" w:lineRule="auto"/>
              <w:jc w:val="left"/>
              <w:rPr>
                <w:rFonts w:cs="Tahoma"/>
                <w:bCs/>
                <w:iCs/>
                <w:sz w:val="20"/>
                <w:szCs w:val="20"/>
                <w:lang w:eastAsia="en-US"/>
              </w:rPr>
            </w:pPr>
            <w:r w:rsidRPr="0068236B">
              <w:rPr>
                <w:rFonts w:cs="Tahoma"/>
                <w:bCs/>
                <w:iCs/>
                <w:sz w:val="20"/>
                <w:szCs w:val="20"/>
                <w:lang w:eastAsia="en-US"/>
              </w:rPr>
              <w:t>Increase in biodiversity receptor / natural heritage value.</w:t>
            </w:r>
          </w:p>
        </w:tc>
      </w:tr>
    </w:tbl>
    <w:p w14:paraId="16E625DF" w14:textId="535819F1" w:rsidR="003B46E3" w:rsidRPr="0068236B" w:rsidRDefault="003B46E3" w:rsidP="00230397">
      <w:pPr>
        <w:pStyle w:val="Caption"/>
        <w:keepNext w:val="0"/>
        <w:widowControl w:val="0"/>
        <w:spacing w:after="240"/>
        <w:jc w:val="both"/>
        <w:rPr>
          <w:rFonts w:eastAsia="Calibri"/>
          <w:b w:val="0"/>
          <w:i/>
        </w:rPr>
      </w:pPr>
      <w:bookmarkStart w:id="495" w:name="_Toc80181276"/>
      <w:bookmarkStart w:id="496" w:name="_Toc113018231"/>
      <w:r w:rsidRPr="0068236B">
        <w:rPr>
          <w:b w:val="0"/>
        </w:rPr>
        <w:t xml:space="preserve">Table </w:t>
      </w:r>
      <w:r w:rsidRPr="0068236B">
        <w:rPr>
          <w:b w:val="0"/>
          <w:i/>
        </w:rPr>
        <w:fldChar w:fldCharType="begin"/>
      </w:r>
      <w:r w:rsidRPr="0068236B">
        <w:rPr>
          <w:b w:val="0"/>
        </w:rPr>
        <w:instrText xml:space="preserve"> STYLEREF 1 \s </w:instrText>
      </w:r>
      <w:r w:rsidRPr="0068236B">
        <w:rPr>
          <w:b w:val="0"/>
          <w:i/>
        </w:rPr>
        <w:fldChar w:fldCharType="separate"/>
      </w:r>
      <w:r w:rsidR="00FD57E6">
        <w:rPr>
          <w:b w:val="0"/>
          <w:noProof/>
        </w:rPr>
        <w:t>8</w:t>
      </w:r>
      <w:r w:rsidRPr="0068236B">
        <w:rPr>
          <w:b w:val="0"/>
          <w:i/>
        </w:rPr>
        <w:fldChar w:fldCharType="end"/>
      </w:r>
      <w:r w:rsidRPr="0068236B">
        <w:rPr>
          <w:b w:val="0"/>
        </w:rPr>
        <w:t>.</w:t>
      </w:r>
      <w:r w:rsidRPr="0068236B">
        <w:rPr>
          <w:b w:val="0"/>
          <w:i/>
        </w:rPr>
        <w:fldChar w:fldCharType="begin"/>
      </w:r>
      <w:r w:rsidRPr="0068236B">
        <w:rPr>
          <w:b w:val="0"/>
        </w:rPr>
        <w:instrText xml:space="preserve"> SEQ Table \* ARABIC \s 1 </w:instrText>
      </w:r>
      <w:r w:rsidRPr="0068236B">
        <w:rPr>
          <w:b w:val="0"/>
          <w:i/>
        </w:rPr>
        <w:fldChar w:fldCharType="separate"/>
      </w:r>
      <w:r w:rsidR="00FD57E6">
        <w:rPr>
          <w:b w:val="0"/>
          <w:noProof/>
        </w:rPr>
        <w:t>35</w:t>
      </w:r>
      <w:r w:rsidRPr="0068236B">
        <w:rPr>
          <w:b w:val="0"/>
          <w:i/>
        </w:rPr>
        <w:fldChar w:fldCharType="end"/>
      </w:r>
      <w:r w:rsidR="005F774D" w:rsidRPr="0068236B">
        <w:rPr>
          <w:rFonts w:eastAsia="Calibri"/>
          <w:b w:val="0"/>
        </w:rPr>
        <w:t xml:space="preserve">: </w:t>
      </w:r>
      <w:r w:rsidRPr="0068236B">
        <w:rPr>
          <w:rFonts w:eastAsia="Calibri"/>
          <w:b w:val="0"/>
        </w:rPr>
        <w:t xml:space="preserve">Matrix of significance categories for potential impacts on biodiversity receptors </w:t>
      </w:r>
      <w:r w:rsidRPr="0068236B">
        <w:rPr>
          <w:rFonts w:cs="Tahoma"/>
          <w:b w:val="0"/>
        </w:rPr>
        <w:t>and natural heritage</w:t>
      </w:r>
      <w:bookmarkEnd w:id="495"/>
      <w:bookmarkEnd w:id="496"/>
    </w:p>
    <w:p w14:paraId="1647A30C" w14:textId="1520E8C7" w:rsidR="003B46E3" w:rsidRPr="0068236B" w:rsidRDefault="003B46E3" w:rsidP="003B46E3">
      <w:pPr>
        <w:pStyle w:val="ListBullet2"/>
        <w:numPr>
          <w:ilvl w:val="0"/>
          <w:numId w:val="0"/>
        </w:numPr>
        <w:contextualSpacing w:val="0"/>
        <w:jc w:val="both"/>
        <w:rPr>
          <w:sz w:val="20"/>
        </w:rPr>
      </w:pPr>
      <w:r w:rsidRPr="0068236B">
        <w:rPr>
          <w:rFonts w:cs="Arial"/>
          <w:sz w:val="20"/>
          <w:szCs w:val="20"/>
        </w:rPr>
        <w:lastRenderedPageBreak/>
        <w:t xml:space="preserve">For the purpose of this </w:t>
      </w:r>
      <w:r w:rsidR="00DF56C1" w:rsidRPr="0068236B">
        <w:rPr>
          <w:rFonts w:cs="Arial"/>
          <w:sz w:val="20"/>
          <w:szCs w:val="20"/>
        </w:rPr>
        <w:t>assessment</w:t>
      </w:r>
      <w:r w:rsidRPr="0068236B">
        <w:rPr>
          <w:rFonts w:cs="Arial"/>
          <w:sz w:val="20"/>
          <w:szCs w:val="20"/>
        </w:rPr>
        <w:t xml:space="preserve">, a </w:t>
      </w:r>
      <w:r w:rsidRPr="0068236B">
        <w:rPr>
          <w:rFonts w:cs="Arial"/>
          <w:iCs/>
          <w:sz w:val="20"/>
          <w:szCs w:val="20"/>
        </w:rPr>
        <w:t xml:space="preserve">significant effect </w:t>
      </w:r>
      <w:r w:rsidRPr="0068236B">
        <w:rPr>
          <w:rFonts w:cs="Arial"/>
          <w:sz w:val="20"/>
          <w:szCs w:val="20"/>
        </w:rPr>
        <w:t xml:space="preserve">on the biodiversity values is any impact of moderate or major significance. </w:t>
      </w:r>
    </w:p>
    <w:p w14:paraId="5546BE54" w14:textId="77777777" w:rsidR="003B46E3" w:rsidRPr="0068236B" w:rsidRDefault="003B46E3" w:rsidP="003B46E3">
      <w:pPr>
        <w:pStyle w:val="Heading3"/>
        <w:spacing w:line="240" w:lineRule="auto"/>
        <w:ind w:left="993" w:hanging="993"/>
      </w:pPr>
      <w:bookmarkStart w:id="497" w:name="_Toc80181172"/>
      <w:bookmarkStart w:id="498" w:name="_Toc112852291"/>
      <w:r w:rsidRPr="0068236B">
        <w:t>Potential Impacts</w:t>
      </w:r>
      <w:bookmarkEnd w:id="497"/>
      <w:bookmarkEnd w:id="498"/>
    </w:p>
    <w:p w14:paraId="1600747C" w14:textId="77777777" w:rsidR="003B46E3" w:rsidRPr="0068236B" w:rsidRDefault="003B46E3" w:rsidP="003B46E3">
      <w:pPr>
        <w:pStyle w:val="Heading4"/>
        <w:spacing w:line="240" w:lineRule="auto"/>
        <w:ind w:hanging="1091"/>
        <w:rPr>
          <w:rFonts w:cs="Arial"/>
          <w:sz w:val="20"/>
        </w:rPr>
      </w:pPr>
      <w:r w:rsidRPr="0068236B">
        <w:rPr>
          <w:rFonts w:cs="Arial"/>
          <w:sz w:val="20"/>
        </w:rPr>
        <w:t>Construction</w:t>
      </w:r>
    </w:p>
    <w:p w14:paraId="14C9A7B7" w14:textId="77777777" w:rsidR="00DF56C1" w:rsidRPr="0068236B" w:rsidRDefault="00DF56C1" w:rsidP="00DF56C1">
      <w:pPr>
        <w:autoSpaceDE w:val="0"/>
        <w:autoSpaceDN w:val="0"/>
        <w:adjustRightInd w:val="0"/>
        <w:rPr>
          <w:rFonts w:cs="Tahoma"/>
          <w:sz w:val="20"/>
          <w:szCs w:val="20"/>
          <w:lang w:eastAsia="en-US"/>
        </w:rPr>
      </w:pPr>
      <w:r w:rsidRPr="0068236B">
        <w:rPr>
          <w:rFonts w:cs="Tahoma"/>
          <w:sz w:val="20"/>
          <w:szCs w:val="20"/>
          <w:lang w:eastAsia="en-US"/>
        </w:rPr>
        <w:t>The principle potential impacts on the biodiversity receptors during the construction phase of the Project include:</w:t>
      </w:r>
    </w:p>
    <w:p w14:paraId="1733CC28" w14:textId="20E87584" w:rsidR="00DF56C1" w:rsidRPr="0068236B" w:rsidRDefault="00DF56C1" w:rsidP="00FB6123">
      <w:pPr>
        <w:pStyle w:val="ListBullet"/>
        <w:spacing w:before="120" w:after="120"/>
        <w:jc w:val="left"/>
        <w:rPr>
          <w:sz w:val="20"/>
        </w:rPr>
      </w:pPr>
      <w:r w:rsidRPr="0068236B">
        <w:rPr>
          <w:sz w:val="20"/>
        </w:rPr>
        <w:t>Loss of terrestrial habitats - direct destruction and alteration of habitats as a result of land take requirements (including access roads and other auxiliary elements) – due to site clearance for construction of the substation and the towers (footprint of towers) and habitat conversion at the substation site and beneath OHL conductors (creation of a clearance corridor).</w:t>
      </w:r>
      <w:r w:rsidR="0019193C" w:rsidRPr="0068236B">
        <w:rPr>
          <w:sz w:val="20"/>
        </w:rPr>
        <w:t xml:space="preserve"> In total, the clearance will be made on a surface of at most 6.2 ha</w:t>
      </w:r>
      <w:r w:rsidR="0019193C" w:rsidRPr="0068236B">
        <w:rPr>
          <w:rStyle w:val="FootnoteReference"/>
          <w:sz w:val="20"/>
        </w:rPr>
        <w:footnoteReference w:id="124"/>
      </w:r>
      <w:r w:rsidR="0019193C" w:rsidRPr="0068236B">
        <w:rPr>
          <w:sz w:val="20"/>
        </w:rPr>
        <w:t>.</w:t>
      </w:r>
      <w:r w:rsidRPr="0068236B">
        <w:rPr>
          <w:sz w:val="20"/>
        </w:rPr>
        <w:t xml:space="preserve"> Due to its irreversibility, this is consi</w:t>
      </w:r>
      <w:r w:rsidRPr="0068236B">
        <w:rPr>
          <w:sz w:val="20"/>
        </w:rPr>
        <w:t>d</w:t>
      </w:r>
      <w:r w:rsidRPr="0068236B">
        <w:rPr>
          <w:sz w:val="20"/>
        </w:rPr>
        <w:t>ered as the key impact on the biodiversity. The significance of this impact for the Projects as a whole is assessed as minor due the low sensitivity of the habitats (dominantly rural and agricu</w:t>
      </w:r>
      <w:r w:rsidRPr="0068236B">
        <w:rPr>
          <w:sz w:val="20"/>
        </w:rPr>
        <w:t>l</w:t>
      </w:r>
      <w:r w:rsidRPr="0068236B">
        <w:rPr>
          <w:sz w:val="20"/>
        </w:rPr>
        <w:t xml:space="preserve">tural areas) and low impact magnitude - small affected area for </w:t>
      </w:r>
      <w:r w:rsidR="00FB6123" w:rsidRPr="0068236B">
        <w:rPr>
          <w:sz w:val="20"/>
        </w:rPr>
        <w:t xml:space="preserve">the Project </w:t>
      </w:r>
      <w:r w:rsidRPr="0068236B">
        <w:rPr>
          <w:sz w:val="20"/>
        </w:rPr>
        <w:t xml:space="preserve">footprint </w:t>
      </w:r>
      <w:r w:rsidR="0019193C" w:rsidRPr="0068236B">
        <w:rPr>
          <w:sz w:val="20"/>
        </w:rPr>
        <w:t xml:space="preserve">(6.2 ha) </w:t>
      </w:r>
      <w:r w:rsidRPr="0068236B">
        <w:rPr>
          <w:sz w:val="20"/>
          <w:szCs w:val="20"/>
        </w:rPr>
        <w:t xml:space="preserve">over a limited area in vicinity of the Project. That would not imply material change to the wider region. </w:t>
      </w:r>
    </w:p>
    <w:p w14:paraId="392BE89B" w14:textId="3A94B2CF" w:rsidR="00DF56C1" w:rsidRPr="0068236B" w:rsidRDefault="00DF56C1" w:rsidP="00FB6123">
      <w:pPr>
        <w:pStyle w:val="ListBullet"/>
        <w:numPr>
          <w:ilvl w:val="0"/>
          <w:numId w:val="0"/>
        </w:numPr>
        <w:spacing w:before="120" w:after="120"/>
        <w:ind w:left="1134"/>
        <w:jc w:val="left"/>
        <w:rPr>
          <w:sz w:val="20"/>
          <w:szCs w:val="20"/>
        </w:rPr>
      </w:pPr>
      <w:r w:rsidRPr="0068236B">
        <w:rPr>
          <w:sz w:val="20"/>
          <w:szCs w:val="20"/>
        </w:rPr>
        <w:t xml:space="preserve">However, special attention should be paid to natural habitats and to habitats of international importance in the area of Vardar </w:t>
      </w:r>
      <w:r w:rsidR="00FB6123" w:rsidRPr="0068236B">
        <w:rPr>
          <w:sz w:val="20"/>
          <w:szCs w:val="20"/>
        </w:rPr>
        <w:t>R</w:t>
      </w:r>
      <w:r w:rsidRPr="0068236B">
        <w:rPr>
          <w:sz w:val="20"/>
          <w:szCs w:val="20"/>
        </w:rPr>
        <w:t>iver (Table below), considered as most sensitive habitats a</w:t>
      </w:r>
      <w:r w:rsidRPr="0068236B">
        <w:rPr>
          <w:sz w:val="20"/>
          <w:szCs w:val="20"/>
        </w:rPr>
        <w:t>f</w:t>
      </w:r>
      <w:r w:rsidRPr="0068236B">
        <w:rPr>
          <w:sz w:val="20"/>
          <w:szCs w:val="20"/>
        </w:rPr>
        <w:t>fected by the Project: Riparian belts and woodlands with Willow and Ash (</w:t>
      </w:r>
      <w:r w:rsidRPr="0068236B">
        <w:rPr>
          <w:rFonts w:cs="Tahoma"/>
          <w:sz w:val="20"/>
          <w:szCs w:val="20"/>
        </w:rPr>
        <w:t xml:space="preserve">92A0 </w:t>
      </w:r>
      <w:r w:rsidRPr="00027777">
        <w:rPr>
          <w:rFonts w:cs="Tahoma"/>
          <w:i/>
          <w:sz w:val="20"/>
          <w:szCs w:val="20"/>
        </w:rPr>
        <w:t>Salix alba</w:t>
      </w:r>
      <w:r w:rsidRPr="0068236B">
        <w:rPr>
          <w:rFonts w:cs="Tahoma"/>
          <w:sz w:val="20"/>
          <w:szCs w:val="20"/>
        </w:rPr>
        <w:t xml:space="preserve"> and </w:t>
      </w:r>
      <w:r w:rsidRPr="00027777">
        <w:rPr>
          <w:rFonts w:cs="Tahoma"/>
          <w:i/>
          <w:sz w:val="20"/>
          <w:szCs w:val="20"/>
        </w:rPr>
        <w:t>Populus alba</w:t>
      </w:r>
      <w:r w:rsidRPr="0068236B">
        <w:rPr>
          <w:rFonts w:cs="Tahoma"/>
          <w:sz w:val="20"/>
          <w:szCs w:val="20"/>
        </w:rPr>
        <w:t xml:space="preserve"> galleries).</w:t>
      </w:r>
    </w:p>
    <w:p w14:paraId="6487667C" w14:textId="77777777" w:rsidR="00DF56C1" w:rsidRPr="0068236B" w:rsidRDefault="00DF56C1" w:rsidP="00FB6123">
      <w:pPr>
        <w:pStyle w:val="ListBullet"/>
        <w:numPr>
          <w:ilvl w:val="0"/>
          <w:numId w:val="0"/>
        </w:numPr>
        <w:spacing w:before="120" w:after="120"/>
        <w:ind w:left="1134"/>
        <w:jc w:val="left"/>
        <w:rPr>
          <w:sz w:val="20"/>
        </w:rPr>
      </w:pPr>
      <w:r w:rsidRPr="0068236B">
        <w:rPr>
          <w:sz w:val="20"/>
        </w:rPr>
        <w:t>Due to their medium to high sensitivity, the significance of the impact on these habitats (ripar</w:t>
      </w:r>
      <w:r w:rsidRPr="0068236B">
        <w:rPr>
          <w:sz w:val="20"/>
        </w:rPr>
        <w:t>i</w:t>
      </w:r>
      <w:r w:rsidRPr="0068236B">
        <w:rPr>
          <w:sz w:val="20"/>
        </w:rPr>
        <w:t xml:space="preserve">an vegetation, sandstone cliffs, aquatic habitats) is assessed as moderate - </w:t>
      </w:r>
      <w:r w:rsidRPr="0068236B">
        <w:rPr>
          <w:rFonts w:eastAsia="Calibri" w:cs="Tahoma"/>
          <w:sz w:val="20"/>
        </w:rPr>
        <w:t>material but non-fundamental change to the environment</w:t>
      </w:r>
      <w:r w:rsidRPr="0068236B">
        <w:rPr>
          <w:sz w:val="20"/>
        </w:rPr>
        <w:t>. The summary of these impacts is presented in the T</w:t>
      </w:r>
      <w:r w:rsidRPr="0068236B">
        <w:rPr>
          <w:sz w:val="20"/>
        </w:rPr>
        <w:t>a</w:t>
      </w:r>
      <w:r w:rsidRPr="0068236B">
        <w:rPr>
          <w:sz w:val="20"/>
        </w:rPr>
        <w:t>ble below.</w:t>
      </w:r>
    </w:p>
    <w:tbl>
      <w:tblPr>
        <w:tblW w:w="9872"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28" w:type="dxa"/>
          <w:right w:w="57" w:type="dxa"/>
        </w:tblCellMar>
        <w:tblLook w:val="04A0" w:firstRow="1" w:lastRow="0" w:firstColumn="1" w:lastColumn="0" w:noHBand="0" w:noVBand="1"/>
      </w:tblPr>
      <w:tblGrid>
        <w:gridCol w:w="2188"/>
        <w:gridCol w:w="2516"/>
        <w:gridCol w:w="1028"/>
        <w:gridCol w:w="4140"/>
      </w:tblGrid>
      <w:tr w:rsidR="00FB6123" w:rsidRPr="0068236B" w14:paraId="2FEBE814" w14:textId="77777777" w:rsidTr="00FB6123">
        <w:tc>
          <w:tcPr>
            <w:tcW w:w="2188" w:type="dxa"/>
            <w:tcBorders>
              <w:top w:val="double" w:sz="4" w:space="0" w:color="auto"/>
              <w:bottom w:val="double" w:sz="4" w:space="0" w:color="auto"/>
              <w:right w:val="double" w:sz="4" w:space="0" w:color="auto"/>
            </w:tcBorders>
            <w:shd w:val="clear" w:color="auto" w:fill="B4C6E7" w:themeFill="accent1" w:themeFillTint="66"/>
            <w:vAlign w:val="center"/>
          </w:tcPr>
          <w:p w14:paraId="008E9519" w14:textId="77777777" w:rsidR="00FB6123" w:rsidRPr="0068236B" w:rsidRDefault="00FB6123" w:rsidP="0042317A">
            <w:pPr>
              <w:autoSpaceDE w:val="0"/>
              <w:autoSpaceDN w:val="0"/>
              <w:adjustRightInd w:val="0"/>
              <w:spacing w:before="0" w:after="0" w:line="240" w:lineRule="auto"/>
              <w:ind w:left="57"/>
              <w:jc w:val="center"/>
              <w:rPr>
                <w:rFonts w:cs="Arial"/>
                <w:sz w:val="20"/>
                <w:szCs w:val="20"/>
              </w:rPr>
            </w:pPr>
            <w:r w:rsidRPr="0068236B">
              <w:rPr>
                <w:sz w:val="20"/>
                <w:szCs w:val="20"/>
              </w:rPr>
              <w:t>Site</w:t>
            </w:r>
          </w:p>
        </w:tc>
        <w:tc>
          <w:tcPr>
            <w:tcW w:w="2516" w:type="dxa"/>
            <w:tcBorders>
              <w:top w:val="double" w:sz="4" w:space="0" w:color="auto"/>
              <w:left w:val="double" w:sz="4" w:space="0" w:color="auto"/>
              <w:bottom w:val="double" w:sz="4" w:space="0" w:color="auto"/>
            </w:tcBorders>
            <w:shd w:val="clear" w:color="auto" w:fill="B4C6E7" w:themeFill="accent1" w:themeFillTint="66"/>
            <w:vAlign w:val="center"/>
          </w:tcPr>
          <w:p w14:paraId="78FA9008" w14:textId="77777777" w:rsidR="00FB6123" w:rsidRPr="0068236B" w:rsidRDefault="00FB6123" w:rsidP="0042317A">
            <w:pPr>
              <w:autoSpaceDE w:val="0"/>
              <w:autoSpaceDN w:val="0"/>
              <w:adjustRightInd w:val="0"/>
              <w:spacing w:before="0" w:after="0" w:line="240" w:lineRule="auto"/>
              <w:ind w:left="57"/>
              <w:jc w:val="center"/>
              <w:rPr>
                <w:rFonts w:cs="Arial"/>
                <w:sz w:val="20"/>
                <w:szCs w:val="20"/>
              </w:rPr>
            </w:pPr>
            <w:r w:rsidRPr="0068236B">
              <w:rPr>
                <w:sz w:val="20"/>
                <w:szCs w:val="20"/>
              </w:rPr>
              <w:t>Habitat</w:t>
            </w:r>
          </w:p>
        </w:tc>
        <w:tc>
          <w:tcPr>
            <w:tcW w:w="1028" w:type="dxa"/>
            <w:tcBorders>
              <w:top w:val="double" w:sz="4" w:space="0" w:color="auto"/>
              <w:left w:val="double" w:sz="4" w:space="0" w:color="auto"/>
              <w:bottom w:val="double" w:sz="4" w:space="0" w:color="auto"/>
            </w:tcBorders>
            <w:shd w:val="clear" w:color="auto" w:fill="B4C6E7" w:themeFill="accent1" w:themeFillTint="66"/>
            <w:vAlign w:val="center"/>
          </w:tcPr>
          <w:p w14:paraId="4C065244" w14:textId="77777777" w:rsidR="00DD1068" w:rsidRPr="0068236B" w:rsidRDefault="00FB6123" w:rsidP="0042317A">
            <w:pPr>
              <w:autoSpaceDE w:val="0"/>
              <w:autoSpaceDN w:val="0"/>
              <w:adjustRightInd w:val="0"/>
              <w:spacing w:before="0" w:after="0" w:line="240" w:lineRule="auto"/>
              <w:ind w:left="57"/>
              <w:jc w:val="center"/>
              <w:rPr>
                <w:sz w:val="20"/>
                <w:szCs w:val="20"/>
              </w:rPr>
            </w:pPr>
            <w:r w:rsidRPr="0068236B">
              <w:rPr>
                <w:sz w:val="20"/>
                <w:szCs w:val="20"/>
              </w:rPr>
              <w:t>Length</w:t>
            </w:r>
            <w:r w:rsidR="0019193C" w:rsidRPr="0068236B">
              <w:rPr>
                <w:sz w:val="20"/>
                <w:szCs w:val="20"/>
              </w:rPr>
              <w:t xml:space="preserve"> of river</w:t>
            </w:r>
          </w:p>
          <w:p w14:paraId="3F748CB3" w14:textId="298ECC3A" w:rsidR="00FB6123" w:rsidRPr="0068236B" w:rsidRDefault="0019193C" w:rsidP="0042317A">
            <w:pPr>
              <w:autoSpaceDE w:val="0"/>
              <w:autoSpaceDN w:val="0"/>
              <w:adjustRightInd w:val="0"/>
              <w:spacing w:before="0" w:after="0" w:line="240" w:lineRule="auto"/>
              <w:ind w:left="57"/>
              <w:jc w:val="center"/>
              <w:rPr>
                <w:rFonts w:cs="Arial"/>
                <w:sz w:val="20"/>
                <w:szCs w:val="20"/>
              </w:rPr>
            </w:pPr>
            <w:r w:rsidRPr="0068236B">
              <w:rPr>
                <w:sz w:val="20"/>
                <w:szCs w:val="20"/>
              </w:rPr>
              <w:t>crossing</w:t>
            </w:r>
          </w:p>
        </w:tc>
        <w:tc>
          <w:tcPr>
            <w:tcW w:w="4140" w:type="dxa"/>
            <w:tcBorders>
              <w:top w:val="double" w:sz="4" w:space="0" w:color="auto"/>
              <w:left w:val="double" w:sz="4" w:space="0" w:color="auto"/>
              <w:bottom w:val="double" w:sz="4" w:space="0" w:color="auto"/>
            </w:tcBorders>
            <w:shd w:val="clear" w:color="auto" w:fill="B4C6E7" w:themeFill="accent1" w:themeFillTint="66"/>
            <w:vAlign w:val="center"/>
          </w:tcPr>
          <w:p w14:paraId="754695C0" w14:textId="77777777" w:rsidR="00FB6123" w:rsidRPr="0068236B" w:rsidRDefault="00FB6123" w:rsidP="0042317A">
            <w:pPr>
              <w:autoSpaceDE w:val="0"/>
              <w:autoSpaceDN w:val="0"/>
              <w:adjustRightInd w:val="0"/>
              <w:spacing w:before="0" w:after="0" w:line="240" w:lineRule="auto"/>
              <w:ind w:left="57"/>
              <w:jc w:val="center"/>
              <w:rPr>
                <w:rFonts w:cs="Arial"/>
                <w:sz w:val="20"/>
                <w:szCs w:val="20"/>
              </w:rPr>
            </w:pPr>
            <w:r w:rsidRPr="0068236B">
              <w:rPr>
                <w:sz w:val="20"/>
                <w:szCs w:val="20"/>
              </w:rPr>
              <w:t>Specific impacts</w:t>
            </w:r>
          </w:p>
        </w:tc>
      </w:tr>
      <w:tr w:rsidR="00FB6123" w:rsidRPr="0068236B" w14:paraId="2431E07E" w14:textId="77777777" w:rsidTr="00FB6123">
        <w:tc>
          <w:tcPr>
            <w:tcW w:w="2188" w:type="dxa"/>
          </w:tcPr>
          <w:p w14:paraId="08330E60" w14:textId="77777777" w:rsidR="00FB6123" w:rsidRPr="0068236B" w:rsidRDefault="00FB6123" w:rsidP="0042317A">
            <w:pPr>
              <w:autoSpaceDE w:val="0"/>
              <w:autoSpaceDN w:val="0"/>
              <w:adjustRightInd w:val="0"/>
              <w:spacing w:before="0" w:after="0" w:line="240" w:lineRule="auto"/>
              <w:ind w:left="57"/>
              <w:jc w:val="left"/>
              <w:rPr>
                <w:rFonts w:cs="Arial"/>
                <w:sz w:val="20"/>
                <w:szCs w:val="20"/>
              </w:rPr>
            </w:pPr>
            <w:r w:rsidRPr="0068236B">
              <w:rPr>
                <w:sz w:val="20"/>
                <w:szCs w:val="20"/>
              </w:rPr>
              <w:t>Crossing over Vardar</w:t>
            </w:r>
          </w:p>
        </w:tc>
        <w:tc>
          <w:tcPr>
            <w:tcW w:w="2516" w:type="dxa"/>
          </w:tcPr>
          <w:p w14:paraId="29BB3AD0" w14:textId="77777777" w:rsidR="00FB6123" w:rsidRPr="0068236B" w:rsidRDefault="00FB6123" w:rsidP="0042317A">
            <w:pPr>
              <w:autoSpaceDE w:val="0"/>
              <w:autoSpaceDN w:val="0"/>
              <w:adjustRightInd w:val="0"/>
              <w:spacing w:before="0" w:after="0" w:line="240" w:lineRule="auto"/>
              <w:ind w:left="57"/>
              <w:jc w:val="left"/>
              <w:rPr>
                <w:rFonts w:cs="Arial"/>
                <w:sz w:val="20"/>
                <w:szCs w:val="20"/>
              </w:rPr>
            </w:pPr>
            <w:r w:rsidRPr="0068236B">
              <w:rPr>
                <w:rFonts w:cs="Tahoma"/>
                <w:sz w:val="20"/>
                <w:szCs w:val="20"/>
              </w:rPr>
              <w:t>92A0 Salix alba and Pop</w:t>
            </w:r>
            <w:r w:rsidRPr="0068236B">
              <w:rPr>
                <w:rFonts w:cs="Tahoma"/>
                <w:sz w:val="20"/>
                <w:szCs w:val="20"/>
              </w:rPr>
              <w:t>u</w:t>
            </w:r>
            <w:r w:rsidRPr="0068236B">
              <w:rPr>
                <w:rFonts w:cs="Tahoma"/>
                <w:sz w:val="20"/>
                <w:szCs w:val="20"/>
              </w:rPr>
              <w:t>lus alba galleries</w:t>
            </w:r>
          </w:p>
        </w:tc>
        <w:tc>
          <w:tcPr>
            <w:tcW w:w="1028" w:type="dxa"/>
          </w:tcPr>
          <w:p w14:paraId="0ECC1169" w14:textId="6A14C4FF" w:rsidR="00FB6123" w:rsidRPr="0068236B" w:rsidRDefault="00FB6123" w:rsidP="0042317A">
            <w:pPr>
              <w:autoSpaceDE w:val="0"/>
              <w:autoSpaceDN w:val="0"/>
              <w:adjustRightInd w:val="0"/>
              <w:spacing w:before="0" w:after="0" w:line="240" w:lineRule="auto"/>
              <w:jc w:val="center"/>
              <w:rPr>
                <w:rFonts w:cs="Arial"/>
                <w:sz w:val="20"/>
                <w:szCs w:val="20"/>
              </w:rPr>
            </w:pPr>
            <w:r w:rsidRPr="0068236B">
              <w:rPr>
                <w:sz w:val="20"/>
                <w:szCs w:val="20"/>
              </w:rPr>
              <w:t>cca 35 m</w:t>
            </w:r>
          </w:p>
        </w:tc>
        <w:tc>
          <w:tcPr>
            <w:tcW w:w="4140" w:type="dxa"/>
          </w:tcPr>
          <w:p w14:paraId="45C4A670" w14:textId="3762BE28" w:rsidR="00FB6123" w:rsidRPr="0068236B" w:rsidRDefault="00FB6123" w:rsidP="00FB6123">
            <w:pPr>
              <w:autoSpaceDE w:val="0"/>
              <w:autoSpaceDN w:val="0"/>
              <w:adjustRightInd w:val="0"/>
              <w:spacing w:before="0" w:after="0" w:line="240" w:lineRule="auto"/>
              <w:ind w:left="57"/>
              <w:jc w:val="left"/>
              <w:rPr>
                <w:rFonts w:cs="Arial"/>
                <w:sz w:val="20"/>
                <w:szCs w:val="20"/>
              </w:rPr>
            </w:pPr>
            <w:r w:rsidRPr="0068236B">
              <w:rPr>
                <w:sz w:val="20"/>
                <w:szCs w:val="20"/>
              </w:rPr>
              <w:t>No habitat loss is expected. Possible veget</w:t>
            </w:r>
            <w:r w:rsidRPr="0068236B">
              <w:rPr>
                <w:sz w:val="20"/>
                <w:szCs w:val="20"/>
              </w:rPr>
              <w:t>a</w:t>
            </w:r>
            <w:r w:rsidRPr="0068236B">
              <w:rPr>
                <w:sz w:val="20"/>
                <w:szCs w:val="20"/>
              </w:rPr>
              <w:t>tion clearance beneath OHL conductors.</w:t>
            </w:r>
          </w:p>
        </w:tc>
      </w:tr>
    </w:tbl>
    <w:p w14:paraId="1F1A5724" w14:textId="49396BFE" w:rsidR="003B46E3" w:rsidRPr="0068236B" w:rsidRDefault="003B46E3" w:rsidP="00FB6123">
      <w:pPr>
        <w:pStyle w:val="Caption"/>
        <w:spacing w:after="240" w:line="240" w:lineRule="auto"/>
        <w:jc w:val="left"/>
        <w:rPr>
          <w:rFonts w:eastAsia="Calibri"/>
          <w:b w:val="0"/>
          <w:szCs w:val="20"/>
        </w:rPr>
      </w:pPr>
      <w:bookmarkStart w:id="499" w:name="_Toc80181277"/>
      <w:bookmarkStart w:id="500" w:name="_Toc113018232"/>
      <w:r w:rsidRPr="0068236B">
        <w:rPr>
          <w:b w:val="0"/>
          <w:szCs w:val="20"/>
        </w:rPr>
        <w:t xml:space="preserve">Table </w:t>
      </w:r>
      <w:r w:rsidRPr="0068236B">
        <w:rPr>
          <w:b w:val="0"/>
          <w:i/>
          <w:szCs w:val="20"/>
        </w:rPr>
        <w:fldChar w:fldCharType="begin"/>
      </w:r>
      <w:r w:rsidRPr="0068236B">
        <w:rPr>
          <w:b w:val="0"/>
          <w:szCs w:val="20"/>
        </w:rPr>
        <w:instrText xml:space="preserve"> STYLEREF 1 \s </w:instrText>
      </w:r>
      <w:r w:rsidRPr="0068236B">
        <w:rPr>
          <w:b w:val="0"/>
          <w:i/>
          <w:szCs w:val="20"/>
        </w:rPr>
        <w:fldChar w:fldCharType="separate"/>
      </w:r>
      <w:r w:rsidR="00FD57E6">
        <w:rPr>
          <w:b w:val="0"/>
          <w:noProof/>
          <w:szCs w:val="20"/>
        </w:rPr>
        <w:t>8</w:t>
      </w:r>
      <w:r w:rsidRPr="0068236B">
        <w:rPr>
          <w:b w:val="0"/>
          <w:i/>
          <w:szCs w:val="20"/>
        </w:rPr>
        <w:fldChar w:fldCharType="end"/>
      </w:r>
      <w:r w:rsidRPr="0068236B">
        <w:rPr>
          <w:b w:val="0"/>
          <w:i/>
          <w:szCs w:val="20"/>
        </w:rPr>
        <w:t>.</w:t>
      </w:r>
      <w:r w:rsidRPr="0068236B">
        <w:rPr>
          <w:b w:val="0"/>
          <w:i/>
          <w:szCs w:val="20"/>
        </w:rPr>
        <w:fldChar w:fldCharType="begin"/>
      </w:r>
      <w:r w:rsidRPr="0068236B">
        <w:rPr>
          <w:b w:val="0"/>
          <w:szCs w:val="20"/>
        </w:rPr>
        <w:instrText xml:space="preserve"> SEQ Table \* ARABIC \s 1 </w:instrText>
      </w:r>
      <w:r w:rsidRPr="0068236B">
        <w:rPr>
          <w:b w:val="0"/>
          <w:i/>
          <w:szCs w:val="20"/>
        </w:rPr>
        <w:fldChar w:fldCharType="separate"/>
      </w:r>
      <w:r w:rsidR="00FD57E6">
        <w:rPr>
          <w:b w:val="0"/>
          <w:noProof/>
          <w:szCs w:val="20"/>
        </w:rPr>
        <w:t>36</w:t>
      </w:r>
      <w:r w:rsidRPr="0068236B">
        <w:rPr>
          <w:b w:val="0"/>
          <w:i/>
          <w:szCs w:val="20"/>
        </w:rPr>
        <w:fldChar w:fldCharType="end"/>
      </w:r>
      <w:r w:rsidR="00E7643A" w:rsidRPr="0068236B">
        <w:rPr>
          <w:rFonts w:eastAsia="Calibri"/>
          <w:b w:val="0"/>
          <w:szCs w:val="20"/>
        </w:rPr>
        <w:t>:</w:t>
      </w:r>
      <w:r w:rsidR="00FB6123" w:rsidRPr="0068236B">
        <w:rPr>
          <w:rFonts w:eastAsia="Calibri"/>
          <w:b w:val="0"/>
          <w:szCs w:val="20"/>
        </w:rPr>
        <w:t xml:space="preserve"> Summary of impacts to sensitive sites</w:t>
      </w:r>
      <w:bookmarkEnd w:id="499"/>
      <w:r w:rsidR="00FB6123" w:rsidRPr="0068236B">
        <w:rPr>
          <w:rFonts w:eastAsia="Calibri"/>
          <w:b w:val="0"/>
          <w:szCs w:val="20"/>
        </w:rPr>
        <w:t xml:space="preserve"> (crossing </w:t>
      </w:r>
      <w:r w:rsidR="005E6643" w:rsidRPr="0068236B">
        <w:rPr>
          <w:rFonts w:eastAsia="Calibri"/>
          <w:b w:val="0"/>
          <w:szCs w:val="20"/>
        </w:rPr>
        <w:t>over</w:t>
      </w:r>
      <w:r w:rsidR="00FB6123" w:rsidRPr="0068236B">
        <w:rPr>
          <w:rFonts w:eastAsia="Calibri"/>
          <w:b w:val="0"/>
          <w:szCs w:val="20"/>
        </w:rPr>
        <w:t xml:space="preserve"> Vardar River)</w:t>
      </w:r>
      <w:bookmarkEnd w:id="500"/>
    </w:p>
    <w:p w14:paraId="2FD1C847" w14:textId="77777777" w:rsidR="00FB6123" w:rsidRPr="0068236B" w:rsidRDefault="00FB6123" w:rsidP="00FB6123">
      <w:pPr>
        <w:pStyle w:val="ListBullet"/>
        <w:spacing w:before="120" w:after="120"/>
        <w:jc w:val="left"/>
        <w:rPr>
          <w:sz w:val="20"/>
        </w:rPr>
      </w:pPr>
      <w:r w:rsidRPr="0068236B">
        <w:rPr>
          <w:sz w:val="20"/>
        </w:rPr>
        <w:t>Habitat disturbance due to construction transport and operation of machinery</w:t>
      </w:r>
    </w:p>
    <w:p w14:paraId="1DFD0EDB" w14:textId="06174C7E" w:rsidR="00FB6123" w:rsidRPr="0068236B" w:rsidRDefault="00FB6123" w:rsidP="00FB6123">
      <w:pPr>
        <w:pStyle w:val="ListBullet"/>
        <w:numPr>
          <w:ilvl w:val="0"/>
          <w:numId w:val="0"/>
        </w:numPr>
        <w:spacing w:before="120" w:after="120"/>
        <w:jc w:val="left"/>
        <w:rPr>
          <w:sz w:val="20"/>
        </w:rPr>
      </w:pPr>
      <w:r w:rsidRPr="0068236B">
        <w:rPr>
          <w:sz w:val="20"/>
        </w:rPr>
        <w:t>The disturbance of surrounding habitats</w:t>
      </w:r>
      <w:r w:rsidR="00DC43ED" w:rsidRPr="0068236B">
        <w:rPr>
          <w:sz w:val="20"/>
        </w:rPr>
        <w:t xml:space="preserve"> </w:t>
      </w:r>
      <w:r w:rsidR="00A3228E" w:rsidRPr="0068236B">
        <w:rPr>
          <w:sz w:val="20"/>
        </w:rPr>
        <w:t>(pseudomaquis, riparian belts, etc.)</w:t>
      </w:r>
      <w:r w:rsidRPr="0068236B">
        <w:rPr>
          <w:sz w:val="20"/>
        </w:rPr>
        <w:t xml:space="preserve"> by construction machinery and transport is considered as potential impact. Provided that a good construction practice is implemented, the impact magnitude is expected to be very low and the impact is considered as of negligible significance.</w:t>
      </w:r>
    </w:p>
    <w:p w14:paraId="102FB0D7" w14:textId="77777777" w:rsidR="00FB6123" w:rsidRPr="0068236B" w:rsidRDefault="00FB6123" w:rsidP="00FB6123">
      <w:pPr>
        <w:pStyle w:val="ListBullet"/>
        <w:spacing w:before="120" w:after="120"/>
        <w:jc w:val="left"/>
        <w:rPr>
          <w:sz w:val="20"/>
        </w:rPr>
      </w:pPr>
      <w:r w:rsidRPr="0068236B">
        <w:rPr>
          <w:sz w:val="20"/>
        </w:rPr>
        <w:t>Loss of terrestrial flora - plants collection</w:t>
      </w:r>
    </w:p>
    <w:p w14:paraId="109FF450" w14:textId="228F3477" w:rsidR="00FB6123" w:rsidRPr="0068236B" w:rsidRDefault="00FB6123" w:rsidP="00FB6123">
      <w:pPr>
        <w:pStyle w:val="ListBullet"/>
        <w:numPr>
          <w:ilvl w:val="0"/>
          <w:numId w:val="0"/>
        </w:numPr>
        <w:spacing w:before="120" w:after="120"/>
        <w:rPr>
          <w:rFonts w:cs="Tahoma"/>
          <w:sz w:val="20"/>
          <w:szCs w:val="20"/>
        </w:rPr>
      </w:pPr>
      <w:r w:rsidRPr="0068236B">
        <w:rPr>
          <w:rFonts w:cs="Tahoma"/>
          <w:sz w:val="20"/>
          <w:szCs w:val="20"/>
        </w:rPr>
        <w:t>The collection of plants (e.g. medic</w:t>
      </w:r>
      <w:r w:rsidR="00A3228E" w:rsidRPr="0068236B">
        <w:rPr>
          <w:rFonts w:cs="Tahoma"/>
          <w:sz w:val="20"/>
          <w:szCs w:val="20"/>
        </w:rPr>
        <w:t>in</w:t>
      </w:r>
      <w:r w:rsidRPr="0068236B">
        <w:rPr>
          <w:rFonts w:cs="Tahoma"/>
          <w:sz w:val="20"/>
          <w:szCs w:val="20"/>
        </w:rPr>
        <w:t>al plants) by the workers is possible, but provided that good constru</w:t>
      </w:r>
      <w:r w:rsidRPr="0068236B">
        <w:rPr>
          <w:rFonts w:cs="Tahoma"/>
          <w:sz w:val="20"/>
          <w:szCs w:val="20"/>
        </w:rPr>
        <w:t>c</w:t>
      </w:r>
      <w:r w:rsidRPr="0068236B">
        <w:rPr>
          <w:rFonts w:cs="Tahoma"/>
          <w:sz w:val="20"/>
          <w:szCs w:val="20"/>
        </w:rPr>
        <w:t xml:space="preserve">tion practice and management actions to mitigate this impact during construction of the Project are provided </w:t>
      </w:r>
      <w:r w:rsidRPr="0068236B">
        <w:rPr>
          <w:rFonts w:cs="Tahoma"/>
          <w:sz w:val="20"/>
          <w:szCs w:val="20"/>
        </w:rPr>
        <w:lastRenderedPageBreak/>
        <w:t>and implemented, the magnitude of the impact may be assessed as low. Therefore, the impact is assessed as negligible.</w:t>
      </w:r>
    </w:p>
    <w:p w14:paraId="636C4A1F" w14:textId="41FB948C" w:rsidR="00FB6123" w:rsidRPr="0068236B" w:rsidRDefault="00FB6123" w:rsidP="00FB6123">
      <w:pPr>
        <w:pStyle w:val="ListBullet"/>
        <w:spacing w:before="120" w:after="120"/>
        <w:jc w:val="left"/>
        <w:rPr>
          <w:sz w:val="20"/>
        </w:rPr>
      </w:pPr>
      <w:r w:rsidRPr="0068236B">
        <w:rPr>
          <w:sz w:val="20"/>
        </w:rPr>
        <w:t>Disturbance of animal species (breeding, foraging, roosting) due to construction works</w:t>
      </w:r>
    </w:p>
    <w:p w14:paraId="4C6475C8" w14:textId="77777777" w:rsidR="00FB6123" w:rsidRPr="0068236B" w:rsidRDefault="00FB6123" w:rsidP="00FB6123">
      <w:pPr>
        <w:pStyle w:val="ListBullet"/>
        <w:numPr>
          <w:ilvl w:val="0"/>
          <w:numId w:val="0"/>
        </w:numPr>
        <w:spacing w:before="120" w:after="120"/>
        <w:rPr>
          <w:rFonts w:cs="Tahoma"/>
          <w:sz w:val="20"/>
        </w:rPr>
      </w:pPr>
      <w:r w:rsidRPr="0068236B">
        <w:rPr>
          <w:rFonts w:cs="Tahoma"/>
          <w:sz w:val="20"/>
        </w:rPr>
        <w:t xml:space="preserve">Animals will be disturbed due to the presence of workers and machinery during the whole construction phase. The construction noise generated during the vegetation clearance to create the transmission line corridor and the construction of access roads and towers as well as vehicular access would likely disturb and displace some species – birds in general. </w:t>
      </w:r>
      <w:r w:rsidRPr="0068236B">
        <w:rPr>
          <w:rFonts w:eastAsia="Calibri" w:cs="Arial"/>
          <w:sz w:val="20"/>
          <w:szCs w:val="20"/>
        </w:rPr>
        <w:t>Most species would use a number of different resting sites throughout the year.</w:t>
      </w:r>
    </w:p>
    <w:p w14:paraId="4507506C" w14:textId="61992C41" w:rsidR="00FB6123" w:rsidRPr="0068236B" w:rsidRDefault="00FB6123" w:rsidP="00FB6123">
      <w:pPr>
        <w:pStyle w:val="ListBullet"/>
        <w:numPr>
          <w:ilvl w:val="0"/>
          <w:numId w:val="0"/>
        </w:numPr>
        <w:spacing w:before="120" w:after="120"/>
        <w:rPr>
          <w:rFonts w:eastAsia="Calibri" w:cs="Arial"/>
          <w:sz w:val="20"/>
          <w:szCs w:val="20"/>
        </w:rPr>
      </w:pPr>
      <w:r w:rsidRPr="0068236B">
        <w:rPr>
          <w:rFonts w:eastAsia="Calibri" w:cs="Arial"/>
          <w:sz w:val="20"/>
          <w:szCs w:val="20"/>
        </w:rPr>
        <w:t>During the breeding season, disturbance effects would be greater in open areas where workers and machi</w:t>
      </w:r>
      <w:r w:rsidRPr="0068236B">
        <w:rPr>
          <w:rFonts w:eastAsia="Calibri" w:cs="Arial"/>
          <w:sz w:val="20"/>
          <w:szCs w:val="20"/>
        </w:rPr>
        <w:t>n</w:t>
      </w:r>
      <w:r w:rsidRPr="0068236B">
        <w:rPr>
          <w:rFonts w:eastAsia="Calibri" w:cs="Arial"/>
          <w:sz w:val="20"/>
          <w:szCs w:val="20"/>
        </w:rPr>
        <w:t xml:space="preserve">ery would be visible from a wider area. </w:t>
      </w:r>
      <w:r w:rsidR="00A3228E" w:rsidRPr="0068236B">
        <w:rPr>
          <w:rFonts w:eastAsia="Calibri" w:cs="Arial"/>
          <w:sz w:val="20"/>
          <w:szCs w:val="20"/>
        </w:rPr>
        <w:t xml:space="preserve"> This may be more important for the (potentially) nesting birds in the open areas such as </w:t>
      </w:r>
      <w:r w:rsidR="00A3228E" w:rsidRPr="0068236B">
        <w:rPr>
          <w:rFonts w:cs="Tahoma"/>
          <w:i/>
          <w:iCs/>
          <w:noProof/>
          <w:sz w:val="20"/>
          <w:szCs w:val="20"/>
        </w:rPr>
        <w:t xml:space="preserve">Granativora melanocephala, Oenanthe oenanthe </w:t>
      </w:r>
      <w:r w:rsidR="00A3228E" w:rsidRPr="0068236B">
        <w:rPr>
          <w:rFonts w:cs="Tahoma"/>
          <w:iCs/>
          <w:noProof/>
          <w:sz w:val="20"/>
          <w:szCs w:val="20"/>
        </w:rPr>
        <w:t>and</w:t>
      </w:r>
      <w:r w:rsidR="00A3228E" w:rsidRPr="0068236B">
        <w:rPr>
          <w:rFonts w:cs="Tahoma"/>
          <w:i/>
          <w:iCs/>
          <w:noProof/>
          <w:sz w:val="20"/>
          <w:szCs w:val="20"/>
        </w:rPr>
        <w:t xml:space="preserve"> Perdix perdix.</w:t>
      </w:r>
    </w:p>
    <w:p w14:paraId="44A5261C" w14:textId="77777777" w:rsidR="00FB6123" w:rsidRPr="0068236B" w:rsidRDefault="00FB6123" w:rsidP="00FB6123">
      <w:pPr>
        <w:pStyle w:val="ListBullet"/>
        <w:numPr>
          <w:ilvl w:val="0"/>
          <w:numId w:val="0"/>
        </w:numPr>
        <w:spacing w:before="120" w:after="120"/>
        <w:rPr>
          <w:sz w:val="20"/>
        </w:rPr>
      </w:pPr>
      <w:r w:rsidRPr="0068236B">
        <w:rPr>
          <w:rFonts w:eastAsia="Calibri" w:cs="Arial"/>
          <w:sz w:val="20"/>
          <w:szCs w:val="20"/>
        </w:rPr>
        <w:t>The disturbance</w:t>
      </w:r>
      <w:r w:rsidRPr="0068236B">
        <w:rPr>
          <w:rFonts w:cs="Tahoma"/>
          <w:sz w:val="20"/>
        </w:rPr>
        <w:t xml:space="preserve"> effect is of temporary and short-term nature as well as reversible. </w:t>
      </w:r>
      <w:r w:rsidRPr="0068236B">
        <w:rPr>
          <w:rFonts w:cs="Arial"/>
          <w:sz w:val="20"/>
          <w:szCs w:val="20"/>
        </w:rPr>
        <w:t>The animals will leave their natural habitats and places where they live, but upon construction activities completion, it is expected that they would return back.</w:t>
      </w:r>
      <w:r w:rsidRPr="0068236B">
        <w:rPr>
          <w:rFonts w:cs="Tahoma"/>
          <w:sz w:val="20"/>
        </w:rPr>
        <w:t xml:space="preserve"> Therefore, this impact is assessed as of low magnitude and minor significance.</w:t>
      </w:r>
    </w:p>
    <w:p w14:paraId="0EB3E913" w14:textId="77777777" w:rsidR="00FB6123" w:rsidRPr="0068236B" w:rsidRDefault="00FB6123" w:rsidP="00FB6123">
      <w:pPr>
        <w:pStyle w:val="ListBullet"/>
        <w:spacing w:before="120" w:after="120"/>
        <w:jc w:val="left"/>
        <w:rPr>
          <w:sz w:val="20"/>
        </w:rPr>
      </w:pPr>
      <w:r w:rsidRPr="0068236B">
        <w:rPr>
          <w:sz w:val="20"/>
        </w:rPr>
        <w:t>Animal mortality from construction machinery and other vehicles</w:t>
      </w:r>
    </w:p>
    <w:p w14:paraId="27013CC5" w14:textId="77777777" w:rsidR="00FB6123" w:rsidRPr="0068236B" w:rsidRDefault="00FB6123" w:rsidP="00FB6123">
      <w:pPr>
        <w:pStyle w:val="ListBullet"/>
        <w:numPr>
          <w:ilvl w:val="0"/>
          <w:numId w:val="0"/>
        </w:numPr>
        <w:spacing w:before="120" w:after="120"/>
        <w:rPr>
          <w:sz w:val="20"/>
        </w:rPr>
      </w:pPr>
      <w:r w:rsidRPr="0068236B">
        <w:rPr>
          <w:sz w:val="20"/>
        </w:rPr>
        <w:t xml:space="preserve">Road kills may occur, which is associated especially with </w:t>
      </w:r>
      <w:r w:rsidRPr="0068236B">
        <w:rPr>
          <w:rFonts w:cs="Tahoma"/>
          <w:sz w:val="20"/>
        </w:rPr>
        <w:t xml:space="preserve">mammals, reptiles and amphibians as well as </w:t>
      </w:r>
      <w:r w:rsidRPr="0068236B">
        <w:rPr>
          <w:rFonts w:cs="Arial"/>
          <w:sz w:val="20"/>
          <w:szCs w:val="20"/>
        </w:rPr>
        <w:t>inve</w:t>
      </w:r>
      <w:r w:rsidRPr="0068236B">
        <w:rPr>
          <w:rFonts w:cs="Arial"/>
          <w:sz w:val="20"/>
          <w:szCs w:val="20"/>
        </w:rPr>
        <w:t>r</w:t>
      </w:r>
      <w:r w:rsidRPr="0068236B">
        <w:rPr>
          <w:rFonts w:cs="Arial"/>
          <w:sz w:val="20"/>
          <w:szCs w:val="20"/>
        </w:rPr>
        <w:t xml:space="preserve">tebrate fauna. </w:t>
      </w:r>
      <w:r w:rsidRPr="0068236B">
        <w:rPr>
          <w:rFonts w:cs="Tahoma"/>
          <w:sz w:val="20"/>
          <w:szCs w:val="20"/>
        </w:rPr>
        <w:t>However, provided that good construction practice and management actions for road safety (e.g. speed limit) during construction of the Project are provided and implemented, the probability and ma</w:t>
      </w:r>
      <w:r w:rsidRPr="0068236B">
        <w:rPr>
          <w:rFonts w:cs="Tahoma"/>
          <w:sz w:val="20"/>
          <w:szCs w:val="20"/>
        </w:rPr>
        <w:t>g</w:t>
      </w:r>
      <w:r w:rsidRPr="0068236B">
        <w:rPr>
          <w:rFonts w:cs="Tahoma"/>
          <w:sz w:val="20"/>
          <w:szCs w:val="20"/>
        </w:rPr>
        <w:t>nitude of the impact may be assessed as low and its significance is assessed as negligible. Animals found at the construction sites should be removed (tortoises, frogs, toads, mammals).</w:t>
      </w:r>
    </w:p>
    <w:p w14:paraId="75851440" w14:textId="77777777" w:rsidR="00FB6123" w:rsidRPr="0068236B" w:rsidRDefault="00FB6123" w:rsidP="00FB6123">
      <w:pPr>
        <w:pStyle w:val="ListBullet"/>
        <w:spacing w:before="120" w:after="120"/>
        <w:jc w:val="left"/>
        <w:rPr>
          <w:sz w:val="20"/>
        </w:rPr>
      </w:pPr>
      <w:r w:rsidRPr="0068236B">
        <w:rPr>
          <w:rFonts w:cs="Tahoma"/>
          <w:sz w:val="20"/>
          <w:szCs w:val="20"/>
          <w:lang w:eastAsia="en-US"/>
        </w:rPr>
        <w:t>Dust deposition during construction has the potential to lead to changes to plant communities</w:t>
      </w:r>
    </w:p>
    <w:p w14:paraId="0D66CE6B" w14:textId="77777777" w:rsidR="00FB6123" w:rsidRPr="0068236B" w:rsidRDefault="00FB6123" w:rsidP="00FB6123">
      <w:pPr>
        <w:pStyle w:val="ListBullet"/>
        <w:numPr>
          <w:ilvl w:val="0"/>
          <w:numId w:val="0"/>
        </w:numPr>
        <w:spacing w:before="120" w:after="120"/>
        <w:rPr>
          <w:sz w:val="20"/>
        </w:rPr>
      </w:pPr>
      <w:r w:rsidRPr="0068236B">
        <w:rPr>
          <w:sz w:val="20"/>
        </w:rPr>
        <w:t>Provided that good construction practice is implemented, this impact is assessed as of minor significance.</w:t>
      </w:r>
    </w:p>
    <w:p w14:paraId="3C099964" w14:textId="77777777" w:rsidR="00FB6123" w:rsidRPr="0068236B" w:rsidRDefault="00FB6123" w:rsidP="00FB6123">
      <w:pPr>
        <w:pStyle w:val="ListBullet"/>
        <w:spacing w:before="120" w:after="120"/>
        <w:jc w:val="left"/>
        <w:rPr>
          <w:sz w:val="20"/>
        </w:rPr>
      </w:pPr>
      <w:r w:rsidRPr="0068236B">
        <w:rPr>
          <w:sz w:val="20"/>
        </w:rPr>
        <w:t>Adverse changes in aquatic habitats due to pollution / construction works (e.g. material sto</w:t>
      </w:r>
      <w:r w:rsidRPr="0068236B">
        <w:rPr>
          <w:sz w:val="20"/>
        </w:rPr>
        <w:t>r</w:t>
      </w:r>
      <w:r w:rsidRPr="0068236B">
        <w:rPr>
          <w:sz w:val="20"/>
        </w:rPr>
        <w:t>age, spoil and waste disposal)</w:t>
      </w:r>
    </w:p>
    <w:p w14:paraId="574E65D9" w14:textId="77777777" w:rsidR="00FB6123" w:rsidRPr="0068236B" w:rsidRDefault="00FB6123" w:rsidP="00FB6123">
      <w:pPr>
        <w:rPr>
          <w:rFonts w:cs="Tahoma"/>
          <w:sz w:val="20"/>
        </w:rPr>
      </w:pPr>
      <w:r w:rsidRPr="0068236B">
        <w:rPr>
          <w:rFonts w:cs="Tahoma"/>
          <w:sz w:val="20"/>
        </w:rPr>
        <w:t>In general, pollution impacts on aquatic habitats from routine construction are unlikely since the OHL towers will be constructed away of the watercourses in the study area, even in the case of river Vardar (the width of river Vardar at the crossing is 65 m).</w:t>
      </w:r>
    </w:p>
    <w:p w14:paraId="75A60B79" w14:textId="19327166" w:rsidR="00FB6123" w:rsidRPr="0068236B" w:rsidRDefault="00FB6123" w:rsidP="00FB6123">
      <w:pPr>
        <w:pStyle w:val="ListBullet"/>
        <w:numPr>
          <w:ilvl w:val="0"/>
          <w:numId w:val="0"/>
        </w:numPr>
        <w:spacing w:before="120" w:after="120"/>
        <w:jc w:val="left"/>
        <w:rPr>
          <w:sz w:val="20"/>
        </w:rPr>
      </w:pPr>
      <w:r w:rsidRPr="0068236B">
        <w:rPr>
          <w:sz w:val="20"/>
        </w:rPr>
        <w:t>Provided that sound waste management system (see Section 8.7) during construction is provided and i</w:t>
      </w:r>
      <w:r w:rsidRPr="0068236B">
        <w:rPr>
          <w:sz w:val="20"/>
        </w:rPr>
        <w:t>m</w:t>
      </w:r>
      <w:r w:rsidRPr="0068236B">
        <w:rPr>
          <w:sz w:val="20"/>
        </w:rPr>
        <w:t>plemented, this impact is assessed as of minor significance.</w:t>
      </w:r>
    </w:p>
    <w:p w14:paraId="7E131265" w14:textId="77777777" w:rsidR="00FB6123" w:rsidRPr="0068236B" w:rsidRDefault="00FB6123" w:rsidP="00FB6123">
      <w:pPr>
        <w:pStyle w:val="ListBullet"/>
        <w:spacing w:before="120" w:after="120"/>
        <w:jc w:val="left"/>
        <w:rPr>
          <w:sz w:val="20"/>
        </w:rPr>
      </w:pPr>
      <w:r w:rsidRPr="0068236B">
        <w:rPr>
          <w:sz w:val="20"/>
        </w:rPr>
        <w:t>Risk of bush fires leading to depletion of biodiversity resources</w:t>
      </w:r>
    </w:p>
    <w:p w14:paraId="3CB5AD0B" w14:textId="77777777" w:rsidR="00FB6123" w:rsidRPr="0068236B" w:rsidRDefault="00FB6123" w:rsidP="00FB6123">
      <w:pPr>
        <w:pStyle w:val="NumberedParagraph"/>
        <w:tabs>
          <w:tab w:val="left" w:pos="1425"/>
        </w:tabs>
        <w:rPr>
          <w:rFonts w:cs="Tahoma"/>
          <w:sz w:val="18"/>
          <w:szCs w:val="18"/>
        </w:rPr>
      </w:pPr>
      <w:r w:rsidRPr="0068236B">
        <w:rPr>
          <w:sz w:val="20"/>
        </w:rPr>
        <w:t>The presence of workers and machinery along the study area presents a threat for causing unintentional (accidental) bush fires. This threat is considered as of minor significance due to the presence of different degradation stages of Kerms oak pseudomaquis (pyrophyte community). Provided that preventive measures for fire protection are set in place during the construction period, it is considered that there is low probability for occurrence of this hazard in major scale. Thus, the magnitude of this impact is considered as low and the significance is assessed as minor.</w:t>
      </w:r>
    </w:p>
    <w:p w14:paraId="20BC5EAF" w14:textId="77777777" w:rsidR="00FB6123" w:rsidRPr="0068236B" w:rsidRDefault="00FB6123" w:rsidP="00FB6123">
      <w:pPr>
        <w:pStyle w:val="ListBullet"/>
        <w:spacing w:before="120" w:after="120"/>
        <w:jc w:val="left"/>
        <w:rPr>
          <w:sz w:val="20"/>
        </w:rPr>
      </w:pPr>
      <w:r w:rsidRPr="0068236B">
        <w:rPr>
          <w:rFonts w:cs="Tahoma"/>
          <w:sz w:val="20"/>
        </w:rPr>
        <w:t>Introduction of alien species, as a result of spread of seeds of alien species by workers and m</w:t>
      </w:r>
      <w:r w:rsidRPr="0068236B">
        <w:rPr>
          <w:rFonts w:cs="Tahoma"/>
          <w:sz w:val="20"/>
        </w:rPr>
        <w:t>a</w:t>
      </w:r>
      <w:r w:rsidRPr="0068236B">
        <w:rPr>
          <w:rFonts w:cs="Tahoma"/>
          <w:sz w:val="20"/>
        </w:rPr>
        <w:t>chinery</w:t>
      </w:r>
    </w:p>
    <w:p w14:paraId="75891153" w14:textId="77777777" w:rsidR="00FB6123" w:rsidRPr="0068236B" w:rsidRDefault="00FB6123" w:rsidP="00FB6123">
      <w:pPr>
        <w:pStyle w:val="ListBullet"/>
        <w:numPr>
          <w:ilvl w:val="0"/>
          <w:numId w:val="0"/>
        </w:numPr>
        <w:spacing w:before="120" w:after="120"/>
        <w:jc w:val="left"/>
        <w:rPr>
          <w:rFonts w:cs="Tahoma"/>
          <w:sz w:val="20"/>
        </w:rPr>
      </w:pPr>
      <w:r w:rsidRPr="0068236B">
        <w:rPr>
          <w:rFonts w:cs="Tahoma"/>
          <w:sz w:val="20"/>
        </w:rPr>
        <w:t>During the construction phase introduction of alien species may be a result of spread of seeds of alien sp</w:t>
      </w:r>
      <w:r w:rsidRPr="0068236B">
        <w:rPr>
          <w:rFonts w:cs="Tahoma"/>
          <w:sz w:val="20"/>
        </w:rPr>
        <w:t>e</w:t>
      </w:r>
      <w:r w:rsidRPr="0068236B">
        <w:rPr>
          <w:rFonts w:cs="Tahoma"/>
          <w:sz w:val="20"/>
        </w:rPr>
        <w:t>cies by workers and machinery. T</w:t>
      </w:r>
      <w:r w:rsidRPr="0068236B">
        <w:rPr>
          <w:sz w:val="20"/>
          <w:szCs w:val="20"/>
        </w:rPr>
        <w:t>his is a very low magnitude impact over a limited area in vicinity of the Project (</w:t>
      </w:r>
      <w:r w:rsidRPr="0068236B">
        <w:rPr>
          <w:rFonts w:cs="Arial"/>
          <w:iCs/>
          <w:sz w:val="20"/>
          <w:szCs w:val="20"/>
          <w:lang w:eastAsia="mk-MK"/>
        </w:rPr>
        <w:t>localised within the clearance corridor)</w:t>
      </w:r>
      <w:r w:rsidRPr="0068236B">
        <w:rPr>
          <w:sz w:val="20"/>
          <w:szCs w:val="20"/>
        </w:rPr>
        <w:t xml:space="preserve"> that would not imply material change to the wider region. Therefore, this impact is considered as of negligible significance</w:t>
      </w:r>
      <w:r w:rsidRPr="0068236B">
        <w:rPr>
          <w:rFonts w:cs="Tahoma"/>
          <w:sz w:val="20"/>
        </w:rPr>
        <w:t>.</w:t>
      </w:r>
    </w:p>
    <w:p w14:paraId="768CABEC" w14:textId="77777777" w:rsidR="00E44ED8" w:rsidRDefault="00E44ED8">
      <w:pPr>
        <w:spacing w:before="0" w:after="0" w:line="240" w:lineRule="auto"/>
        <w:jc w:val="left"/>
        <w:rPr>
          <w:sz w:val="20"/>
        </w:rPr>
      </w:pPr>
      <w:r>
        <w:rPr>
          <w:sz w:val="20"/>
        </w:rPr>
        <w:br w:type="page"/>
      </w:r>
    </w:p>
    <w:p w14:paraId="5DCE4D89" w14:textId="1377D0A9" w:rsidR="00B04E9C" w:rsidRPr="0068236B" w:rsidRDefault="00B04E9C" w:rsidP="00B04E9C">
      <w:pPr>
        <w:pStyle w:val="ListBullet"/>
        <w:spacing w:before="120" w:after="120"/>
        <w:jc w:val="left"/>
        <w:rPr>
          <w:sz w:val="20"/>
        </w:rPr>
      </w:pPr>
      <w:r w:rsidRPr="0068236B">
        <w:rPr>
          <w:sz w:val="20"/>
        </w:rPr>
        <w:lastRenderedPageBreak/>
        <w:t>Impacts on ecosystem services</w:t>
      </w:r>
    </w:p>
    <w:p w14:paraId="72D29834" w14:textId="706BD55A" w:rsidR="00B04E9C" w:rsidRPr="0068236B" w:rsidRDefault="00B04E9C" w:rsidP="004A2489">
      <w:pPr>
        <w:pStyle w:val="ListBullet"/>
        <w:numPr>
          <w:ilvl w:val="0"/>
          <w:numId w:val="0"/>
        </w:numPr>
        <w:spacing w:before="120" w:after="120"/>
        <w:rPr>
          <w:sz w:val="20"/>
        </w:rPr>
      </w:pPr>
      <w:r w:rsidRPr="0068236B">
        <w:rPr>
          <w:sz w:val="20"/>
        </w:rPr>
        <w:t>The impact on ecosystem services during construction phase will be of negligible significance. In regard</w:t>
      </w:r>
      <w:r w:rsidR="004A2489" w:rsidRPr="0068236B">
        <w:rPr>
          <w:sz w:val="20"/>
        </w:rPr>
        <w:t xml:space="preserve"> to</w:t>
      </w:r>
      <w:r w:rsidRPr="0068236B">
        <w:rPr>
          <w:sz w:val="20"/>
        </w:rPr>
        <w:t xml:space="preserve"> the potential impacts on provisioning ecosystem services</w:t>
      </w:r>
      <w:r w:rsidR="004A2489" w:rsidRPr="0068236B">
        <w:rPr>
          <w:sz w:val="20"/>
        </w:rPr>
        <w:t>,</w:t>
      </w:r>
      <w:r w:rsidRPr="0068236B">
        <w:rPr>
          <w:sz w:val="20"/>
        </w:rPr>
        <w:t xml:space="preserve"> these </w:t>
      </w:r>
      <w:r w:rsidR="004A2489" w:rsidRPr="0068236B">
        <w:rPr>
          <w:sz w:val="20"/>
        </w:rPr>
        <w:t>are</w:t>
      </w:r>
      <w:r w:rsidRPr="0068236B">
        <w:rPr>
          <w:sz w:val="20"/>
        </w:rPr>
        <w:t xml:space="preserve"> elaborated above (loss of habitats, loss of flora and fauna, introduction of alien species) with the conclusion that they are insignificant. No impact is expected on regulating ecosystem services. No modification or alteration or </w:t>
      </w:r>
      <w:r w:rsidR="004A2489" w:rsidRPr="0068236B">
        <w:rPr>
          <w:sz w:val="20"/>
        </w:rPr>
        <w:t xml:space="preserve">measurable </w:t>
      </w:r>
      <w:r w:rsidRPr="0068236B">
        <w:rPr>
          <w:sz w:val="20"/>
        </w:rPr>
        <w:t>pollution is expected on natural ecosystems that will impact regulating ecosystem services (n</w:t>
      </w:r>
      <w:r w:rsidR="004A2489" w:rsidRPr="0068236B">
        <w:rPr>
          <w:sz w:val="20"/>
        </w:rPr>
        <w:t xml:space="preserve">egligible impacts on air quality and </w:t>
      </w:r>
      <w:r w:rsidRPr="0068236B">
        <w:rPr>
          <w:sz w:val="20"/>
        </w:rPr>
        <w:t>water</w:t>
      </w:r>
      <w:r w:rsidR="004A2489" w:rsidRPr="0068236B">
        <w:rPr>
          <w:sz w:val="20"/>
        </w:rPr>
        <w:t>s,</w:t>
      </w:r>
      <w:r w:rsidRPr="0068236B">
        <w:rPr>
          <w:sz w:val="20"/>
        </w:rPr>
        <w:t xml:space="preserve"> and very limited impact on soils).</w:t>
      </w:r>
    </w:p>
    <w:p w14:paraId="3E5EC859" w14:textId="77777777" w:rsidR="003B46E3" w:rsidRPr="0068236B" w:rsidRDefault="003B46E3" w:rsidP="003B46E3">
      <w:pPr>
        <w:pStyle w:val="Heading4"/>
        <w:spacing w:line="240" w:lineRule="auto"/>
        <w:ind w:hanging="1091"/>
        <w:rPr>
          <w:rFonts w:cs="Arial"/>
          <w:sz w:val="20"/>
        </w:rPr>
      </w:pPr>
      <w:r w:rsidRPr="0068236B">
        <w:rPr>
          <w:rFonts w:cs="Arial"/>
          <w:sz w:val="20"/>
        </w:rPr>
        <w:t>Operation</w:t>
      </w:r>
    </w:p>
    <w:p w14:paraId="07FBA817" w14:textId="77777777" w:rsidR="00FB6123" w:rsidRPr="0068236B" w:rsidRDefault="00FB6123" w:rsidP="00FB6123">
      <w:pPr>
        <w:autoSpaceDE w:val="0"/>
        <w:autoSpaceDN w:val="0"/>
        <w:adjustRightInd w:val="0"/>
        <w:rPr>
          <w:rFonts w:cs="Tahoma"/>
          <w:sz w:val="20"/>
          <w:szCs w:val="20"/>
          <w:lang w:eastAsia="en-US"/>
        </w:rPr>
      </w:pPr>
      <w:bookmarkStart w:id="501" w:name="_Toc80181173"/>
      <w:r w:rsidRPr="0068236B">
        <w:rPr>
          <w:rFonts w:cs="Tahoma"/>
          <w:sz w:val="20"/>
          <w:szCs w:val="20"/>
          <w:lang w:eastAsia="en-US"/>
        </w:rPr>
        <w:t>The principle potential impacts on the biodiversity receptors during the operation phase of the Project i</w:t>
      </w:r>
      <w:r w:rsidRPr="0068236B">
        <w:rPr>
          <w:rFonts w:cs="Tahoma"/>
          <w:sz w:val="20"/>
          <w:szCs w:val="20"/>
          <w:lang w:eastAsia="en-US"/>
        </w:rPr>
        <w:t>n</w:t>
      </w:r>
      <w:r w:rsidRPr="0068236B">
        <w:rPr>
          <w:rFonts w:cs="Tahoma"/>
          <w:sz w:val="20"/>
          <w:szCs w:val="20"/>
          <w:lang w:eastAsia="en-US"/>
        </w:rPr>
        <w:t>clude:</w:t>
      </w:r>
    </w:p>
    <w:p w14:paraId="5C6C38C5" w14:textId="62517077" w:rsidR="00FB6123" w:rsidRPr="0068236B" w:rsidRDefault="00FB6123" w:rsidP="00FB6123">
      <w:pPr>
        <w:pStyle w:val="ListBullet"/>
        <w:jc w:val="left"/>
        <w:rPr>
          <w:sz w:val="20"/>
        </w:rPr>
      </w:pPr>
      <w:r w:rsidRPr="0068236B">
        <w:rPr>
          <w:sz w:val="20"/>
        </w:rPr>
        <w:t>Habitat conversion beneath OHL conductors and habitat fragmentation, due to maintenance of the clearance corridor.</w:t>
      </w:r>
      <w:r w:rsidRPr="0068236B">
        <w:rPr>
          <w:rFonts w:cs="Arial"/>
          <w:iCs/>
          <w:sz w:val="20"/>
          <w:szCs w:val="20"/>
          <w:lang w:eastAsia="mk-MK"/>
        </w:rPr>
        <w:t xml:space="preserve"> The vegetation in the area is consisted of tree species with low height and cut of trees in not expected. Even at the crossing of the Vardar River clearance of trees is not expected. </w:t>
      </w:r>
      <w:r w:rsidRPr="0068236B">
        <w:rPr>
          <w:sz w:val="20"/>
        </w:rPr>
        <w:t>Therefore, the significance of this impact is assessed as negligible</w:t>
      </w:r>
      <w:r w:rsidR="00A3228E" w:rsidRPr="0068236B">
        <w:rPr>
          <w:sz w:val="20"/>
        </w:rPr>
        <w:t>, i.e. there will be no fragmentation impact</w:t>
      </w:r>
      <w:r w:rsidRPr="0068236B">
        <w:rPr>
          <w:sz w:val="20"/>
        </w:rPr>
        <w:t>.</w:t>
      </w:r>
    </w:p>
    <w:p w14:paraId="0BF95980" w14:textId="77777777" w:rsidR="00AA7BD0" w:rsidRPr="0068236B" w:rsidRDefault="00FB6123" w:rsidP="00FB6123">
      <w:pPr>
        <w:pStyle w:val="ListBullet"/>
        <w:jc w:val="left"/>
        <w:rPr>
          <w:sz w:val="20"/>
        </w:rPr>
      </w:pPr>
      <w:r w:rsidRPr="0068236B">
        <w:rPr>
          <w:sz w:val="20"/>
        </w:rPr>
        <w:t>Potential impacts on avian fauna (collision risk and electrocution of birds).</w:t>
      </w:r>
    </w:p>
    <w:p w14:paraId="0BE296BB" w14:textId="77777777" w:rsidR="00AA7BD0" w:rsidRPr="0068236B" w:rsidRDefault="00AA7BD0" w:rsidP="00AA7BD0">
      <w:pPr>
        <w:pStyle w:val="ListBullet2"/>
        <w:rPr>
          <w:sz w:val="20"/>
          <w:szCs w:val="20"/>
        </w:rPr>
      </w:pPr>
      <w:r w:rsidRPr="0068236B">
        <w:rPr>
          <w:sz w:val="20"/>
          <w:szCs w:val="20"/>
        </w:rPr>
        <w:t>Collision risk</w:t>
      </w:r>
    </w:p>
    <w:p w14:paraId="3C34FFF3" w14:textId="77777777" w:rsidR="001E0F48" w:rsidRPr="0068236B" w:rsidRDefault="001E0F48" w:rsidP="001E0F48">
      <w:pPr>
        <w:rPr>
          <w:rFonts w:cs="Tahoma"/>
          <w:color w:val="000000"/>
          <w:sz w:val="20"/>
          <w:szCs w:val="20"/>
        </w:rPr>
      </w:pPr>
      <w:r w:rsidRPr="0068236B">
        <w:rPr>
          <w:rFonts w:cs="Tahoma"/>
          <w:sz w:val="20"/>
          <w:szCs w:val="20"/>
        </w:rPr>
        <w:t>Mortality due to collision is considered potentially to represent the most important operational impact of transmission lines on birds. Collision mortality occurs when a bird flies into an overhead line and is killed either from the impact with the line, from hitting the ground, or from injuries sustained in the process. This impact is considered to be a possibility for some of the bird species, specifically large raptors, other large migratory species as well as collision of smaller birds during wanderings in larger clusters and migration (this especially applies to starlings and great larks, and most species of buntings which have a habit of moving into larger clusters). It is unlikely to affect other small passerine species. Bird collisions are often concentra</w:t>
      </w:r>
      <w:r w:rsidRPr="0068236B">
        <w:rPr>
          <w:rFonts w:cs="Tahoma"/>
          <w:sz w:val="20"/>
          <w:szCs w:val="20"/>
        </w:rPr>
        <w:t>t</w:t>
      </w:r>
      <w:r w:rsidRPr="0068236B">
        <w:rPr>
          <w:rFonts w:cs="Tahoma"/>
          <w:sz w:val="20"/>
          <w:szCs w:val="20"/>
        </w:rPr>
        <w:t xml:space="preserve">ed along relatively short sections of a transmission line where several factors interact to create a collision problem or ‘hotspot’, although what these factors are may not always be apparent. </w:t>
      </w:r>
    </w:p>
    <w:p w14:paraId="584BE564" w14:textId="77777777" w:rsidR="001E0F48" w:rsidRPr="0068236B" w:rsidRDefault="001E0F48" w:rsidP="001E0F48">
      <w:pPr>
        <w:rPr>
          <w:rFonts w:cs="Tahoma"/>
          <w:color w:val="000000"/>
          <w:sz w:val="20"/>
          <w:szCs w:val="20"/>
        </w:rPr>
      </w:pPr>
      <w:r w:rsidRPr="0068236B">
        <w:rPr>
          <w:rFonts w:cs="Tahoma"/>
          <w:sz w:val="20"/>
          <w:szCs w:val="20"/>
        </w:rPr>
        <w:t>Problems of collisions into power lines can be generally based on factors of origin divided into four categ</w:t>
      </w:r>
      <w:r w:rsidRPr="0068236B">
        <w:rPr>
          <w:rFonts w:cs="Tahoma"/>
          <w:sz w:val="20"/>
          <w:szCs w:val="20"/>
        </w:rPr>
        <w:t>o</w:t>
      </w:r>
      <w:r w:rsidRPr="0068236B">
        <w:rPr>
          <w:rFonts w:cs="Tahoma"/>
          <w:sz w:val="20"/>
          <w:szCs w:val="20"/>
        </w:rPr>
        <w:t>ries, including biological, topographical, meteorological and technical perspective. The biological factors i</w:t>
      </w:r>
      <w:r w:rsidRPr="0068236B">
        <w:rPr>
          <w:rFonts w:cs="Tahoma"/>
          <w:sz w:val="20"/>
          <w:szCs w:val="20"/>
        </w:rPr>
        <w:t>n</w:t>
      </w:r>
      <w:r w:rsidRPr="0068236B">
        <w:rPr>
          <w:rFonts w:cs="Tahoma"/>
          <w:sz w:val="20"/>
          <w:szCs w:val="20"/>
        </w:rPr>
        <w:t>clude the physiology of the bird’s vision, style and speed of flight behaviour during hunting season, mating, and nesting. Topographic factors include the amount of lead above the ground and the nature of the relief. Significant contributions to the collisions are meteorological factors such as wind power surges and bad weather reducing visibility lines. Technical factors include the height of towers and power lines, horizontal and vertical segmentation lines and the presence of an earth (ground) wires on the top of the transmission voltage pylons, which is almost "invisible" for the birds. Data from many studies indicate that up to 80% of collisions occur with the earthwire. For high voltage power lines (voltage level of 110 kV, 220 kV and 400 kV) the most risk is associated with optical cables and earthwires (the highest ones), which are also the thinnest ones</w:t>
      </w:r>
      <w:r w:rsidRPr="0068236B">
        <w:rPr>
          <w:rStyle w:val="FootnoteReference"/>
          <w:rFonts w:cs="Tahoma"/>
          <w:sz w:val="20"/>
          <w:szCs w:val="20"/>
        </w:rPr>
        <w:footnoteReference w:id="125"/>
      </w:r>
      <w:r w:rsidRPr="0068236B">
        <w:rPr>
          <w:rFonts w:cs="Tahoma"/>
          <w:sz w:val="20"/>
          <w:szCs w:val="20"/>
        </w:rPr>
        <w:t>.</w:t>
      </w:r>
    </w:p>
    <w:p w14:paraId="72AC1E8B" w14:textId="77777777" w:rsidR="001E0F48" w:rsidRPr="0068236B" w:rsidRDefault="001E0F48" w:rsidP="001E0F48">
      <w:pPr>
        <w:rPr>
          <w:rFonts w:cs="Tahoma"/>
          <w:color w:val="000000"/>
          <w:sz w:val="20"/>
          <w:szCs w:val="20"/>
        </w:rPr>
      </w:pPr>
      <w:r w:rsidRPr="0068236B">
        <w:rPr>
          <w:rFonts w:cs="Tahoma"/>
          <w:color w:val="000000"/>
          <w:sz w:val="20"/>
          <w:szCs w:val="20"/>
        </w:rPr>
        <w:t>Different bird species have different collision risks based on their biology, behaviour, habitat use, and inhe</w:t>
      </w:r>
      <w:r w:rsidRPr="0068236B">
        <w:rPr>
          <w:rFonts w:cs="Tahoma"/>
          <w:color w:val="000000"/>
          <w:sz w:val="20"/>
          <w:szCs w:val="20"/>
        </w:rPr>
        <w:t>r</w:t>
      </w:r>
      <w:r w:rsidRPr="0068236B">
        <w:rPr>
          <w:rFonts w:cs="Tahoma"/>
          <w:color w:val="000000"/>
          <w:sz w:val="20"/>
          <w:szCs w:val="20"/>
        </w:rPr>
        <w:t>ent abilities to avoid risk. A number of biological characteristics influence the susceptibility of species to coll</w:t>
      </w:r>
      <w:r w:rsidRPr="0068236B">
        <w:rPr>
          <w:rFonts w:cs="Tahoma"/>
          <w:color w:val="000000"/>
          <w:sz w:val="20"/>
          <w:szCs w:val="20"/>
        </w:rPr>
        <w:t>i</w:t>
      </w:r>
      <w:r w:rsidRPr="0068236B">
        <w:rPr>
          <w:rFonts w:cs="Tahoma"/>
          <w:color w:val="000000"/>
          <w:sz w:val="20"/>
          <w:szCs w:val="20"/>
        </w:rPr>
        <w:t xml:space="preserve">sions with transmission lines: body size, weight, and manoeuvrability; flight behaviour; vision; age and sex; health; time of day and season; habitat and habitat use. </w:t>
      </w:r>
      <w:r w:rsidRPr="0068236B">
        <w:rPr>
          <w:rFonts w:cs="Tahoma"/>
          <w:sz w:val="20"/>
          <w:szCs w:val="20"/>
        </w:rPr>
        <w:t>Earth wires are thought to be responsible for a much higher rate of collisions than the thicker, often bundled conductor wires. Earth wires are more dange</w:t>
      </w:r>
      <w:r w:rsidRPr="0068236B">
        <w:rPr>
          <w:rFonts w:cs="Tahoma"/>
          <w:sz w:val="20"/>
          <w:szCs w:val="20"/>
        </w:rPr>
        <w:t>r</w:t>
      </w:r>
      <w:r w:rsidRPr="0068236B">
        <w:rPr>
          <w:rFonts w:cs="Tahoma"/>
          <w:sz w:val="20"/>
          <w:szCs w:val="20"/>
        </w:rPr>
        <w:t xml:space="preserve">ous because they are harder for birds to see, being thinner in diameter and typically positioned at the top of </w:t>
      </w:r>
      <w:r w:rsidRPr="0068236B">
        <w:rPr>
          <w:rFonts w:cs="Tahoma"/>
          <w:sz w:val="20"/>
          <w:szCs w:val="20"/>
        </w:rPr>
        <w:lastRenderedPageBreak/>
        <w:t xml:space="preserve">the wire array. The usual response of birds flying at the height of the conductors is to gain height when they see the conductor wires, which often puts them in the path of the less visible earthwire. It is also possible that some fast low flying species could also collide with the towers especially at times of low visibility in thick cloud or fog at altitude. </w:t>
      </w:r>
      <w:r w:rsidRPr="0068236B">
        <w:rPr>
          <w:rFonts w:cs="Tahoma"/>
          <w:color w:val="000000"/>
          <w:sz w:val="20"/>
          <w:szCs w:val="20"/>
        </w:rPr>
        <w:t>Following orders of birds present in wider area of the project and in North Maced</w:t>
      </w:r>
      <w:r w:rsidRPr="0068236B">
        <w:rPr>
          <w:rFonts w:cs="Tahoma"/>
          <w:color w:val="000000"/>
          <w:sz w:val="20"/>
          <w:szCs w:val="20"/>
        </w:rPr>
        <w:t>o</w:t>
      </w:r>
      <w:r w:rsidRPr="0068236B">
        <w:rPr>
          <w:rFonts w:cs="Tahoma"/>
          <w:color w:val="000000"/>
          <w:sz w:val="20"/>
          <w:szCs w:val="20"/>
        </w:rPr>
        <w:t>nia are reported to be most susceptible to collisions (APLIC, 2012</w:t>
      </w:r>
      <w:r w:rsidRPr="0068236B">
        <w:rPr>
          <w:rStyle w:val="FootnoteReference"/>
          <w:rFonts w:cs="Tahoma"/>
          <w:sz w:val="20"/>
          <w:szCs w:val="20"/>
        </w:rPr>
        <w:footnoteReference w:id="126"/>
      </w:r>
      <w:r w:rsidRPr="0068236B">
        <w:rPr>
          <w:rFonts w:cs="Tahoma"/>
          <w:color w:val="000000"/>
          <w:sz w:val="20"/>
          <w:szCs w:val="20"/>
        </w:rPr>
        <w:t xml:space="preserve">) and </w:t>
      </w:r>
      <w:r w:rsidRPr="0068236B">
        <w:rPr>
          <w:rFonts w:cs="Tahoma"/>
          <w:sz w:val="20"/>
          <w:szCs w:val="20"/>
        </w:rPr>
        <w:t xml:space="preserve">Guidance on Energy Transmission Infrastructure and EU nature legislation, </w:t>
      </w:r>
      <w:r w:rsidRPr="0068236B">
        <w:rPr>
          <w:rFonts w:cs="Tahoma"/>
          <w:sz w:val="20"/>
          <w:szCs w:val="20"/>
          <w:lang w:val="mk-MK" w:eastAsia="en-US"/>
        </w:rPr>
        <w:t>European Union</w:t>
      </w:r>
      <w:r w:rsidRPr="0068236B">
        <w:rPr>
          <w:rFonts w:cs="Tahoma"/>
          <w:sz w:val="20"/>
          <w:szCs w:val="20"/>
          <w:lang w:val="en-US" w:eastAsia="en-US"/>
        </w:rPr>
        <w:t>,</w:t>
      </w:r>
      <w:r w:rsidRPr="0068236B">
        <w:rPr>
          <w:rFonts w:cs="Tahoma"/>
          <w:sz w:val="20"/>
          <w:szCs w:val="20"/>
        </w:rPr>
        <w:t xml:space="preserve"> 2018</w:t>
      </w:r>
      <w:r w:rsidRPr="0068236B">
        <w:rPr>
          <w:rStyle w:val="FootnoteReference"/>
          <w:rFonts w:cs="Tahoma"/>
          <w:sz w:val="20"/>
          <w:szCs w:val="20"/>
        </w:rPr>
        <w:footnoteReference w:id="127"/>
      </w:r>
      <w:r w:rsidRPr="0068236B">
        <w:rPr>
          <w:rFonts w:cs="Tahoma"/>
          <w:color w:val="000000"/>
          <w:sz w:val="20"/>
          <w:szCs w:val="20"/>
        </w:rPr>
        <w:t>):</w:t>
      </w:r>
    </w:p>
    <w:p w14:paraId="501CA5F1" w14:textId="77777777" w:rsidR="001E0F48" w:rsidRPr="0068236B" w:rsidRDefault="001E0F48" w:rsidP="001E0F48">
      <w:pPr>
        <w:pStyle w:val="ListBullet2"/>
        <w:rPr>
          <w:rFonts w:cs="Tahoma"/>
          <w:sz w:val="20"/>
          <w:szCs w:val="20"/>
        </w:rPr>
      </w:pPr>
      <w:r w:rsidRPr="0068236B">
        <w:rPr>
          <w:rFonts w:cs="Tahoma"/>
          <w:sz w:val="20"/>
          <w:szCs w:val="20"/>
        </w:rPr>
        <w:t>Cicioniformes (e.g. storks, ibis, herons)</w:t>
      </w:r>
    </w:p>
    <w:p w14:paraId="7616FA85" w14:textId="77777777" w:rsidR="001E0F48" w:rsidRPr="0068236B" w:rsidRDefault="001E0F48" w:rsidP="001E0F48">
      <w:pPr>
        <w:pStyle w:val="ListBullet2"/>
        <w:rPr>
          <w:rFonts w:cs="Tahoma"/>
          <w:sz w:val="20"/>
          <w:szCs w:val="20"/>
        </w:rPr>
      </w:pPr>
      <w:r w:rsidRPr="0068236B">
        <w:rPr>
          <w:rFonts w:cs="Tahoma"/>
          <w:sz w:val="20"/>
          <w:szCs w:val="20"/>
        </w:rPr>
        <w:t>Falconiformes (e.g. hawks, eagles)</w:t>
      </w:r>
    </w:p>
    <w:p w14:paraId="6A95B6B3" w14:textId="77777777" w:rsidR="001E0F48" w:rsidRPr="0068236B" w:rsidRDefault="001E0F48" w:rsidP="001E0F48">
      <w:pPr>
        <w:pStyle w:val="ListBullet2"/>
        <w:rPr>
          <w:rFonts w:cs="Tahoma"/>
          <w:sz w:val="20"/>
          <w:szCs w:val="20"/>
        </w:rPr>
      </w:pPr>
      <w:r w:rsidRPr="0068236B">
        <w:rPr>
          <w:rFonts w:cs="Tahoma"/>
          <w:sz w:val="20"/>
          <w:szCs w:val="20"/>
        </w:rPr>
        <w:t>Columbiformes (e.g. pigeons, doves)</w:t>
      </w:r>
    </w:p>
    <w:p w14:paraId="0C8EF0EF" w14:textId="77777777" w:rsidR="001E0F48" w:rsidRPr="0068236B" w:rsidRDefault="001E0F48" w:rsidP="001E0F48">
      <w:pPr>
        <w:pStyle w:val="ListBullet2"/>
        <w:rPr>
          <w:rFonts w:cs="Tahoma"/>
          <w:sz w:val="20"/>
          <w:szCs w:val="20"/>
        </w:rPr>
      </w:pPr>
      <w:r w:rsidRPr="0068236B">
        <w:rPr>
          <w:rFonts w:cs="Tahoma"/>
          <w:sz w:val="20"/>
          <w:szCs w:val="20"/>
        </w:rPr>
        <w:t>Strigiformes (e.g. owls)</w:t>
      </w:r>
    </w:p>
    <w:p w14:paraId="2313DBA3" w14:textId="4CFE478A" w:rsidR="001E0F48" w:rsidRPr="0068236B" w:rsidRDefault="001E0F48" w:rsidP="001E0F48">
      <w:pPr>
        <w:autoSpaceDE w:val="0"/>
        <w:autoSpaceDN w:val="0"/>
        <w:adjustRightInd w:val="0"/>
        <w:rPr>
          <w:rFonts w:cs="Tahoma"/>
          <w:sz w:val="20"/>
          <w:szCs w:val="20"/>
        </w:rPr>
      </w:pPr>
      <w:r w:rsidRPr="0068236B">
        <w:rPr>
          <w:rFonts w:cs="Tahoma"/>
          <w:sz w:val="20"/>
          <w:szCs w:val="20"/>
        </w:rPr>
        <w:t>In general, birds with high wing loading (the ratio of body weight to wing area) are more susceptible to co</w:t>
      </w:r>
      <w:r w:rsidRPr="0068236B">
        <w:rPr>
          <w:rFonts w:cs="Tahoma"/>
          <w:sz w:val="20"/>
          <w:szCs w:val="20"/>
        </w:rPr>
        <w:t>l</w:t>
      </w:r>
      <w:r w:rsidRPr="0068236B">
        <w:rPr>
          <w:rFonts w:cs="Tahoma"/>
          <w:sz w:val="20"/>
          <w:szCs w:val="20"/>
        </w:rPr>
        <w:t>lisions than birds with low wing loading. Also, birds with low aspect ratio (ratio of the square of the wing span to the wing area) are more susceptible than birds with high aspect ratios. Birds with high wing loading and low aspect ratios represent poor fliers. High wing loading birds are frequently reported as collision cas</w:t>
      </w:r>
      <w:r w:rsidRPr="0068236B">
        <w:rPr>
          <w:rFonts w:cs="Tahoma"/>
          <w:sz w:val="20"/>
          <w:szCs w:val="20"/>
        </w:rPr>
        <w:t>u</w:t>
      </w:r>
      <w:r w:rsidRPr="0068236B">
        <w:rPr>
          <w:rFonts w:cs="Tahoma"/>
          <w:sz w:val="20"/>
          <w:szCs w:val="20"/>
        </w:rPr>
        <w:t xml:space="preserve">alties, including large, heavy-bodied birds with large wing spans. Such species generally lack the </w:t>
      </w:r>
      <w:r w:rsidRPr="0068236B">
        <w:rPr>
          <w:rFonts w:cs="Tahoma"/>
          <w:color w:val="000000"/>
          <w:sz w:val="20"/>
          <w:szCs w:val="20"/>
        </w:rPr>
        <w:t>manoe</w:t>
      </w:r>
      <w:r w:rsidRPr="0068236B">
        <w:rPr>
          <w:rFonts w:cs="Tahoma"/>
          <w:color w:val="000000"/>
          <w:sz w:val="20"/>
          <w:szCs w:val="20"/>
        </w:rPr>
        <w:t>u</w:t>
      </w:r>
      <w:r w:rsidRPr="0068236B">
        <w:rPr>
          <w:rFonts w:cs="Tahoma"/>
          <w:color w:val="000000"/>
          <w:sz w:val="20"/>
          <w:szCs w:val="20"/>
        </w:rPr>
        <w:t xml:space="preserve">vrability </w:t>
      </w:r>
      <w:r w:rsidRPr="0068236B">
        <w:rPr>
          <w:rFonts w:cs="Tahoma"/>
          <w:sz w:val="20"/>
          <w:szCs w:val="20"/>
        </w:rPr>
        <w:t xml:space="preserve">to quickly avoid obstacles. Low wing loading and smaller body size are considered agile fliers and have a keen ability to avoid lines despite their high potential exposure. Body size and </w:t>
      </w:r>
      <w:r w:rsidRPr="0068236B">
        <w:rPr>
          <w:rFonts w:cs="Tahoma"/>
          <w:color w:val="000000"/>
          <w:sz w:val="20"/>
          <w:szCs w:val="20"/>
        </w:rPr>
        <w:t xml:space="preserve">manoeuvrability </w:t>
      </w:r>
      <w:r w:rsidRPr="0068236B">
        <w:rPr>
          <w:rFonts w:cs="Tahoma"/>
          <w:sz w:val="20"/>
          <w:szCs w:val="20"/>
        </w:rPr>
        <w:t>do not explain all collision risk. Other factors can also contribute. For example, gulls and terns have low wing loa</w:t>
      </w:r>
      <w:r w:rsidRPr="0068236B">
        <w:rPr>
          <w:rFonts w:cs="Tahoma"/>
          <w:sz w:val="20"/>
          <w:szCs w:val="20"/>
        </w:rPr>
        <w:t>d</w:t>
      </w:r>
      <w:r w:rsidRPr="0068236B">
        <w:rPr>
          <w:rFonts w:cs="Tahoma"/>
          <w:sz w:val="20"/>
          <w:szCs w:val="20"/>
        </w:rPr>
        <w:t>ing, yet they can be subject to collisions because of behavioural characteristics, such as flocking, spending large amounts of time in the air, and flying at night. Large raptors (Accipitriformes) - vultures &amp; eagles as well as waterfowls – birds of wetland habitats are bird groups that most commonly collide with OHL condu</w:t>
      </w:r>
      <w:r w:rsidRPr="0068236B">
        <w:rPr>
          <w:rFonts w:cs="Tahoma"/>
          <w:sz w:val="20"/>
          <w:szCs w:val="20"/>
        </w:rPr>
        <w:t>c</w:t>
      </w:r>
      <w:r w:rsidRPr="0068236B">
        <w:rPr>
          <w:rFonts w:cs="Tahoma"/>
          <w:sz w:val="20"/>
          <w:szCs w:val="20"/>
        </w:rPr>
        <w:t>tors.</w:t>
      </w:r>
    </w:p>
    <w:tbl>
      <w:tblPr>
        <w:tblStyle w:val="TableGrid"/>
        <w:tblW w:w="6946" w:type="dxa"/>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5387"/>
        <w:gridCol w:w="1559"/>
      </w:tblGrid>
      <w:tr w:rsidR="001E0F48" w:rsidRPr="0068236B" w14:paraId="625C788D" w14:textId="77777777" w:rsidTr="001E0F48">
        <w:tc>
          <w:tcPr>
            <w:tcW w:w="5387" w:type="dxa"/>
            <w:tcBorders>
              <w:top w:val="double" w:sz="4" w:space="0" w:color="auto"/>
              <w:bottom w:val="double" w:sz="4" w:space="0" w:color="auto"/>
              <w:right w:val="double" w:sz="4" w:space="0" w:color="auto"/>
            </w:tcBorders>
            <w:shd w:val="clear" w:color="auto" w:fill="9CC2E5" w:themeFill="accent5" w:themeFillTint="99"/>
          </w:tcPr>
          <w:p w14:paraId="4BDDC8F1" w14:textId="77777777" w:rsidR="001E0F48" w:rsidRPr="0068236B" w:rsidRDefault="001E0F48" w:rsidP="001E0F48">
            <w:pPr>
              <w:kinsoku w:val="0"/>
              <w:overflowPunct w:val="0"/>
              <w:autoSpaceDE w:val="0"/>
              <w:autoSpaceDN w:val="0"/>
              <w:adjustRightInd w:val="0"/>
              <w:spacing w:before="0" w:after="0" w:line="240" w:lineRule="auto"/>
              <w:ind w:right="5"/>
              <w:jc w:val="center"/>
              <w:rPr>
                <w:rFonts w:cs="Tahoma"/>
                <w:sz w:val="20"/>
                <w:szCs w:val="20"/>
                <w:lang w:val="mk-MK" w:eastAsia="en-US"/>
              </w:rPr>
            </w:pPr>
            <w:r w:rsidRPr="0068236B">
              <w:rPr>
                <w:rFonts w:cs="Tahoma"/>
                <w:bCs/>
                <w:sz w:val="20"/>
                <w:szCs w:val="20"/>
                <w:lang w:val="mk-MK" w:eastAsia="en-US"/>
              </w:rPr>
              <w:t>B</w:t>
            </w:r>
            <w:r w:rsidRPr="0068236B">
              <w:rPr>
                <w:rFonts w:cs="Tahoma"/>
                <w:bCs/>
                <w:spacing w:val="-2"/>
                <w:sz w:val="20"/>
                <w:szCs w:val="20"/>
                <w:lang w:val="mk-MK" w:eastAsia="en-US"/>
              </w:rPr>
              <w:t>i</w:t>
            </w:r>
            <w:r w:rsidRPr="0068236B">
              <w:rPr>
                <w:rFonts w:cs="Tahoma"/>
                <w:bCs/>
                <w:sz w:val="20"/>
                <w:szCs w:val="20"/>
                <w:lang w:val="mk-MK" w:eastAsia="en-US"/>
              </w:rPr>
              <w:t>rd</w:t>
            </w:r>
            <w:r w:rsidRPr="0068236B">
              <w:rPr>
                <w:rFonts w:cs="Tahoma"/>
                <w:bCs/>
                <w:spacing w:val="-1"/>
                <w:sz w:val="20"/>
                <w:szCs w:val="20"/>
                <w:lang w:val="mk-MK" w:eastAsia="en-US"/>
              </w:rPr>
              <w:t xml:space="preserve"> </w:t>
            </w:r>
            <w:r w:rsidRPr="0068236B">
              <w:rPr>
                <w:rFonts w:cs="Tahoma"/>
                <w:bCs/>
                <w:sz w:val="20"/>
                <w:szCs w:val="20"/>
                <w:lang w:val="mk-MK" w:eastAsia="en-US"/>
              </w:rPr>
              <w:t>f</w:t>
            </w:r>
            <w:r w:rsidRPr="0068236B">
              <w:rPr>
                <w:rFonts w:cs="Tahoma"/>
                <w:bCs/>
                <w:spacing w:val="-1"/>
                <w:sz w:val="20"/>
                <w:szCs w:val="20"/>
                <w:lang w:val="mk-MK" w:eastAsia="en-US"/>
              </w:rPr>
              <w:t>a</w:t>
            </w:r>
            <w:r w:rsidRPr="0068236B">
              <w:rPr>
                <w:rFonts w:cs="Tahoma"/>
                <w:bCs/>
                <w:sz w:val="20"/>
                <w:szCs w:val="20"/>
                <w:lang w:val="mk-MK" w:eastAsia="en-US"/>
              </w:rPr>
              <w:t>m</w:t>
            </w:r>
            <w:r w:rsidRPr="0068236B">
              <w:rPr>
                <w:rFonts w:cs="Tahoma"/>
                <w:bCs/>
                <w:spacing w:val="-2"/>
                <w:sz w:val="20"/>
                <w:szCs w:val="20"/>
                <w:lang w:val="mk-MK" w:eastAsia="en-US"/>
              </w:rPr>
              <w:t>i</w:t>
            </w:r>
            <w:r w:rsidRPr="0068236B">
              <w:rPr>
                <w:rFonts w:cs="Tahoma"/>
                <w:bCs/>
                <w:sz w:val="20"/>
                <w:szCs w:val="20"/>
                <w:lang w:val="mk-MK" w:eastAsia="en-US"/>
              </w:rPr>
              <w:t>li</w:t>
            </w:r>
            <w:r w:rsidRPr="0068236B">
              <w:rPr>
                <w:rFonts w:cs="Tahoma"/>
                <w:bCs/>
                <w:spacing w:val="-1"/>
                <w:sz w:val="20"/>
                <w:szCs w:val="20"/>
                <w:lang w:val="mk-MK" w:eastAsia="en-US"/>
              </w:rPr>
              <w:t>e</w:t>
            </w:r>
            <w:r w:rsidRPr="0068236B">
              <w:rPr>
                <w:rFonts w:cs="Tahoma"/>
                <w:bCs/>
                <w:sz w:val="20"/>
                <w:szCs w:val="20"/>
                <w:lang w:val="mk-MK" w:eastAsia="en-US"/>
              </w:rPr>
              <w:t>s</w:t>
            </w:r>
            <w:r w:rsidRPr="0068236B">
              <w:rPr>
                <w:rFonts w:cs="Tahoma"/>
                <w:bCs/>
                <w:spacing w:val="-2"/>
                <w:sz w:val="20"/>
                <w:szCs w:val="20"/>
                <w:lang w:val="mk-MK" w:eastAsia="en-US"/>
              </w:rPr>
              <w:t xml:space="preserve"> </w:t>
            </w:r>
            <w:r w:rsidRPr="0068236B">
              <w:rPr>
                <w:rFonts w:cs="Tahoma"/>
                <w:bCs/>
                <w:spacing w:val="1"/>
                <w:sz w:val="20"/>
                <w:szCs w:val="20"/>
                <w:lang w:val="mk-MK" w:eastAsia="en-US"/>
              </w:rPr>
              <w:t>i</w:t>
            </w:r>
            <w:r w:rsidRPr="0068236B">
              <w:rPr>
                <w:rFonts w:cs="Tahoma"/>
                <w:bCs/>
                <w:sz w:val="20"/>
                <w:szCs w:val="20"/>
                <w:lang w:val="mk-MK" w:eastAsia="en-US"/>
              </w:rPr>
              <w:t>n</w:t>
            </w:r>
            <w:r w:rsidRPr="0068236B">
              <w:rPr>
                <w:rFonts w:cs="Tahoma"/>
                <w:bCs/>
                <w:spacing w:val="-3"/>
                <w:sz w:val="20"/>
                <w:szCs w:val="20"/>
                <w:lang w:val="mk-MK" w:eastAsia="en-US"/>
              </w:rPr>
              <w:t xml:space="preserve"> </w:t>
            </w:r>
            <w:r w:rsidRPr="0068236B">
              <w:rPr>
                <w:rFonts w:cs="Tahoma"/>
                <w:bCs/>
                <w:sz w:val="20"/>
                <w:szCs w:val="20"/>
                <w:lang w:val="mk-MK" w:eastAsia="en-US"/>
              </w:rPr>
              <w:t>E</w:t>
            </w:r>
            <w:r w:rsidRPr="0068236B">
              <w:rPr>
                <w:rFonts w:cs="Tahoma"/>
                <w:bCs/>
                <w:spacing w:val="-1"/>
                <w:sz w:val="20"/>
                <w:szCs w:val="20"/>
                <w:lang w:val="mk-MK" w:eastAsia="en-US"/>
              </w:rPr>
              <w:t>u</w:t>
            </w:r>
            <w:r w:rsidRPr="0068236B">
              <w:rPr>
                <w:rFonts w:cs="Tahoma"/>
                <w:bCs/>
                <w:sz w:val="20"/>
                <w:szCs w:val="20"/>
                <w:lang w:val="mk-MK" w:eastAsia="en-US"/>
              </w:rPr>
              <w:t>r</w:t>
            </w:r>
            <w:r w:rsidRPr="0068236B">
              <w:rPr>
                <w:rFonts w:cs="Tahoma"/>
                <w:bCs/>
                <w:spacing w:val="-2"/>
                <w:sz w:val="20"/>
                <w:szCs w:val="20"/>
                <w:lang w:val="mk-MK" w:eastAsia="en-US"/>
              </w:rPr>
              <w:t>a</w:t>
            </w:r>
            <w:r w:rsidRPr="0068236B">
              <w:rPr>
                <w:rFonts w:cs="Tahoma"/>
                <w:bCs/>
                <w:sz w:val="20"/>
                <w:szCs w:val="20"/>
                <w:lang w:val="mk-MK" w:eastAsia="en-US"/>
              </w:rPr>
              <w:t>sia</w:t>
            </w:r>
            <w:r w:rsidRPr="0068236B">
              <w:rPr>
                <w:rFonts w:cs="Tahoma"/>
                <w:bCs/>
                <w:spacing w:val="-4"/>
                <w:sz w:val="20"/>
                <w:szCs w:val="20"/>
                <w:lang w:val="mk-MK" w:eastAsia="en-US"/>
              </w:rPr>
              <w:t xml:space="preserve"> </w:t>
            </w:r>
            <w:r w:rsidRPr="0068236B">
              <w:rPr>
                <w:rFonts w:cs="Tahoma"/>
                <w:bCs/>
                <w:spacing w:val="1"/>
                <w:sz w:val="20"/>
                <w:szCs w:val="20"/>
                <w:lang w:val="mk-MK" w:eastAsia="en-US"/>
              </w:rPr>
              <w:t>i</w:t>
            </w:r>
            <w:r w:rsidRPr="0068236B">
              <w:rPr>
                <w:rFonts w:cs="Tahoma"/>
                <w:bCs/>
                <w:spacing w:val="-1"/>
                <w:sz w:val="20"/>
                <w:szCs w:val="20"/>
                <w:lang w:val="mk-MK" w:eastAsia="en-US"/>
              </w:rPr>
              <w:t>d</w:t>
            </w:r>
            <w:r w:rsidRPr="0068236B">
              <w:rPr>
                <w:rFonts w:cs="Tahoma"/>
                <w:bCs/>
                <w:spacing w:val="-4"/>
                <w:sz w:val="20"/>
                <w:szCs w:val="20"/>
                <w:lang w:val="mk-MK" w:eastAsia="en-US"/>
              </w:rPr>
              <w:t>e</w:t>
            </w:r>
            <w:r w:rsidRPr="0068236B">
              <w:rPr>
                <w:rFonts w:cs="Tahoma"/>
                <w:bCs/>
                <w:spacing w:val="-1"/>
                <w:sz w:val="20"/>
                <w:szCs w:val="20"/>
                <w:lang w:val="mk-MK" w:eastAsia="en-US"/>
              </w:rPr>
              <w:t>n</w:t>
            </w:r>
            <w:r w:rsidRPr="0068236B">
              <w:rPr>
                <w:rFonts w:cs="Tahoma"/>
                <w:bCs/>
                <w:sz w:val="20"/>
                <w:szCs w:val="20"/>
                <w:lang w:val="mk-MK" w:eastAsia="en-US"/>
              </w:rPr>
              <w:t>t</w:t>
            </w:r>
            <w:r w:rsidRPr="0068236B">
              <w:rPr>
                <w:rFonts w:cs="Tahoma"/>
                <w:bCs/>
                <w:spacing w:val="1"/>
                <w:sz w:val="20"/>
                <w:szCs w:val="20"/>
                <w:lang w:val="mk-MK" w:eastAsia="en-US"/>
              </w:rPr>
              <w:t>i</w:t>
            </w:r>
            <w:r w:rsidRPr="0068236B">
              <w:rPr>
                <w:rFonts w:cs="Tahoma"/>
                <w:bCs/>
                <w:sz w:val="20"/>
                <w:szCs w:val="20"/>
                <w:lang w:val="mk-MK" w:eastAsia="en-US"/>
              </w:rPr>
              <w:t>fi</w:t>
            </w:r>
            <w:r w:rsidRPr="0068236B">
              <w:rPr>
                <w:rFonts w:cs="Tahoma"/>
                <w:bCs/>
                <w:spacing w:val="-1"/>
                <w:sz w:val="20"/>
                <w:szCs w:val="20"/>
                <w:lang w:val="mk-MK" w:eastAsia="en-US"/>
              </w:rPr>
              <w:t>e</w:t>
            </w:r>
            <w:r w:rsidRPr="0068236B">
              <w:rPr>
                <w:rFonts w:cs="Tahoma"/>
                <w:bCs/>
                <w:sz w:val="20"/>
                <w:szCs w:val="20"/>
                <w:lang w:val="mk-MK" w:eastAsia="en-US"/>
              </w:rPr>
              <w:t>d</w:t>
            </w:r>
            <w:r w:rsidRPr="0068236B">
              <w:rPr>
                <w:rFonts w:cs="Tahoma"/>
                <w:bCs/>
                <w:spacing w:val="-1"/>
                <w:sz w:val="20"/>
                <w:szCs w:val="20"/>
                <w:lang w:val="mk-MK" w:eastAsia="en-US"/>
              </w:rPr>
              <w:t xml:space="preserve"> </w:t>
            </w:r>
            <w:r w:rsidRPr="0068236B">
              <w:rPr>
                <w:rFonts w:cs="Tahoma"/>
                <w:bCs/>
                <w:sz w:val="20"/>
                <w:szCs w:val="20"/>
                <w:lang w:val="mk-MK" w:eastAsia="en-US"/>
              </w:rPr>
              <w:t>as</w:t>
            </w:r>
            <w:r w:rsidRPr="0068236B">
              <w:rPr>
                <w:rFonts w:cs="Tahoma"/>
                <w:bCs/>
                <w:spacing w:val="-2"/>
                <w:sz w:val="20"/>
                <w:szCs w:val="20"/>
                <w:lang w:val="mk-MK" w:eastAsia="en-US"/>
              </w:rPr>
              <w:t xml:space="preserve"> </w:t>
            </w:r>
            <w:r w:rsidRPr="0068236B">
              <w:rPr>
                <w:rFonts w:cs="Tahoma"/>
                <w:bCs/>
                <w:sz w:val="20"/>
                <w:szCs w:val="20"/>
                <w:lang w:val="mk-MK" w:eastAsia="en-US"/>
              </w:rPr>
              <w:t>v</w:t>
            </w:r>
            <w:r w:rsidRPr="0068236B">
              <w:rPr>
                <w:rFonts w:cs="Tahoma"/>
                <w:bCs/>
                <w:spacing w:val="-1"/>
                <w:sz w:val="20"/>
                <w:szCs w:val="20"/>
                <w:lang w:val="mk-MK" w:eastAsia="en-US"/>
              </w:rPr>
              <w:t>u</w:t>
            </w:r>
            <w:r w:rsidRPr="0068236B">
              <w:rPr>
                <w:rFonts w:cs="Tahoma"/>
                <w:bCs/>
                <w:sz w:val="20"/>
                <w:szCs w:val="20"/>
                <w:lang w:val="mk-MK" w:eastAsia="en-US"/>
              </w:rPr>
              <w:t>l</w:t>
            </w:r>
            <w:r w:rsidRPr="0068236B">
              <w:rPr>
                <w:rFonts w:cs="Tahoma"/>
                <w:bCs/>
                <w:spacing w:val="-1"/>
                <w:sz w:val="20"/>
                <w:szCs w:val="20"/>
                <w:lang w:val="mk-MK" w:eastAsia="en-US"/>
              </w:rPr>
              <w:t>ne</w:t>
            </w:r>
            <w:r w:rsidRPr="0068236B">
              <w:rPr>
                <w:rFonts w:cs="Tahoma"/>
                <w:bCs/>
                <w:sz w:val="20"/>
                <w:szCs w:val="20"/>
                <w:lang w:val="mk-MK" w:eastAsia="en-US"/>
              </w:rPr>
              <w:t>r</w:t>
            </w:r>
            <w:r w:rsidRPr="0068236B">
              <w:rPr>
                <w:rFonts w:cs="Tahoma"/>
                <w:bCs/>
                <w:spacing w:val="-2"/>
                <w:sz w:val="20"/>
                <w:szCs w:val="20"/>
                <w:lang w:val="mk-MK" w:eastAsia="en-US"/>
              </w:rPr>
              <w:t>a</w:t>
            </w:r>
            <w:r w:rsidRPr="0068236B">
              <w:rPr>
                <w:rFonts w:cs="Tahoma"/>
                <w:bCs/>
                <w:spacing w:val="-1"/>
                <w:sz w:val="20"/>
                <w:szCs w:val="20"/>
                <w:lang w:val="mk-MK" w:eastAsia="en-US"/>
              </w:rPr>
              <w:t>b</w:t>
            </w:r>
            <w:r w:rsidRPr="0068236B">
              <w:rPr>
                <w:rFonts w:cs="Tahoma"/>
                <w:bCs/>
                <w:sz w:val="20"/>
                <w:szCs w:val="20"/>
                <w:lang w:val="mk-MK" w:eastAsia="en-US"/>
              </w:rPr>
              <w:t>le</w:t>
            </w:r>
            <w:r w:rsidRPr="0068236B">
              <w:rPr>
                <w:rFonts w:cs="Tahoma"/>
                <w:bCs/>
                <w:spacing w:val="-3"/>
                <w:sz w:val="20"/>
                <w:szCs w:val="20"/>
                <w:lang w:val="mk-MK" w:eastAsia="en-US"/>
              </w:rPr>
              <w:t xml:space="preserve"> </w:t>
            </w:r>
            <w:r w:rsidRPr="0068236B">
              <w:rPr>
                <w:rFonts w:cs="Tahoma"/>
                <w:bCs/>
                <w:sz w:val="20"/>
                <w:szCs w:val="20"/>
                <w:lang w:val="mk-MK" w:eastAsia="en-US"/>
              </w:rPr>
              <w:t>to</w:t>
            </w:r>
          </w:p>
          <w:p w14:paraId="16729F65" w14:textId="77777777" w:rsidR="001E0F48" w:rsidRPr="0068236B" w:rsidRDefault="001E0F48" w:rsidP="001E0F48">
            <w:pPr>
              <w:kinsoku w:val="0"/>
              <w:overflowPunct w:val="0"/>
              <w:autoSpaceDE w:val="0"/>
              <w:autoSpaceDN w:val="0"/>
              <w:adjustRightInd w:val="0"/>
              <w:spacing w:before="0" w:after="0" w:line="240" w:lineRule="auto"/>
              <w:ind w:right="4"/>
              <w:jc w:val="center"/>
              <w:rPr>
                <w:rFonts w:cs="Tahoma"/>
                <w:sz w:val="20"/>
                <w:szCs w:val="20"/>
                <w:lang w:val="mk-MK" w:eastAsia="en-US"/>
              </w:rPr>
            </w:pPr>
            <w:r w:rsidRPr="0068236B">
              <w:rPr>
                <w:rFonts w:cs="Tahoma"/>
                <w:bCs/>
                <w:spacing w:val="-1"/>
                <w:sz w:val="20"/>
                <w:szCs w:val="20"/>
                <w:lang w:val="mk-MK" w:eastAsia="en-US"/>
              </w:rPr>
              <w:t>e</w:t>
            </w:r>
            <w:r w:rsidRPr="0068236B">
              <w:rPr>
                <w:rFonts w:cs="Tahoma"/>
                <w:bCs/>
                <w:sz w:val="20"/>
                <w:szCs w:val="20"/>
                <w:lang w:val="mk-MK" w:eastAsia="en-US"/>
              </w:rPr>
              <w:t>l</w:t>
            </w:r>
            <w:r w:rsidRPr="0068236B">
              <w:rPr>
                <w:rFonts w:cs="Tahoma"/>
                <w:bCs/>
                <w:spacing w:val="-1"/>
                <w:sz w:val="20"/>
                <w:szCs w:val="20"/>
                <w:lang w:val="mk-MK" w:eastAsia="en-US"/>
              </w:rPr>
              <w:t>e</w:t>
            </w:r>
            <w:r w:rsidRPr="0068236B">
              <w:rPr>
                <w:rFonts w:cs="Tahoma"/>
                <w:bCs/>
                <w:spacing w:val="1"/>
                <w:sz w:val="20"/>
                <w:szCs w:val="20"/>
                <w:lang w:val="mk-MK" w:eastAsia="en-US"/>
              </w:rPr>
              <w:t>c</w:t>
            </w:r>
            <w:r w:rsidRPr="0068236B">
              <w:rPr>
                <w:rFonts w:cs="Tahoma"/>
                <w:bCs/>
                <w:sz w:val="20"/>
                <w:szCs w:val="20"/>
                <w:lang w:val="mk-MK" w:eastAsia="en-US"/>
              </w:rPr>
              <w:t>tr</w:t>
            </w:r>
            <w:r w:rsidRPr="0068236B">
              <w:rPr>
                <w:rFonts w:cs="Tahoma"/>
                <w:bCs/>
                <w:spacing w:val="-4"/>
                <w:sz w:val="20"/>
                <w:szCs w:val="20"/>
                <w:lang w:val="mk-MK" w:eastAsia="en-US"/>
              </w:rPr>
              <w:t>o</w:t>
            </w:r>
            <w:r w:rsidRPr="0068236B">
              <w:rPr>
                <w:rFonts w:cs="Tahoma"/>
                <w:bCs/>
                <w:spacing w:val="1"/>
                <w:sz w:val="20"/>
                <w:szCs w:val="20"/>
                <w:lang w:val="mk-MK" w:eastAsia="en-US"/>
              </w:rPr>
              <w:t>c</w:t>
            </w:r>
            <w:r w:rsidRPr="0068236B">
              <w:rPr>
                <w:rFonts w:cs="Tahoma"/>
                <w:bCs/>
                <w:spacing w:val="-1"/>
                <w:sz w:val="20"/>
                <w:szCs w:val="20"/>
                <w:lang w:val="mk-MK" w:eastAsia="en-US"/>
              </w:rPr>
              <w:t>u</w:t>
            </w:r>
            <w:r w:rsidRPr="0068236B">
              <w:rPr>
                <w:rFonts w:cs="Tahoma"/>
                <w:bCs/>
                <w:sz w:val="20"/>
                <w:szCs w:val="20"/>
                <w:lang w:val="mk-MK" w:eastAsia="en-US"/>
              </w:rPr>
              <w:t>t</w:t>
            </w:r>
            <w:r w:rsidRPr="0068236B">
              <w:rPr>
                <w:rFonts w:cs="Tahoma"/>
                <w:bCs/>
                <w:spacing w:val="1"/>
                <w:sz w:val="20"/>
                <w:szCs w:val="20"/>
                <w:lang w:val="mk-MK" w:eastAsia="en-US"/>
              </w:rPr>
              <w:t>i</w:t>
            </w:r>
            <w:r w:rsidRPr="0068236B">
              <w:rPr>
                <w:rFonts w:cs="Tahoma"/>
                <w:bCs/>
                <w:spacing w:val="-1"/>
                <w:sz w:val="20"/>
                <w:szCs w:val="20"/>
                <w:lang w:val="mk-MK" w:eastAsia="en-US"/>
              </w:rPr>
              <w:t>o</w:t>
            </w:r>
            <w:r w:rsidRPr="0068236B">
              <w:rPr>
                <w:rFonts w:cs="Tahoma"/>
                <w:bCs/>
                <w:sz w:val="20"/>
                <w:szCs w:val="20"/>
                <w:lang w:val="mk-MK" w:eastAsia="en-US"/>
              </w:rPr>
              <w:t>n</w:t>
            </w:r>
            <w:r w:rsidRPr="0068236B">
              <w:rPr>
                <w:rFonts w:cs="Tahoma"/>
                <w:bCs/>
                <w:spacing w:val="-1"/>
                <w:sz w:val="20"/>
                <w:szCs w:val="20"/>
                <w:lang w:val="mk-MK" w:eastAsia="en-US"/>
              </w:rPr>
              <w:t xml:space="preserve"> </w:t>
            </w:r>
            <w:r w:rsidRPr="0068236B">
              <w:rPr>
                <w:rFonts w:cs="Tahoma"/>
                <w:bCs/>
                <w:sz w:val="20"/>
                <w:szCs w:val="20"/>
                <w:lang w:val="mk-MK" w:eastAsia="en-US"/>
              </w:rPr>
              <w:t>a</w:t>
            </w:r>
            <w:r w:rsidRPr="0068236B">
              <w:rPr>
                <w:rFonts w:cs="Tahoma"/>
                <w:bCs/>
                <w:spacing w:val="-2"/>
                <w:sz w:val="20"/>
                <w:szCs w:val="20"/>
                <w:lang w:val="mk-MK" w:eastAsia="en-US"/>
              </w:rPr>
              <w:t>n</w:t>
            </w:r>
            <w:r w:rsidRPr="0068236B">
              <w:rPr>
                <w:rFonts w:cs="Tahoma"/>
                <w:bCs/>
                <w:sz w:val="20"/>
                <w:szCs w:val="20"/>
                <w:lang w:val="mk-MK" w:eastAsia="en-US"/>
              </w:rPr>
              <w:t>d</w:t>
            </w:r>
            <w:r w:rsidRPr="0068236B">
              <w:rPr>
                <w:rFonts w:cs="Tahoma"/>
                <w:bCs/>
                <w:spacing w:val="-1"/>
                <w:sz w:val="20"/>
                <w:szCs w:val="20"/>
                <w:lang w:val="mk-MK" w:eastAsia="en-US"/>
              </w:rPr>
              <w:t xml:space="preserve"> </w:t>
            </w:r>
            <w:r w:rsidRPr="0068236B">
              <w:rPr>
                <w:rFonts w:cs="Tahoma"/>
                <w:bCs/>
                <w:spacing w:val="1"/>
                <w:sz w:val="20"/>
                <w:szCs w:val="20"/>
                <w:lang w:val="mk-MK" w:eastAsia="en-US"/>
              </w:rPr>
              <w:t>c</w:t>
            </w:r>
            <w:r w:rsidRPr="0068236B">
              <w:rPr>
                <w:rFonts w:cs="Tahoma"/>
                <w:bCs/>
                <w:spacing w:val="-4"/>
                <w:sz w:val="20"/>
                <w:szCs w:val="20"/>
                <w:lang w:val="mk-MK" w:eastAsia="en-US"/>
              </w:rPr>
              <w:t>o</w:t>
            </w:r>
            <w:r w:rsidRPr="0068236B">
              <w:rPr>
                <w:rFonts w:cs="Tahoma"/>
                <w:bCs/>
                <w:sz w:val="20"/>
                <w:szCs w:val="20"/>
                <w:lang w:val="mk-MK" w:eastAsia="en-US"/>
              </w:rPr>
              <w:t>l</w:t>
            </w:r>
            <w:r w:rsidRPr="0068236B">
              <w:rPr>
                <w:rFonts w:cs="Tahoma"/>
                <w:bCs/>
                <w:spacing w:val="-2"/>
                <w:sz w:val="20"/>
                <w:szCs w:val="20"/>
                <w:lang w:val="mk-MK" w:eastAsia="en-US"/>
              </w:rPr>
              <w:t>l</w:t>
            </w:r>
            <w:r w:rsidRPr="0068236B">
              <w:rPr>
                <w:rFonts w:cs="Tahoma"/>
                <w:bCs/>
                <w:sz w:val="20"/>
                <w:szCs w:val="20"/>
                <w:lang w:val="mk-MK" w:eastAsia="en-US"/>
              </w:rPr>
              <w:t>isi</w:t>
            </w:r>
            <w:r w:rsidRPr="0068236B">
              <w:rPr>
                <w:rFonts w:cs="Tahoma"/>
                <w:bCs/>
                <w:spacing w:val="-1"/>
                <w:sz w:val="20"/>
                <w:szCs w:val="20"/>
                <w:lang w:val="mk-MK" w:eastAsia="en-US"/>
              </w:rPr>
              <w:t>o</w:t>
            </w:r>
            <w:r w:rsidRPr="0068236B">
              <w:rPr>
                <w:rFonts w:cs="Tahoma"/>
                <w:bCs/>
                <w:sz w:val="20"/>
                <w:szCs w:val="20"/>
                <w:lang w:val="mk-MK" w:eastAsia="en-US"/>
              </w:rPr>
              <w:t>n</w:t>
            </w:r>
            <w:r w:rsidRPr="0068236B">
              <w:rPr>
                <w:rFonts w:cs="Tahoma"/>
                <w:bCs/>
                <w:spacing w:val="-4"/>
                <w:sz w:val="20"/>
                <w:szCs w:val="20"/>
                <w:lang w:val="mk-MK" w:eastAsia="en-US"/>
              </w:rPr>
              <w:t xml:space="preserve"> </w:t>
            </w:r>
            <w:r w:rsidRPr="0068236B">
              <w:rPr>
                <w:rFonts w:cs="Tahoma"/>
                <w:bCs/>
                <w:spacing w:val="1"/>
                <w:sz w:val="20"/>
                <w:szCs w:val="20"/>
                <w:lang w:val="mk-MK" w:eastAsia="en-US"/>
              </w:rPr>
              <w:t>i</w:t>
            </w:r>
            <w:r w:rsidRPr="0068236B">
              <w:rPr>
                <w:rFonts w:cs="Tahoma"/>
                <w:bCs/>
                <w:spacing w:val="-1"/>
                <w:sz w:val="20"/>
                <w:szCs w:val="20"/>
                <w:lang w:val="mk-MK" w:eastAsia="en-US"/>
              </w:rPr>
              <w:t>n</w:t>
            </w:r>
            <w:r w:rsidRPr="0068236B">
              <w:rPr>
                <w:rFonts w:cs="Tahoma"/>
                <w:bCs/>
                <w:sz w:val="20"/>
                <w:szCs w:val="20"/>
                <w:lang w:val="mk-MK" w:eastAsia="en-US"/>
              </w:rPr>
              <w:t>tern</w:t>
            </w:r>
            <w:r w:rsidRPr="0068236B">
              <w:rPr>
                <w:rFonts w:cs="Tahoma"/>
                <w:bCs/>
                <w:spacing w:val="-2"/>
                <w:sz w:val="20"/>
                <w:szCs w:val="20"/>
                <w:lang w:val="mk-MK" w:eastAsia="en-US"/>
              </w:rPr>
              <w:t>a</w:t>
            </w:r>
            <w:r w:rsidRPr="0068236B">
              <w:rPr>
                <w:rFonts w:cs="Tahoma"/>
                <w:bCs/>
                <w:sz w:val="20"/>
                <w:szCs w:val="20"/>
                <w:lang w:val="mk-MK" w:eastAsia="en-US"/>
              </w:rPr>
              <w:t>t</w:t>
            </w:r>
            <w:r w:rsidRPr="0068236B">
              <w:rPr>
                <w:rFonts w:cs="Tahoma"/>
                <w:bCs/>
                <w:spacing w:val="1"/>
                <w:sz w:val="20"/>
                <w:szCs w:val="20"/>
                <w:lang w:val="mk-MK" w:eastAsia="en-US"/>
              </w:rPr>
              <w:t>i</w:t>
            </w:r>
            <w:r w:rsidRPr="0068236B">
              <w:rPr>
                <w:rFonts w:cs="Tahoma"/>
                <w:bCs/>
                <w:spacing w:val="-1"/>
                <w:sz w:val="20"/>
                <w:szCs w:val="20"/>
                <w:lang w:val="mk-MK" w:eastAsia="en-US"/>
              </w:rPr>
              <w:t>on</w:t>
            </w:r>
            <w:r w:rsidRPr="0068236B">
              <w:rPr>
                <w:rFonts w:cs="Tahoma"/>
                <w:bCs/>
                <w:spacing w:val="-2"/>
                <w:sz w:val="20"/>
                <w:szCs w:val="20"/>
                <w:lang w:val="mk-MK" w:eastAsia="en-US"/>
              </w:rPr>
              <w:t>al</w:t>
            </w:r>
            <w:r w:rsidRPr="0068236B">
              <w:rPr>
                <w:rFonts w:cs="Tahoma"/>
                <w:bCs/>
                <w:sz w:val="20"/>
                <w:szCs w:val="20"/>
                <w:lang w:val="mk-MK" w:eastAsia="en-US"/>
              </w:rPr>
              <w:t>ly</w:t>
            </w:r>
          </w:p>
        </w:tc>
        <w:tc>
          <w:tcPr>
            <w:tcW w:w="1559" w:type="dxa"/>
            <w:tcBorders>
              <w:top w:val="double" w:sz="4" w:space="0" w:color="auto"/>
              <w:left w:val="double" w:sz="4" w:space="0" w:color="auto"/>
              <w:bottom w:val="double" w:sz="4" w:space="0" w:color="auto"/>
            </w:tcBorders>
            <w:shd w:val="clear" w:color="auto" w:fill="9CC2E5" w:themeFill="accent5" w:themeFillTint="99"/>
          </w:tcPr>
          <w:p w14:paraId="46599100" w14:textId="77777777" w:rsidR="001E0F48" w:rsidRPr="0068236B" w:rsidRDefault="001E0F48" w:rsidP="001E0F48">
            <w:pPr>
              <w:kinsoku w:val="0"/>
              <w:overflowPunct w:val="0"/>
              <w:autoSpaceDE w:val="0"/>
              <w:autoSpaceDN w:val="0"/>
              <w:adjustRightInd w:val="0"/>
              <w:spacing w:before="0" w:after="0" w:line="240" w:lineRule="auto"/>
              <w:ind w:right="3"/>
              <w:jc w:val="center"/>
              <w:rPr>
                <w:rFonts w:cs="Tahoma"/>
                <w:sz w:val="20"/>
                <w:szCs w:val="20"/>
                <w:lang w:val="mk-MK" w:eastAsia="en-US"/>
              </w:rPr>
            </w:pPr>
            <w:r w:rsidRPr="0068236B">
              <w:rPr>
                <w:rFonts w:cs="Tahoma"/>
                <w:bCs/>
                <w:sz w:val="20"/>
                <w:szCs w:val="20"/>
                <w:lang w:val="mk-MK" w:eastAsia="en-US"/>
              </w:rPr>
              <w:t>C</w:t>
            </w:r>
            <w:r w:rsidRPr="0068236B">
              <w:rPr>
                <w:rFonts w:cs="Tahoma"/>
                <w:bCs/>
                <w:spacing w:val="-2"/>
                <w:sz w:val="20"/>
                <w:szCs w:val="20"/>
                <w:lang w:val="mk-MK" w:eastAsia="en-US"/>
              </w:rPr>
              <w:t>a</w:t>
            </w:r>
            <w:r w:rsidRPr="0068236B">
              <w:rPr>
                <w:rFonts w:cs="Tahoma"/>
                <w:bCs/>
                <w:sz w:val="20"/>
                <w:szCs w:val="20"/>
                <w:lang w:val="mk-MK" w:eastAsia="en-US"/>
              </w:rPr>
              <w:t>s</w:t>
            </w:r>
            <w:r w:rsidRPr="0068236B">
              <w:rPr>
                <w:rFonts w:cs="Tahoma"/>
                <w:bCs/>
                <w:spacing w:val="-1"/>
                <w:sz w:val="20"/>
                <w:szCs w:val="20"/>
                <w:lang w:val="mk-MK" w:eastAsia="en-US"/>
              </w:rPr>
              <w:t>u</w:t>
            </w:r>
            <w:r w:rsidRPr="0068236B">
              <w:rPr>
                <w:rFonts w:cs="Tahoma"/>
                <w:bCs/>
                <w:spacing w:val="-2"/>
                <w:sz w:val="20"/>
                <w:szCs w:val="20"/>
                <w:lang w:val="mk-MK" w:eastAsia="en-US"/>
              </w:rPr>
              <w:t>a</w:t>
            </w:r>
            <w:r w:rsidRPr="0068236B">
              <w:rPr>
                <w:rFonts w:cs="Tahoma"/>
                <w:bCs/>
                <w:sz w:val="20"/>
                <w:szCs w:val="20"/>
                <w:lang w:val="mk-MK" w:eastAsia="en-US"/>
              </w:rPr>
              <w:t>lt</w:t>
            </w:r>
            <w:r w:rsidRPr="0068236B">
              <w:rPr>
                <w:rFonts w:cs="Tahoma"/>
                <w:bCs/>
                <w:spacing w:val="1"/>
                <w:sz w:val="20"/>
                <w:szCs w:val="20"/>
                <w:lang w:val="mk-MK" w:eastAsia="en-US"/>
              </w:rPr>
              <w:t>i</w:t>
            </w:r>
            <w:r w:rsidRPr="0068236B">
              <w:rPr>
                <w:rFonts w:cs="Tahoma"/>
                <w:bCs/>
                <w:spacing w:val="-4"/>
                <w:sz w:val="20"/>
                <w:szCs w:val="20"/>
                <w:lang w:val="mk-MK" w:eastAsia="en-US"/>
              </w:rPr>
              <w:t>e</w:t>
            </w:r>
            <w:r w:rsidRPr="0068236B">
              <w:rPr>
                <w:rFonts w:cs="Tahoma"/>
                <w:bCs/>
                <w:sz w:val="20"/>
                <w:szCs w:val="20"/>
                <w:lang w:val="mk-MK" w:eastAsia="en-US"/>
              </w:rPr>
              <w:t>s d</w:t>
            </w:r>
            <w:r w:rsidRPr="0068236B">
              <w:rPr>
                <w:rFonts w:cs="Tahoma"/>
                <w:bCs/>
                <w:spacing w:val="-2"/>
                <w:sz w:val="20"/>
                <w:szCs w:val="20"/>
                <w:lang w:val="mk-MK" w:eastAsia="en-US"/>
              </w:rPr>
              <w:t>u</w:t>
            </w:r>
            <w:r w:rsidRPr="0068236B">
              <w:rPr>
                <w:rFonts w:cs="Tahoma"/>
                <w:bCs/>
                <w:sz w:val="20"/>
                <w:szCs w:val="20"/>
                <w:lang w:val="mk-MK" w:eastAsia="en-US"/>
              </w:rPr>
              <w:t>e</w:t>
            </w:r>
          </w:p>
          <w:p w14:paraId="751C8663" w14:textId="77777777" w:rsidR="001E0F48" w:rsidRPr="0068236B" w:rsidRDefault="001E0F48" w:rsidP="001E0F48">
            <w:pPr>
              <w:kinsoku w:val="0"/>
              <w:overflowPunct w:val="0"/>
              <w:autoSpaceDE w:val="0"/>
              <w:autoSpaceDN w:val="0"/>
              <w:adjustRightInd w:val="0"/>
              <w:spacing w:before="0" w:after="0" w:line="240" w:lineRule="auto"/>
              <w:jc w:val="center"/>
              <w:rPr>
                <w:rFonts w:cs="Tahoma"/>
                <w:sz w:val="20"/>
                <w:szCs w:val="20"/>
                <w:lang w:val="mk-MK" w:eastAsia="en-US"/>
              </w:rPr>
            </w:pPr>
            <w:r w:rsidRPr="0068236B">
              <w:rPr>
                <w:rFonts w:cs="Tahoma"/>
                <w:bCs/>
                <w:sz w:val="20"/>
                <w:szCs w:val="20"/>
                <w:lang w:val="mk-MK" w:eastAsia="en-US"/>
              </w:rPr>
              <w:t>to</w:t>
            </w:r>
            <w:r w:rsidRPr="0068236B">
              <w:rPr>
                <w:rFonts w:cs="Tahoma"/>
                <w:bCs/>
                <w:spacing w:val="-1"/>
                <w:sz w:val="20"/>
                <w:szCs w:val="20"/>
                <w:lang w:val="mk-MK" w:eastAsia="en-US"/>
              </w:rPr>
              <w:t xml:space="preserve"> </w:t>
            </w:r>
            <w:r w:rsidRPr="0068236B">
              <w:rPr>
                <w:rFonts w:cs="Tahoma"/>
                <w:bCs/>
                <w:spacing w:val="1"/>
                <w:sz w:val="20"/>
                <w:szCs w:val="20"/>
                <w:lang w:val="mk-MK" w:eastAsia="en-US"/>
              </w:rPr>
              <w:t>c</w:t>
            </w:r>
            <w:r w:rsidRPr="0068236B">
              <w:rPr>
                <w:rFonts w:cs="Tahoma"/>
                <w:bCs/>
                <w:spacing w:val="-1"/>
                <w:sz w:val="20"/>
                <w:szCs w:val="20"/>
                <w:lang w:val="mk-MK" w:eastAsia="en-US"/>
              </w:rPr>
              <w:t>o</w:t>
            </w:r>
            <w:r w:rsidRPr="0068236B">
              <w:rPr>
                <w:rFonts w:cs="Tahoma"/>
                <w:bCs/>
                <w:spacing w:val="-2"/>
                <w:sz w:val="20"/>
                <w:szCs w:val="20"/>
                <w:lang w:val="mk-MK" w:eastAsia="en-US"/>
              </w:rPr>
              <w:t>l</w:t>
            </w:r>
            <w:r w:rsidRPr="0068236B">
              <w:rPr>
                <w:rFonts w:cs="Tahoma"/>
                <w:bCs/>
                <w:sz w:val="20"/>
                <w:szCs w:val="20"/>
                <w:lang w:val="mk-MK" w:eastAsia="en-US"/>
              </w:rPr>
              <w:t>li</w:t>
            </w:r>
            <w:r w:rsidRPr="0068236B">
              <w:rPr>
                <w:rFonts w:cs="Tahoma"/>
                <w:bCs/>
                <w:spacing w:val="-2"/>
                <w:sz w:val="20"/>
                <w:szCs w:val="20"/>
                <w:lang w:val="mk-MK" w:eastAsia="en-US"/>
              </w:rPr>
              <w:t>s</w:t>
            </w:r>
            <w:r w:rsidRPr="0068236B">
              <w:rPr>
                <w:rFonts w:cs="Tahoma"/>
                <w:bCs/>
                <w:sz w:val="20"/>
                <w:szCs w:val="20"/>
                <w:lang w:val="mk-MK" w:eastAsia="en-US"/>
              </w:rPr>
              <w:t>i</w:t>
            </w:r>
            <w:r w:rsidRPr="0068236B">
              <w:rPr>
                <w:rFonts w:cs="Tahoma"/>
                <w:bCs/>
                <w:spacing w:val="-1"/>
                <w:sz w:val="20"/>
                <w:szCs w:val="20"/>
                <w:lang w:val="mk-MK" w:eastAsia="en-US"/>
              </w:rPr>
              <w:t>o</w:t>
            </w:r>
            <w:r w:rsidRPr="0068236B">
              <w:rPr>
                <w:rFonts w:cs="Tahoma"/>
                <w:bCs/>
                <w:sz w:val="20"/>
                <w:szCs w:val="20"/>
                <w:lang w:val="mk-MK" w:eastAsia="en-US"/>
              </w:rPr>
              <w:t>n</w:t>
            </w:r>
          </w:p>
        </w:tc>
      </w:tr>
      <w:tr w:rsidR="001E0F48" w:rsidRPr="0068236B" w14:paraId="7D79D902" w14:textId="77777777" w:rsidTr="001E0F48">
        <w:tc>
          <w:tcPr>
            <w:tcW w:w="5387" w:type="dxa"/>
          </w:tcPr>
          <w:p w14:paraId="1089AB57" w14:textId="77777777" w:rsidR="001E0F48" w:rsidRPr="0068236B" w:rsidRDefault="001E0F48" w:rsidP="001E0F48">
            <w:pPr>
              <w:kinsoku w:val="0"/>
              <w:overflowPunct w:val="0"/>
              <w:autoSpaceDE w:val="0"/>
              <w:autoSpaceDN w:val="0"/>
              <w:adjustRightInd w:val="0"/>
              <w:spacing w:before="0" w:after="0" w:line="240" w:lineRule="auto"/>
              <w:ind w:left="102"/>
              <w:jc w:val="left"/>
              <w:rPr>
                <w:rFonts w:cs="Tahoma"/>
                <w:sz w:val="20"/>
                <w:szCs w:val="20"/>
                <w:lang w:val="mk-MK" w:eastAsia="en-US"/>
              </w:rPr>
            </w:pPr>
            <w:r w:rsidRPr="0068236B">
              <w:rPr>
                <w:rFonts w:cs="Tahoma"/>
                <w:sz w:val="20"/>
                <w:szCs w:val="20"/>
                <w:lang w:val="mk-MK" w:eastAsia="en-US"/>
              </w:rPr>
              <w:t>Co</w:t>
            </w:r>
            <w:r w:rsidRPr="0068236B">
              <w:rPr>
                <w:rFonts w:cs="Tahoma"/>
                <w:spacing w:val="-3"/>
                <w:sz w:val="20"/>
                <w:szCs w:val="20"/>
                <w:lang w:val="mk-MK" w:eastAsia="en-US"/>
              </w:rPr>
              <w:t>r</w:t>
            </w:r>
            <w:r w:rsidRPr="0068236B">
              <w:rPr>
                <w:rFonts w:cs="Tahoma"/>
                <w:sz w:val="20"/>
                <w:szCs w:val="20"/>
                <w:lang w:val="mk-MK" w:eastAsia="en-US"/>
              </w:rPr>
              <w:t>m</w:t>
            </w:r>
            <w:r w:rsidRPr="0068236B">
              <w:rPr>
                <w:rFonts w:cs="Tahoma"/>
                <w:spacing w:val="1"/>
                <w:sz w:val="20"/>
                <w:szCs w:val="20"/>
                <w:lang w:val="mk-MK" w:eastAsia="en-US"/>
              </w:rPr>
              <w:t>o</w:t>
            </w:r>
            <w:r w:rsidRPr="0068236B">
              <w:rPr>
                <w:rFonts w:cs="Tahoma"/>
                <w:sz w:val="20"/>
                <w:szCs w:val="20"/>
                <w:lang w:val="mk-MK" w:eastAsia="en-US"/>
              </w:rPr>
              <w:t>ra</w:t>
            </w:r>
            <w:r w:rsidRPr="0068236B">
              <w:rPr>
                <w:rFonts w:cs="Tahoma"/>
                <w:spacing w:val="-2"/>
                <w:sz w:val="20"/>
                <w:szCs w:val="20"/>
                <w:lang w:val="mk-MK" w:eastAsia="en-US"/>
              </w:rPr>
              <w:t>nt</w:t>
            </w:r>
            <w:r w:rsidRPr="0068236B">
              <w:rPr>
                <w:rFonts w:cs="Tahoma"/>
                <w:sz w:val="20"/>
                <w:szCs w:val="20"/>
                <w:lang w:val="mk-MK" w:eastAsia="en-US"/>
              </w:rPr>
              <w:t xml:space="preserve">s </w:t>
            </w:r>
            <w:r w:rsidRPr="0068236B">
              <w:rPr>
                <w:rFonts w:cs="Tahoma"/>
                <w:spacing w:val="-2"/>
                <w:sz w:val="20"/>
                <w:szCs w:val="20"/>
                <w:lang w:val="mk-MK" w:eastAsia="en-US"/>
              </w:rPr>
              <w:t>(</w:t>
            </w:r>
            <w:r w:rsidRPr="0068236B">
              <w:rPr>
                <w:rFonts w:cs="Tahoma"/>
                <w:sz w:val="20"/>
                <w:szCs w:val="20"/>
                <w:lang w:val="mk-MK" w:eastAsia="en-US"/>
              </w:rPr>
              <w:t>P</w:t>
            </w:r>
            <w:r w:rsidRPr="0068236B">
              <w:rPr>
                <w:rFonts w:cs="Tahoma"/>
                <w:spacing w:val="-1"/>
                <w:sz w:val="20"/>
                <w:szCs w:val="20"/>
                <w:lang w:val="mk-MK" w:eastAsia="en-US"/>
              </w:rPr>
              <w:t>h</w:t>
            </w:r>
            <w:r w:rsidRPr="0068236B">
              <w:rPr>
                <w:rFonts w:cs="Tahoma"/>
                <w:sz w:val="20"/>
                <w:szCs w:val="20"/>
                <w:lang w:val="mk-MK" w:eastAsia="en-US"/>
              </w:rPr>
              <w:t>al</w:t>
            </w:r>
            <w:r w:rsidRPr="0068236B">
              <w:rPr>
                <w:rFonts w:cs="Tahoma"/>
                <w:spacing w:val="-1"/>
                <w:sz w:val="20"/>
                <w:szCs w:val="20"/>
                <w:lang w:val="mk-MK" w:eastAsia="en-US"/>
              </w:rPr>
              <w:t>a</w:t>
            </w:r>
            <w:r w:rsidRPr="0068236B">
              <w:rPr>
                <w:rFonts w:cs="Tahoma"/>
                <w:sz w:val="20"/>
                <w:szCs w:val="20"/>
                <w:lang w:val="mk-MK" w:eastAsia="en-US"/>
              </w:rPr>
              <w:t>c</w:t>
            </w:r>
            <w:r w:rsidRPr="0068236B">
              <w:rPr>
                <w:rFonts w:cs="Tahoma"/>
                <w:spacing w:val="-3"/>
                <w:sz w:val="20"/>
                <w:szCs w:val="20"/>
                <w:lang w:val="mk-MK" w:eastAsia="en-US"/>
              </w:rPr>
              <w:t>r</w:t>
            </w:r>
            <w:r w:rsidRPr="0068236B">
              <w:rPr>
                <w:rFonts w:cs="Tahoma"/>
                <w:spacing w:val="1"/>
                <w:sz w:val="20"/>
                <w:szCs w:val="20"/>
                <w:lang w:val="mk-MK" w:eastAsia="en-US"/>
              </w:rPr>
              <w:t>o</w:t>
            </w:r>
            <w:r w:rsidRPr="0068236B">
              <w:rPr>
                <w:rFonts w:cs="Tahoma"/>
                <w:spacing w:val="-3"/>
                <w:sz w:val="20"/>
                <w:szCs w:val="20"/>
                <w:lang w:val="mk-MK" w:eastAsia="en-US"/>
              </w:rPr>
              <w:t>c</w:t>
            </w:r>
            <w:r w:rsidRPr="0068236B">
              <w:rPr>
                <w:rFonts w:cs="Tahoma"/>
                <w:spacing w:val="1"/>
                <w:sz w:val="20"/>
                <w:szCs w:val="20"/>
                <w:lang w:val="mk-MK" w:eastAsia="en-US"/>
              </w:rPr>
              <w:t>o</w:t>
            </w:r>
            <w:r w:rsidRPr="0068236B">
              <w:rPr>
                <w:rFonts w:cs="Tahoma"/>
                <w:sz w:val="20"/>
                <w:szCs w:val="20"/>
                <w:lang w:val="mk-MK" w:eastAsia="en-US"/>
              </w:rPr>
              <w:t>ra</w:t>
            </w:r>
            <w:r w:rsidRPr="0068236B">
              <w:rPr>
                <w:rFonts w:cs="Tahoma"/>
                <w:spacing w:val="-3"/>
                <w:sz w:val="20"/>
                <w:szCs w:val="20"/>
                <w:lang w:val="mk-MK" w:eastAsia="en-US"/>
              </w:rPr>
              <w:t>c</w:t>
            </w:r>
            <w:r w:rsidRPr="0068236B">
              <w:rPr>
                <w:rFonts w:cs="Tahoma"/>
                <w:sz w:val="20"/>
                <w:szCs w:val="20"/>
                <w:lang w:val="mk-MK" w:eastAsia="en-US"/>
              </w:rPr>
              <w:t>i</w:t>
            </w:r>
            <w:r w:rsidRPr="0068236B">
              <w:rPr>
                <w:rFonts w:cs="Tahoma"/>
                <w:spacing w:val="-2"/>
                <w:sz w:val="20"/>
                <w:szCs w:val="20"/>
                <w:lang w:val="mk-MK" w:eastAsia="en-US"/>
              </w:rPr>
              <w:t>d</w:t>
            </w:r>
            <w:r w:rsidRPr="0068236B">
              <w:rPr>
                <w:rFonts w:cs="Tahoma"/>
                <w:sz w:val="20"/>
                <w:szCs w:val="20"/>
                <w:lang w:val="mk-MK" w:eastAsia="en-US"/>
              </w:rPr>
              <w:t>ae)</w:t>
            </w:r>
          </w:p>
        </w:tc>
        <w:tc>
          <w:tcPr>
            <w:tcW w:w="1559" w:type="dxa"/>
          </w:tcPr>
          <w:p w14:paraId="0C7EF496" w14:textId="77777777" w:rsidR="001E0F48" w:rsidRPr="0068236B" w:rsidRDefault="001E0F48" w:rsidP="001E0F48">
            <w:pPr>
              <w:kinsoku w:val="0"/>
              <w:overflowPunct w:val="0"/>
              <w:autoSpaceDE w:val="0"/>
              <w:autoSpaceDN w:val="0"/>
              <w:adjustRightInd w:val="0"/>
              <w:spacing w:before="0" w:after="0" w:line="240" w:lineRule="auto"/>
              <w:ind w:left="102"/>
              <w:jc w:val="center"/>
              <w:rPr>
                <w:rFonts w:cs="Tahoma"/>
                <w:sz w:val="20"/>
                <w:szCs w:val="20"/>
                <w:lang w:val="mk-MK" w:eastAsia="en-US"/>
              </w:rPr>
            </w:pPr>
            <w:r w:rsidRPr="0068236B">
              <w:rPr>
                <w:rFonts w:cs="Tahoma"/>
                <w:sz w:val="20"/>
                <w:szCs w:val="20"/>
                <w:lang w:val="mk-MK" w:eastAsia="en-US"/>
              </w:rPr>
              <w:t>I</w:t>
            </w:r>
          </w:p>
        </w:tc>
      </w:tr>
      <w:tr w:rsidR="001E0F48" w:rsidRPr="0068236B" w14:paraId="5B058881" w14:textId="77777777" w:rsidTr="001E0F48">
        <w:tc>
          <w:tcPr>
            <w:tcW w:w="5387" w:type="dxa"/>
          </w:tcPr>
          <w:p w14:paraId="46871C9C" w14:textId="77777777" w:rsidR="001E0F48" w:rsidRPr="0068236B" w:rsidRDefault="001E0F48" w:rsidP="001E0F48">
            <w:pPr>
              <w:kinsoku w:val="0"/>
              <w:overflowPunct w:val="0"/>
              <w:autoSpaceDE w:val="0"/>
              <w:autoSpaceDN w:val="0"/>
              <w:adjustRightInd w:val="0"/>
              <w:spacing w:before="0" w:after="0" w:line="240" w:lineRule="auto"/>
              <w:ind w:left="102"/>
              <w:jc w:val="left"/>
              <w:rPr>
                <w:rFonts w:cs="Tahoma"/>
                <w:sz w:val="20"/>
                <w:szCs w:val="20"/>
                <w:lang w:val="mk-MK" w:eastAsia="en-US"/>
              </w:rPr>
            </w:pPr>
            <w:r w:rsidRPr="0068236B">
              <w:rPr>
                <w:rFonts w:cs="Tahoma"/>
                <w:spacing w:val="-1"/>
                <w:sz w:val="20"/>
                <w:szCs w:val="20"/>
                <w:lang w:val="mk-MK" w:eastAsia="en-US"/>
              </w:rPr>
              <w:t>H</w:t>
            </w:r>
            <w:r w:rsidRPr="0068236B">
              <w:rPr>
                <w:rFonts w:cs="Tahoma"/>
                <w:sz w:val="20"/>
                <w:szCs w:val="20"/>
                <w:lang w:val="mk-MK" w:eastAsia="en-US"/>
              </w:rPr>
              <w:t>er</w:t>
            </w:r>
            <w:r w:rsidRPr="0068236B">
              <w:rPr>
                <w:rFonts w:cs="Tahoma"/>
                <w:spacing w:val="1"/>
                <w:sz w:val="20"/>
                <w:szCs w:val="20"/>
                <w:lang w:val="mk-MK" w:eastAsia="en-US"/>
              </w:rPr>
              <w:t>o</w:t>
            </w:r>
            <w:r w:rsidRPr="0068236B">
              <w:rPr>
                <w:rFonts w:cs="Tahoma"/>
                <w:spacing w:val="-1"/>
                <w:sz w:val="20"/>
                <w:szCs w:val="20"/>
                <w:lang w:val="mk-MK" w:eastAsia="en-US"/>
              </w:rPr>
              <w:t>n</w:t>
            </w:r>
            <w:r w:rsidRPr="0068236B">
              <w:rPr>
                <w:rFonts w:cs="Tahoma"/>
                <w:sz w:val="20"/>
                <w:szCs w:val="20"/>
                <w:lang w:val="mk-MK" w:eastAsia="en-US"/>
              </w:rPr>
              <w:t>s, B</w:t>
            </w:r>
            <w:r w:rsidRPr="0068236B">
              <w:rPr>
                <w:rFonts w:cs="Tahoma"/>
                <w:spacing w:val="-3"/>
                <w:sz w:val="20"/>
                <w:szCs w:val="20"/>
                <w:lang w:val="mk-MK" w:eastAsia="en-US"/>
              </w:rPr>
              <w:t>i</w:t>
            </w:r>
            <w:r w:rsidRPr="0068236B">
              <w:rPr>
                <w:rFonts w:cs="Tahoma"/>
                <w:sz w:val="20"/>
                <w:szCs w:val="20"/>
                <w:lang w:val="mk-MK" w:eastAsia="en-US"/>
              </w:rPr>
              <w:t>tterns</w:t>
            </w:r>
            <w:r w:rsidRPr="0068236B">
              <w:rPr>
                <w:rFonts w:cs="Tahoma"/>
                <w:spacing w:val="-3"/>
                <w:sz w:val="20"/>
                <w:szCs w:val="20"/>
                <w:lang w:val="mk-MK" w:eastAsia="en-US"/>
              </w:rPr>
              <w:t xml:space="preserve"> </w:t>
            </w:r>
            <w:r w:rsidRPr="0068236B">
              <w:rPr>
                <w:rFonts w:cs="Tahoma"/>
                <w:sz w:val="20"/>
                <w:szCs w:val="20"/>
                <w:lang w:val="mk-MK" w:eastAsia="en-US"/>
              </w:rPr>
              <w:t>(A</w:t>
            </w:r>
            <w:r w:rsidRPr="0068236B">
              <w:rPr>
                <w:rFonts w:cs="Tahoma"/>
                <w:spacing w:val="-1"/>
                <w:sz w:val="20"/>
                <w:szCs w:val="20"/>
                <w:lang w:val="mk-MK" w:eastAsia="en-US"/>
              </w:rPr>
              <w:t>rd</w:t>
            </w:r>
            <w:r w:rsidRPr="0068236B">
              <w:rPr>
                <w:rFonts w:cs="Tahoma"/>
                <w:sz w:val="20"/>
                <w:szCs w:val="20"/>
                <w:lang w:val="mk-MK" w:eastAsia="en-US"/>
              </w:rPr>
              <w:t>ei</w:t>
            </w:r>
            <w:r w:rsidRPr="0068236B">
              <w:rPr>
                <w:rFonts w:cs="Tahoma"/>
                <w:spacing w:val="-1"/>
                <w:sz w:val="20"/>
                <w:szCs w:val="20"/>
                <w:lang w:val="mk-MK" w:eastAsia="en-US"/>
              </w:rPr>
              <w:t>d</w:t>
            </w:r>
            <w:r w:rsidRPr="0068236B">
              <w:rPr>
                <w:rFonts w:cs="Tahoma"/>
                <w:sz w:val="20"/>
                <w:szCs w:val="20"/>
                <w:lang w:val="mk-MK" w:eastAsia="en-US"/>
              </w:rPr>
              <w:t>a</w:t>
            </w:r>
            <w:r w:rsidRPr="0068236B">
              <w:rPr>
                <w:rFonts w:cs="Tahoma"/>
                <w:spacing w:val="-3"/>
                <w:sz w:val="20"/>
                <w:szCs w:val="20"/>
                <w:lang w:val="mk-MK" w:eastAsia="en-US"/>
              </w:rPr>
              <w:t>e</w:t>
            </w:r>
            <w:r w:rsidRPr="0068236B">
              <w:rPr>
                <w:rFonts w:cs="Tahoma"/>
                <w:sz w:val="20"/>
                <w:szCs w:val="20"/>
                <w:lang w:val="mk-MK" w:eastAsia="en-US"/>
              </w:rPr>
              <w:t>)</w:t>
            </w:r>
          </w:p>
        </w:tc>
        <w:tc>
          <w:tcPr>
            <w:tcW w:w="1559" w:type="dxa"/>
          </w:tcPr>
          <w:p w14:paraId="48616251" w14:textId="77777777" w:rsidR="001E0F48" w:rsidRPr="0068236B" w:rsidRDefault="001E0F48" w:rsidP="001E0F48">
            <w:pPr>
              <w:kinsoku w:val="0"/>
              <w:overflowPunct w:val="0"/>
              <w:autoSpaceDE w:val="0"/>
              <w:autoSpaceDN w:val="0"/>
              <w:adjustRightInd w:val="0"/>
              <w:spacing w:before="0" w:after="0" w:line="240" w:lineRule="auto"/>
              <w:ind w:left="102"/>
              <w:jc w:val="center"/>
              <w:rPr>
                <w:rFonts w:cs="Tahoma"/>
                <w:sz w:val="20"/>
                <w:szCs w:val="20"/>
                <w:lang w:val="mk-MK" w:eastAsia="en-US"/>
              </w:rPr>
            </w:pPr>
            <w:r w:rsidRPr="0068236B">
              <w:rPr>
                <w:rFonts w:cs="Tahoma"/>
                <w:spacing w:val="-1"/>
                <w:sz w:val="20"/>
                <w:szCs w:val="20"/>
                <w:lang w:val="mk-MK" w:eastAsia="en-US"/>
              </w:rPr>
              <w:t>II</w:t>
            </w:r>
          </w:p>
        </w:tc>
      </w:tr>
      <w:tr w:rsidR="001E0F48" w:rsidRPr="0068236B" w14:paraId="4EC897FC" w14:textId="77777777" w:rsidTr="001E0F48">
        <w:tc>
          <w:tcPr>
            <w:tcW w:w="5387" w:type="dxa"/>
          </w:tcPr>
          <w:p w14:paraId="7E5296D9" w14:textId="77777777" w:rsidR="001E0F48" w:rsidRPr="0068236B" w:rsidRDefault="001E0F48" w:rsidP="001E0F48">
            <w:pPr>
              <w:kinsoku w:val="0"/>
              <w:overflowPunct w:val="0"/>
              <w:autoSpaceDE w:val="0"/>
              <w:autoSpaceDN w:val="0"/>
              <w:adjustRightInd w:val="0"/>
              <w:spacing w:before="0" w:after="0" w:line="240" w:lineRule="auto"/>
              <w:ind w:left="102"/>
              <w:jc w:val="left"/>
              <w:rPr>
                <w:rFonts w:cs="Tahoma"/>
                <w:sz w:val="20"/>
                <w:szCs w:val="20"/>
                <w:lang w:val="mk-MK" w:eastAsia="en-US"/>
              </w:rPr>
            </w:pPr>
            <w:r w:rsidRPr="0068236B">
              <w:rPr>
                <w:rFonts w:cs="Tahoma"/>
                <w:sz w:val="20"/>
                <w:szCs w:val="20"/>
                <w:lang w:val="mk-MK" w:eastAsia="en-US"/>
              </w:rPr>
              <w:t>Storks</w:t>
            </w:r>
            <w:r w:rsidRPr="0068236B">
              <w:rPr>
                <w:rFonts w:cs="Tahoma"/>
                <w:spacing w:val="-2"/>
                <w:sz w:val="20"/>
                <w:szCs w:val="20"/>
                <w:lang w:val="mk-MK" w:eastAsia="en-US"/>
              </w:rPr>
              <w:t xml:space="preserve"> </w:t>
            </w:r>
            <w:r w:rsidRPr="0068236B">
              <w:rPr>
                <w:rFonts w:cs="Tahoma"/>
                <w:sz w:val="20"/>
                <w:szCs w:val="20"/>
                <w:lang w:val="mk-MK" w:eastAsia="en-US"/>
              </w:rPr>
              <w:t>(Ci</w:t>
            </w:r>
            <w:r w:rsidRPr="0068236B">
              <w:rPr>
                <w:rFonts w:cs="Tahoma"/>
                <w:spacing w:val="-3"/>
                <w:sz w:val="20"/>
                <w:szCs w:val="20"/>
                <w:lang w:val="mk-MK" w:eastAsia="en-US"/>
              </w:rPr>
              <w:t>c</w:t>
            </w:r>
            <w:r w:rsidRPr="0068236B">
              <w:rPr>
                <w:rFonts w:cs="Tahoma"/>
                <w:spacing w:val="1"/>
                <w:sz w:val="20"/>
                <w:szCs w:val="20"/>
                <w:lang w:val="mk-MK" w:eastAsia="en-US"/>
              </w:rPr>
              <w:t>o</w:t>
            </w:r>
            <w:r w:rsidRPr="0068236B">
              <w:rPr>
                <w:rFonts w:cs="Tahoma"/>
                <w:spacing w:val="-1"/>
                <w:sz w:val="20"/>
                <w:szCs w:val="20"/>
                <w:lang w:val="mk-MK" w:eastAsia="en-US"/>
              </w:rPr>
              <w:t>n</w:t>
            </w:r>
            <w:r w:rsidRPr="0068236B">
              <w:rPr>
                <w:rFonts w:cs="Tahoma"/>
                <w:sz w:val="20"/>
                <w:szCs w:val="20"/>
                <w:lang w:val="mk-MK" w:eastAsia="en-US"/>
              </w:rPr>
              <w:t>i</w:t>
            </w:r>
            <w:r w:rsidRPr="0068236B">
              <w:rPr>
                <w:rFonts w:cs="Tahoma"/>
                <w:spacing w:val="-2"/>
                <w:sz w:val="20"/>
                <w:szCs w:val="20"/>
                <w:lang w:val="mk-MK" w:eastAsia="en-US"/>
              </w:rPr>
              <w:t>d</w:t>
            </w:r>
            <w:r w:rsidRPr="0068236B">
              <w:rPr>
                <w:rFonts w:cs="Tahoma"/>
                <w:sz w:val="20"/>
                <w:szCs w:val="20"/>
                <w:lang w:val="mk-MK" w:eastAsia="en-US"/>
              </w:rPr>
              <w:t>ae)</w:t>
            </w:r>
          </w:p>
        </w:tc>
        <w:tc>
          <w:tcPr>
            <w:tcW w:w="1559" w:type="dxa"/>
          </w:tcPr>
          <w:p w14:paraId="417208CE" w14:textId="77777777" w:rsidR="001E0F48" w:rsidRPr="0068236B" w:rsidRDefault="001E0F48" w:rsidP="001E0F48">
            <w:pPr>
              <w:kinsoku w:val="0"/>
              <w:overflowPunct w:val="0"/>
              <w:autoSpaceDE w:val="0"/>
              <w:autoSpaceDN w:val="0"/>
              <w:adjustRightInd w:val="0"/>
              <w:spacing w:before="0" w:after="0" w:line="240" w:lineRule="auto"/>
              <w:ind w:left="102"/>
              <w:jc w:val="center"/>
              <w:rPr>
                <w:rFonts w:cs="Tahoma"/>
                <w:sz w:val="20"/>
                <w:szCs w:val="20"/>
                <w:lang w:val="mk-MK" w:eastAsia="en-US"/>
              </w:rPr>
            </w:pPr>
            <w:r w:rsidRPr="0068236B">
              <w:rPr>
                <w:rFonts w:cs="Tahoma"/>
                <w:spacing w:val="-1"/>
                <w:sz w:val="20"/>
                <w:szCs w:val="20"/>
                <w:lang w:val="mk-MK" w:eastAsia="en-US"/>
              </w:rPr>
              <w:t>II</w:t>
            </w:r>
          </w:p>
        </w:tc>
      </w:tr>
      <w:tr w:rsidR="001E0F48" w:rsidRPr="0068236B" w14:paraId="29A22F76" w14:textId="77777777" w:rsidTr="001E0F48">
        <w:tc>
          <w:tcPr>
            <w:tcW w:w="5387" w:type="dxa"/>
          </w:tcPr>
          <w:p w14:paraId="007B6D87" w14:textId="77777777" w:rsidR="001E0F48" w:rsidRPr="0068236B" w:rsidRDefault="001E0F48" w:rsidP="001E0F48">
            <w:pPr>
              <w:kinsoku w:val="0"/>
              <w:overflowPunct w:val="0"/>
              <w:autoSpaceDE w:val="0"/>
              <w:autoSpaceDN w:val="0"/>
              <w:adjustRightInd w:val="0"/>
              <w:spacing w:before="0" w:after="0" w:line="240" w:lineRule="auto"/>
              <w:ind w:left="102"/>
              <w:jc w:val="left"/>
              <w:rPr>
                <w:rFonts w:cs="Tahoma"/>
                <w:sz w:val="20"/>
                <w:szCs w:val="20"/>
                <w:lang w:val="mk-MK" w:eastAsia="en-US"/>
              </w:rPr>
            </w:pPr>
            <w:r w:rsidRPr="0068236B">
              <w:rPr>
                <w:rFonts w:cs="Tahoma"/>
                <w:sz w:val="20"/>
                <w:szCs w:val="20"/>
                <w:lang w:val="mk-MK" w:eastAsia="en-US"/>
              </w:rPr>
              <w:t>D</w:t>
            </w:r>
            <w:r w:rsidRPr="0068236B">
              <w:rPr>
                <w:rFonts w:cs="Tahoma"/>
                <w:spacing w:val="-1"/>
                <w:sz w:val="20"/>
                <w:szCs w:val="20"/>
                <w:lang w:val="mk-MK" w:eastAsia="en-US"/>
              </w:rPr>
              <w:t>u</w:t>
            </w:r>
            <w:r w:rsidRPr="0068236B">
              <w:rPr>
                <w:rFonts w:cs="Tahoma"/>
                <w:sz w:val="20"/>
                <w:szCs w:val="20"/>
                <w:lang w:val="mk-MK" w:eastAsia="en-US"/>
              </w:rPr>
              <w:t>cks,</w:t>
            </w:r>
            <w:r w:rsidRPr="0068236B">
              <w:rPr>
                <w:rFonts w:cs="Tahoma"/>
                <w:spacing w:val="-2"/>
                <w:sz w:val="20"/>
                <w:szCs w:val="20"/>
                <w:lang w:val="mk-MK" w:eastAsia="en-US"/>
              </w:rPr>
              <w:t xml:space="preserve"> </w:t>
            </w:r>
            <w:r w:rsidRPr="0068236B">
              <w:rPr>
                <w:rFonts w:cs="Tahoma"/>
                <w:sz w:val="20"/>
                <w:szCs w:val="20"/>
                <w:lang w:val="mk-MK" w:eastAsia="en-US"/>
              </w:rPr>
              <w:t>Ge</w:t>
            </w:r>
            <w:r w:rsidRPr="0068236B">
              <w:rPr>
                <w:rFonts w:cs="Tahoma"/>
                <w:spacing w:val="-2"/>
                <w:sz w:val="20"/>
                <w:szCs w:val="20"/>
                <w:lang w:val="mk-MK" w:eastAsia="en-US"/>
              </w:rPr>
              <w:t>e</w:t>
            </w:r>
            <w:r w:rsidRPr="0068236B">
              <w:rPr>
                <w:rFonts w:cs="Tahoma"/>
                <w:sz w:val="20"/>
                <w:szCs w:val="20"/>
                <w:lang w:val="mk-MK" w:eastAsia="en-US"/>
              </w:rPr>
              <w:t>se,</w:t>
            </w:r>
            <w:r w:rsidRPr="0068236B">
              <w:rPr>
                <w:rFonts w:cs="Tahoma"/>
                <w:spacing w:val="1"/>
                <w:sz w:val="20"/>
                <w:szCs w:val="20"/>
                <w:lang w:val="mk-MK" w:eastAsia="en-US"/>
              </w:rPr>
              <w:t xml:space="preserve"> </w:t>
            </w:r>
            <w:r w:rsidRPr="0068236B">
              <w:rPr>
                <w:rFonts w:cs="Tahoma"/>
                <w:spacing w:val="-3"/>
                <w:sz w:val="20"/>
                <w:szCs w:val="20"/>
                <w:lang w:val="mk-MK" w:eastAsia="en-US"/>
              </w:rPr>
              <w:t>S</w:t>
            </w:r>
            <w:r w:rsidRPr="0068236B">
              <w:rPr>
                <w:rFonts w:cs="Tahoma"/>
                <w:sz w:val="20"/>
                <w:szCs w:val="20"/>
                <w:lang w:val="mk-MK" w:eastAsia="en-US"/>
              </w:rPr>
              <w:t>wans,</w:t>
            </w:r>
            <w:r w:rsidRPr="0068236B">
              <w:rPr>
                <w:rFonts w:cs="Tahoma"/>
                <w:spacing w:val="-2"/>
                <w:sz w:val="20"/>
                <w:szCs w:val="20"/>
                <w:lang w:val="mk-MK" w:eastAsia="en-US"/>
              </w:rPr>
              <w:t xml:space="preserve"> </w:t>
            </w:r>
            <w:r w:rsidRPr="0068236B">
              <w:rPr>
                <w:rFonts w:cs="Tahoma"/>
                <w:sz w:val="20"/>
                <w:szCs w:val="20"/>
                <w:lang w:val="mk-MK" w:eastAsia="en-US"/>
              </w:rPr>
              <w:t>Mer</w:t>
            </w:r>
            <w:r w:rsidRPr="0068236B">
              <w:rPr>
                <w:rFonts w:cs="Tahoma"/>
                <w:spacing w:val="-3"/>
                <w:sz w:val="20"/>
                <w:szCs w:val="20"/>
                <w:lang w:val="mk-MK" w:eastAsia="en-US"/>
              </w:rPr>
              <w:t>g</w:t>
            </w:r>
            <w:r w:rsidRPr="0068236B">
              <w:rPr>
                <w:rFonts w:cs="Tahoma"/>
                <w:sz w:val="20"/>
                <w:szCs w:val="20"/>
                <w:lang w:val="mk-MK" w:eastAsia="en-US"/>
              </w:rPr>
              <w:t>a</w:t>
            </w:r>
            <w:r w:rsidRPr="0068236B">
              <w:rPr>
                <w:rFonts w:cs="Tahoma"/>
                <w:spacing w:val="-1"/>
                <w:sz w:val="20"/>
                <w:szCs w:val="20"/>
                <w:lang w:val="mk-MK" w:eastAsia="en-US"/>
              </w:rPr>
              <w:t>n</w:t>
            </w:r>
            <w:r w:rsidRPr="0068236B">
              <w:rPr>
                <w:rFonts w:cs="Tahoma"/>
                <w:sz w:val="20"/>
                <w:szCs w:val="20"/>
                <w:lang w:val="mk-MK" w:eastAsia="en-US"/>
              </w:rPr>
              <w:t>sers (A</w:t>
            </w:r>
            <w:r w:rsidRPr="0068236B">
              <w:rPr>
                <w:rFonts w:cs="Tahoma"/>
                <w:spacing w:val="-2"/>
                <w:sz w:val="20"/>
                <w:szCs w:val="20"/>
                <w:lang w:val="mk-MK" w:eastAsia="en-US"/>
              </w:rPr>
              <w:t>n</w:t>
            </w:r>
            <w:r w:rsidRPr="0068236B">
              <w:rPr>
                <w:rFonts w:cs="Tahoma"/>
                <w:sz w:val="20"/>
                <w:szCs w:val="20"/>
                <w:lang w:val="mk-MK" w:eastAsia="en-US"/>
              </w:rPr>
              <w:t>ati</w:t>
            </w:r>
            <w:r w:rsidRPr="0068236B">
              <w:rPr>
                <w:rFonts w:cs="Tahoma"/>
                <w:spacing w:val="-1"/>
                <w:sz w:val="20"/>
                <w:szCs w:val="20"/>
                <w:lang w:val="mk-MK" w:eastAsia="en-US"/>
              </w:rPr>
              <w:t>d</w:t>
            </w:r>
            <w:r w:rsidRPr="0068236B">
              <w:rPr>
                <w:rFonts w:cs="Tahoma"/>
                <w:spacing w:val="-3"/>
                <w:sz w:val="20"/>
                <w:szCs w:val="20"/>
                <w:lang w:val="mk-MK" w:eastAsia="en-US"/>
              </w:rPr>
              <w:t>a</w:t>
            </w:r>
            <w:r w:rsidRPr="0068236B">
              <w:rPr>
                <w:rFonts w:cs="Tahoma"/>
                <w:sz w:val="20"/>
                <w:szCs w:val="20"/>
                <w:lang w:val="mk-MK" w:eastAsia="en-US"/>
              </w:rPr>
              <w:t>e)</w:t>
            </w:r>
          </w:p>
        </w:tc>
        <w:tc>
          <w:tcPr>
            <w:tcW w:w="1559" w:type="dxa"/>
          </w:tcPr>
          <w:p w14:paraId="1A257264" w14:textId="77777777" w:rsidR="001E0F48" w:rsidRPr="0068236B" w:rsidRDefault="001E0F48" w:rsidP="001E0F48">
            <w:pPr>
              <w:kinsoku w:val="0"/>
              <w:overflowPunct w:val="0"/>
              <w:autoSpaceDE w:val="0"/>
              <w:autoSpaceDN w:val="0"/>
              <w:adjustRightInd w:val="0"/>
              <w:spacing w:before="0" w:after="0" w:line="240" w:lineRule="auto"/>
              <w:ind w:left="102"/>
              <w:jc w:val="center"/>
              <w:rPr>
                <w:rFonts w:cs="Tahoma"/>
                <w:sz w:val="20"/>
                <w:szCs w:val="20"/>
                <w:lang w:val="mk-MK" w:eastAsia="en-US"/>
              </w:rPr>
            </w:pPr>
            <w:r w:rsidRPr="0068236B">
              <w:rPr>
                <w:rFonts w:cs="Tahoma"/>
                <w:spacing w:val="-1"/>
                <w:sz w:val="20"/>
                <w:szCs w:val="20"/>
                <w:lang w:val="mk-MK" w:eastAsia="en-US"/>
              </w:rPr>
              <w:t>II</w:t>
            </w:r>
          </w:p>
        </w:tc>
      </w:tr>
      <w:tr w:rsidR="001E0F48" w:rsidRPr="0068236B" w14:paraId="0FA9B57B" w14:textId="77777777" w:rsidTr="001E0F48">
        <w:tc>
          <w:tcPr>
            <w:tcW w:w="5387" w:type="dxa"/>
          </w:tcPr>
          <w:p w14:paraId="4E038BA2" w14:textId="77777777" w:rsidR="001E0F48" w:rsidRPr="0068236B" w:rsidRDefault="001E0F48" w:rsidP="001E0F48">
            <w:pPr>
              <w:kinsoku w:val="0"/>
              <w:overflowPunct w:val="0"/>
              <w:autoSpaceDE w:val="0"/>
              <w:autoSpaceDN w:val="0"/>
              <w:adjustRightInd w:val="0"/>
              <w:spacing w:before="0" w:after="0" w:line="240" w:lineRule="auto"/>
              <w:ind w:left="102"/>
              <w:jc w:val="left"/>
              <w:rPr>
                <w:rFonts w:cs="Tahoma"/>
                <w:sz w:val="20"/>
                <w:szCs w:val="20"/>
                <w:lang w:val="mk-MK" w:eastAsia="en-US"/>
              </w:rPr>
            </w:pPr>
            <w:r w:rsidRPr="0068236B">
              <w:rPr>
                <w:rFonts w:cs="Tahoma"/>
                <w:sz w:val="20"/>
                <w:szCs w:val="20"/>
                <w:lang w:val="mk-MK" w:eastAsia="en-US"/>
              </w:rPr>
              <w:t>Ra</w:t>
            </w:r>
            <w:r w:rsidRPr="0068236B">
              <w:rPr>
                <w:rFonts w:cs="Tahoma"/>
                <w:spacing w:val="-1"/>
                <w:sz w:val="20"/>
                <w:szCs w:val="20"/>
                <w:lang w:val="mk-MK" w:eastAsia="en-US"/>
              </w:rPr>
              <w:t>p</w:t>
            </w:r>
            <w:r w:rsidRPr="0068236B">
              <w:rPr>
                <w:rFonts w:cs="Tahoma"/>
                <w:sz w:val="20"/>
                <w:szCs w:val="20"/>
                <w:lang w:val="mk-MK" w:eastAsia="en-US"/>
              </w:rPr>
              <w:t>t</w:t>
            </w:r>
            <w:r w:rsidRPr="0068236B">
              <w:rPr>
                <w:rFonts w:cs="Tahoma"/>
                <w:spacing w:val="1"/>
                <w:sz w:val="20"/>
                <w:szCs w:val="20"/>
                <w:lang w:val="mk-MK" w:eastAsia="en-US"/>
              </w:rPr>
              <w:t>o</w:t>
            </w:r>
            <w:r w:rsidRPr="0068236B">
              <w:rPr>
                <w:rFonts w:cs="Tahoma"/>
                <w:sz w:val="20"/>
                <w:szCs w:val="20"/>
                <w:lang w:val="mk-MK" w:eastAsia="en-US"/>
              </w:rPr>
              <w:t>rs</w:t>
            </w:r>
            <w:r w:rsidRPr="0068236B">
              <w:rPr>
                <w:rFonts w:cs="Tahoma"/>
                <w:spacing w:val="-3"/>
                <w:sz w:val="20"/>
                <w:szCs w:val="20"/>
                <w:lang w:val="mk-MK" w:eastAsia="en-US"/>
              </w:rPr>
              <w:t xml:space="preserve"> </w:t>
            </w:r>
            <w:r w:rsidRPr="0068236B">
              <w:rPr>
                <w:rFonts w:cs="Tahoma"/>
                <w:sz w:val="20"/>
                <w:szCs w:val="20"/>
                <w:lang w:val="mk-MK" w:eastAsia="en-US"/>
              </w:rPr>
              <w:t>(Acci</w:t>
            </w:r>
            <w:r w:rsidRPr="0068236B">
              <w:rPr>
                <w:rFonts w:cs="Tahoma"/>
                <w:spacing w:val="-2"/>
                <w:sz w:val="20"/>
                <w:szCs w:val="20"/>
                <w:lang w:val="mk-MK" w:eastAsia="en-US"/>
              </w:rPr>
              <w:t>p</w:t>
            </w:r>
            <w:r w:rsidRPr="0068236B">
              <w:rPr>
                <w:rFonts w:cs="Tahoma"/>
                <w:sz w:val="20"/>
                <w:szCs w:val="20"/>
                <w:lang w:val="mk-MK" w:eastAsia="en-US"/>
              </w:rPr>
              <w:t>itri</w:t>
            </w:r>
            <w:r w:rsidRPr="0068236B">
              <w:rPr>
                <w:rFonts w:cs="Tahoma"/>
                <w:spacing w:val="-3"/>
                <w:sz w:val="20"/>
                <w:szCs w:val="20"/>
                <w:lang w:val="mk-MK" w:eastAsia="en-US"/>
              </w:rPr>
              <w:t>f</w:t>
            </w:r>
            <w:r w:rsidRPr="0068236B">
              <w:rPr>
                <w:rFonts w:cs="Tahoma"/>
                <w:spacing w:val="1"/>
                <w:sz w:val="20"/>
                <w:szCs w:val="20"/>
                <w:lang w:val="mk-MK" w:eastAsia="en-US"/>
              </w:rPr>
              <w:t>o</w:t>
            </w:r>
            <w:r w:rsidRPr="0068236B">
              <w:rPr>
                <w:rFonts w:cs="Tahoma"/>
                <w:spacing w:val="-3"/>
                <w:sz w:val="20"/>
                <w:szCs w:val="20"/>
                <w:lang w:val="mk-MK" w:eastAsia="en-US"/>
              </w:rPr>
              <w:t>r</w:t>
            </w:r>
            <w:r w:rsidRPr="0068236B">
              <w:rPr>
                <w:rFonts w:cs="Tahoma"/>
                <w:sz w:val="20"/>
                <w:szCs w:val="20"/>
                <w:lang w:val="mk-MK" w:eastAsia="en-US"/>
              </w:rPr>
              <w:t>mes</w:t>
            </w:r>
            <w:r w:rsidRPr="0068236B">
              <w:rPr>
                <w:rFonts w:cs="Tahoma"/>
                <w:spacing w:val="-2"/>
                <w:sz w:val="20"/>
                <w:szCs w:val="20"/>
                <w:lang w:val="mk-MK" w:eastAsia="en-US"/>
              </w:rPr>
              <w:t xml:space="preserve"> </w:t>
            </w:r>
            <w:r w:rsidRPr="0068236B">
              <w:rPr>
                <w:rFonts w:cs="Tahoma"/>
                <w:sz w:val="20"/>
                <w:szCs w:val="20"/>
                <w:lang w:val="mk-MK" w:eastAsia="en-US"/>
              </w:rPr>
              <w:t>and</w:t>
            </w:r>
            <w:r w:rsidRPr="0068236B">
              <w:rPr>
                <w:rFonts w:cs="Tahoma"/>
                <w:spacing w:val="-2"/>
                <w:sz w:val="20"/>
                <w:szCs w:val="20"/>
                <w:lang w:val="mk-MK" w:eastAsia="en-US"/>
              </w:rPr>
              <w:t xml:space="preserve"> </w:t>
            </w:r>
            <w:r w:rsidRPr="0068236B">
              <w:rPr>
                <w:rFonts w:cs="Tahoma"/>
                <w:sz w:val="20"/>
                <w:szCs w:val="20"/>
                <w:lang w:val="mk-MK" w:eastAsia="en-US"/>
              </w:rPr>
              <w:t>Falco</w:t>
            </w:r>
            <w:r w:rsidRPr="0068236B">
              <w:rPr>
                <w:rFonts w:cs="Tahoma"/>
                <w:spacing w:val="-1"/>
                <w:sz w:val="20"/>
                <w:szCs w:val="20"/>
                <w:lang w:val="mk-MK" w:eastAsia="en-US"/>
              </w:rPr>
              <w:t>n</w:t>
            </w:r>
            <w:r w:rsidRPr="0068236B">
              <w:rPr>
                <w:rFonts w:cs="Tahoma"/>
                <w:sz w:val="20"/>
                <w:szCs w:val="20"/>
                <w:lang w:val="mk-MK" w:eastAsia="en-US"/>
              </w:rPr>
              <w:t>ifo</w:t>
            </w:r>
            <w:r w:rsidRPr="0068236B">
              <w:rPr>
                <w:rFonts w:cs="Tahoma"/>
                <w:spacing w:val="-3"/>
                <w:sz w:val="20"/>
                <w:szCs w:val="20"/>
                <w:lang w:val="mk-MK" w:eastAsia="en-US"/>
              </w:rPr>
              <w:t>r</w:t>
            </w:r>
            <w:r w:rsidRPr="0068236B">
              <w:rPr>
                <w:rFonts w:cs="Tahoma"/>
                <w:spacing w:val="-2"/>
                <w:sz w:val="20"/>
                <w:szCs w:val="20"/>
                <w:lang w:val="mk-MK" w:eastAsia="en-US"/>
              </w:rPr>
              <w:t>m</w:t>
            </w:r>
            <w:r w:rsidRPr="0068236B">
              <w:rPr>
                <w:rFonts w:cs="Tahoma"/>
                <w:sz w:val="20"/>
                <w:szCs w:val="20"/>
                <w:lang w:val="mk-MK" w:eastAsia="en-US"/>
              </w:rPr>
              <w:t>es)</w:t>
            </w:r>
          </w:p>
        </w:tc>
        <w:tc>
          <w:tcPr>
            <w:tcW w:w="1559" w:type="dxa"/>
          </w:tcPr>
          <w:p w14:paraId="7910AC2A" w14:textId="77777777" w:rsidR="001E0F48" w:rsidRPr="0068236B" w:rsidRDefault="001E0F48" w:rsidP="001E0F48">
            <w:pPr>
              <w:kinsoku w:val="0"/>
              <w:overflowPunct w:val="0"/>
              <w:autoSpaceDE w:val="0"/>
              <w:autoSpaceDN w:val="0"/>
              <w:adjustRightInd w:val="0"/>
              <w:spacing w:before="0" w:after="0" w:line="240" w:lineRule="auto"/>
              <w:ind w:left="102"/>
              <w:jc w:val="center"/>
              <w:rPr>
                <w:rFonts w:cs="Tahoma"/>
                <w:sz w:val="20"/>
                <w:szCs w:val="20"/>
                <w:lang w:val="mk-MK" w:eastAsia="en-US"/>
              </w:rPr>
            </w:pPr>
            <w:r w:rsidRPr="0068236B">
              <w:rPr>
                <w:rFonts w:cs="Tahoma"/>
                <w:spacing w:val="-1"/>
                <w:sz w:val="20"/>
                <w:szCs w:val="20"/>
                <w:lang w:val="mk-MK" w:eastAsia="en-US"/>
              </w:rPr>
              <w:t>I-II</w:t>
            </w:r>
          </w:p>
        </w:tc>
      </w:tr>
      <w:tr w:rsidR="001E0F48" w:rsidRPr="0068236B" w14:paraId="0D4F8A23" w14:textId="77777777" w:rsidTr="001E0F48">
        <w:tc>
          <w:tcPr>
            <w:tcW w:w="5387" w:type="dxa"/>
          </w:tcPr>
          <w:p w14:paraId="7CA3EAA6" w14:textId="77777777" w:rsidR="001E0F48" w:rsidRPr="0068236B" w:rsidRDefault="001E0F48" w:rsidP="001E0F48">
            <w:pPr>
              <w:kinsoku w:val="0"/>
              <w:overflowPunct w:val="0"/>
              <w:autoSpaceDE w:val="0"/>
              <w:autoSpaceDN w:val="0"/>
              <w:adjustRightInd w:val="0"/>
              <w:spacing w:before="0" w:after="0" w:line="240" w:lineRule="auto"/>
              <w:ind w:left="102"/>
              <w:jc w:val="left"/>
              <w:rPr>
                <w:rFonts w:cs="Tahoma"/>
                <w:sz w:val="20"/>
                <w:szCs w:val="20"/>
                <w:lang w:val="mk-MK" w:eastAsia="en-US"/>
              </w:rPr>
            </w:pPr>
            <w:r w:rsidRPr="0068236B">
              <w:rPr>
                <w:rFonts w:cs="Tahoma"/>
                <w:sz w:val="20"/>
                <w:szCs w:val="20"/>
                <w:lang w:val="mk-MK" w:eastAsia="en-US"/>
              </w:rPr>
              <w:t>Partri</w:t>
            </w:r>
            <w:r w:rsidRPr="0068236B">
              <w:rPr>
                <w:rFonts w:cs="Tahoma"/>
                <w:spacing w:val="-2"/>
                <w:sz w:val="20"/>
                <w:szCs w:val="20"/>
                <w:lang w:val="mk-MK" w:eastAsia="en-US"/>
              </w:rPr>
              <w:t>d</w:t>
            </w:r>
            <w:r w:rsidRPr="0068236B">
              <w:rPr>
                <w:rFonts w:cs="Tahoma"/>
                <w:spacing w:val="-1"/>
                <w:sz w:val="20"/>
                <w:szCs w:val="20"/>
                <w:lang w:val="mk-MK" w:eastAsia="en-US"/>
              </w:rPr>
              <w:t>g</w:t>
            </w:r>
            <w:r w:rsidRPr="0068236B">
              <w:rPr>
                <w:rFonts w:cs="Tahoma"/>
                <w:sz w:val="20"/>
                <w:szCs w:val="20"/>
                <w:lang w:val="mk-MK" w:eastAsia="en-US"/>
              </w:rPr>
              <w:t>es,</w:t>
            </w:r>
            <w:r w:rsidRPr="0068236B">
              <w:rPr>
                <w:rFonts w:cs="Tahoma"/>
                <w:spacing w:val="-2"/>
                <w:sz w:val="20"/>
                <w:szCs w:val="20"/>
                <w:lang w:val="mk-MK" w:eastAsia="en-US"/>
              </w:rPr>
              <w:t xml:space="preserve"> </w:t>
            </w:r>
            <w:r w:rsidRPr="0068236B">
              <w:rPr>
                <w:rFonts w:cs="Tahoma"/>
                <w:sz w:val="20"/>
                <w:szCs w:val="20"/>
                <w:lang w:val="mk-MK" w:eastAsia="en-US"/>
              </w:rPr>
              <w:t>Q</w:t>
            </w:r>
            <w:r w:rsidRPr="0068236B">
              <w:rPr>
                <w:rFonts w:cs="Tahoma"/>
                <w:spacing w:val="-1"/>
                <w:sz w:val="20"/>
                <w:szCs w:val="20"/>
                <w:lang w:val="mk-MK" w:eastAsia="en-US"/>
              </w:rPr>
              <w:t>u</w:t>
            </w:r>
            <w:r w:rsidRPr="0068236B">
              <w:rPr>
                <w:rFonts w:cs="Tahoma"/>
                <w:sz w:val="20"/>
                <w:szCs w:val="20"/>
                <w:lang w:val="mk-MK" w:eastAsia="en-US"/>
              </w:rPr>
              <w:t>ai</w:t>
            </w:r>
            <w:r w:rsidRPr="0068236B">
              <w:rPr>
                <w:rFonts w:cs="Tahoma"/>
                <w:spacing w:val="-1"/>
                <w:sz w:val="20"/>
                <w:szCs w:val="20"/>
                <w:lang w:val="mk-MK" w:eastAsia="en-US"/>
              </w:rPr>
              <w:t>l</w:t>
            </w:r>
            <w:r w:rsidRPr="0068236B">
              <w:rPr>
                <w:rFonts w:cs="Tahoma"/>
                <w:sz w:val="20"/>
                <w:szCs w:val="20"/>
                <w:lang w:val="mk-MK" w:eastAsia="en-US"/>
              </w:rPr>
              <w:t>s,</w:t>
            </w:r>
            <w:r w:rsidRPr="0068236B">
              <w:rPr>
                <w:rFonts w:cs="Tahoma"/>
                <w:spacing w:val="-2"/>
                <w:sz w:val="20"/>
                <w:szCs w:val="20"/>
                <w:lang w:val="mk-MK" w:eastAsia="en-US"/>
              </w:rPr>
              <w:t xml:space="preserve"> </w:t>
            </w:r>
            <w:r w:rsidRPr="0068236B">
              <w:rPr>
                <w:rFonts w:cs="Tahoma"/>
                <w:sz w:val="20"/>
                <w:szCs w:val="20"/>
                <w:lang w:val="mk-MK" w:eastAsia="en-US"/>
              </w:rPr>
              <w:t>Gro</w:t>
            </w:r>
            <w:r w:rsidRPr="0068236B">
              <w:rPr>
                <w:rFonts w:cs="Tahoma"/>
                <w:spacing w:val="-1"/>
                <w:sz w:val="20"/>
                <w:szCs w:val="20"/>
                <w:lang w:val="mk-MK" w:eastAsia="en-US"/>
              </w:rPr>
              <w:t>u</w:t>
            </w:r>
            <w:r w:rsidRPr="0068236B">
              <w:rPr>
                <w:rFonts w:cs="Tahoma"/>
                <w:spacing w:val="-3"/>
                <w:sz w:val="20"/>
                <w:szCs w:val="20"/>
                <w:lang w:val="mk-MK" w:eastAsia="en-US"/>
              </w:rPr>
              <w:t>s</w:t>
            </w:r>
            <w:r w:rsidRPr="0068236B">
              <w:rPr>
                <w:rFonts w:cs="Tahoma"/>
                <w:sz w:val="20"/>
                <w:szCs w:val="20"/>
                <w:lang w:val="mk-MK" w:eastAsia="en-US"/>
              </w:rPr>
              <w:t xml:space="preserve">e </w:t>
            </w:r>
            <w:r w:rsidRPr="0068236B">
              <w:rPr>
                <w:rFonts w:cs="Tahoma"/>
                <w:spacing w:val="-3"/>
                <w:sz w:val="20"/>
                <w:szCs w:val="20"/>
                <w:lang w:val="mk-MK" w:eastAsia="en-US"/>
              </w:rPr>
              <w:t>(</w:t>
            </w:r>
            <w:r w:rsidRPr="0068236B">
              <w:rPr>
                <w:rFonts w:cs="Tahoma"/>
                <w:sz w:val="20"/>
                <w:szCs w:val="20"/>
                <w:lang w:val="mk-MK" w:eastAsia="en-US"/>
              </w:rPr>
              <w:t>Ga</w:t>
            </w:r>
            <w:r w:rsidRPr="0068236B">
              <w:rPr>
                <w:rFonts w:cs="Tahoma"/>
                <w:spacing w:val="-1"/>
                <w:sz w:val="20"/>
                <w:szCs w:val="20"/>
                <w:lang w:val="mk-MK" w:eastAsia="en-US"/>
              </w:rPr>
              <w:t>l</w:t>
            </w:r>
            <w:r w:rsidRPr="0068236B">
              <w:rPr>
                <w:rFonts w:cs="Tahoma"/>
                <w:sz w:val="20"/>
                <w:szCs w:val="20"/>
                <w:lang w:val="mk-MK" w:eastAsia="en-US"/>
              </w:rPr>
              <w:t>l</w:t>
            </w:r>
            <w:r w:rsidRPr="0068236B">
              <w:rPr>
                <w:rFonts w:cs="Tahoma"/>
                <w:spacing w:val="-1"/>
                <w:sz w:val="20"/>
                <w:szCs w:val="20"/>
                <w:lang w:val="mk-MK" w:eastAsia="en-US"/>
              </w:rPr>
              <w:t>i</w:t>
            </w:r>
            <w:r w:rsidRPr="0068236B">
              <w:rPr>
                <w:rFonts w:cs="Tahoma"/>
                <w:sz w:val="20"/>
                <w:szCs w:val="20"/>
                <w:lang w:val="mk-MK" w:eastAsia="en-US"/>
              </w:rPr>
              <w:t>fo</w:t>
            </w:r>
            <w:r w:rsidRPr="0068236B">
              <w:rPr>
                <w:rFonts w:cs="Tahoma"/>
                <w:spacing w:val="-3"/>
                <w:sz w:val="20"/>
                <w:szCs w:val="20"/>
                <w:lang w:val="mk-MK" w:eastAsia="en-US"/>
              </w:rPr>
              <w:t>r</w:t>
            </w:r>
            <w:r w:rsidRPr="0068236B">
              <w:rPr>
                <w:rFonts w:cs="Tahoma"/>
                <w:sz w:val="20"/>
                <w:szCs w:val="20"/>
                <w:lang w:val="mk-MK" w:eastAsia="en-US"/>
              </w:rPr>
              <w:t>mes)</w:t>
            </w:r>
          </w:p>
        </w:tc>
        <w:tc>
          <w:tcPr>
            <w:tcW w:w="1559" w:type="dxa"/>
          </w:tcPr>
          <w:p w14:paraId="376DE0A2" w14:textId="77777777" w:rsidR="001E0F48" w:rsidRPr="0068236B" w:rsidRDefault="001E0F48" w:rsidP="001E0F48">
            <w:pPr>
              <w:kinsoku w:val="0"/>
              <w:overflowPunct w:val="0"/>
              <w:autoSpaceDE w:val="0"/>
              <w:autoSpaceDN w:val="0"/>
              <w:adjustRightInd w:val="0"/>
              <w:spacing w:before="0" w:after="0" w:line="240" w:lineRule="auto"/>
              <w:ind w:left="102"/>
              <w:jc w:val="center"/>
              <w:rPr>
                <w:rFonts w:cs="Tahoma"/>
                <w:sz w:val="20"/>
                <w:szCs w:val="20"/>
                <w:lang w:val="mk-MK" w:eastAsia="en-US"/>
              </w:rPr>
            </w:pPr>
            <w:r w:rsidRPr="0068236B">
              <w:rPr>
                <w:rFonts w:cs="Tahoma"/>
                <w:spacing w:val="-1"/>
                <w:sz w:val="20"/>
                <w:szCs w:val="20"/>
                <w:lang w:val="mk-MK" w:eastAsia="en-US"/>
              </w:rPr>
              <w:t>II-III</w:t>
            </w:r>
          </w:p>
        </w:tc>
      </w:tr>
      <w:tr w:rsidR="001E0F48" w:rsidRPr="0068236B" w14:paraId="32B7809B" w14:textId="77777777" w:rsidTr="001E0F48">
        <w:tc>
          <w:tcPr>
            <w:tcW w:w="5387" w:type="dxa"/>
          </w:tcPr>
          <w:p w14:paraId="3F7307AE" w14:textId="77777777" w:rsidR="001E0F48" w:rsidRPr="0068236B" w:rsidRDefault="001E0F48" w:rsidP="001E0F48">
            <w:pPr>
              <w:kinsoku w:val="0"/>
              <w:overflowPunct w:val="0"/>
              <w:autoSpaceDE w:val="0"/>
              <w:autoSpaceDN w:val="0"/>
              <w:adjustRightInd w:val="0"/>
              <w:spacing w:before="0" w:after="0" w:line="240" w:lineRule="auto"/>
              <w:ind w:left="102"/>
              <w:jc w:val="left"/>
              <w:rPr>
                <w:rFonts w:cs="Tahoma"/>
                <w:sz w:val="20"/>
                <w:szCs w:val="20"/>
                <w:lang w:val="mk-MK" w:eastAsia="en-US"/>
              </w:rPr>
            </w:pPr>
            <w:r w:rsidRPr="0068236B">
              <w:rPr>
                <w:rFonts w:cs="Tahoma"/>
                <w:sz w:val="20"/>
                <w:szCs w:val="20"/>
                <w:lang w:val="mk-MK" w:eastAsia="en-US"/>
              </w:rPr>
              <w:t>Rai</w:t>
            </w:r>
            <w:r w:rsidRPr="0068236B">
              <w:rPr>
                <w:rFonts w:cs="Tahoma"/>
                <w:spacing w:val="-1"/>
                <w:sz w:val="20"/>
                <w:szCs w:val="20"/>
                <w:lang w:val="mk-MK" w:eastAsia="en-US"/>
              </w:rPr>
              <w:t>l</w:t>
            </w:r>
            <w:r w:rsidRPr="0068236B">
              <w:rPr>
                <w:rFonts w:cs="Tahoma"/>
                <w:sz w:val="20"/>
                <w:szCs w:val="20"/>
                <w:lang w:val="mk-MK" w:eastAsia="en-US"/>
              </w:rPr>
              <w:t>s, Gall</w:t>
            </w:r>
            <w:r w:rsidRPr="0068236B">
              <w:rPr>
                <w:rFonts w:cs="Tahoma"/>
                <w:spacing w:val="-1"/>
                <w:sz w:val="20"/>
                <w:szCs w:val="20"/>
                <w:lang w:val="mk-MK" w:eastAsia="en-US"/>
              </w:rPr>
              <w:t>inu</w:t>
            </w:r>
            <w:r w:rsidRPr="0068236B">
              <w:rPr>
                <w:rFonts w:cs="Tahoma"/>
                <w:sz w:val="20"/>
                <w:szCs w:val="20"/>
                <w:lang w:val="mk-MK" w:eastAsia="en-US"/>
              </w:rPr>
              <w:t>les,</w:t>
            </w:r>
            <w:r w:rsidRPr="0068236B">
              <w:rPr>
                <w:rFonts w:cs="Tahoma"/>
                <w:spacing w:val="-2"/>
                <w:sz w:val="20"/>
                <w:szCs w:val="20"/>
                <w:lang w:val="mk-MK" w:eastAsia="en-US"/>
              </w:rPr>
              <w:t xml:space="preserve"> </w:t>
            </w:r>
            <w:r w:rsidRPr="0068236B">
              <w:rPr>
                <w:rFonts w:cs="Tahoma"/>
                <w:sz w:val="20"/>
                <w:szCs w:val="20"/>
                <w:lang w:val="mk-MK" w:eastAsia="en-US"/>
              </w:rPr>
              <w:t>C</w:t>
            </w:r>
            <w:r w:rsidRPr="0068236B">
              <w:rPr>
                <w:rFonts w:cs="Tahoma"/>
                <w:spacing w:val="-2"/>
                <w:sz w:val="20"/>
                <w:szCs w:val="20"/>
                <w:lang w:val="mk-MK" w:eastAsia="en-US"/>
              </w:rPr>
              <w:t>o</w:t>
            </w:r>
            <w:r w:rsidRPr="0068236B">
              <w:rPr>
                <w:rFonts w:cs="Tahoma"/>
                <w:spacing w:val="1"/>
                <w:sz w:val="20"/>
                <w:szCs w:val="20"/>
                <w:lang w:val="mk-MK" w:eastAsia="en-US"/>
              </w:rPr>
              <w:t>o</w:t>
            </w:r>
            <w:r w:rsidRPr="0068236B">
              <w:rPr>
                <w:rFonts w:cs="Tahoma"/>
                <w:sz w:val="20"/>
                <w:szCs w:val="20"/>
                <w:lang w:val="mk-MK" w:eastAsia="en-US"/>
              </w:rPr>
              <w:t>ts</w:t>
            </w:r>
            <w:r w:rsidRPr="0068236B">
              <w:rPr>
                <w:rFonts w:cs="Tahoma"/>
                <w:spacing w:val="-2"/>
                <w:sz w:val="20"/>
                <w:szCs w:val="20"/>
                <w:lang w:val="mk-MK" w:eastAsia="en-US"/>
              </w:rPr>
              <w:t xml:space="preserve"> </w:t>
            </w:r>
            <w:r w:rsidRPr="0068236B">
              <w:rPr>
                <w:rFonts w:cs="Tahoma"/>
                <w:sz w:val="20"/>
                <w:szCs w:val="20"/>
                <w:lang w:val="mk-MK" w:eastAsia="en-US"/>
              </w:rPr>
              <w:t>(Ral</w:t>
            </w:r>
            <w:r w:rsidRPr="0068236B">
              <w:rPr>
                <w:rFonts w:cs="Tahoma"/>
                <w:spacing w:val="-4"/>
                <w:sz w:val="20"/>
                <w:szCs w:val="20"/>
                <w:lang w:val="mk-MK" w:eastAsia="en-US"/>
              </w:rPr>
              <w:t>l</w:t>
            </w:r>
            <w:r w:rsidRPr="0068236B">
              <w:rPr>
                <w:rFonts w:cs="Tahoma"/>
                <w:sz w:val="20"/>
                <w:szCs w:val="20"/>
                <w:lang w:val="mk-MK" w:eastAsia="en-US"/>
              </w:rPr>
              <w:t>i</w:t>
            </w:r>
            <w:r w:rsidRPr="0068236B">
              <w:rPr>
                <w:rFonts w:cs="Tahoma"/>
                <w:spacing w:val="-2"/>
                <w:sz w:val="20"/>
                <w:szCs w:val="20"/>
                <w:lang w:val="mk-MK" w:eastAsia="en-US"/>
              </w:rPr>
              <w:t>d</w:t>
            </w:r>
            <w:r w:rsidRPr="0068236B">
              <w:rPr>
                <w:rFonts w:cs="Tahoma"/>
                <w:sz w:val="20"/>
                <w:szCs w:val="20"/>
                <w:lang w:val="mk-MK" w:eastAsia="en-US"/>
              </w:rPr>
              <w:t>ae)</w:t>
            </w:r>
          </w:p>
        </w:tc>
        <w:tc>
          <w:tcPr>
            <w:tcW w:w="1559" w:type="dxa"/>
          </w:tcPr>
          <w:p w14:paraId="3AFA6312" w14:textId="77777777" w:rsidR="001E0F48" w:rsidRPr="0068236B" w:rsidRDefault="001E0F48" w:rsidP="001E0F48">
            <w:pPr>
              <w:kinsoku w:val="0"/>
              <w:overflowPunct w:val="0"/>
              <w:autoSpaceDE w:val="0"/>
              <w:autoSpaceDN w:val="0"/>
              <w:adjustRightInd w:val="0"/>
              <w:spacing w:before="0" w:after="0" w:line="240" w:lineRule="auto"/>
              <w:ind w:left="102"/>
              <w:jc w:val="center"/>
              <w:rPr>
                <w:rFonts w:cs="Tahoma"/>
                <w:sz w:val="20"/>
                <w:szCs w:val="20"/>
                <w:lang w:val="mk-MK" w:eastAsia="en-US"/>
              </w:rPr>
            </w:pPr>
            <w:r w:rsidRPr="0068236B">
              <w:rPr>
                <w:rFonts w:cs="Tahoma"/>
                <w:spacing w:val="-1"/>
                <w:sz w:val="20"/>
                <w:szCs w:val="20"/>
                <w:lang w:val="mk-MK" w:eastAsia="en-US"/>
              </w:rPr>
              <w:t>II</w:t>
            </w:r>
          </w:p>
        </w:tc>
      </w:tr>
      <w:tr w:rsidR="001E0F48" w:rsidRPr="0068236B" w14:paraId="0D51FCFF" w14:textId="77777777" w:rsidTr="001E0F48">
        <w:tc>
          <w:tcPr>
            <w:tcW w:w="5387" w:type="dxa"/>
          </w:tcPr>
          <w:p w14:paraId="44CD96B2" w14:textId="77777777" w:rsidR="001E0F48" w:rsidRPr="0068236B" w:rsidRDefault="001E0F48" w:rsidP="001E0F48">
            <w:pPr>
              <w:kinsoku w:val="0"/>
              <w:overflowPunct w:val="0"/>
              <w:autoSpaceDE w:val="0"/>
              <w:autoSpaceDN w:val="0"/>
              <w:adjustRightInd w:val="0"/>
              <w:spacing w:before="0" w:after="0" w:line="240" w:lineRule="auto"/>
              <w:ind w:left="102"/>
              <w:jc w:val="left"/>
              <w:rPr>
                <w:rFonts w:cs="Tahoma"/>
                <w:sz w:val="20"/>
                <w:szCs w:val="20"/>
                <w:lang w:val="mk-MK" w:eastAsia="en-US"/>
              </w:rPr>
            </w:pPr>
            <w:r w:rsidRPr="0068236B">
              <w:rPr>
                <w:rFonts w:cs="Tahoma"/>
                <w:sz w:val="20"/>
                <w:szCs w:val="20"/>
                <w:lang w:val="mk-MK" w:eastAsia="en-US"/>
              </w:rPr>
              <w:t>Pi</w:t>
            </w:r>
            <w:r w:rsidRPr="0068236B">
              <w:rPr>
                <w:rFonts w:cs="Tahoma"/>
                <w:spacing w:val="-1"/>
                <w:sz w:val="20"/>
                <w:szCs w:val="20"/>
                <w:lang w:val="mk-MK" w:eastAsia="en-US"/>
              </w:rPr>
              <w:t>g</w:t>
            </w:r>
            <w:r w:rsidRPr="0068236B">
              <w:rPr>
                <w:rFonts w:cs="Tahoma"/>
                <w:sz w:val="20"/>
                <w:szCs w:val="20"/>
                <w:lang w:val="mk-MK" w:eastAsia="en-US"/>
              </w:rPr>
              <w:t>e</w:t>
            </w:r>
            <w:r w:rsidRPr="0068236B">
              <w:rPr>
                <w:rFonts w:cs="Tahoma"/>
                <w:spacing w:val="1"/>
                <w:sz w:val="20"/>
                <w:szCs w:val="20"/>
                <w:lang w:val="mk-MK" w:eastAsia="en-US"/>
              </w:rPr>
              <w:t>o</w:t>
            </w:r>
            <w:r w:rsidRPr="0068236B">
              <w:rPr>
                <w:rFonts w:cs="Tahoma"/>
                <w:spacing w:val="-1"/>
                <w:sz w:val="20"/>
                <w:szCs w:val="20"/>
                <w:lang w:val="mk-MK" w:eastAsia="en-US"/>
              </w:rPr>
              <w:t>n</w:t>
            </w:r>
            <w:r w:rsidRPr="0068236B">
              <w:rPr>
                <w:rFonts w:cs="Tahoma"/>
                <w:spacing w:val="-3"/>
                <w:sz w:val="20"/>
                <w:szCs w:val="20"/>
                <w:lang w:val="mk-MK" w:eastAsia="en-US"/>
              </w:rPr>
              <w:t>s</w:t>
            </w:r>
            <w:r w:rsidRPr="0068236B">
              <w:rPr>
                <w:rFonts w:cs="Tahoma"/>
                <w:sz w:val="20"/>
                <w:szCs w:val="20"/>
                <w:lang w:val="mk-MK" w:eastAsia="en-US"/>
              </w:rPr>
              <w:t xml:space="preserve">, </w:t>
            </w:r>
            <w:r w:rsidRPr="0068236B">
              <w:rPr>
                <w:rFonts w:cs="Tahoma"/>
                <w:spacing w:val="-1"/>
                <w:sz w:val="20"/>
                <w:szCs w:val="20"/>
                <w:lang w:val="mk-MK" w:eastAsia="en-US"/>
              </w:rPr>
              <w:t>D</w:t>
            </w:r>
            <w:r w:rsidRPr="0068236B">
              <w:rPr>
                <w:rFonts w:cs="Tahoma"/>
                <w:spacing w:val="-2"/>
                <w:sz w:val="20"/>
                <w:szCs w:val="20"/>
                <w:lang w:val="mk-MK" w:eastAsia="en-US"/>
              </w:rPr>
              <w:t>o</w:t>
            </w:r>
            <w:r w:rsidRPr="0068236B">
              <w:rPr>
                <w:rFonts w:cs="Tahoma"/>
                <w:sz w:val="20"/>
                <w:szCs w:val="20"/>
                <w:lang w:val="mk-MK" w:eastAsia="en-US"/>
              </w:rPr>
              <w:t>ves</w:t>
            </w:r>
            <w:r w:rsidRPr="0068236B">
              <w:rPr>
                <w:rFonts w:cs="Tahoma"/>
                <w:spacing w:val="-2"/>
                <w:sz w:val="20"/>
                <w:szCs w:val="20"/>
                <w:lang w:val="mk-MK" w:eastAsia="en-US"/>
              </w:rPr>
              <w:t xml:space="preserve"> </w:t>
            </w:r>
            <w:r w:rsidRPr="0068236B">
              <w:rPr>
                <w:rFonts w:cs="Tahoma"/>
                <w:sz w:val="20"/>
                <w:szCs w:val="20"/>
                <w:lang w:val="mk-MK" w:eastAsia="en-US"/>
              </w:rPr>
              <w:t>(</w:t>
            </w:r>
            <w:r w:rsidRPr="0068236B">
              <w:rPr>
                <w:rFonts w:cs="Tahoma"/>
                <w:spacing w:val="-3"/>
                <w:sz w:val="20"/>
                <w:szCs w:val="20"/>
                <w:lang w:val="mk-MK" w:eastAsia="en-US"/>
              </w:rPr>
              <w:t>C</w:t>
            </w:r>
            <w:r w:rsidRPr="0068236B">
              <w:rPr>
                <w:rFonts w:cs="Tahoma"/>
                <w:spacing w:val="1"/>
                <w:sz w:val="20"/>
                <w:szCs w:val="20"/>
                <w:lang w:val="mk-MK" w:eastAsia="en-US"/>
              </w:rPr>
              <w:t>o</w:t>
            </w:r>
            <w:r w:rsidRPr="0068236B">
              <w:rPr>
                <w:rFonts w:cs="Tahoma"/>
                <w:sz w:val="20"/>
                <w:szCs w:val="20"/>
                <w:lang w:val="mk-MK" w:eastAsia="en-US"/>
              </w:rPr>
              <w:t>l</w:t>
            </w:r>
            <w:r w:rsidRPr="0068236B">
              <w:rPr>
                <w:rFonts w:cs="Tahoma"/>
                <w:spacing w:val="-2"/>
                <w:sz w:val="20"/>
                <w:szCs w:val="20"/>
                <w:lang w:val="mk-MK" w:eastAsia="en-US"/>
              </w:rPr>
              <w:t>u</w:t>
            </w:r>
            <w:r w:rsidRPr="0068236B">
              <w:rPr>
                <w:rFonts w:cs="Tahoma"/>
                <w:sz w:val="20"/>
                <w:szCs w:val="20"/>
                <w:lang w:val="mk-MK" w:eastAsia="en-US"/>
              </w:rPr>
              <w:t>m</w:t>
            </w:r>
            <w:r w:rsidRPr="0068236B">
              <w:rPr>
                <w:rFonts w:cs="Tahoma"/>
                <w:spacing w:val="-1"/>
                <w:sz w:val="20"/>
                <w:szCs w:val="20"/>
                <w:lang w:val="mk-MK" w:eastAsia="en-US"/>
              </w:rPr>
              <w:t>b</w:t>
            </w:r>
            <w:r w:rsidRPr="0068236B">
              <w:rPr>
                <w:rFonts w:cs="Tahoma"/>
                <w:sz w:val="20"/>
                <w:szCs w:val="20"/>
                <w:lang w:val="mk-MK" w:eastAsia="en-US"/>
              </w:rPr>
              <w:t>i</w:t>
            </w:r>
            <w:r w:rsidRPr="0068236B">
              <w:rPr>
                <w:rFonts w:cs="Tahoma"/>
                <w:spacing w:val="-2"/>
                <w:sz w:val="20"/>
                <w:szCs w:val="20"/>
                <w:lang w:val="mk-MK" w:eastAsia="en-US"/>
              </w:rPr>
              <w:t>d</w:t>
            </w:r>
            <w:r w:rsidRPr="0068236B">
              <w:rPr>
                <w:rFonts w:cs="Tahoma"/>
                <w:spacing w:val="-3"/>
                <w:sz w:val="20"/>
                <w:szCs w:val="20"/>
                <w:lang w:val="mk-MK" w:eastAsia="en-US"/>
              </w:rPr>
              <w:t>a</w:t>
            </w:r>
            <w:r w:rsidRPr="0068236B">
              <w:rPr>
                <w:rFonts w:cs="Tahoma"/>
                <w:sz w:val="20"/>
                <w:szCs w:val="20"/>
                <w:lang w:val="mk-MK" w:eastAsia="en-US"/>
              </w:rPr>
              <w:t>e)</w:t>
            </w:r>
          </w:p>
        </w:tc>
        <w:tc>
          <w:tcPr>
            <w:tcW w:w="1559" w:type="dxa"/>
          </w:tcPr>
          <w:p w14:paraId="1E1B0315" w14:textId="77777777" w:rsidR="001E0F48" w:rsidRPr="0068236B" w:rsidRDefault="001E0F48" w:rsidP="001E0F48">
            <w:pPr>
              <w:kinsoku w:val="0"/>
              <w:overflowPunct w:val="0"/>
              <w:autoSpaceDE w:val="0"/>
              <w:autoSpaceDN w:val="0"/>
              <w:adjustRightInd w:val="0"/>
              <w:spacing w:before="0" w:after="0" w:line="240" w:lineRule="auto"/>
              <w:ind w:left="102"/>
              <w:jc w:val="center"/>
              <w:rPr>
                <w:rFonts w:cs="Tahoma"/>
                <w:sz w:val="20"/>
                <w:szCs w:val="20"/>
                <w:lang w:val="mk-MK" w:eastAsia="en-US"/>
              </w:rPr>
            </w:pPr>
            <w:r w:rsidRPr="0068236B">
              <w:rPr>
                <w:rFonts w:cs="Tahoma"/>
                <w:spacing w:val="-1"/>
                <w:sz w:val="20"/>
                <w:szCs w:val="20"/>
                <w:lang w:val="mk-MK" w:eastAsia="en-US"/>
              </w:rPr>
              <w:t>II</w:t>
            </w:r>
          </w:p>
        </w:tc>
      </w:tr>
      <w:tr w:rsidR="001E0F48" w:rsidRPr="0068236B" w14:paraId="7DE2E700" w14:textId="77777777" w:rsidTr="001E0F48">
        <w:tc>
          <w:tcPr>
            <w:tcW w:w="5387" w:type="dxa"/>
          </w:tcPr>
          <w:p w14:paraId="1D63773D" w14:textId="77777777" w:rsidR="001E0F48" w:rsidRPr="0068236B" w:rsidRDefault="001E0F48" w:rsidP="001E0F48">
            <w:pPr>
              <w:kinsoku w:val="0"/>
              <w:overflowPunct w:val="0"/>
              <w:autoSpaceDE w:val="0"/>
              <w:autoSpaceDN w:val="0"/>
              <w:adjustRightInd w:val="0"/>
              <w:spacing w:before="0" w:after="0" w:line="240" w:lineRule="auto"/>
              <w:ind w:left="102"/>
              <w:jc w:val="left"/>
              <w:rPr>
                <w:rFonts w:cs="Tahoma"/>
                <w:sz w:val="20"/>
                <w:szCs w:val="20"/>
                <w:lang w:val="mk-MK" w:eastAsia="en-US"/>
              </w:rPr>
            </w:pPr>
            <w:r w:rsidRPr="0068236B">
              <w:rPr>
                <w:rFonts w:cs="Tahoma"/>
                <w:sz w:val="20"/>
                <w:szCs w:val="20"/>
                <w:lang w:val="mk-MK" w:eastAsia="en-US"/>
              </w:rPr>
              <w:t>C</w:t>
            </w:r>
            <w:r w:rsidRPr="0068236B">
              <w:rPr>
                <w:rFonts w:cs="Tahoma"/>
                <w:spacing w:val="-1"/>
                <w:sz w:val="20"/>
                <w:szCs w:val="20"/>
                <w:lang w:val="mk-MK" w:eastAsia="en-US"/>
              </w:rPr>
              <w:t>u</w:t>
            </w:r>
            <w:r w:rsidRPr="0068236B">
              <w:rPr>
                <w:rFonts w:cs="Tahoma"/>
                <w:sz w:val="20"/>
                <w:szCs w:val="20"/>
                <w:lang w:val="mk-MK" w:eastAsia="en-US"/>
              </w:rPr>
              <w:t xml:space="preserve">ckoos </w:t>
            </w:r>
            <w:r w:rsidRPr="0068236B">
              <w:rPr>
                <w:rFonts w:cs="Tahoma"/>
                <w:spacing w:val="-2"/>
                <w:sz w:val="20"/>
                <w:szCs w:val="20"/>
                <w:lang w:val="mk-MK" w:eastAsia="en-US"/>
              </w:rPr>
              <w:t>(</w:t>
            </w:r>
            <w:r w:rsidRPr="0068236B">
              <w:rPr>
                <w:rFonts w:cs="Tahoma"/>
                <w:sz w:val="20"/>
                <w:szCs w:val="20"/>
                <w:lang w:val="mk-MK" w:eastAsia="en-US"/>
              </w:rPr>
              <w:t>C</w:t>
            </w:r>
            <w:r w:rsidRPr="0068236B">
              <w:rPr>
                <w:rFonts w:cs="Tahoma"/>
                <w:spacing w:val="-1"/>
                <w:sz w:val="20"/>
                <w:szCs w:val="20"/>
                <w:lang w:val="mk-MK" w:eastAsia="en-US"/>
              </w:rPr>
              <w:t>u</w:t>
            </w:r>
            <w:r w:rsidRPr="0068236B">
              <w:rPr>
                <w:rFonts w:cs="Tahoma"/>
                <w:sz w:val="20"/>
                <w:szCs w:val="20"/>
                <w:lang w:val="mk-MK" w:eastAsia="en-US"/>
              </w:rPr>
              <w:t>cu</w:t>
            </w:r>
            <w:r w:rsidRPr="0068236B">
              <w:rPr>
                <w:rFonts w:cs="Tahoma"/>
                <w:spacing w:val="-1"/>
                <w:sz w:val="20"/>
                <w:szCs w:val="20"/>
                <w:lang w:val="mk-MK" w:eastAsia="en-US"/>
              </w:rPr>
              <w:t>l</w:t>
            </w:r>
            <w:r w:rsidRPr="0068236B">
              <w:rPr>
                <w:rFonts w:cs="Tahoma"/>
                <w:sz w:val="20"/>
                <w:szCs w:val="20"/>
                <w:lang w:val="mk-MK" w:eastAsia="en-US"/>
              </w:rPr>
              <w:t>i</w:t>
            </w:r>
            <w:r w:rsidRPr="0068236B">
              <w:rPr>
                <w:rFonts w:cs="Tahoma"/>
                <w:spacing w:val="-2"/>
                <w:sz w:val="20"/>
                <w:szCs w:val="20"/>
                <w:lang w:val="mk-MK" w:eastAsia="en-US"/>
              </w:rPr>
              <w:t>d</w:t>
            </w:r>
            <w:r w:rsidRPr="0068236B">
              <w:rPr>
                <w:rFonts w:cs="Tahoma"/>
                <w:sz w:val="20"/>
                <w:szCs w:val="20"/>
                <w:lang w:val="mk-MK" w:eastAsia="en-US"/>
              </w:rPr>
              <w:t>ae)</w:t>
            </w:r>
          </w:p>
        </w:tc>
        <w:tc>
          <w:tcPr>
            <w:tcW w:w="1559" w:type="dxa"/>
          </w:tcPr>
          <w:p w14:paraId="0BE22645" w14:textId="77777777" w:rsidR="001E0F48" w:rsidRPr="0068236B" w:rsidRDefault="001E0F48" w:rsidP="001E0F48">
            <w:pPr>
              <w:kinsoku w:val="0"/>
              <w:overflowPunct w:val="0"/>
              <w:autoSpaceDE w:val="0"/>
              <w:autoSpaceDN w:val="0"/>
              <w:adjustRightInd w:val="0"/>
              <w:spacing w:before="0" w:after="0" w:line="240" w:lineRule="auto"/>
              <w:ind w:left="102"/>
              <w:jc w:val="center"/>
              <w:rPr>
                <w:rFonts w:cs="Tahoma"/>
                <w:sz w:val="20"/>
                <w:szCs w:val="20"/>
                <w:lang w:val="mk-MK" w:eastAsia="en-US"/>
              </w:rPr>
            </w:pPr>
            <w:r w:rsidRPr="0068236B">
              <w:rPr>
                <w:rFonts w:cs="Tahoma"/>
                <w:spacing w:val="-1"/>
                <w:sz w:val="20"/>
                <w:szCs w:val="20"/>
                <w:lang w:val="mk-MK" w:eastAsia="en-US"/>
              </w:rPr>
              <w:t>I-II</w:t>
            </w:r>
          </w:p>
        </w:tc>
      </w:tr>
      <w:tr w:rsidR="001E0F48" w:rsidRPr="0068236B" w14:paraId="7FE46551" w14:textId="77777777" w:rsidTr="001E0F48">
        <w:tc>
          <w:tcPr>
            <w:tcW w:w="5387" w:type="dxa"/>
          </w:tcPr>
          <w:p w14:paraId="04C4E536" w14:textId="77777777" w:rsidR="001E0F48" w:rsidRPr="0068236B" w:rsidRDefault="001E0F48" w:rsidP="001E0F48">
            <w:pPr>
              <w:kinsoku w:val="0"/>
              <w:overflowPunct w:val="0"/>
              <w:autoSpaceDE w:val="0"/>
              <w:autoSpaceDN w:val="0"/>
              <w:adjustRightInd w:val="0"/>
              <w:spacing w:before="0" w:after="0" w:line="240" w:lineRule="auto"/>
              <w:ind w:left="102"/>
              <w:jc w:val="left"/>
              <w:rPr>
                <w:rFonts w:cs="Tahoma"/>
                <w:sz w:val="20"/>
                <w:szCs w:val="20"/>
                <w:lang w:val="mk-MK" w:eastAsia="en-US"/>
              </w:rPr>
            </w:pPr>
            <w:r w:rsidRPr="0068236B">
              <w:rPr>
                <w:rFonts w:cs="Tahoma"/>
                <w:sz w:val="20"/>
                <w:szCs w:val="20"/>
                <w:lang w:val="mk-MK" w:eastAsia="en-US"/>
              </w:rPr>
              <w:t>Owls (</w:t>
            </w:r>
            <w:r w:rsidRPr="0068236B">
              <w:rPr>
                <w:rFonts w:cs="Tahoma"/>
                <w:spacing w:val="-3"/>
                <w:sz w:val="20"/>
                <w:szCs w:val="20"/>
                <w:lang w:val="mk-MK" w:eastAsia="en-US"/>
              </w:rPr>
              <w:t>S</w:t>
            </w:r>
            <w:r w:rsidRPr="0068236B">
              <w:rPr>
                <w:rFonts w:cs="Tahoma"/>
                <w:sz w:val="20"/>
                <w:szCs w:val="20"/>
                <w:lang w:val="mk-MK" w:eastAsia="en-US"/>
              </w:rPr>
              <w:t>tri</w:t>
            </w:r>
            <w:r w:rsidRPr="0068236B">
              <w:rPr>
                <w:rFonts w:cs="Tahoma"/>
                <w:spacing w:val="-1"/>
                <w:sz w:val="20"/>
                <w:szCs w:val="20"/>
                <w:lang w:val="mk-MK" w:eastAsia="en-US"/>
              </w:rPr>
              <w:t>g</w:t>
            </w:r>
            <w:r w:rsidRPr="0068236B">
              <w:rPr>
                <w:rFonts w:cs="Tahoma"/>
                <w:sz w:val="20"/>
                <w:szCs w:val="20"/>
                <w:lang w:val="mk-MK" w:eastAsia="en-US"/>
              </w:rPr>
              <w:t>ifo</w:t>
            </w:r>
            <w:r w:rsidRPr="0068236B">
              <w:rPr>
                <w:rFonts w:cs="Tahoma"/>
                <w:spacing w:val="-3"/>
                <w:sz w:val="20"/>
                <w:szCs w:val="20"/>
                <w:lang w:val="mk-MK" w:eastAsia="en-US"/>
              </w:rPr>
              <w:t>r</w:t>
            </w:r>
            <w:r w:rsidRPr="0068236B">
              <w:rPr>
                <w:rFonts w:cs="Tahoma"/>
                <w:sz w:val="20"/>
                <w:szCs w:val="20"/>
                <w:lang w:val="mk-MK" w:eastAsia="en-US"/>
              </w:rPr>
              <w:t>me</w:t>
            </w:r>
            <w:r w:rsidRPr="0068236B">
              <w:rPr>
                <w:rFonts w:cs="Tahoma"/>
                <w:spacing w:val="-2"/>
                <w:sz w:val="20"/>
                <w:szCs w:val="20"/>
                <w:lang w:val="mk-MK" w:eastAsia="en-US"/>
              </w:rPr>
              <w:t>s</w:t>
            </w:r>
            <w:r w:rsidRPr="0068236B">
              <w:rPr>
                <w:rFonts w:cs="Tahoma"/>
                <w:sz w:val="20"/>
                <w:szCs w:val="20"/>
                <w:lang w:val="mk-MK" w:eastAsia="en-US"/>
              </w:rPr>
              <w:t>)</w:t>
            </w:r>
          </w:p>
        </w:tc>
        <w:tc>
          <w:tcPr>
            <w:tcW w:w="1559" w:type="dxa"/>
          </w:tcPr>
          <w:p w14:paraId="109A05FD" w14:textId="77777777" w:rsidR="001E0F48" w:rsidRPr="0068236B" w:rsidRDefault="001E0F48" w:rsidP="001E0F48">
            <w:pPr>
              <w:kinsoku w:val="0"/>
              <w:overflowPunct w:val="0"/>
              <w:autoSpaceDE w:val="0"/>
              <w:autoSpaceDN w:val="0"/>
              <w:adjustRightInd w:val="0"/>
              <w:spacing w:before="0" w:after="0" w:line="240" w:lineRule="auto"/>
              <w:ind w:left="102"/>
              <w:jc w:val="center"/>
              <w:rPr>
                <w:rFonts w:cs="Tahoma"/>
                <w:sz w:val="20"/>
                <w:szCs w:val="20"/>
                <w:lang w:val="mk-MK" w:eastAsia="en-US"/>
              </w:rPr>
            </w:pPr>
            <w:r w:rsidRPr="0068236B">
              <w:rPr>
                <w:rFonts w:cs="Tahoma"/>
                <w:spacing w:val="-1"/>
                <w:sz w:val="20"/>
                <w:szCs w:val="20"/>
                <w:lang w:val="mk-MK" w:eastAsia="en-US"/>
              </w:rPr>
              <w:t>II</w:t>
            </w:r>
          </w:p>
        </w:tc>
      </w:tr>
      <w:tr w:rsidR="001E0F48" w:rsidRPr="0068236B" w14:paraId="5C6AB2F1" w14:textId="77777777" w:rsidTr="001E0F48">
        <w:tc>
          <w:tcPr>
            <w:tcW w:w="5387" w:type="dxa"/>
          </w:tcPr>
          <w:p w14:paraId="780FCD48" w14:textId="77777777" w:rsidR="001E0F48" w:rsidRPr="0068236B" w:rsidRDefault="001E0F48" w:rsidP="001E0F48">
            <w:pPr>
              <w:kinsoku w:val="0"/>
              <w:overflowPunct w:val="0"/>
              <w:autoSpaceDE w:val="0"/>
              <w:autoSpaceDN w:val="0"/>
              <w:adjustRightInd w:val="0"/>
              <w:spacing w:before="0" w:after="0" w:line="240" w:lineRule="auto"/>
              <w:ind w:left="102"/>
              <w:jc w:val="left"/>
              <w:rPr>
                <w:rFonts w:cs="Tahoma"/>
                <w:sz w:val="20"/>
                <w:szCs w:val="20"/>
                <w:lang w:val="mk-MK" w:eastAsia="en-US"/>
              </w:rPr>
            </w:pPr>
            <w:r w:rsidRPr="0068236B">
              <w:rPr>
                <w:rFonts w:cs="Tahoma"/>
                <w:spacing w:val="-1"/>
                <w:sz w:val="20"/>
                <w:szCs w:val="20"/>
                <w:lang w:val="mk-MK" w:eastAsia="en-US"/>
              </w:rPr>
              <w:t>N</w:t>
            </w:r>
            <w:r w:rsidRPr="0068236B">
              <w:rPr>
                <w:rFonts w:cs="Tahoma"/>
                <w:sz w:val="20"/>
                <w:szCs w:val="20"/>
                <w:lang w:val="mk-MK" w:eastAsia="en-US"/>
              </w:rPr>
              <w:t>i</w:t>
            </w:r>
            <w:r w:rsidRPr="0068236B">
              <w:rPr>
                <w:rFonts w:cs="Tahoma"/>
                <w:spacing w:val="-1"/>
                <w:sz w:val="20"/>
                <w:szCs w:val="20"/>
                <w:lang w:val="mk-MK" w:eastAsia="en-US"/>
              </w:rPr>
              <w:t>gh</w:t>
            </w:r>
            <w:r w:rsidRPr="0068236B">
              <w:rPr>
                <w:rFonts w:cs="Tahoma"/>
                <w:sz w:val="20"/>
                <w:szCs w:val="20"/>
                <w:lang w:val="mk-MK" w:eastAsia="en-US"/>
              </w:rPr>
              <w:t>tjars (Ca</w:t>
            </w:r>
            <w:r w:rsidRPr="0068236B">
              <w:rPr>
                <w:rFonts w:cs="Tahoma"/>
                <w:spacing w:val="-1"/>
                <w:sz w:val="20"/>
                <w:szCs w:val="20"/>
                <w:lang w:val="mk-MK" w:eastAsia="en-US"/>
              </w:rPr>
              <w:t>p</w:t>
            </w:r>
            <w:r w:rsidRPr="0068236B">
              <w:rPr>
                <w:rFonts w:cs="Tahoma"/>
                <w:sz w:val="20"/>
                <w:szCs w:val="20"/>
                <w:lang w:val="mk-MK" w:eastAsia="en-US"/>
              </w:rPr>
              <w:t>rimul</w:t>
            </w:r>
            <w:r w:rsidRPr="0068236B">
              <w:rPr>
                <w:rFonts w:cs="Tahoma"/>
                <w:spacing w:val="-1"/>
                <w:sz w:val="20"/>
                <w:szCs w:val="20"/>
                <w:lang w:val="mk-MK" w:eastAsia="en-US"/>
              </w:rPr>
              <w:t>g</w:t>
            </w:r>
            <w:r w:rsidRPr="0068236B">
              <w:rPr>
                <w:rFonts w:cs="Tahoma"/>
                <w:sz w:val="20"/>
                <w:szCs w:val="20"/>
                <w:lang w:val="mk-MK" w:eastAsia="en-US"/>
              </w:rPr>
              <w:t>i</w:t>
            </w:r>
            <w:r w:rsidRPr="0068236B">
              <w:rPr>
                <w:rFonts w:cs="Tahoma"/>
                <w:spacing w:val="-2"/>
                <w:sz w:val="20"/>
                <w:szCs w:val="20"/>
                <w:lang w:val="mk-MK" w:eastAsia="en-US"/>
              </w:rPr>
              <w:t>d</w:t>
            </w:r>
            <w:r w:rsidRPr="0068236B">
              <w:rPr>
                <w:rFonts w:cs="Tahoma"/>
                <w:sz w:val="20"/>
                <w:szCs w:val="20"/>
                <w:lang w:val="mk-MK" w:eastAsia="en-US"/>
              </w:rPr>
              <w:t>a</w:t>
            </w:r>
            <w:r w:rsidRPr="0068236B">
              <w:rPr>
                <w:rFonts w:cs="Tahoma"/>
                <w:spacing w:val="-3"/>
                <w:sz w:val="20"/>
                <w:szCs w:val="20"/>
                <w:lang w:val="mk-MK" w:eastAsia="en-US"/>
              </w:rPr>
              <w:t>e</w:t>
            </w:r>
            <w:r w:rsidRPr="0068236B">
              <w:rPr>
                <w:rFonts w:cs="Tahoma"/>
                <w:sz w:val="20"/>
                <w:szCs w:val="20"/>
                <w:lang w:val="mk-MK" w:eastAsia="en-US"/>
              </w:rPr>
              <w:t xml:space="preserve">) </w:t>
            </w:r>
            <w:r w:rsidRPr="0068236B">
              <w:rPr>
                <w:rFonts w:cs="Tahoma"/>
                <w:spacing w:val="-3"/>
                <w:sz w:val="20"/>
                <w:szCs w:val="20"/>
                <w:lang w:val="mk-MK" w:eastAsia="en-US"/>
              </w:rPr>
              <w:t>a</w:t>
            </w:r>
            <w:r w:rsidRPr="0068236B">
              <w:rPr>
                <w:rFonts w:cs="Tahoma"/>
                <w:spacing w:val="-1"/>
                <w:sz w:val="20"/>
                <w:szCs w:val="20"/>
                <w:lang w:val="mk-MK" w:eastAsia="en-US"/>
              </w:rPr>
              <w:t>n</w:t>
            </w:r>
            <w:r w:rsidRPr="0068236B">
              <w:rPr>
                <w:rFonts w:cs="Tahoma"/>
                <w:sz w:val="20"/>
                <w:szCs w:val="20"/>
                <w:lang w:val="mk-MK" w:eastAsia="en-US"/>
              </w:rPr>
              <w:t>d</w:t>
            </w:r>
            <w:r w:rsidRPr="0068236B">
              <w:rPr>
                <w:rFonts w:cs="Tahoma"/>
                <w:spacing w:val="-1"/>
                <w:sz w:val="20"/>
                <w:szCs w:val="20"/>
                <w:lang w:val="mk-MK" w:eastAsia="en-US"/>
              </w:rPr>
              <w:t xml:space="preserve"> </w:t>
            </w:r>
            <w:r w:rsidRPr="0068236B">
              <w:rPr>
                <w:rFonts w:cs="Tahoma"/>
                <w:sz w:val="20"/>
                <w:szCs w:val="20"/>
                <w:lang w:val="mk-MK" w:eastAsia="en-US"/>
              </w:rPr>
              <w:t>Swifts (A</w:t>
            </w:r>
            <w:r w:rsidRPr="0068236B">
              <w:rPr>
                <w:rFonts w:cs="Tahoma"/>
                <w:spacing w:val="-4"/>
                <w:sz w:val="20"/>
                <w:szCs w:val="20"/>
                <w:lang w:val="mk-MK" w:eastAsia="en-US"/>
              </w:rPr>
              <w:t>p</w:t>
            </w:r>
            <w:r w:rsidRPr="0068236B">
              <w:rPr>
                <w:rFonts w:cs="Tahoma"/>
                <w:spacing w:val="1"/>
                <w:sz w:val="20"/>
                <w:szCs w:val="20"/>
                <w:lang w:val="mk-MK" w:eastAsia="en-US"/>
              </w:rPr>
              <w:t>o</w:t>
            </w:r>
            <w:r w:rsidRPr="0068236B">
              <w:rPr>
                <w:rFonts w:cs="Tahoma"/>
                <w:spacing w:val="-1"/>
                <w:sz w:val="20"/>
                <w:szCs w:val="20"/>
                <w:lang w:val="mk-MK" w:eastAsia="en-US"/>
              </w:rPr>
              <w:t>d</w:t>
            </w:r>
            <w:r w:rsidRPr="0068236B">
              <w:rPr>
                <w:rFonts w:cs="Tahoma"/>
                <w:sz w:val="20"/>
                <w:szCs w:val="20"/>
                <w:lang w:val="mk-MK" w:eastAsia="en-US"/>
              </w:rPr>
              <w:t>i</w:t>
            </w:r>
            <w:r w:rsidRPr="0068236B">
              <w:rPr>
                <w:rFonts w:cs="Tahoma"/>
                <w:spacing w:val="-2"/>
                <w:sz w:val="20"/>
                <w:szCs w:val="20"/>
                <w:lang w:val="mk-MK" w:eastAsia="en-US"/>
              </w:rPr>
              <w:t>d</w:t>
            </w:r>
            <w:r w:rsidRPr="0068236B">
              <w:rPr>
                <w:rFonts w:cs="Tahoma"/>
                <w:sz w:val="20"/>
                <w:szCs w:val="20"/>
                <w:lang w:val="mk-MK" w:eastAsia="en-US"/>
              </w:rPr>
              <w:t>ae)</w:t>
            </w:r>
          </w:p>
        </w:tc>
        <w:tc>
          <w:tcPr>
            <w:tcW w:w="1559" w:type="dxa"/>
          </w:tcPr>
          <w:p w14:paraId="114342EA" w14:textId="77777777" w:rsidR="001E0F48" w:rsidRPr="0068236B" w:rsidRDefault="001E0F48" w:rsidP="001E0F48">
            <w:pPr>
              <w:kinsoku w:val="0"/>
              <w:overflowPunct w:val="0"/>
              <w:autoSpaceDE w:val="0"/>
              <w:autoSpaceDN w:val="0"/>
              <w:adjustRightInd w:val="0"/>
              <w:spacing w:before="0" w:after="0" w:line="240" w:lineRule="auto"/>
              <w:ind w:left="102"/>
              <w:jc w:val="center"/>
              <w:rPr>
                <w:rFonts w:cs="Tahoma"/>
                <w:sz w:val="20"/>
                <w:szCs w:val="20"/>
                <w:lang w:val="mk-MK" w:eastAsia="en-US"/>
              </w:rPr>
            </w:pPr>
            <w:r w:rsidRPr="0068236B">
              <w:rPr>
                <w:rFonts w:cs="Tahoma"/>
                <w:spacing w:val="-1"/>
                <w:sz w:val="20"/>
                <w:szCs w:val="20"/>
                <w:lang w:val="mk-MK" w:eastAsia="en-US"/>
              </w:rPr>
              <w:t>I-II</w:t>
            </w:r>
          </w:p>
        </w:tc>
      </w:tr>
      <w:tr w:rsidR="001E0F48" w:rsidRPr="0068236B" w14:paraId="5D5F94CB" w14:textId="77777777" w:rsidTr="001E0F48">
        <w:tc>
          <w:tcPr>
            <w:tcW w:w="5387" w:type="dxa"/>
          </w:tcPr>
          <w:p w14:paraId="045FC0A4" w14:textId="77777777" w:rsidR="001E0F48" w:rsidRPr="0068236B" w:rsidRDefault="001E0F48" w:rsidP="001E0F48">
            <w:pPr>
              <w:kinsoku w:val="0"/>
              <w:overflowPunct w:val="0"/>
              <w:autoSpaceDE w:val="0"/>
              <w:autoSpaceDN w:val="0"/>
              <w:adjustRightInd w:val="0"/>
              <w:spacing w:before="0" w:after="0" w:line="240" w:lineRule="auto"/>
              <w:ind w:left="102"/>
              <w:jc w:val="left"/>
              <w:rPr>
                <w:rFonts w:cs="Tahoma"/>
                <w:sz w:val="20"/>
                <w:szCs w:val="20"/>
                <w:lang w:val="mk-MK" w:eastAsia="en-US"/>
              </w:rPr>
            </w:pPr>
            <w:r w:rsidRPr="0068236B">
              <w:rPr>
                <w:rFonts w:cs="Tahoma"/>
                <w:spacing w:val="-1"/>
                <w:sz w:val="20"/>
                <w:szCs w:val="20"/>
                <w:lang w:val="mk-MK" w:eastAsia="en-US"/>
              </w:rPr>
              <w:t>H</w:t>
            </w:r>
            <w:r w:rsidRPr="0068236B">
              <w:rPr>
                <w:rFonts w:cs="Tahoma"/>
                <w:spacing w:val="1"/>
                <w:sz w:val="20"/>
                <w:szCs w:val="20"/>
                <w:lang w:val="mk-MK" w:eastAsia="en-US"/>
              </w:rPr>
              <w:t>oo</w:t>
            </w:r>
            <w:r w:rsidRPr="0068236B">
              <w:rPr>
                <w:rFonts w:cs="Tahoma"/>
                <w:spacing w:val="-4"/>
                <w:sz w:val="20"/>
                <w:szCs w:val="20"/>
                <w:lang w:val="mk-MK" w:eastAsia="en-US"/>
              </w:rPr>
              <w:t>p</w:t>
            </w:r>
            <w:r w:rsidRPr="0068236B">
              <w:rPr>
                <w:rFonts w:cs="Tahoma"/>
                <w:spacing w:val="1"/>
                <w:sz w:val="20"/>
                <w:szCs w:val="20"/>
                <w:lang w:val="mk-MK" w:eastAsia="en-US"/>
              </w:rPr>
              <w:t>o</w:t>
            </w:r>
            <w:r w:rsidRPr="0068236B">
              <w:rPr>
                <w:rFonts w:cs="Tahoma"/>
                <w:sz w:val="20"/>
                <w:szCs w:val="20"/>
                <w:lang w:val="mk-MK" w:eastAsia="en-US"/>
              </w:rPr>
              <w:t>es</w:t>
            </w:r>
            <w:r w:rsidRPr="0068236B">
              <w:rPr>
                <w:rFonts w:cs="Tahoma"/>
                <w:spacing w:val="-2"/>
                <w:sz w:val="20"/>
                <w:szCs w:val="20"/>
                <w:lang w:val="mk-MK" w:eastAsia="en-US"/>
              </w:rPr>
              <w:t xml:space="preserve"> </w:t>
            </w:r>
            <w:r w:rsidRPr="0068236B">
              <w:rPr>
                <w:rFonts w:cs="Tahoma"/>
                <w:sz w:val="20"/>
                <w:szCs w:val="20"/>
                <w:lang w:val="mk-MK" w:eastAsia="en-US"/>
              </w:rPr>
              <w:t>(Up</w:t>
            </w:r>
            <w:r w:rsidRPr="0068236B">
              <w:rPr>
                <w:rFonts w:cs="Tahoma"/>
                <w:spacing w:val="-2"/>
                <w:sz w:val="20"/>
                <w:szCs w:val="20"/>
                <w:lang w:val="mk-MK" w:eastAsia="en-US"/>
              </w:rPr>
              <w:t>u</w:t>
            </w:r>
            <w:r w:rsidRPr="0068236B">
              <w:rPr>
                <w:rFonts w:cs="Tahoma"/>
                <w:spacing w:val="-1"/>
                <w:sz w:val="20"/>
                <w:szCs w:val="20"/>
                <w:lang w:val="mk-MK" w:eastAsia="en-US"/>
              </w:rPr>
              <w:t>d</w:t>
            </w:r>
            <w:r w:rsidRPr="0068236B">
              <w:rPr>
                <w:rFonts w:cs="Tahoma"/>
                <w:sz w:val="20"/>
                <w:szCs w:val="20"/>
                <w:lang w:val="mk-MK" w:eastAsia="en-US"/>
              </w:rPr>
              <w:t>i</w:t>
            </w:r>
            <w:r w:rsidRPr="0068236B">
              <w:rPr>
                <w:rFonts w:cs="Tahoma"/>
                <w:spacing w:val="-2"/>
                <w:sz w:val="20"/>
                <w:szCs w:val="20"/>
                <w:lang w:val="mk-MK" w:eastAsia="en-US"/>
              </w:rPr>
              <w:t>d</w:t>
            </w:r>
            <w:r w:rsidRPr="0068236B">
              <w:rPr>
                <w:rFonts w:cs="Tahoma"/>
                <w:sz w:val="20"/>
                <w:szCs w:val="20"/>
                <w:lang w:val="mk-MK" w:eastAsia="en-US"/>
              </w:rPr>
              <w:t>ae)</w:t>
            </w:r>
            <w:r w:rsidRPr="0068236B">
              <w:rPr>
                <w:rFonts w:cs="Tahoma"/>
                <w:spacing w:val="1"/>
                <w:sz w:val="20"/>
                <w:szCs w:val="20"/>
                <w:lang w:val="mk-MK" w:eastAsia="en-US"/>
              </w:rPr>
              <w:t xml:space="preserve"> </w:t>
            </w:r>
            <w:r w:rsidRPr="0068236B">
              <w:rPr>
                <w:rFonts w:cs="Tahoma"/>
                <w:sz w:val="20"/>
                <w:szCs w:val="20"/>
                <w:lang w:val="mk-MK" w:eastAsia="en-US"/>
              </w:rPr>
              <w:t>a</w:t>
            </w:r>
            <w:r w:rsidRPr="0068236B">
              <w:rPr>
                <w:rFonts w:cs="Tahoma"/>
                <w:spacing w:val="-1"/>
                <w:sz w:val="20"/>
                <w:szCs w:val="20"/>
                <w:lang w:val="mk-MK" w:eastAsia="en-US"/>
              </w:rPr>
              <w:t>n</w:t>
            </w:r>
            <w:r w:rsidRPr="0068236B">
              <w:rPr>
                <w:rFonts w:cs="Tahoma"/>
                <w:sz w:val="20"/>
                <w:szCs w:val="20"/>
                <w:lang w:val="mk-MK" w:eastAsia="en-US"/>
              </w:rPr>
              <w:t>d</w:t>
            </w:r>
            <w:r w:rsidRPr="0068236B">
              <w:rPr>
                <w:rFonts w:cs="Tahoma"/>
                <w:spacing w:val="-3"/>
                <w:sz w:val="20"/>
                <w:szCs w:val="20"/>
                <w:lang w:val="mk-MK" w:eastAsia="en-US"/>
              </w:rPr>
              <w:t xml:space="preserve"> </w:t>
            </w:r>
            <w:r w:rsidRPr="0068236B">
              <w:rPr>
                <w:rFonts w:cs="Tahoma"/>
                <w:sz w:val="20"/>
                <w:szCs w:val="20"/>
                <w:lang w:val="mk-MK" w:eastAsia="en-US"/>
              </w:rPr>
              <w:t>K</w:t>
            </w:r>
            <w:r w:rsidRPr="0068236B">
              <w:rPr>
                <w:rFonts w:cs="Tahoma"/>
                <w:spacing w:val="-3"/>
                <w:sz w:val="20"/>
                <w:szCs w:val="20"/>
                <w:lang w:val="mk-MK" w:eastAsia="en-US"/>
              </w:rPr>
              <w:t>i</w:t>
            </w:r>
            <w:r w:rsidRPr="0068236B">
              <w:rPr>
                <w:rFonts w:cs="Tahoma"/>
                <w:spacing w:val="-1"/>
                <w:sz w:val="20"/>
                <w:szCs w:val="20"/>
                <w:lang w:val="mk-MK" w:eastAsia="en-US"/>
              </w:rPr>
              <w:t>ng</w:t>
            </w:r>
            <w:r w:rsidRPr="0068236B">
              <w:rPr>
                <w:rFonts w:cs="Tahoma"/>
                <w:sz w:val="20"/>
                <w:szCs w:val="20"/>
                <w:lang w:val="mk-MK" w:eastAsia="en-US"/>
              </w:rPr>
              <w:t>fis</w:t>
            </w:r>
            <w:r w:rsidRPr="0068236B">
              <w:rPr>
                <w:rFonts w:cs="Tahoma"/>
                <w:spacing w:val="-2"/>
                <w:sz w:val="20"/>
                <w:szCs w:val="20"/>
                <w:lang w:val="mk-MK" w:eastAsia="en-US"/>
              </w:rPr>
              <w:t>h</w:t>
            </w:r>
            <w:r w:rsidRPr="0068236B">
              <w:rPr>
                <w:rFonts w:cs="Tahoma"/>
                <w:sz w:val="20"/>
                <w:szCs w:val="20"/>
                <w:lang w:val="mk-MK" w:eastAsia="en-US"/>
              </w:rPr>
              <w:t>ers (A</w:t>
            </w:r>
            <w:r w:rsidRPr="0068236B">
              <w:rPr>
                <w:rFonts w:cs="Tahoma"/>
                <w:spacing w:val="-1"/>
                <w:sz w:val="20"/>
                <w:szCs w:val="20"/>
                <w:lang w:val="mk-MK" w:eastAsia="en-US"/>
              </w:rPr>
              <w:t>l</w:t>
            </w:r>
            <w:r w:rsidRPr="0068236B">
              <w:rPr>
                <w:rFonts w:cs="Tahoma"/>
                <w:sz w:val="20"/>
                <w:szCs w:val="20"/>
                <w:lang w:val="mk-MK" w:eastAsia="en-US"/>
              </w:rPr>
              <w:t>cedi</w:t>
            </w:r>
            <w:r w:rsidRPr="0068236B">
              <w:rPr>
                <w:rFonts w:cs="Tahoma"/>
                <w:spacing w:val="-2"/>
                <w:sz w:val="20"/>
                <w:szCs w:val="20"/>
                <w:lang w:val="mk-MK" w:eastAsia="en-US"/>
              </w:rPr>
              <w:t>n</w:t>
            </w:r>
            <w:r w:rsidRPr="0068236B">
              <w:rPr>
                <w:rFonts w:cs="Tahoma"/>
                <w:sz w:val="20"/>
                <w:szCs w:val="20"/>
                <w:lang w:val="mk-MK" w:eastAsia="en-US"/>
              </w:rPr>
              <w:t>i</w:t>
            </w:r>
            <w:r w:rsidRPr="0068236B">
              <w:rPr>
                <w:rFonts w:cs="Tahoma"/>
                <w:spacing w:val="-2"/>
                <w:sz w:val="20"/>
                <w:szCs w:val="20"/>
                <w:lang w:val="mk-MK" w:eastAsia="en-US"/>
              </w:rPr>
              <w:t>d</w:t>
            </w:r>
            <w:r w:rsidRPr="0068236B">
              <w:rPr>
                <w:rFonts w:cs="Tahoma"/>
                <w:sz w:val="20"/>
                <w:szCs w:val="20"/>
                <w:lang w:val="mk-MK" w:eastAsia="en-US"/>
              </w:rPr>
              <w:t>ae)</w:t>
            </w:r>
          </w:p>
        </w:tc>
        <w:tc>
          <w:tcPr>
            <w:tcW w:w="1559" w:type="dxa"/>
          </w:tcPr>
          <w:p w14:paraId="686DF512" w14:textId="77777777" w:rsidR="001E0F48" w:rsidRPr="0068236B" w:rsidRDefault="001E0F48" w:rsidP="001E0F48">
            <w:pPr>
              <w:kinsoku w:val="0"/>
              <w:overflowPunct w:val="0"/>
              <w:autoSpaceDE w:val="0"/>
              <w:autoSpaceDN w:val="0"/>
              <w:adjustRightInd w:val="0"/>
              <w:spacing w:before="0" w:after="0" w:line="240" w:lineRule="auto"/>
              <w:ind w:left="102"/>
              <w:jc w:val="center"/>
              <w:rPr>
                <w:rFonts w:cs="Tahoma"/>
                <w:sz w:val="20"/>
                <w:szCs w:val="20"/>
                <w:lang w:val="mk-MK" w:eastAsia="en-US"/>
              </w:rPr>
            </w:pPr>
            <w:r w:rsidRPr="0068236B">
              <w:rPr>
                <w:rFonts w:cs="Tahoma"/>
                <w:spacing w:val="-1"/>
                <w:sz w:val="20"/>
                <w:szCs w:val="20"/>
                <w:lang w:val="mk-MK" w:eastAsia="en-US"/>
              </w:rPr>
              <w:t>I-II</w:t>
            </w:r>
          </w:p>
        </w:tc>
      </w:tr>
      <w:tr w:rsidR="001E0F48" w:rsidRPr="0068236B" w14:paraId="28F4CA92" w14:textId="77777777" w:rsidTr="001E0F48">
        <w:tc>
          <w:tcPr>
            <w:tcW w:w="5387" w:type="dxa"/>
          </w:tcPr>
          <w:p w14:paraId="36DC271C" w14:textId="77777777" w:rsidR="001E0F48" w:rsidRPr="0068236B" w:rsidRDefault="001E0F48" w:rsidP="001E0F48">
            <w:pPr>
              <w:kinsoku w:val="0"/>
              <w:overflowPunct w:val="0"/>
              <w:autoSpaceDE w:val="0"/>
              <w:autoSpaceDN w:val="0"/>
              <w:adjustRightInd w:val="0"/>
              <w:spacing w:before="0" w:after="0" w:line="240" w:lineRule="auto"/>
              <w:ind w:left="102"/>
              <w:jc w:val="left"/>
              <w:rPr>
                <w:rFonts w:cs="Tahoma"/>
                <w:sz w:val="20"/>
                <w:szCs w:val="20"/>
                <w:lang w:val="mk-MK" w:eastAsia="en-US"/>
              </w:rPr>
            </w:pPr>
            <w:r w:rsidRPr="0068236B">
              <w:rPr>
                <w:rFonts w:cs="Tahoma"/>
                <w:sz w:val="20"/>
                <w:szCs w:val="20"/>
                <w:lang w:val="mk-MK" w:eastAsia="en-US"/>
              </w:rPr>
              <w:t>Bee</w:t>
            </w:r>
            <w:r w:rsidRPr="0068236B">
              <w:rPr>
                <w:rFonts w:cs="Tahoma"/>
                <w:spacing w:val="-1"/>
                <w:sz w:val="20"/>
                <w:szCs w:val="20"/>
                <w:lang w:val="mk-MK" w:eastAsia="en-US"/>
              </w:rPr>
              <w:t>-</w:t>
            </w:r>
            <w:r w:rsidRPr="0068236B">
              <w:rPr>
                <w:rFonts w:cs="Tahoma"/>
                <w:sz w:val="20"/>
                <w:szCs w:val="20"/>
                <w:lang w:val="mk-MK" w:eastAsia="en-US"/>
              </w:rPr>
              <w:t>e</w:t>
            </w:r>
            <w:r w:rsidRPr="0068236B">
              <w:rPr>
                <w:rFonts w:cs="Tahoma"/>
                <w:spacing w:val="-3"/>
                <w:sz w:val="20"/>
                <w:szCs w:val="20"/>
                <w:lang w:val="mk-MK" w:eastAsia="en-US"/>
              </w:rPr>
              <w:t>a</w:t>
            </w:r>
            <w:r w:rsidRPr="0068236B">
              <w:rPr>
                <w:rFonts w:cs="Tahoma"/>
                <w:sz w:val="20"/>
                <w:szCs w:val="20"/>
                <w:lang w:val="mk-MK" w:eastAsia="en-US"/>
              </w:rPr>
              <w:t>ters</w:t>
            </w:r>
            <w:r w:rsidRPr="0068236B">
              <w:rPr>
                <w:rFonts w:cs="Tahoma"/>
                <w:spacing w:val="-2"/>
                <w:sz w:val="20"/>
                <w:szCs w:val="20"/>
                <w:lang w:val="mk-MK" w:eastAsia="en-US"/>
              </w:rPr>
              <w:t xml:space="preserve"> </w:t>
            </w:r>
            <w:r w:rsidRPr="0068236B">
              <w:rPr>
                <w:rFonts w:cs="Tahoma"/>
                <w:sz w:val="20"/>
                <w:szCs w:val="20"/>
                <w:lang w:val="mk-MK" w:eastAsia="en-US"/>
              </w:rPr>
              <w:t>(</w:t>
            </w:r>
            <w:r w:rsidRPr="0068236B">
              <w:rPr>
                <w:rFonts w:cs="Tahoma"/>
                <w:spacing w:val="-2"/>
                <w:sz w:val="20"/>
                <w:szCs w:val="20"/>
                <w:lang w:val="mk-MK" w:eastAsia="en-US"/>
              </w:rPr>
              <w:t>M</w:t>
            </w:r>
            <w:r w:rsidRPr="0068236B">
              <w:rPr>
                <w:rFonts w:cs="Tahoma"/>
                <w:sz w:val="20"/>
                <w:szCs w:val="20"/>
                <w:lang w:val="mk-MK" w:eastAsia="en-US"/>
              </w:rPr>
              <w:t>er</w:t>
            </w:r>
            <w:r w:rsidRPr="0068236B">
              <w:rPr>
                <w:rFonts w:cs="Tahoma"/>
                <w:spacing w:val="1"/>
                <w:sz w:val="20"/>
                <w:szCs w:val="20"/>
                <w:lang w:val="mk-MK" w:eastAsia="en-US"/>
              </w:rPr>
              <w:t>o</w:t>
            </w:r>
            <w:r w:rsidRPr="0068236B">
              <w:rPr>
                <w:rFonts w:cs="Tahoma"/>
                <w:spacing w:val="-1"/>
                <w:sz w:val="20"/>
                <w:szCs w:val="20"/>
                <w:lang w:val="mk-MK" w:eastAsia="en-US"/>
              </w:rPr>
              <w:t>p</w:t>
            </w:r>
            <w:r w:rsidRPr="0068236B">
              <w:rPr>
                <w:rFonts w:cs="Tahoma"/>
                <w:sz w:val="20"/>
                <w:szCs w:val="20"/>
                <w:lang w:val="mk-MK" w:eastAsia="en-US"/>
              </w:rPr>
              <w:t>i</w:t>
            </w:r>
            <w:r w:rsidRPr="0068236B">
              <w:rPr>
                <w:rFonts w:cs="Tahoma"/>
                <w:spacing w:val="-2"/>
                <w:sz w:val="20"/>
                <w:szCs w:val="20"/>
                <w:lang w:val="mk-MK" w:eastAsia="en-US"/>
              </w:rPr>
              <w:t>d</w:t>
            </w:r>
            <w:r w:rsidRPr="0068236B">
              <w:rPr>
                <w:rFonts w:cs="Tahoma"/>
                <w:sz w:val="20"/>
                <w:szCs w:val="20"/>
                <w:lang w:val="mk-MK" w:eastAsia="en-US"/>
              </w:rPr>
              <w:t>a</w:t>
            </w:r>
            <w:r w:rsidRPr="0068236B">
              <w:rPr>
                <w:rFonts w:cs="Tahoma"/>
                <w:spacing w:val="-3"/>
                <w:sz w:val="20"/>
                <w:szCs w:val="20"/>
                <w:lang w:val="mk-MK" w:eastAsia="en-US"/>
              </w:rPr>
              <w:t>e</w:t>
            </w:r>
            <w:r w:rsidRPr="0068236B">
              <w:rPr>
                <w:rFonts w:cs="Tahoma"/>
                <w:sz w:val="20"/>
                <w:szCs w:val="20"/>
                <w:lang w:val="mk-MK" w:eastAsia="en-US"/>
              </w:rPr>
              <w:t>)</w:t>
            </w:r>
          </w:p>
        </w:tc>
        <w:tc>
          <w:tcPr>
            <w:tcW w:w="1559" w:type="dxa"/>
          </w:tcPr>
          <w:p w14:paraId="36D51E36" w14:textId="77777777" w:rsidR="001E0F48" w:rsidRPr="0068236B" w:rsidRDefault="001E0F48" w:rsidP="001E0F48">
            <w:pPr>
              <w:kinsoku w:val="0"/>
              <w:overflowPunct w:val="0"/>
              <w:autoSpaceDE w:val="0"/>
              <w:autoSpaceDN w:val="0"/>
              <w:adjustRightInd w:val="0"/>
              <w:spacing w:before="0" w:after="0" w:line="240" w:lineRule="auto"/>
              <w:ind w:left="102"/>
              <w:jc w:val="center"/>
              <w:rPr>
                <w:rFonts w:cs="Tahoma"/>
                <w:sz w:val="20"/>
                <w:szCs w:val="20"/>
                <w:lang w:val="mk-MK" w:eastAsia="en-US"/>
              </w:rPr>
            </w:pPr>
            <w:r w:rsidRPr="0068236B">
              <w:rPr>
                <w:rFonts w:cs="Tahoma"/>
                <w:spacing w:val="-1"/>
                <w:sz w:val="20"/>
                <w:szCs w:val="20"/>
                <w:lang w:val="mk-MK" w:eastAsia="en-US"/>
              </w:rPr>
              <w:t>I-II</w:t>
            </w:r>
          </w:p>
        </w:tc>
      </w:tr>
      <w:tr w:rsidR="001E0F48" w:rsidRPr="0068236B" w14:paraId="4571F602" w14:textId="77777777" w:rsidTr="001E0F48">
        <w:tc>
          <w:tcPr>
            <w:tcW w:w="5387" w:type="dxa"/>
          </w:tcPr>
          <w:p w14:paraId="520C0B6B" w14:textId="77777777" w:rsidR="001E0F48" w:rsidRPr="0068236B" w:rsidRDefault="001E0F48" w:rsidP="001E0F48">
            <w:pPr>
              <w:kinsoku w:val="0"/>
              <w:overflowPunct w:val="0"/>
              <w:autoSpaceDE w:val="0"/>
              <w:autoSpaceDN w:val="0"/>
              <w:adjustRightInd w:val="0"/>
              <w:spacing w:before="0" w:after="0" w:line="240" w:lineRule="auto"/>
              <w:ind w:left="102"/>
              <w:jc w:val="left"/>
              <w:rPr>
                <w:rFonts w:cs="Tahoma"/>
                <w:sz w:val="20"/>
                <w:szCs w:val="20"/>
                <w:lang w:val="mk-MK" w:eastAsia="en-US"/>
              </w:rPr>
            </w:pPr>
            <w:r w:rsidRPr="0068236B">
              <w:rPr>
                <w:rFonts w:cs="Tahoma"/>
                <w:sz w:val="20"/>
                <w:szCs w:val="20"/>
                <w:lang w:val="mk-MK" w:eastAsia="en-US"/>
              </w:rPr>
              <w:t>R</w:t>
            </w:r>
            <w:r w:rsidRPr="0068236B">
              <w:rPr>
                <w:rFonts w:cs="Tahoma"/>
                <w:spacing w:val="1"/>
                <w:sz w:val="20"/>
                <w:szCs w:val="20"/>
                <w:lang w:val="mk-MK" w:eastAsia="en-US"/>
              </w:rPr>
              <w:t>o</w:t>
            </w:r>
            <w:r w:rsidRPr="0068236B">
              <w:rPr>
                <w:rFonts w:cs="Tahoma"/>
                <w:sz w:val="20"/>
                <w:szCs w:val="20"/>
                <w:lang w:val="mk-MK" w:eastAsia="en-US"/>
              </w:rPr>
              <w:t>l</w:t>
            </w:r>
            <w:r w:rsidRPr="0068236B">
              <w:rPr>
                <w:rFonts w:cs="Tahoma"/>
                <w:spacing w:val="-1"/>
                <w:sz w:val="20"/>
                <w:szCs w:val="20"/>
                <w:lang w:val="mk-MK" w:eastAsia="en-US"/>
              </w:rPr>
              <w:t>l</w:t>
            </w:r>
            <w:r w:rsidRPr="0068236B">
              <w:rPr>
                <w:rFonts w:cs="Tahoma"/>
                <w:sz w:val="20"/>
                <w:szCs w:val="20"/>
                <w:lang w:val="mk-MK" w:eastAsia="en-US"/>
              </w:rPr>
              <w:t>ers</w:t>
            </w:r>
            <w:r w:rsidRPr="0068236B">
              <w:rPr>
                <w:rFonts w:cs="Tahoma"/>
                <w:spacing w:val="-2"/>
                <w:sz w:val="20"/>
                <w:szCs w:val="20"/>
                <w:lang w:val="mk-MK" w:eastAsia="en-US"/>
              </w:rPr>
              <w:t xml:space="preserve"> </w:t>
            </w:r>
            <w:r w:rsidRPr="0068236B">
              <w:rPr>
                <w:rFonts w:cs="Tahoma"/>
                <w:sz w:val="20"/>
                <w:szCs w:val="20"/>
                <w:lang w:val="mk-MK" w:eastAsia="en-US"/>
              </w:rPr>
              <w:t>(</w:t>
            </w:r>
            <w:r w:rsidRPr="0068236B">
              <w:rPr>
                <w:rFonts w:cs="Tahoma"/>
                <w:spacing w:val="-3"/>
                <w:sz w:val="20"/>
                <w:szCs w:val="20"/>
                <w:lang w:val="mk-MK" w:eastAsia="en-US"/>
              </w:rPr>
              <w:t>C</w:t>
            </w:r>
            <w:r w:rsidRPr="0068236B">
              <w:rPr>
                <w:rFonts w:cs="Tahoma"/>
                <w:spacing w:val="1"/>
                <w:sz w:val="20"/>
                <w:szCs w:val="20"/>
                <w:lang w:val="mk-MK" w:eastAsia="en-US"/>
              </w:rPr>
              <w:t>o</w:t>
            </w:r>
            <w:r w:rsidRPr="0068236B">
              <w:rPr>
                <w:rFonts w:cs="Tahoma"/>
                <w:sz w:val="20"/>
                <w:szCs w:val="20"/>
                <w:lang w:val="mk-MK" w:eastAsia="en-US"/>
              </w:rPr>
              <w:t>raci</w:t>
            </w:r>
            <w:r w:rsidRPr="0068236B">
              <w:rPr>
                <w:rFonts w:cs="Tahoma"/>
                <w:spacing w:val="-1"/>
                <w:sz w:val="20"/>
                <w:szCs w:val="20"/>
                <w:lang w:val="mk-MK" w:eastAsia="en-US"/>
              </w:rPr>
              <w:t>id</w:t>
            </w:r>
            <w:r w:rsidRPr="0068236B">
              <w:rPr>
                <w:rFonts w:cs="Tahoma"/>
                <w:sz w:val="20"/>
                <w:szCs w:val="20"/>
                <w:lang w:val="mk-MK" w:eastAsia="en-US"/>
              </w:rPr>
              <w:t>ae)</w:t>
            </w:r>
          </w:p>
        </w:tc>
        <w:tc>
          <w:tcPr>
            <w:tcW w:w="1559" w:type="dxa"/>
          </w:tcPr>
          <w:p w14:paraId="331EF38B" w14:textId="77777777" w:rsidR="001E0F48" w:rsidRPr="0068236B" w:rsidRDefault="001E0F48" w:rsidP="001E0F48">
            <w:pPr>
              <w:kinsoku w:val="0"/>
              <w:overflowPunct w:val="0"/>
              <w:autoSpaceDE w:val="0"/>
              <w:autoSpaceDN w:val="0"/>
              <w:adjustRightInd w:val="0"/>
              <w:spacing w:before="0" w:after="0" w:line="240" w:lineRule="auto"/>
              <w:ind w:left="102"/>
              <w:jc w:val="center"/>
              <w:rPr>
                <w:rFonts w:cs="Tahoma"/>
                <w:sz w:val="20"/>
                <w:szCs w:val="20"/>
                <w:lang w:val="mk-MK" w:eastAsia="en-US"/>
              </w:rPr>
            </w:pPr>
            <w:r w:rsidRPr="0068236B">
              <w:rPr>
                <w:rFonts w:cs="Tahoma"/>
                <w:spacing w:val="-1"/>
                <w:sz w:val="20"/>
                <w:szCs w:val="20"/>
                <w:lang w:val="mk-MK" w:eastAsia="en-US"/>
              </w:rPr>
              <w:t>I-II</w:t>
            </w:r>
          </w:p>
        </w:tc>
      </w:tr>
      <w:tr w:rsidR="001E0F48" w:rsidRPr="0068236B" w14:paraId="14A3081C" w14:textId="77777777" w:rsidTr="001E0F48">
        <w:tc>
          <w:tcPr>
            <w:tcW w:w="5387" w:type="dxa"/>
          </w:tcPr>
          <w:p w14:paraId="3FF794C0" w14:textId="77777777" w:rsidR="001E0F48" w:rsidRPr="0068236B" w:rsidRDefault="001E0F48" w:rsidP="001E0F48">
            <w:pPr>
              <w:kinsoku w:val="0"/>
              <w:overflowPunct w:val="0"/>
              <w:autoSpaceDE w:val="0"/>
              <w:autoSpaceDN w:val="0"/>
              <w:adjustRightInd w:val="0"/>
              <w:spacing w:before="0" w:after="0" w:line="240" w:lineRule="auto"/>
              <w:ind w:left="102"/>
              <w:jc w:val="left"/>
              <w:rPr>
                <w:rFonts w:cs="Tahoma"/>
                <w:sz w:val="20"/>
                <w:szCs w:val="20"/>
                <w:lang w:val="mk-MK" w:eastAsia="en-US"/>
              </w:rPr>
            </w:pPr>
            <w:r w:rsidRPr="0068236B">
              <w:rPr>
                <w:rFonts w:cs="Tahoma"/>
                <w:sz w:val="20"/>
                <w:szCs w:val="20"/>
                <w:lang w:val="mk-MK" w:eastAsia="en-US"/>
              </w:rPr>
              <w:t>W</w:t>
            </w:r>
            <w:r w:rsidRPr="0068236B">
              <w:rPr>
                <w:rFonts w:cs="Tahoma"/>
                <w:spacing w:val="-1"/>
                <w:sz w:val="20"/>
                <w:szCs w:val="20"/>
                <w:lang w:val="mk-MK" w:eastAsia="en-US"/>
              </w:rPr>
              <w:t>o</w:t>
            </w:r>
            <w:r w:rsidRPr="0068236B">
              <w:rPr>
                <w:rFonts w:cs="Tahoma"/>
                <w:spacing w:val="1"/>
                <w:sz w:val="20"/>
                <w:szCs w:val="20"/>
                <w:lang w:val="mk-MK" w:eastAsia="en-US"/>
              </w:rPr>
              <w:t>o</w:t>
            </w:r>
            <w:r w:rsidRPr="0068236B">
              <w:rPr>
                <w:rFonts w:cs="Tahoma"/>
                <w:spacing w:val="-1"/>
                <w:sz w:val="20"/>
                <w:szCs w:val="20"/>
                <w:lang w:val="mk-MK" w:eastAsia="en-US"/>
              </w:rPr>
              <w:t>dp</w:t>
            </w:r>
            <w:r w:rsidRPr="0068236B">
              <w:rPr>
                <w:rFonts w:cs="Tahoma"/>
                <w:sz w:val="20"/>
                <w:szCs w:val="20"/>
                <w:lang w:val="mk-MK" w:eastAsia="en-US"/>
              </w:rPr>
              <w:t>ec</w:t>
            </w:r>
            <w:r w:rsidRPr="0068236B">
              <w:rPr>
                <w:rFonts w:cs="Tahoma"/>
                <w:spacing w:val="-2"/>
                <w:sz w:val="20"/>
                <w:szCs w:val="20"/>
                <w:lang w:val="mk-MK" w:eastAsia="en-US"/>
              </w:rPr>
              <w:t>k</w:t>
            </w:r>
            <w:r w:rsidRPr="0068236B">
              <w:rPr>
                <w:rFonts w:cs="Tahoma"/>
                <w:sz w:val="20"/>
                <w:szCs w:val="20"/>
                <w:lang w:val="mk-MK" w:eastAsia="en-US"/>
              </w:rPr>
              <w:t xml:space="preserve">ers </w:t>
            </w:r>
            <w:r w:rsidRPr="0068236B">
              <w:rPr>
                <w:rFonts w:cs="Tahoma"/>
                <w:spacing w:val="-3"/>
                <w:sz w:val="20"/>
                <w:szCs w:val="20"/>
                <w:lang w:val="mk-MK" w:eastAsia="en-US"/>
              </w:rPr>
              <w:t>(</w:t>
            </w:r>
            <w:r w:rsidRPr="0068236B">
              <w:rPr>
                <w:rFonts w:cs="Tahoma"/>
                <w:sz w:val="20"/>
                <w:szCs w:val="20"/>
                <w:lang w:val="mk-MK" w:eastAsia="en-US"/>
              </w:rPr>
              <w:t>Pici</w:t>
            </w:r>
            <w:r w:rsidRPr="0068236B">
              <w:rPr>
                <w:rFonts w:cs="Tahoma"/>
                <w:spacing w:val="-2"/>
                <w:sz w:val="20"/>
                <w:szCs w:val="20"/>
                <w:lang w:val="mk-MK" w:eastAsia="en-US"/>
              </w:rPr>
              <w:t>d</w:t>
            </w:r>
            <w:r w:rsidRPr="0068236B">
              <w:rPr>
                <w:rFonts w:cs="Tahoma"/>
                <w:spacing w:val="-3"/>
                <w:sz w:val="20"/>
                <w:szCs w:val="20"/>
                <w:lang w:val="mk-MK" w:eastAsia="en-US"/>
              </w:rPr>
              <w:t>a</w:t>
            </w:r>
            <w:r w:rsidRPr="0068236B">
              <w:rPr>
                <w:rFonts w:cs="Tahoma"/>
                <w:sz w:val="20"/>
                <w:szCs w:val="20"/>
                <w:lang w:val="mk-MK" w:eastAsia="en-US"/>
              </w:rPr>
              <w:t>e)</w:t>
            </w:r>
          </w:p>
        </w:tc>
        <w:tc>
          <w:tcPr>
            <w:tcW w:w="1559" w:type="dxa"/>
          </w:tcPr>
          <w:p w14:paraId="1812646A" w14:textId="77777777" w:rsidR="001E0F48" w:rsidRPr="0068236B" w:rsidRDefault="001E0F48" w:rsidP="001E0F48">
            <w:pPr>
              <w:kinsoku w:val="0"/>
              <w:overflowPunct w:val="0"/>
              <w:autoSpaceDE w:val="0"/>
              <w:autoSpaceDN w:val="0"/>
              <w:adjustRightInd w:val="0"/>
              <w:spacing w:before="0" w:after="0" w:line="240" w:lineRule="auto"/>
              <w:ind w:left="102"/>
              <w:jc w:val="center"/>
              <w:rPr>
                <w:rFonts w:cs="Tahoma"/>
                <w:sz w:val="20"/>
                <w:szCs w:val="20"/>
                <w:lang w:val="mk-MK" w:eastAsia="en-US"/>
              </w:rPr>
            </w:pPr>
            <w:r w:rsidRPr="0068236B">
              <w:rPr>
                <w:rFonts w:cs="Tahoma"/>
                <w:spacing w:val="-1"/>
                <w:sz w:val="20"/>
                <w:szCs w:val="20"/>
                <w:lang w:val="mk-MK" w:eastAsia="en-US"/>
              </w:rPr>
              <w:t>I-II</w:t>
            </w:r>
          </w:p>
        </w:tc>
      </w:tr>
      <w:tr w:rsidR="001E0F48" w:rsidRPr="0068236B" w14:paraId="5CB29F08" w14:textId="77777777" w:rsidTr="001E0F48">
        <w:tc>
          <w:tcPr>
            <w:tcW w:w="5387" w:type="dxa"/>
          </w:tcPr>
          <w:p w14:paraId="4D7AC63B" w14:textId="77777777" w:rsidR="001E0F48" w:rsidRPr="0068236B" w:rsidRDefault="001E0F48" w:rsidP="001E0F48">
            <w:pPr>
              <w:kinsoku w:val="0"/>
              <w:overflowPunct w:val="0"/>
              <w:autoSpaceDE w:val="0"/>
              <w:autoSpaceDN w:val="0"/>
              <w:adjustRightInd w:val="0"/>
              <w:spacing w:before="0" w:after="0" w:line="240" w:lineRule="auto"/>
              <w:ind w:left="102"/>
              <w:jc w:val="left"/>
              <w:rPr>
                <w:rFonts w:cs="Tahoma"/>
                <w:sz w:val="20"/>
                <w:szCs w:val="20"/>
                <w:lang w:val="mk-MK" w:eastAsia="en-US"/>
              </w:rPr>
            </w:pPr>
            <w:r w:rsidRPr="0068236B">
              <w:rPr>
                <w:rFonts w:cs="Tahoma"/>
                <w:sz w:val="20"/>
                <w:szCs w:val="20"/>
                <w:lang w:val="mk-MK" w:eastAsia="en-US"/>
              </w:rPr>
              <w:t>Ravens,</w:t>
            </w:r>
            <w:r w:rsidRPr="0068236B">
              <w:rPr>
                <w:rFonts w:cs="Tahoma"/>
                <w:spacing w:val="-3"/>
                <w:sz w:val="20"/>
                <w:szCs w:val="20"/>
                <w:lang w:val="mk-MK" w:eastAsia="en-US"/>
              </w:rPr>
              <w:t xml:space="preserve"> </w:t>
            </w:r>
            <w:r w:rsidRPr="0068236B">
              <w:rPr>
                <w:rFonts w:cs="Tahoma"/>
                <w:sz w:val="20"/>
                <w:szCs w:val="20"/>
                <w:lang w:val="mk-MK" w:eastAsia="en-US"/>
              </w:rPr>
              <w:t>Cr</w:t>
            </w:r>
            <w:r w:rsidRPr="0068236B">
              <w:rPr>
                <w:rFonts w:cs="Tahoma"/>
                <w:spacing w:val="-2"/>
                <w:sz w:val="20"/>
                <w:szCs w:val="20"/>
                <w:lang w:val="mk-MK" w:eastAsia="en-US"/>
              </w:rPr>
              <w:t>o</w:t>
            </w:r>
            <w:r w:rsidRPr="0068236B">
              <w:rPr>
                <w:rFonts w:cs="Tahoma"/>
                <w:sz w:val="20"/>
                <w:szCs w:val="20"/>
                <w:lang w:val="mk-MK" w:eastAsia="en-US"/>
              </w:rPr>
              <w:t>ws,</w:t>
            </w:r>
            <w:r w:rsidRPr="0068236B">
              <w:rPr>
                <w:rFonts w:cs="Tahoma"/>
                <w:spacing w:val="-2"/>
                <w:sz w:val="20"/>
                <w:szCs w:val="20"/>
                <w:lang w:val="mk-MK" w:eastAsia="en-US"/>
              </w:rPr>
              <w:t xml:space="preserve"> </w:t>
            </w:r>
            <w:r w:rsidRPr="0068236B">
              <w:rPr>
                <w:rFonts w:cs="Tahoma"/>
                <w:sz w:val="20"/>
                <w:szCs w:val="20"/>
                <w:lang w:val="mk-MK" w:eastAsia="en-US"/>
              </w:rPr>
              <w:t xml:space="preserve">Jays </w:t>
            </w:r>
            <w:r w:rsidRPr="0068236B">
              <w:rPr>
                <w:rFonts w:cs="Tahoma"/>
                <w:spacing w:val="-3"/>
                <w:sz w:val="20"/>
                <w:szCs w:val="20"/>
                <w:lang w:val="mk-MK" w:eastAsia="en-US"/>
              </w:rPr>
              <w:t>(</w:t>
            </w:r>
            <w:r w:rsidRPr="0068236B">
              <w:rPr>
                <w:rFonts w:cs="Tahoma"/>
                <w:sz w:val="20"/>
                <w:szCs w:val="20"/>
                <w:lang w:val="mk-MK" w:eastAsia="en-US"/>
              </w:rPr>
              <w:t>Co</w:t>
            </w:r>
            <w:r w:rsidRPr="0068236B">
              <w:rPr>
                <w:rFonts w:cs="Tahoma"/>
                <w:spacing w:val="-3"/>
                <w:sz w:val="20"/>
                <w:szCs w:val="20"/>
                <w:lang w:val="mk-MK" w:eastAsia="en-US"/>
              </w:rPr>
              <w:t>r</w:t>
            </w:r>
            <w:r w:rsidRPr="0068236B">
              <w:rPr>
                <w:rFonts w:cs="Tahoma"/>
                <w:sz w:val="20"/>
                <w:szCs w:val="20"/>
                <w:lang w:val="mk-MK" w:eastAsia="en-US"/>
              </w:rPr>
              <w:t>vi</w:t>
            </w:r>
            <w:r w:rsidRPr="0068236B">
              <w:rPr>
                <w:rFonts w:cs="Tahoma"/>
                <w:spacing w:val="-4"/>
                <w:sz w:val="20"/>
                <w:szCs w:val="20"/>
                <w:lang w:val="mk-MK" w:eastAsia="en-US"/>
              </w:rPr>
              <w:t>d</w:t>
            </w:r>
            <w:r w:rsidRPr="0068236B">
              <w:rPr>
                <w:rFonts w:cs="Tahoma"/>
                <w:sz w:val="20"/>
                <w:szCs w:val="20"/>
                <w:lang w:val="mk-MK" w:eastAsia="en-US"/>
              </w:rPr>
              <w:t>ae)</w:t>
            </w:r>
          </w:p>
        </w:tc>
        <w:tc>
          <w:tcPr>
            <w:tcW w:w="1559" w:type="dxa"/>
          </w:tcPr>
          <w:p w14:paraId="7A1397C7" w14:textId="77777777" w:rsidR="001E0F48" w:rsidRPr="0068236B" w:rsidRDefault="001E0F48" w:rsidP="001E0F48">
            <w:pPr>
              <w:kinsoku w:val="0"/>
              <w:overflowPunct w:val="0"/>
              <w:autoSpaceDE w:val="0"/>
              <w:autoSpaceDN w:val="0"/>
              <w:adjustRightInd w:val="0"/>
              <w:spacing w:before="0" w:after="0" w:line="240" w:lineRule="auto"/>
              <w:ind w:left="102"/>
              <w:jc w:val="center"/>
              <w:rPr>
                <w:rFonts w:cs="Tahoma"/>
                <w:sz w:val="20"/>
                <w:szCs w:val="20"/>
                <w:lang w:val="mk-MK" w:eastAsia="en-US"/>
              </w:rPr>
            </w:pPr>
            <w:r w:rsidRPr="0068236B">
              <w:rPr>
                <w:rFonts w:cs="Tahoma"/>
                <w:spacing w:val="-1"/>
                <w:sz w:val="20"/>
                <w:szCs w:val="20"/>
                <w:lang w:val="mk-MK" w:eastAsia="en-US"/>
              </w:rPr>
              <w:t>I-II</w:t>
            </w:r>
          </w:p>
        </w:tc>
      </w:tr>
      <w:tr w:rsidR="001E0F48" w:rsidRPr="0068236B" w14:paraId="345A5FF3" w14:textId="77777777" w:rsidTr="001E0F48">
        <w:tc>
          <w:tcPr>
            <w:tcW w:w="5387" w:type="dxa"/>
          </w:tcPr>
          <w:p w14:paraId="4B8BEBC5" w14:textId="77777777" w:rsidR="001E0F48" w:rsidRPr="0068236B" w:rsidRDefault="001E0F48" w:rsidP="001E0F48">
            <w:pPr>
              <w:kinsoku w:val="0"/>
              <w:overflowPunct w:val="0"/>
              <w:autoSpaceDE w:val="0"/>
              <w:autoSpaceDN w:val="0"/>
              <w:adjustRightInd w:val="0"/>
              <w:spacing w:before="0" w:after="0" w:line="240" w:lineRule="auto"/>
              <w:ind w:left="102"/>
              <w:jc w:val="left"/>
              <w:rPr>
                <w:rFonts w:cs="Tahoma"/>
                <w:sz w:val="20"/>
                <w:szCs w:val="20"/>
                <w:lang w:val="mk-MK" w:eastAsia="en-US"/>
              </w:rPr>
            </w:pPr>
            <w:r w:rsidRPr="0068236B">
              <w:rPr>
                <w:rFonts w:cs="Tahoma"/>
                <w:sz w:val="20"/>
                <w:szCs w:val="20"/>
                <w:lang w:val="mk-MK" w:eastAsia="en-US"/>
              </w:rPr>
              <w:t>Med</w:t>
            </w:r>
            <w:r w:rsidRPr="0068236B">
              <w:rPr>
                <w:rFonts w:cs="Tahoma"/>
                <w:spacing w:val="-1"/>
                <w:sz w:val="20"/>
                <w:szCs w:val="20"/>
                <w:lang w:val="mk-MK" w:eastAsia="en-US"/>
              </w:rPr>
              <w:t>iu</w:t>
            </w:r>
            <w:r w:rsidRPr="0068236B">
              <w:rPr>
                <w:rFonts w:cs="Tahoma"/>
                <w:spacing w:val="1"/>
                <w:sz w:val="20"/>
                <w:szCs w:val="20"/>
                <w:lang w:val="mk-MK" w:eastAsia="en-US"/>
              </w:rPr>
              <w:t>m</w:t>
            </w:r>
            <w:r w:rsidRPr="0068236B">
              <w:rPr>
                <w:rFonts w:cs="Tahoma"/>
                <w:spacing w:val="-1"/>
                <w:sz w:val="20"/>
                <w:szCs w:val="20"/>
                <w:lang w:val="mk-MK" w:eastAsia="en-US"/>
              </w:rPr>
              <w:t>-</w:t>
            </w:r>
            <w:r w:rsidRPr="0068236B">
              <w:rPr>
                <w:rFonts w:cs="Tahoma"/>
                <w:sz w:val="20"/>
                <w:szCs w:val="20"/>
                <w:lang w:val="mk-MK" w:eastAsia="en-US"/>
              </w:rPr>
              <w:t>si</w:t>
            </w:r>
            <w:r w:rsidRPr="0068236B">
              <w:rPr>
                <w:rFonts w:cs="Tahoma"/>
                <w:spacing w:val="-4"/>
                <w:sz w:val="20"/>
                <w:szCs w:val="20"/>
                <w:lang w:val="mk-MK" w:eastAsia="en-US"/>
              </w:rPr>
              <w:t>z</w:t>
            </w:r>
            <w:r w:rsidRPr="0068236B">
              <w:rPr>
                <w:rFonts w:cs="Tahoma"/>
                <w:sz w:val="20"/>
                <w:szCs w:val="20"/>
                <w:lang w:val="mk-MK" w:eastAsia="en-US"/>
              </w:rPr>
              <w:t>ed and</w:t>
            </w:r>
            <w:r w:rsidRPr="0068236B">
              <w:rPr>
                <w:rFonts w:cs="Tahoma"/>
                <w:spacing w:val="-2"/>
                <w:sz w:val="20"/>
                <w:szCs w:val="20"/>
                <w:lang w:val="mk-MK" w:eastAsia="en-US"/>
              </w:rPr>
              <w:t xml:space="preserve"> s</w:t>
            </w:r>
            <w:r w:rsidRPr="0068236B">
              <w:rPr>
                <w:rFonts w:cs="Tahoma"/>
                <w:sz w:val="20"/>
                <w:szCs w:val="20"/>
                <w:lang w:val="mk-MK" w:eastAsia="en-US"/>
              </w:rPr>
              <w:t>mall</w:t>
            </w:r>
            <w:r w:rsidRPr="0068236B">
              <w:rPr>
                <w:rFonts w:cs="Tahoma"/>
                <w:spacing w:val="-1"/>
                <w:sz w:val="20"/>
                <w:szCs w:val="20"/>
                <w:lang w:val="mk-MK" w:eastAsia="en-US"/>
              </w:rPr>
              <w:t xml:space="preserve"> </w:t>
            </w:r>
            <w:r w:rsidRPr="0068236B">
              <w:rPr>
                <w:rFonts w:cs="Tahoma"/>
                <w:spacing w:val="-2"/>
                <w:sz w:val="20"/>
                <w:szCs w:val="20"/>
                <w:lang w:val="mk-MK" w:eastAsia="en-US"/>
              </w:rPr>
              <w:t>so</w:t>
            </w:r>
            <w:r w:rsidRPr="0068236B">
              <w:rPr>
                <w:rFonts w:cs="Tahoma"/>
                <w:spacing w:val="-1"/>
                <w:sz w:val="20"/>
                <w:szCs w:val="20"/>
                <w:lang w:val="mk-MK" w:eastAsia="en-US"/>
              </w:rPr>
              <w:t>ngb</w:t>
            </w:r>
            <w:r w:rsidRPr="0068236B">
              <w:rPr>
                <w:rFonts w:cs="Tahoma"/>
                <w:sz w:val="20"/>
                <w:szCs w:val="20"/>
                <w:lang w:val="mk-MK" w:eastAsia="en-US"/>
              </w:rPr>
              <w:t>ir</w:t>
            </w:r>
            <w:r w:rsidRPr="0068236B">
              <w:rPr>
                <w:rFonts w:cs="Tahoma"/>
                <w:spacing w:val="-2"/>
                <w:sz w:val="20"/>
                <w:szCs w:val="20"/>
                <w:lang w:val="mk-MK" w:eastAsia="en-US"/>
              </w:rPr>
              <w:t>d</w:t>
            </w:r>
            <w:r w:rsidRPr="0068236B">
              <w:rPr>
                <w:rFonts w:cs="Tahoma"/>
                <w:sz w:val="20"/>
                <w:szCs w:val="20"/>
                <w:lang w:val="mk-MK" w:eastAsia="en-US"/>
              </w:rPr>
              <w:t>s (Passeri</w:t>
            </w:r>
            <w:r w:rsidRPr="0068236B">
              <w:rPr>
                <w:rFonts w:cs="Tahoma"/>
                <w:spacing w:val="-3"/>
                <w:sz w:val="20"/>
                <w:szCs w:val="20"/>
                <w:lang w:val="mk-MK" w:eastAsia="en-US"/>
              </w:rPr>
              <w:t>f</w:t>
            </w:r>
            <w:r w:rsidRPr="0068236B">
              <w:rPr>
                <w:rFonts w:cs="Tahoma"/>
                <w:spacing w:val="1"/>
                <w:sz w:val="20"/>
                <w:szCs w:val="20"/>
                <w:lang w:val="mk-MK" w:eastAsia="en-US"/>
              </w:rPr>
              <w:t>o</w:t>
            </w:r>
            <w:r w:rsidRPr="0068236B">
              <w:rPr>
                <w:rFonts w:cs="Tahoma"/>
                <w:spacing w:val="-3"/>
                <w:sz w:val="20"/>
                <w:szCs w:val="20"/>
                <w:lang w:val="mk-MK" w:eastAsia="en-US"/>
              </w:rPr>
              <w:t>r</w:t>
            </w:r>
            <w:r w:rsidRPr="0068236B">
              <w:rPr>
                <w:rFonts w:cs="Tahoma"/>
                <w:sz w:val="20"/>
                <w:szCs w:val="20"/>
                <w:lang w:val="mk-MK" w:eastAsia="en-US"/>
              </w:rPr>
              <w:t>me</w:t>
            </w:r>
            <w:r w:rsidRPr="0068236B">
              <w:rPr>
                <w:rFonts w:cs="Tahoma"/>
                <w:spacing w:val="-2"/>
                <w:sz w:val="20"/>
                <w:szCs w:val="20"/>
                <w:lang w:val="mk-MK" w:eastAsia="en-US"/>
              </w:rPr>
              <w:t>s</w:t>
            </w:r>
            <w:r w:rsidRPr="0068236B">
              <w:rPr>
                <w:rFonts w:cs="Tahoma"/>
                <w:sz w:val="20"/>
                <w:szCs w:val="20"/>
                <w:lang w:val="mk-MK" w:eastAsia="en-US"/>
              </w:rPr>
              <w:t>)</w:t>
            </w:r>
          </w:p>
        </w:tc>
        <w:tc>
          <w:tcPr>
            <w:tcW w:w="1559" w:type="dxa"/>
          </w:tcPr>
          <w:p w14:paraId="51E0B3B1" w14:textId="77777777" w:rsidR="001E0F48" w:rsidRPr="0068236B" w:rsidRDefault="001E0F48" w:rsidP="001E0F48">
            <w:pPr>
              <w:kinsoku w:val="0"/>
              <w:overflowPunct w:val="0"/>
              <w:autoSpaceDE w:val="0"/>
              <w:autoSpaceDN w:val="0"/>
              <w:adjustRightInd w:val="0"/>
              <w:spacing w:before="0" w:after="0" w:line="240" w:lineRule="auto"/>
              <w:ind w:left="102"/>
              <w:jc w:val="center"/>
              <w:rPr>
                <w:rFonts w:cs="Tahoma"/>
                <w:sz w:val="20"/>
                <w:szCs w:val="20"/>
                <w:lang w:val="mk-MK" w:eastAsia="en-US"/>
              </w:rPr>
            </w:pPr>
            <w:r w:rsidRPr="0068236B">
              <w:rPr>
                <w:rFonts w:cs="Tahoma"/>
                <w:spacing w:val="-1"/>
                <w:sz w:val="20"/>
                <w:szCs w:val="20"/>
                <w:lang w:val="mk-MK" w:eastAsia="en-US"/>
              </w:rPr>
              <w:t>I-II</w:t>
            </w:r>
          </w:p>
        </w:tc>
      </w:tr>
    </w:tbl>
    <w:p w14:paraId="7F8D28E8" w14:textId="727E47A3" w:rsidR="001E0F48" w:rsidRPr="0068236B" w:rsidRDefault="001E0F48" w:rsidP="001E0F48">
      <w:pPr>
        <w:pStyle w:val="Caption"/>
        <w:spacing w:line="240" w:lineRule="auto"/>
        <w:jc w:val="left"/>
        <w:rPr>
          <w:rFonts w:eastAsia="Calibri"/>
          <w:b w:val="0"/>
        </w:rPr>
      </w:pPr>
      <w:bookmarkStart w:id="502" w:name="_Toc113018233"/>
      <w:r w:rsidRPr="0068236B">
        <w:rPr>
          <w:b w:val="0"/>
        </w:rPr>
        <w:t xml:space="preserve">Table </w:t>
      </w:r>
      <w:r w:rsidRPr="0068236B">
        <w:rPr>
          <w:b w:val="0"/>
          <w:i/>
        </w:rPr>
        <w:fldChar w:fldCharType="begin"/>
      </w:r>
      <w:r w:rsidRPr="0068236B">
        <w:rPr>
          <w:b w:val="0"/>
        </w:rPr>
        <w:instrText xml:space="preserve"> STYLEREF 1 \s </w:instrText>
      </w:r>
      <w:r w:rsidRPr="0068236B">
        <w:rPr>
          <w:b w:val="0"/>
          <w:i/>
        </w:rPr>
        <w:fldChar w:fldCharType="separate"/>
      </w:r>
      <w:r w:rsidR="00FD57E6">
        <w:rPr>
          <w:b w:val="0"/>
          <w:noProof/>
        </w:rPr>
        <w:t>8</w:t>
      </w:r>
      <w:r w:rsidRPr="0068236B">
        <w:rPr>
          <w:b w:val="0"/>
          <w:i/>
        </w:rPr>
        <w:fldChar w:fldCharType="end"/>
      </w:r>
      <w:r w:rsidRPr="0068236B">
        <w:rPr>
          <w:b w:val="0"/>
          <w:i/>
        </w:rPr>
        <w:t>.</w:t>
      </w:r>
      <w:r w:rsidRPr="0068236B">
        <w:rPr>
          <w:b w:val="0"/>
          <w:i/>
        </w:rPr>
        <w:fldChar w:fldCharType="begin"/>
      </w:r>
      <w:r w:rsidRPr="0068236B">
        <w:rPr>
          <w:b w:val="0"/>
        </w:rPr>
        <w:instrText xml:space="preserve"> SEQ Table \* ARABIC \s 1 </w:instrText>
      </w:r>
      <w:r w:rsidRPr="0068236B">
        <w:rPr>
          <w:b w:val="0"/>
          <w:i/>
        </w:rPr>
        <w:fldChar w:fldCharType="separate"/>
      </w:r>
      <w:r w:rsidR="00FD57E6">
        <w:rPr>
          <w:b w:val="0"/>
          <w:noProof/>
        </w:rPr>
        <w:t>37</w:t>
      </w:r>
      <w:r w:rsidRPr="0068236B">
        <w:rPr>
          <w:b w:val="0"/>
          <w:i/>
        </w:rPr>
        <w:fldChar w:fldCharType="end"/>
      </w:r>
      <w:r w:rsidRPr="0068236B">
        <w:rPr>
          <w:rFonts w:eastAsia="Calibri"/>
          <w:b w:val="0"/>
        </w:rPr>
        <w:t>: S</w:t>
      </w:r>
      <w:r w:rsidRPr="0068236B">
        <w:rPr>
          <w:rFonts w:eastAsia="Calibri" w:cs="Tahoma"/>
          <w:b w:val="0"/>
        </w:rPr>
        <w:t>everity of impacts on bird populations of mortality due to electrocution and collision with power lines for different bird families in Eurasia</w:t>
      </w:r>
      <w:bookmarkEnd w:id="502"/>
    </w:p>
    <w:p w14:paraId="0A1FAE2B" w14:textId="77777777" w:rsidR="001E0F48" w:rsidRPr="0068236B" w:rsidRDefault="001E0F48" w:rsidP="001E0F48">
      <w:pPr>
        <w:autoSpaceDE w:val="0"/>
        <w:autoSpaceDN w:val="0"/>
        <w:adjustRightInd w:val="0"/>
        <w:spacing w:after="0"/>
        <w:jc w:val="left"/>
        <w:rPr>
          <w:rFonts w:cs="Tahoma"/>
          <w:sz w:val="18"/>
          <w:szCs w:val="18"/>
          <w:lang w:val="en-US" w:eastAsia="en-US"/>
        </w:rPr>
      </w:pPr>
      <w:r w:rsidRPr="0068236B">
        <w:rPr>
          <w:rFonts w:cs="Tahoma"/>
          <w:sz w:val="18"/>
          <w:szCs w:val="18"/>
          <w:lang w:val="en-US" w:eastAsia="en-US"/>
        </w:rPr>
        <w:t xml:space="preserve">Note: </w:t>
      </w:r>
      <w:r w:rsidRPr="0068236B">
        <w:rPr>
          <w:rFonts w:cs="Tahoma"/>
          <w:sz w:val="18"/>
          <w:szCs w:val="18"/>
          <w:lang w:val="mk-MK" w:eastAsia="en-US"/>
        </w:rPr>
        <w:t>I = casualties reported, but no apparent threat to the bird population;</w:t>
      </w:r>
      <w:r w:rsidRPr="0068236B">
        <w:rPr>
          <w:rFonts w:cs="Tahoma"/>
          <w:sz w:val="18"/>
          <w:szCs w:val="18"/>
          <w:lang w:val="en-US" w:eastAsia="en-US"/>
        </w:rPr>
        <w:t xml:space="preserve"> </w:t>
      </w:r>
      <w:r w:rsidRPr="0068236B">
        <w:rPr>
          <w:rFonts w:cs="Tahoma"/>
          <w:sz w:val="18"/>
          <w:szCs w:val="18"/>
          <w:lang w:val="mk-MK" w:eastAsia="en-US"/>
        </w:rPr>
        <w:t>II = regionally or locally high casualties, but with no significant impact on the overall species</w:t>
      </w:r>
      <w:r w:rsidRPr="0068236B">
        <w:rPr>
          <w:rFonts w:cs="Tahoma"/>
          <w:sz w:val="18"/>
          <w:szCs w:val="18"/>
          <w:lang w:val="en-US" w:eastAsia="en-US"/>
        </w:rPr>
        <w:t xml:space="preserve"> </w:t>
      </w:r>
      <w:r w:rsidRPr="0068236B">
        <w:rPr>
          <w:rFonts w:cs="Tahoma"/>
          <w:sz w:val="18"/>
          <w:szCs w:val="18"/>
          <w:lang w:val="mk-MK" w:eastAsia="en-US"/>
        </w:rPr>
        <w:t>population;</w:t>
      </w:r>
      <w:r w:rsidRPr="0068236B">
        <w:rPr>
          <w:rFonts w:cs="Tahoma"/>
          <w:sz w:val="18"/>
          <w:szCs w:val="18"/>
          <w:lang w:val="en-US" w:eastAsia="en-US"/>
        </w:rPr>
        <w:t xml:space="preserve"> </w:t>
      </w:r>
      <w:r w:rsidRPr="0068236B">
        <w:rPr>
          <w:rFonts w:cs="Tahoma"/>
          <w:sz w:val="18"/>
          <w:szCs w:val="18"/>
          <w:lang w:val="mk-MK" w:eastAsia="en-US"/>
        </w:rPr>
        <w:t>III = casualties are a major mortality factor, threatening a species with extinction, regionally or at a</w:t>
      </w:r>
      <w:r w:rsidRPr="0068236B">
        <w:rPr>
          <w:rFonts w:cs="Tahoma"/>
          <w:sz w:val="18"/>
          <w:szCs w:val="18"/>
          <w:lang w:val="en-US" w:eastAsia="en-US"/>
        </w:rPr>
        <w:t xml:space="preserve"> </w:t>
      </w:r>
      <w:r w:rsidRPr="0068236B">
        <w:rPr>
          <w:rFonts w:cs="Tahoma"/>
          <w:sz w:val="18"/>
          <w:szCs w:val="18"/>
          <w:lang w:val="mk-MK" w:eastAsia="en-US"/>
        </w:rPr>
        <w:t>larger scale.</w:t>
      </w:r>
    </w:p>
    <w:p w14:paraId="7C6966A2" w14:textId="77777777" w:rsidR="001E0F48" w:rsidRPr="0068236B" w:rsidRDefault="001E0F48" w:rsidP="001E0F48">
      <w:pPr>
        <w:autoSpaceDE w:val="0"/>
        <w:autoSpaceDN w:val="0"/>
        <w:adjustRightInd w:val="0"/>
        <w:spacing w:before="60" w:after="240"/>
        <w:rPr>
          <w:rFonts w:cs="Tahoma"/>
          <w:sz w:val="18"/>
          <w:szCs w:val="18"/>
        </w:rPr>
      </w:pPr>
      <w:r w:rsidRPr="0068236B">
        <w:rPr>
          <w:rFonts w:eastAsia="Calibri" w:cs="Tahoma"/>
          <w:sz w:val="18"/>
          <w:szCs w:val="18"/>
        </w:rPr>
        <w:lastRenderedPageBreak/>
        <w:t xml:space="preserve">Source: </w:t>
      </w:r>
      <w:r w:rsidRPr="0068236B">
        <w:rPr>
          <w:rFonts w:cs="Tahoma"/>
          <w:sz w:val="18"/>
          <w:szCs w:val="18"/>
        </w:rPr>
        <w:t xml:space="preserve">Guidance on Energy Transmission Infrastructure and EU nature legislation, </w:t>
      </w:r>
      <w:r w:rsidRPr="0068236B">
        <w:rPr>
          <w:rFonts w:cs="Tahoma"/>
          <w:sz w:val="18"/>
          <w:szCs w:val="18"/>
          <w:lang w:val="mk-MK" w:eastAsia="en-US"/>
        </w:rPr>
        <w:t>European Union</w:t>
      </w:r>
      <w:r w:rsidRPr="0068236B">
        <w:rPr>
          <w:rFonts w:cs="Tahoma"/>
          <w:sz w:val="18"/>
          <w:szCs w:val="18"/>
          <w:lang w:val="en-US" w:eastAsia="en-US"/>
        </w:rPr>
        <w:t>,</w:t>
      </w:r>
      <w:r w:rsidRPr="0068236B">
        <w:rPr>
          <w:rFonts w:cs="Tahoma"/>
          <w:sz w:val="18"/>
          <w:szCs w:val="18"/>
        </w:rPr>
        <w:t xml:space="preserve"> 2018</w:t>
      </w:r>
    </w:p>
    <w:p w14:paraId="17D13BAB" w14:textId="0AE4A4F6" w:rsidR="001E0F48" w:rsidRPr="0068236B" w:rsidRDefault="001E0F48" w:rsidP="001E0F48">
      <w:pPr>
        <w:autoSpaceDE w:val="0"/>
        <w:autoSpaceDN w:val="0"/>
        <w:adjustRightInd w:val="0"/>
        <w:rPr>
          <w:rFonts w:cs="Tahoma"/>
          <w:sz w:val="20"/>
          <w:szCs w:val="20"/>
        </w:rPr>
      </w:pPr>
      <w:r w:rsidRPr="0068236B">
        <w:rPr>
          <w:rFonts w:cs="Tahoma"/>
          <w:sz w:val="20"/>
          <w:szCs w:val="20"/>
        </w:rPr>
        <w:t>Guidance on Energy Transmission Infrastructure and EU nature legislation (</w:t>
      </w:r>
      <w:r w:rsidRPr="0068236B">
        <w:rPr>
          <w:rFonts w:cs="Tahoma"/>
          <w:sz w:val="20"/>
          <w:szCs w:val="20"/>
          <w:lang w:val="mk-MK" w:eastAsia="en-US"/>
        </w:rPr>
        <w:t xml:space="preserve">European </w:t>
      </w:r>
      <w:r w:rsidRPr="0068236B">
        <w:rPr>
          <w:rFonts w:cs="Tahoma"/>
          <w:sz w:val="20"/>
          <w:szCs w:val="20"/>
          <w:lang w:val="en-US" w:eastAsia="en-US"/>
        </w:rPr>
        <w:t>Commission,</w:t>
      </w:r>
      <w:r w:rsidRPr="0068236B">
        <w:rPr>
          <w:rFonts w:cs="Tahoma"/>
          <w:sz w:val="20"/>
          <w:szCs w:val="20"/>
        </w:rPr>
        <w:t xml:space="preserve"> 2018)</w:t>
      </w:r>
      <w:r w:rsidRPr="0068236B">
        <w:rPr>
          <w:rStyle w:val="FootnoteReference"/>
          <w:rFonts w:cs="Tahoma"/>
          <w:sz w:val="20"/>
          <w:szCs w:val="20"/>
        </w:rPr>
        <w:footnoteReference w:id="128"/>
      </w:r>
      <w:r w:rsidRPr="0068236B">
        <w:rPr>
          <w:rFonts w:cs="Tahoma"/>
          <w:sz w:val="20"/>
          <w:szCs w:val="20"/>
        </w:rPr>
        <w:t xml:space="preserve"> states that e</w:t>
      </w:r>
      <w:r w:rsidRPr="0068236B">
        <w:rPr>
          <w:rFonts w:eastAsia="Calibri" w:cs="Tahoma"/>
          <w:sz w:val="20"/>
          <w:szCs w:val="20"/>
        </w:rPr>
        <w:t>mpirical data and theoretical considerations indicate that species with high wing loading and low aspect run a high risk of colliding with power lines. These birds are characterised by rapid flight, and the combination of heavy body and small wings restricts swift reactions to unexpected obstacles. When the number of reported collision victims is considered relative to the abundance and population size of the sp</w:t>
      </w:r>
      <w:r w:rsidRPr="0068236B">
        <w:rPr>
          <w:rFonts w:eastAsia="Calibri" w:cs="Tahoma"/>
          <w:sz w:val="20"/>
          <w:szCs w:val="20"/>
        </w:rPr>
        <w:t>e</w:t>
      </w:r>
      <w:r w:rsidRPr="0068236B">
        <w:rPr>
          <w:rFonts w:eastAsia="Calibri" w:cs="Tahoma"/>
          <w:sz w:val="20"/>
          <w:szCs w:val="20"/>
        </w:rPr>
        <w:t>cies concerned, some Galliformes, Gruiformes, Pelecaniformes and Ciconiiformes species seem to be affected in disproportionately high numbers. Typical damage evident on bird carcasses due to bird collision with transmission lines is presented in the following Table.</w:t>
      </w:r>
    </w:p>
    <w:tbl>
      <w:tblPr>
        <w:tblStyle w:val="TableGrid"/>
        <w:tblW w:w="0" w:type="auto"/>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2520"/>
        <w:gridCol w:w="7119"/>
      </w:tblGrid>
      <w:tr w:rsidR="001E0F48" w:rsidRPr="0068236B" w14:paraId="299450A2" w14:textId="77777777" w:rsidTr="001E0F48">
        <w:tc>
          <w:tcPr>
            <w:tcW w:w="2520" w:type="dxa"/>
            <w:tcBorders>
              <w:top w:val="double" w:sz="4" w:space="0" w:color="auto"/>
              <w:bottom w:val="double" w:sz="4" w:space="0" w:color="auto"/>
              <w:right w:val="double" w:sz="4" w:space="0" w:color="auto"/>
            </w:tcBorders>
            <w:shd w:val="clear" w:color="auto" w:fill="9CC2E5" w:themeFill="accent5" w:themeFillTint="99"/>
            <w:vAlign w:val="center"/>
          </w:tcPr>
          <w:p w14:paraId="50EACA63" w14:textId="77777777" w:rsidR="001E0F48" w:rsidRPr="0068236B" w:rsidRDefault="001E0F48" w:rsidP="001E0F48">
            <w:pPr>
              <w:autoSpaceDE w:val="0"/>
              <w:autoSpaceDN w:val="0"/>
              <w:adjustRightInd w:val="0"/>
              <w:spacing w:before="0" w:after="0" w:line="240" w:lineRule="auto"/>
              <w:rPr>
                <w:rFonts w:eastAsia="Calibri" w:cs="Tahoma"/>
                <w:sz w:val="20"/>
                <w:szCs w:val="20"/>
              </w:rPr>
            </w:pPr>
            <w:r w:rsidRPr="0068236B">
              <w:rPr>
                <w:rFonts w:eastAsia="Calibri" w:cs="Tahoma"/>
                <w:sz w:val="20"/>
                <w:szCs w:val="20"/>
              </w:rPr>
              <w:t>Evidence</w:t>
            </w:r>
          </w:p>
        </w:tc>
        <w:tc>
          <w:tcPr>
            <w:tcW w:w="7119" w:type="dxa"/>
            <w:tcBorders>
              <w:top w:val="double" w:sz="4" w:space="0" w:color="auto"/>
              <w:left w:val="double" w:sz="4" w:space="0" w:color="auto"/>
              <w:bottom w:val="double" w:sz="4" w:space="0" w:color="auto"/>
            </w:tcBorders>
            <w:shd w:val="clear" w:color="auto" w:fill="9CC2E5" w:themeFill="accent5" w:themeFillTint="99"/>
            <w:vAlign w:val="center"/>
          </w:tcPr>
          <w:p w14:paraId="5A632BCD" w14:textId="77777777" w:rsidR="001E0F48" w:rsidRPr="0068236B" w:rsidRDefault="001E0F48" w:rsidP="001E0F48">
            <w:pPr>
              <w:autoSpaceDE w:val="0"/>
              <w:autoSpaceDN w:val="0"/>
              <w:adjustRightInd w:val="0"/>
              <w:spacing w:before="0" w:after="0" w:line="240" w:lineRule="auto"/>
              <w:jc w:val="left"/>
              <w:rPr>
                <w:rFonts w:eastAsia="Calibri" w:cs="Tahoma"/>
                <w:sz w:val="20"/>
                <w:szCs w:val="20"/>
              </w:rPr>
            </w:pPr>
            <w:r w:rsidRPr="0068236B">
              <w:rPr>
                <w:rFonts w:eastAsia="Calibri" w:cs="Tahoma"/>
                <w:sz w:val="20"/>
                <w:szCs w:val="20"/>
              </w:rPr>
              <w:t>Description</w:t>
            </w:r>
          </w:p>
        </w:tc>
      </w:tr>
      <w:tr w:rsidR="001E0F48" w:rsidRPr="0068236B" w14:paraId="3423A6EC" w14:textId="77777777" w:rsidTr="001E0F48">
        <w:tc>
          <w:tcPr>
            <w:tcW w:w="2520" w:type="dxa"/>
            <w:tcBorders>
              <w:top w:val="double" w:sz="4" w:space="0" w:color="auto"/>
            </w:tcBorders>
            <w:vAlign w:val="center"/>
          </w:tcPr>
          <w:p w14:paraId="39E625AD" w14:textId="77777777" w:rsidR="001E0F48" w:rsidRPr="0068236B" w:rsidRDefault="001E0F48" w:rsidP="001E0F48">
            <w:pPr>
              <w:autoSpaceDE w:val="0"/>
              <w:autoSpaceDN w:val="0"/>
              <w:adjustRightInd w:val="0"/>
              <w:spacing w:before="0" w:after="0" w:line="240" w:lineRule="auto"/>
              <w:jc w:val="left"/>
              <w:rPr>
                <w:rFonts w:eastAsia="Calibri" w:cs="Tahoma"/>
                <w:sz w:val="20"/>
                <w:szCs w:val="20"/>
              </w:rPr>
            </w:pPr>
            <w:r w:rsidRPr="0068236B">
              <w:rPr>
                <w:rFonts w:cs="Tahoma"/>
                <w:sz w:val="20"/>
                <w:szCs w:val="20"/>
              </w:rPr>
              <w:t>Predominant bone fra</w:t>
            </w:r>
            <w:r w:rsidRPr="0068236B">
              <w:rPr>
                <w:rFonts w:cs="Tahoma"/>
                <w:sz w:val="20"/>
                <w:szCs w:val="20"/>
              </w:rPr>
              <w:t>c</w:t>
            </w:r>
            <w:r w:rsidRPr="0068236B">
              <w:rPr>
                <w:rFonts w:cs="Tahoma"/>
                <w:sz w:val="20"/>
                <w:szCs w:val="20"/>
              </w:rPr>
              <w:t>tures</w:t>
            </w:r>
          </w:p>
        </w:tc>
        <w:tc>
          <w:tcPr>
            <w:tcW w:w="7119" w:type="dxa"/>
            <w:tcBorders>
              <w:top w:val="double" w:sz="4" w:space="0" w:color="auto"/>
            </w:tcBorders>
            <w:vAlign w:val="center"/>
          </w:tcPr>
          <w:p w14:paraId="4D403AFC" w14:textId="77777777" w:rsidR="001E0F48" w:rsidRPr="0068236B" w:rsidRDefault="001E0F48" w:rsidP="001E0F48">
            <w:pPr>
              <w:autoSpaceDE w:val="0"/>
              <w:autoSpaceDN w:val="0"/>
              <w:adjustRightInd w:val="0"/>
              <w:spacing w:before="0" w:after="0" w:line="240" w:lineRule="auto"/>
              <w:jc w:val="left"/>
              <w:rPr>
                <w:rFonts w:eastAsia="Calibri" w:cs="Tahoma"/>
                <w:sz w:val="20"/>
                <w:szCs w:val="20"/>
              </w:rPr>
            </w:pPr>
            <w:r w:rsidRPr="0068236B">
              <w:rPr>
                <w:rFonts w:cs="Tahoma"/>
                <w:sz w:val="20"/>
                <w:szCs w:val="20"/>
              </w:rPr>
              <w:t>Fractured wings, legs, shoulder bones, vertebra, or skull; torn off limbs</w:t>
            </w:r>
          </w:p>
        </w:tc>
      </w:tr>
      <w:tr w:rsidR="001E0F48" w:rsidRPr="0068236B" w14:paraId="79CE999E" w14:textId="77777777" w:rsidTr="001E0F48">
        <w:tc>
          <w:tcPr>
            <w:tcW w:w="2520" w:type="dxa"/>
            <w:vAlign w:val="center"/>
          </w:tcPr>
          <w:p w14:paraId="56C76940" w14:textId="77777777" w:rsidR="001E0F48" w:rsidRPr="0068236B" w:rsidRDefault="001E0F48" w:rsidP="001E0F48">
            <w:pPr>
              <w:autoSpaceDE w:val="0"/>
              <w:autoSpaceDN w:val="0"/>
              <w:adjustRightInd w:val="0"/>
              <w:spacing w:before="0" w:after="0" w:line="240" w:lineRule="auto"/>
              <w:jc w:val="left"/>
              <w:rPr>
                <w:rFonts w:eastAsia="Calibri" w:cs="Tahoma"/>
                <w:sz w:val="20"/>
                <w:szCs w:val="20"/>
              </w:rPr>
            </w:pPr>
            <w:r w:rsidRPr="0068236B">
              <w:rPr>
                <w:rFonts w:cs="Tahoma"/>
                <w:sz w:val="20"/>
                <w:szCs w:val="20"/>
              </w:rPr>
              <w:t>Damage to plumage</w:t>
            </w:r>
          </w:p>
        </w:tc>
        <w:tc>
          <w:tcPr>
            <w:tcW w:w="7119" w:type="dxa"/>
            <w:vAlign w:val="center"/>
          </w:tcPr>
          <w:p w14:paraId="3B1D9AF6" w14:textId="77777777" w:rsidR="001E0F48" w:rsidRPr="0068236B" w:rsidRDefault="001E0F48" w:rsidP="001E0F48">
            <w:pPr>
              <w:autoSpaceDE w:val="0"/>
              <w:autoSpaceDN w:val="0"/>
              <w:adjustRightInd w:val="0"/>
              <w:spacing w:before="0" w:after="0" w:line="240" w:lineRule="auto"/>
              <w:jc w:val="left"/>
              <w:rPr>
                <w:rFonts w:eastAsia="Calibri" w:cs="Tahoma"/>
                <w:sz w:val="20"/>
                <w:szCs w:val="20"/>
              </w:rPr>
            </w:pPr>
            <w:r w:rsidRPr="0068236B">
              <w:rPr>
                <w:rFonts w:cs="Tahoma"/>
                <w:sz w:val="20"/>
                <w:szCs w:val="20"/>
              </w:rPr>
              <w:t>Mechanical damage, such as torn off or broken feathers</w:t>
            </w:r>
          </w:p>
        </w:tc>
      </w:tr>
      <w:tr w:rsidR="001E0F48" w:rsidRPr="0068236B" w14:paraId="7015C775" w14:textId="77777777" w:rsidTr="001E0F48">
        <w:tc>
          <w:tcPr>
            <w:tcW w:w="2520" w:type="dxa"/>
            <w:vAlign w:val="center"/>
          </w:tcPr>
          <w:p w14:paraId="05E842D4" w14:textId="77777777" w:rsidR="001E0F48" w:rsidRPr="0068236B" w:rsidRDefault="001E0F48" w:rsidP="001E0F48">
            <w:pPr>
              <w:autoSpaceDE w:val="0"/>
              <w:autoSpaceDN w:val="0"/>
              <w:adjustRightInd w:val="0"/>
              <w:spacing w:before="0" w:after="0" w:line="240" w:lineRule="auto"/>
              <w:jc w:val="left"/>
              <w:rPr>
                <w:rFonts w:eastAsia="Calibri" w:cs="Tahoma"/>
                <w:sz w:val="20"/>
                <w:szCs w:val="20"/>
              </w:rPr>
            </w:pPr>
            <w:r w:rsidRPr="0068236B">
              <w:rPr>
                <w:rFonts w:cs="Tahoma"/>
                <w:sz w:val="20"/>
                <w:szCs w:val="20"/>
              </w:rPr>
              <w:t>Skin injuries</w:t>
            </w:r>
          </w:p>
        </w:tc>
        <w:tc>
          <w:tcPr>
            <w:tcW w:w="7119" w:type="dxa"/>
            <w:vAlign w:val="center"/>
          </w:tcPr>
          <w:p w14:paraId="3A587F3B" w14:textId="77777777" w:rsidR="001E0F48" w:rsidRPr="0068236B" w:rsidRDefault="001E0F48" w:rsidP="001E0F48">
            <w:pPr>
              <w:autoSpaceDE w:val="0"/>
              <w:autoSpaceDN w:val="0"/>
              <w:adjustRightInd w:val="0"/>
              <w:spacing w:before="0" w:after="0" w:line="240" w:lineRule="auto"/>
              <w:jc w:val="left"/>
              <w:rPr>
                <w:rFonts w:eastAsia="Calibri" w:cs="Tahoma"/>
                <w:sz w:val="20"/>
                <w:szCs w:val="20"/>
              </w:rPr>
            </w:pPr>
            <w:r w:rsidRPr="0068236B">
              <w:rPr>
                <w:rFonts w:cs="Tahoma"/>
                <w:sz w:val="20"/>
                <w:szCs w:val="20"/>
              </w:rPr>
              <w:t>Skin torn open or off, and open muscle, sinew, and bone tissue visible; power line may leave imprint in skin where the bird struck the line; necropsy may reveal internal bleeding and bruising</w:t>
            </w:r>
          </w:p>
        </w:tc>
      </w:tr>
      <w:tr w:rsidR="001E0F48" w:rsidRPr="0068236B" w14:paraId="1E2C5E2B" w14:textId="77777777" w:rsidTr="001E0F48">
        <w:tc>
          <w:tcPr>
            <w:tcW w:w="2520" w:type="dxa"/>
            <w:vAlign w:val="center"/>
          </w:tcPr>
          <w:p w14:paraId="0E91C938" w14:textId="77777777" w:rsidR="001E0F48" w:rsidRPr="0068236B" w:rsidRDefault="001E0F48" w:rsidP="001E0F48">
            <w:pPr>
              <w:autoSpaceDE w:val="0"/>
              <w:autoSpaceDN w:val="0"/>
              <w:adjustRightInd w:val="0"/>
              <w:spacing w:before="0" w:after="0" w:line="240" w:lineRule="auto"/>
              <w:jc w:val="left"/>
              <w:rPr>
                <w:rFonts w:eastAsia="Calibri" w:cs="Tahoma"/>
                <w:sz w:val="20"/>
                <w:szCs w:val="20"/>
              </w:rPr>
            </w:pPr>
            <w:r w:rsidRPr="0068236B">
              <w:rPr>
                <w:rFonts w:cs="Tahoma"/>
                <w:sz w:val="20"/>
                <w:szCs w:val="20"/>
              </w:rPr>
              <w:t>Secondary damage to extremities</w:t>
            </w:r>
          </w:p>
        </w:tc>
        <w:tc>
          <w:tcPr>
            <w:tcW w:w="7119" w:type="dxa"/>
            <w:vAlign w:val="center"/>
          </w:tcPr>
          <w:p w14:paraId="09E12A9C" w14:textId="77777777" w:rsidR="001E0F48" w:rsidRPr="0068236B" w:rsidRDefault="001E0F48" w:rsidP="001E0F48">
            <w:pPr>
              <w:autoSpaceDE w:val="0"/>
              <w:autoSpaceDN w:val="0"/>
              <w:adjustRightInd w:val="0"/>
              <w:spacing w:before="0" w:after="0" w:line="240" w:lineRule="auto"/>
              <w:jc w:val="left"/>
              <w:rPr>
                <w:rFonts w:eastAsia="Calibri" w:cs="Tahoma"/>
                <w:sz w:val="20"/>
                <w:szCs w:val="20"/>
              </w:rPr>
            </w:pPr>
            <w:r w:rsidRPr="0068236B">
              <w:rPr>
                <w:rFonts w:cs="Tahoma"/>
                <w:sz w:val="20"/>
                <w:szCs w:val="20"/>
              </w:rPr>
              <w:t>Limited areas of infection at open wounds, bones, sinews, and muscles</w:t>
            </w:r>
          </w:p>
        </w:tc>
      </w:tr>
      <w:tr w:rsidR="001E0F48" w:rsidRPr="0068236B" w14:paraId="3A90200A" w14:textId="77777777" w:rsidTr="001E0F48">
        <w:tc>
          <w:tcPr>
            <w:tcW w:w="2520" w:type="dxa"/>
            <w:vAlign w:val="center"/>
          </w:tcPr>
          <w:p w14:paraId="272553A4" w14:textId="77777777" w:rsidR="001E0F48" w:rsidRPr="0068236B" w:rsidRDefault="001E0F48" w:rsidP="001E0F48">
            <w:pPr>
              <w:autoSpaceDE w:val="0"/>
              <w:autoSpaceDN w:val="0"/>
              <w:adjustRightInd w:val="0"/>
              <w:spacing w:before="0" w:after="0" w:line="240" w:lineRule="auto"/>
              <w:jc w:val="left"/>
              <w:rPr>
                <w:rFonts w:eastAsia="Calibri" w:cs="Tahoma"/>
                <w:sz w:val="20"/>
                <w:szCs w:val="20"/>
              </w:rPr>
            </w:pPr>
            <w:r w:rsidRPr="0068236B">
              <w:rPr>
                <w:rFonts w:cs="Tahoma"/>
                <w:sz w:val="20"/>
                <w:szCs w:val="20"/>
              </w:rPr>
              <w:t>General condition of i</w:t>
            </w:r>
            <w:r w:rsidRPr="0068236B">
              <w:rPr>
                <w:rFonts w:cs="Tahoma"/>
                <w:sz w:val="20"/>
                <w:szCs w:val="20"/>
              </w:rPr>
              <w:t>n</w:t>
            </w:r>
            <w:r w:rsidRPr="0068236B">
              <w:rPr>
                <w:rFonts w:cs="Tahoma"/>
                <w:sz w:val="20"/>
                <w:szCs w:val="20"/>
              </w:rPr>
              <w:t>jured birds</w:t>
            </w:r>
          </w:p>
        </w:tc>
        <w:tc>
          <w:tcPr>
            <w:tcW w:w="7119" w:type="dxa"/>
            <w:vAlign w:val="center"/>
          </w:tcPr>
          <w:p w14:paraId="5E068102" w14:textId="77777777" w:rsidR="001E0F48" w:rsidRPr="0068236B" w:rsidRDefault="001E0F48" w:rsidP="001E0F48">
            <w:pPr>
              <w:autoSpaceDE w:val="0"/>
              <w:autoSpaceDN w:val="0"/>
              <w:adjustRightInd w:val="0"/>
              <w:spacing w:before="0" w:after="0" w:line="240" w:lineRule="auto"/>
              <w:jc w:val="left"/>
              <w:rPr>
                <w:rFonts w:eastAsia="Calibri" w:cs="Tahoma"/>
                <w:sz w:val="20"/>
                <w:szCs w:val="20"/>
              </w:rPr>
            </w:pPr>
            <w:r w:rsidRPr="0068236B">
              <w:rPr>
                <w:rFonts w:cs="Tahoma"/>
                <w:sz w:val="20"/>
                <w:szCs w:val="20"/>
              </w:rPr>
              <w:t>State of shock; handicapped by injuries and secondary damage</w:t>
            </w:r>
          </w:p>
        </w:tc>
      </w:tr>
    </w:tbl>
    <w:p w14:paraId="490B089A" w14:textId="687082AE" w:rsidR="001E0F48" w:rsidRPr="0068236B" w:rsidRDefault="001E0F48" w:rsidP="001E0F48">
      <w:pPr>
        <w:pStyle w:val="Caption"/>
        <w:spacing w:line="240" w:lineRule="auto"/>
        <w:jc w:val="left"/>
        <w:rPr>
          <w:rFonts w:eastAsia="Calibri"/>
          <w:b w:val="0"/>
        </w:rPr>
      </w:pPr>
      <w:bookmarkStart w:id="503" w:name="_Toc113018234"/>
      <w:r w:rsidRPr="0068236B">
        <w:rPr>
          <w:b w:val="0"/>
        </w:rPr>
        <w:t xml:space="preserve">Table </w:t>
      </w:r>
      <w:r w:rsidRPr="0068236B">
        <w:rPr>
          <w:b w:val="0"/>
          <w:i/>
        </w:rPr>
        <w:fldChar w:fldCharType="begin"/>
      </w:r>
      <w:r w:rsidRPr="0068236B">
        <w:rPr>
          <w:b w:val="0"/>
        </w:rPr>
        <w:instrText xml:space="preserve"> STYLEREF 1 \s </w:instrText>
      </w:r>
      <w:r w:rsidRPr="0068236B">
        <w:rPr>
          <w:b w:val="0"/>
          <w:i/>
        </w:rPr>
        <w:fldChar w:fldCharType="separate"/>
      </w:r>
      <w:r w:rsidR="00FD57E6">
        <w:rPr>
          <w:b w:val="0"/>
          <w:noProof/>
        </w:rPr>
        <w:t>8</w:t>
      </w:r>
      <w:r w:rsidRPr="0068236B">
        <w:rPr>
          <w:b w:val="0"/>
          <w:i/>
        </w:rPr>
        <w:fldChar w:fldCharType="end"/>
      </w:r>
      <w:r w:rsidRPr="0068236B">
        <w:rPr>
          <w:b w:val="0"/>
          <w:i/>
        </w:rPr>
        <w:t>.</w:t>
      </w:r>
      <w:r w:rsidRPr="0068236B">
        <w:rPr>
          <w:b w:val="0"/>
          <w:i/>
        </w:rPr>
        <w:fldChar w:fldCharType="begin"/>
      </w:r>
      <w:r w:rsidRPr="0068236B">
        <w:rPr>
          <w:b w:val="0"/>
        </w:rPr>
        <w:instrText xml:space="preserve"> SEQ Table \* ARABIC \s 1 </w:instrText>
      </w:r>
      <w:r w:rsidRPr="0068236B">
        <w:rPr>
          <w:b w:val="0"/>
          <w:i/>
        </w:rPr>
        <w:fldChar w:fldCharType="separate"/>
      </w:r>
      <w:r w:rsidR="00FD57E6">
        <w:rPr>
          <w:b w:val="0"/>
          <w:noProof/>
        </w:rPr>
        <w:t>38</w:t>
      </w:r>
      <w:r w:rsidRPr="0068236B">
        <w:rPr>
          <w:b w:val="0"/>
          <w:i/>
        </w:rPr>
        <w:fldChar w:fldCharType="end"/>
      </w:r>
      <w:r w:rsidRPr="0068236B">
        <w:rPr>
          <w:rFonts w:eastAsia="Calibri"/>
          <w:b w:val="0"/>
        </w:rPr>
        <w:t xml:space="preserve">: </w:t>
      </w:r>
      <w:r w:rsidRPr="0068236B">
        <w:rPr>
          <w:rFonts w:cs="Tahoma"/>
          <w:b w:val="0"/>
        </w:rPr>
        <w:t>Typical evidence of bird injuries or mortalities from power line collisions</w:t>
      </w:r>
      <w:bookmarkEnd w:id="503"/>
    </w:p>
    <w:p w14:paraId="4629F234" w14:textId="77777777" w:rsidR="001E0F48" w:rsidRPr="00F11C1C" w:rsidRDefault="001E0F48" w:rsidP="00F11C1C">
      <w:pPr>
        <w:autoSpaceDE w:val="0"/>
        <w:autoSpaceDN w:val="0"/>
        <w:adjustRightInd w:val="0"/>
        <w:spacing w:before="60" w:after="60"/>
        <w:rPr>
          <w:rFonts w:cs="Tahoma"/>
          <w:sz w:val="16"/>
          <w:szCs w:val="16"/>
        </w:rPr>
      </w:pPr>
      <w:r w:rsidRPr="00F11C1C">
        <w:rPr>
          <w:rFonts w:eastAsia="Calibri" w:cs="Tahoma"/>
          <w:sz w:val="16"/>
          <w:szCs w:val="16"/>
        </w:rPr>
        <w:t xml:space="preserve">Note: </w:t>
      </w:r>
      <w:r w:rsidRPr="00F11C1C">
        <w:rPr>
          <w:rFonts w:cs="Tahoma"/>
          <w:sz w:val="16"/>
          <w:szCs w:val="16"/>
        </w:rPr>
        <w:t>Adapted from BirdLife International (2003)</w:t>
      </w:r>
    </w:p>
    <w:p w14:paraId="523D952C" w14:textId="77777777" w:rsidR="001E0F48" w:rsidRPr="00F11C1C" w:rsidRDefault="001E0F48" w:rsidP="001E0F48">
      <w:pPr>
        <w:autoSpaceDE w:val="0"/>
        <w:autoSpaceDN w:val="0"/>
        <w:adjustRightInd w:val="0"/>
        <w:spacing w:before="60" w:after="240"/>
        <w:rPr>
          <w:rFonts w:cs="Tahoma"/>
          <w:sz w:val="16"/>
          <w:szCs w:val="16"/>
        </w:rPr>
      </w:pPr>
      <w:r w:rsidRPr="00F11C1C">
        <w:rPr>
          <w:rFonts w:eastAsia="Calibri" w:cs="Tahoma"/>
          <w:sz w:val="16"/>
          <w:szCs w:val="16"/>
        </w:rPr>
        <w:t xml:space="preserve">Source: </w:t>
      </w:r>
      <w:r w:rsidRPr="00F11C1C">
        <w:rPr>
          <w:rFonts w:cs="Tahoma"/>
          <w:bCs/>
          <w:sz w:val="16"/>
          <w:szCs w:val="16"/>
        </w:rPr>
        <w:t xml:space="preserve">Reducing Avian Collisions with Power Lines: </w:t>
      </w:r>
      <w:r w:rsidRPr="00F11C1C">
        <w:rPr>
          <w:rFonts w:cs="Tahoma"/>
          <w:iCs/>
          <w:sz w:val="16"/>
          <w:szCs w:val="16"/>
        </w:rPr>
        <w:t xml:space="preserve">The State of the Art in 2012; </w:t>
      </w:r>
      <w:r w:rsidRPr="00F11C1C">
        <w:rPr>
          <w:rFonts w:cs="Tahoma"/>
          <w:sz w:val="16"/>
          <w:szCs w:val="16"/>
        </w:rPr>
        <w:t>Avian Power Line Interaction Committee (APLIC), 2012</w:t>
      </w:r>
    </w:p>
    <w:p w14:paraId="1F90A27C" w14:textId="77777777" w:rsidR="001E0F48" w:rsidRPr="0068236B" w:rsidRDefault="001E0F48" w:rsidP="001E0F48">
      <w:pPr>
        <w:autoSpaceDE w:val="0"/>
        <w:autoSpaceDN w:val="0"/>
        <w:adjustRightInd w:val="0"/>
        <w:rPr>
          <w:rFonts w:cs="Tahoma"/>
          <w:sz w:val="20"/>
          <w:szCs w:val="20"/>
        </w:rPr>
      </w:pPr>
      <w:r w:rsidRPr="0068236B">
        <w:rPr>
          <w:rFonts w:cs="Tahoma"/>
          <w:sz w:val="20"/>
          <w:szCs w:val="20"/>
        </w:rPr>
        <w:t xml:space="preserve">The risk of collisions is more evident in the case of Galliformes: </w:t>
      </w:r>
      <w:r w:rsidRPr="0068236B">
        <w:rPr>
          <w:rFonts w:cs="Tahoma"/>
          <w:i/>
          <w:iCs/>
          <w:sz w:val="20"/>
          <w:szCs w:val="20"/>
        </w:rPr>
        <w:t xml:space="preserve">Bonasa bonasia </w:t>
      </w:r>
      <w:r w:rsidRPr="0068236B">
        <w:rPr>
          <w:rFonts w:cs="Tahoma"/>
          <w:iCs/>
          <w:sz w:val="20"/>
          <w:szCs w:val="20"/>
        </w:rPr>
        <w:t>and</w:t>
      </w:r>
      <w:r w:rsidRPr="0068236B">
        <w:rPr>
          <w:rFonts w:cs="Tahoma"/>
          <w:i/>
          <w:iCs/>
          <w:sz w:val="20"/>
          <w:szCs w:val="20"/>
        </w:rPr>
        <w:t xml:space="preserve"> Coturnix coturnix</w:t>
      </w:r>
      <w:r w:rsidRPr="0068236B">
        <w:rPr>
          <w:rFonts w:cs="Tahoma"/>
          <w:sz w:val="20"/>
          <w:szCs w:val="20"/>
        </w:rPr>
        <w:t xml:space="preserve">. All of the other birds (including falcons, buzzards and other small to medium sized raptors) present in the area are considered to be of severity I or II i.e. casualties reported, but no apparent threat to the bird population or regionally or locally high casualties, but with no significant impact on the overall species population. The collision risk is assessed as minor for the large bird species (the study area is not part of migration route and birds of prey are not common in the study area; as already noted - Griffon vulture and Golden eagle are not present in the study area). </w:t>
      </w:r>
    </w:p>
    <w:p w14:paraId="0AB63F4C" w14:textId="659A3C03" w:rsidR="001E0F48" w:rsidRPr="00E44ED8" w:rsidRDefault="001E0F48" w:rsidP="001E0F48">
      <w:pPr>
        <w:autoSpaceDE w:val="0"/>
        <w:autoSpaceDN w:val="0"/>
        <w:adjustRightInd w:val="0"/>
        <w:rPr>
          <w:rFonts w:cs="Tahoma"/>
          <w:sz w:val="20"/>
          <w:szCs w:val="20"/>
        </w:rPr>
      </w:pPr>
      <w:r w:rsidRPr="0068236B">
        <w:rPr>
          <w:rFonts w:cs="Tahoma"/>
          <w:sz w:val="20"/>
          <w:szCs w:val="20"/>
        </w:rPr>
        <w:t>There are two PBF bird species in the area that might be affected by the operation of an operational tran</w:t>
      </w:r>
      <w:r w:rsidRPr="0068236B">
        <w:rPr>
          <w:rFonts w:cs="Tahoma"/>
          <w:sz w:val="20"/>
          <w:szCs w:val="20"/>
        </w:rPr>
        <w:t>s</w:t>
      </w:r>
      <w:r w:rsidRPr="0068236B">
        <w:rPr>
          <w:rFonts w:cs="Tahoma"/>
          <w:sz w:val="20"/>
          <w:szCs w:val="20"/>
        </w:rPr>
        <w:t xml:space="preserve">mission line: </w:t>
      </w:r>
      <w:r w:rsidRPr="00F11C1C">
        <w:rPr>
          <w:rFonts w:cs="Tahoma"/>
          <w:i/>
          <w:sz w:val="20"/>
          <w:szCs w:val="20"/>
        </w:rPr>
        <w:t>Kingfisher Alcedo atthis</w:t>
      </w:r>
      <w:r w:rsidRPr="0068236B">
        <w:rPr>
          <w:rFonts w:cs="Tahoma"/>
          <w:sz w:val="20"/>
          <w:szCs w:val="20"/>
        </w:rPr>
        <w:t xml:space="preserve"> and Turtle dove </w:t>
      </w:r>
      <w:r w:rsidRPr="00F11C1C">
        <w:rPr>
          <w:rFonts w:cs="Tahoma"/>
          <w:i/>
          <w:sz w:val="20"/>
          <w:szCs w:val="20"/>
        </w:rPr>
        <w:t>Streptopelia turtur</w:t>
      </w:r>
      <w:r w:rsidRPr="00E44ED8">
        <w:rPr>
          <w:rFonts w:cs="Tahoma"/>
          <w:sz w:val="20"/>
          <w:szCs w:val="20"/>
        </w:rPr>
        <w:t>. Kingfishers (Alcedinidae) have r</w:t>
      </w:r>
      <w:r w:rsidRPr="00E44ED8">
        <w:rPr>
          <w:rFonts w:cs="Tahoma"/>
          <w:sz w:val="20"/>
          <w:szCs w:val="20"/>
        </w:rPr>
        <w:t>e</w:t>
      </w:r>
      <w:r w:rsidRPr="00E44ED8">
        <w:rPr>
          <w:rFonts w:cs="Tahoma"/>
          <w:sz w:val="20"/>
          <w:szCs w:val="20"/>
        </w:rPr>
        <w:t>ported collision casualties as I-II - no apparent threat to the bird population to regionally or locally high ca</w:t>
      </w:r>
      <w:r w:rsidRPr="00E44ED8">
        <w:rPr>
          <w:rFonts w:cs="Tahoma"/>
          <w:sz w:val="20"/>
          <w:szCs w:val="20"/>
        </w:rPr>
        <w:t>s</w:t>
      </w:r>
      <w:r w:rsidRPr="00E44ED8">
        <w:rPr>
          <w:rFonts w:cs="Tahoma"/>
          <w:sz w:val="20"/>
          <w:szCs w:val="20"/>
        </w:rPr>
        <w:t>ualties, but with no significant impact on the overall species population. Reported casualties for doves (Columbidae) is II - regionally or locally high casualties, but with no significant impact on the overall species population. Without any reliable data from long-term field m</w:t>
      </w:r>
      <w:r w:rsidR="00F11C1C">
        <w:rPr>
          <w:rFonts w:cs="Tahoma"/>
          <w:sz w:val="20"/>
          <w:szCs w:val="20"/>
        </w:rPr>
        <w:t>onitoring in the Project area, it</w:t>
      </w:r>
      <w:r w:rsidRPr="00E44ED8">
        <w:rPr>
          <w:rFonts w:cs="Tahoma"/>
          <w:sz w:val="20"/>
          <w:szCs w:val="20"/>
        </w:rPr>
        <w:t xml:space="preserve"> ca</w:t>
      </w:r>
      <w:r w:rsidR="00850B67" w:rsidRPr="00E44ED8">
        <w:rPr>
          <w:rFonts w:cs="Tahoma"/>
          <w:sz w:val="20"/>
          <w:szCs w:val="20"/>
        </w:rPr>
        <w:t>n</w:t>
      </w:r>
      <w:r w:rsidRPr="00E44ED8">
        <w:rPr>
          <w:rFonts w:cs="Tahoma"/>
          <w:sz w:val="20"/>
          <w:szCs w:val="20"/>
        </w:rPr>
        <w:t xml:space="preserve"> be only a</w:t>
      </w:r>
      <w:r w:rsidRPr="00E44ED8">
        <w:rPr>
          <w:rFonts w:cs="Tahoma"/>
          <w:sz w:val="20"/>
          <w:szCs w:val="20"/>
        </w:rPr>
        <w:t>s</w:t>
      </w:r>
      <w:r w:rsidRPr="00E44ED8">
        <w:rPr>
          <w:rFonts w:cs="Tahoma"/>
          <w:sz w:val="20"/>
          <w:szCs w:val="20"/>
        </w:rPr>
        <w:t xml:space="preserve">sumed that the open space (no forests and woodlands) as well as the flat terrain will result in much lower risk of casualties. </w:t>
      </w:r>
      <w:r w:rsidR="00850B67" w:rsidRPr="00E44ED8">
        <w:rPr>
          <w:rFonts w:cs="Tahoma"/>
          <w:sz w:val="20"/>
          <w:szCs w:val="20"/>
          <w:shd w:val="clear" w:color="auto" w:fill="FFFFFF"/>
        </w:rPr>
        <w:t>Additional positive factor is the very high number of ‘bright days’ (the highest in Maced</w:t>
      </w:r>
      <w:r w:rsidR="00850B67" w:rsidRPr="00E44ED8">
        <w:rPr>
          <w:rFonts w:cs="Tahoma"/>
          <w:sz w:val="20"/>
          <w:szCs w:val="20"/>
          <w:shd w:val="clear" w:color="auto" w:fill="FFFFFF"/>
        </w:rPr>
        <w:t>o</w:t>
      </w:r>
      <w:r w:rsidR="00850B67" w:rsidRPr="00E44ED8">
        <w:rPr>
          <w:rFonts w:cs="Tahoma"/>
          <w:sz w:val="20"/>
          <w:szCs w:val="20"/>
          <w:shd w:val="clear" w:color="auto" w:fill="FFFFFF"/>
        </w:rPr>
        <w:t>nia) i.e. very low number of fog days in the Project area which certainly decreaes the risk of collisions due to the good visibility (one of the crucial factors for collisions).</w:t>
      </w:r>
    </w:p>
    <w:p w14:paraId="79968903" w14:textId="1C4412D1" w:rsidR="00AA7BD0" w:rsidRPr="0068236B" w:rsidRDefault="00AA7BD0" w:rsidP="00AA7BD0">
      <w:pPr>
        <w:pStyle w:val="ListBullet2"/>
        <w:rPr>
          <w:sz w:val="20"/>
          <w:szCs w:val="20"/>
        </w:rPr>
      </w:pPr>
      <w:r w:rsidRPr="0068236B">
        <w:rPr>
          <w:sz w:val="20"/>
          <w:szCs w:val="20"/>
        </w:rPr>
        <w:t xml:space="preserve">Electrocution </w:t>
      </w:r>
    </w:p>
    <w:p w14:paraId="604731E1" w14:textId="3DE6B52A" w:rsidR="00A95EF5" w:rsidRPr="0068236B" w:rsidRDefault="00AA7BD0" w:rsidP="00037133">
      <w:pPr>
        <w:pStyle w:val="ListBullet2"/>
        <w:numPr>
          <w:ilvl w:val="0"/>
          <w:numId w:val="0"/>
        </w:numPr>
        <w:jc w:val="both"/>
        <w:rPr>
          <w:rFonts w:cs="Arial"/>
          <w:sz w:val="20"/>
          <w:szCs w:val="20"/>
        </w:rPr>
      </w:pPr>
      <w:r w:rsidRPr="0068236B">
        <w:rPr>
          <w:rFonts w:cs="Tahoma"/>
          <w:sz w:val="20"/>
          <w:szCs w:val="20"/>
        </w:rPr>
        <w:t>Birds that perch or nest on towers of an energised transmission line can be electrocuted by causing a short circuit, either by touching two live wires, or a live and an earthed component.</w:t>
      </w:r>
      <w:r w:rsidRPr="0068236B">
        <w:rPr>
          <w:rFonts w:cs="Arial"/>
          <w:sz w:val="20"/>
          <w:szCs w:val="20"/>
        </w:rPr>
        <w:t xml:space="preserve"> This usually happens to the large bird species (</w:t>
      </w:r>
      <w:r w:rsidRPr="0068236B">
        <w:rPr>
          <w:sz w:val="20"/>
          <w:szCs w:val="20"/>
        </w:rPr>
        <w:t>specifically large raptors and other large migratory species)</w:t>
      </w:r>
      <w:r w:rsidR="00037133" w:rsidRPr="0068236B">
        <w:rPr>
          <w:sz w:val="20"/>
          <w:szCs w:val="20"/>
        </w:rPr>
        <w:t xml:space="preserve"> (Figure below)</w:t>
      </w:r>
      <w:r w:rsidRPr="0068236B">
        <w:rPr>
          <w:rFonts w:cs="Arial"/>
          <w:sz w:val="20"/>
          <w:szCs w:val="20"/>
        </w:rPr>
        <w:t>.</w:t>
      </w:r>
    </w:p>
    <w:p w14:paraId="0063253F" w14:textId="77777777" w:rsidR="00037133" w:rsidRPr="0068236B" w:rsidRDefault="00037133" w:rsidP="001E0F48">
      <w:pPr>
        <w:pStyle w:val="ListBullet2"/>
        <w:numPr>
          <w:ilvl w:val="0"/>
          <w:numId w:val="0"/>
        </w:numPr>
        <w:rPr>
          <w:rFonts w:cs="Arial"/>
          <w:sz w:val="20"/>
          <w:szCs w:val="20"/>
        </w:rPr>
      </w:pPr>
    </w:p>
    <w:p w14:paraId="55ACCDB5" w14:textId="0A7EB5C3" w:rsidR="00037133" w:rsidRPr="0068236B" w:rsidRDefault="00037133" w:rsidP="001E0F48">
      <w:pPr>
        <w:pStyle w:val="ListBullet2"/>
        <w:numPr>
          <w:ilvl w:val="0"/>
          <w:numId w:val="0"/>
        </w:numPr>
        <w:rPr>
          <w:rFonts w:cs="Arial"/>
          <w:sz w:val="20"/>
          <w:szCs w:val="20"/>
        </w:rPr>
      </w:pPr>
      <w:r w:rsidRPr="0068236B">
        <w:rPr>
          <w:noProof/>
          <w:lang w:val="mk-MK" w:eastAsia="mk-MK"/>
        </w:rPr>
        <w:drawing>
          <wp:inline distT="0" distB="0" distL="0" distR="0" wp14:anchorId="3A0F9D5B" wp14:editId="041489A6">
            <wp:extent cx="3600000" cy="2325397"/>
            <wp:effectExtent l="19050" t="0" r="450" b="0"/>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600000" cy="2325397"/>
                    </a:xfrm>
                    <a:prstGeom prst="rect">
                      <a:avLst/>
                    </a:prstGeom>
                    <a:noFill/>
                    <a:ln w="9525">
                      <a:noFill/>
                      <a:miter lim="800000"/>
                      <a:headEnd/>
                      <a:tailEnd/>
                    </a:ln>
                  </pic:spPr>
                </pic:pic>
              </a:graphicData>
            </a:graphic>
          </wp:inline>
        </w:drawing>
      </w:r>
    </w:p>
    <w:p w14:paraId="3EDC91F5" w14:textId="30E8EF5D" w:rsidR="00037133" w:rsidRPr="0068236B" w:rsidRDefault="00037133" w:rsidP="00037133">
      <w:pPr>
        <w:spacing w:after="60"/>
        <w:jc w:val="left"/>
        <w:rPr>
          <w:sz w:val="18"/>
          <w:szCs w:val="18"/>
        </w:rPr>
      </w:pPr>
      <w:bookmarkStart w:id="504" w:name="_Toc112928894"/>
      <w:r w:rsidRPr="0068236B">
        <w:rPr>
          <w:sz w:val="18"/>
          <w:szCs w:val="18"/>
        </w:rPr>
        <w:t xml:space="preserve">Figure </w:t>
      </w:r>
      <w:r w:rsidRPr="0068236B">
        <w:rPr>
          <w:sz w:val="18"/>
          <w:szCs w:val="18"/>
        </w:rPr>
        <w:fldChar w:fldCharType="begin"/>
      </w:r>
      <w:r w:rsidRPr="0068236B">
        <w:rPr>
          <w:sz w:val="18"/>
          <w:szCs w:val="18"/>
        </w:rPr>
        <w:instrText xml:space="preserve"> STYLEREF 1 \s </w:instrText>
      </w:r>
      <w:r w:rsidRPr="0068236B">
        <w:rPr>
          <w:sz w:val="18"/>
          <w:szCs w:val="18"/>
        </w:rPr>
        <w:fldChar w:fldCharType="separate"/>
      </w:r>
      <w:r w:rsidR="00FD57E6">
        <w:rPr>
          <w:noProof/>
          <w:sz w:val="18"/>
          <w:szCs w:val="18"/>
        </w:rPr>
        <w:t>8</w:t>
      </w:r>
      <w:r w:rsidRPr="0068236B">
        <w:rPr>
          <w:sz w:val="18"/>
          <w:szCs w:val="18"/>
        </w:rPr>
        <w:fldChar w:fldCharType="end"/>
      </w:r>
      <w:r w:rsidRPr="0068236B">
        <w:rPr>
          <w:sz w:val="18"/>
          <w:szCs w:val="18"/>
        </w:rPr>
        <w:t>.</w:t>
      </w:r>
      <w:r w:rsidRPr="0068236B">
        <w:rPr>
          <w:sz w:val="18"/>
          <w:szCs w:val="18"/>
        </w:rPr>
        <w:fldChar w:fldCharType="begin"/>
      </w:r>
      <w:r w:rsidRPr="0068236B">
        <w:rPr>
          <w:sz w:val="18"/>
          <w:szCs w:val="18"/>
        </w:rPr>
        <w:instrText xml:space="preserve"> SEQ Figure \* ARABIC \s 1 </w:instrText>
      </w:r>
      <w:r w:rsidRPr="0068236B">
        <w:rPr>
          <w:sz w:val="18"/>
          <w:szCs w:val="18"/>
        </w:rPr>
        <w:fldChar w:fldCharType="separate"/>
      </w:r>
      <w:r w:rsidR="00FD57E6">
        <w:rPr>
          <w:noProof/>
          <w:sz w:val="18"/>
          <w:szCs w:val="18"/>
        </w:rPr>
        <w:t>2</w:t>
      </w:r>
      <w:r w:rsidRPr="0068236B">
        <w:rPr>
          <w:sz w:val="18"/>
          <w:szCs w:val="18"/>
        </w:rPr>
        <w:fldChar w:fldCharType="end"/>
      </w:r>
      <w:r w:rsidRPr="0068236B">
        <w:rPr>
          <w:sz w:val="18"/>
          <w:szCs w:val="18"/>
        </w:rPr>
        <w:t>:</w:t>
      </w:r>
      <w:r w:rsidRPr="0068236B">
        <w:rPr>
          <w:rFonts w:cs="Tahoma"/>
          <w:sz w:val="18"/>
          <w:szCs w:val="18"/>
        </w:rPr>
        <w:t xml:space="preserve"> </w:t>
      </w:r>
      <w:r w:rsidRPr="0068236B">
        <w:rPr>
          <w:sz w:val="18"/>
          <w:szCs w:val="18"/>
        </w:rPr>
        <w:t>Typical reasons of electrocution of birds on operational transmission line</w:t>
      </w:r>
      <w:bookmarkEnd w:id="504"/>
    </w:p>
    <w:p w14:paraId="37288A39" w14:textId="77777777" w:rsidR="00037133" w:rsidRPr="0068236B" w:rsidRDefault="00037133" w:rsidP="00037133">
      <w:pPr>
        <w:spacing w:before="60" w:after="240"/>
        <w:rPr>
          <w:sz w:val="18"/>
          <w:szCs w:val="18"/>
        </w:rPr>
      </w:pPr>
      <w:r w:rsidRPr="0068236B">
        <w:rPr>
          <w:sz w:val="18"/>
          <w:szCs w:val="18"/>
        </w:rPr>
        <w:t>Source: Protecting birds from power lines focusing on countries of Danube/Carpathian region</w:t>
      </w:r>
    </w:p>
    <w:p w14:paraId="03BA6DC6" w14:textId="2651695E" w:rsidR="00AA7BD0" w:rsidRPr="0068236B" w:rsidRDefault="00AA7BD0" w:rsidP="00037133">
      <w:pPr>
        <w:pStyle w:val="ListBullet2"/>
        <w:numPr>
          <w:ilvl w:val="0"/>
          <w:numId w:val="0"/>
        </w:numPr>
        <w:contextualSpacing w:val="0"/>
        <w:jc w:val="both"/>
        <w:rPr>
          <w:sz w:val="20"/>
          <w:szCs w:val="20"/>
        </w:rPr>
      </w:pPr>
      <w:r w:rsidRPr="0068236B">
        <w:rPr>
          <w:rFonts w:cs="Arial"/>
          <w:sz w:val="20"/>
          <w:szCs w:val="20"/>
        </w:rPr>
        <w:t>The bird mortality due to power line electrocution is directly related to the spacing between OHL elements that can comprise a phase-to-phase or phase-to-ground contact (e.g. via earthwires or towers).</w:t>
      </w:r>
      <w:r w:rsidRPr="0068236B">
        <w:rPr>
          <w:rFonts w:cs="Tahoma"/>
          <w:sz w:val="20"/>
          <w:szCs w:val="20"/>
        </w:rPr>
        <w:t xml:space="preserve"> Therefore, it is essentially a design issue and can be solved by making either of these situations unlikely on bird-friendly towers. There are several reasons for electrocution, mainly: inappropriate locations of the transmission line conductors and isolators, contact of the bird faeces in semi-solid state with the phase conductor, which is the cause for electrocution and death of birds (typical for rainy days) and contact of two phases or two co</w:t>
      </w:r>
      <w:r w:rsidRPr="0068236B">
        <w:rPr>
          <w:rFonts w:cs="Tahoma"/>
          <w:sz w:val="20"/>
          <w:szCs w:val="20"/>
        </w:rPr>
        <w:t>n</w:t>
      </w:r>
      <w:r w:rsidRPr="0068236B">
        <w:rPr>
          <w:rFonts w:cs="Tahoma"/>
          <w:sz w:val="20"/>
          <w:szCs w:val="20"/>
        </w:rPr>
        <w:t>ductors with different voltage, with larger birds. Given the distance between towers and the size of the gap between conductors and the length of the insulators, electrocutions are only frequent on lines with voltages below 45 kV</w:t>
      </w:r>
      <w:r w:rsidRPr="0068236B">
        <w:rPr>
          <w:rStyle w:val="FootnoteReference"/>
          <w:rFonts w:cs="Tahoma"/>
          <w:sz w:val="20"/>
          <w:szCs w:val="20"/>
        </w:rPr>
        <w:footnoteReference w:id="129"/>
      </w:r>
      <w:r w:rsidRPr="0068236B">
        <w:rPr>
          <w:rFonts w:cs="Tahoma"/>
          <w:sz w:val="20"/>
          <w:szCs w:val="20"/>
        </w:rPr>
        <w:t>.</w:t>
      </w:r>
    </w:p>
    <w:p w14:paraId="16ADD296" w14:textId="52A942D6" w:rsidR="00AA7BD0" w:rsidRPr="0068236B" w:rsidRDefault="00AA7BD0" w:rsidP="00037133">
      <w:pPr>
        <w:pStyle w:val="ListBullet2"/>
        <w:numPr>
          <w:ilvl w:val="0"/>
          <w:numId w:val="0"/>
        </w:numPr>
        <w:contextualSpacing w:val="0"/>
        <w:jc w:val="both"/>
        <w:rPr>
          <w:rFonts w:cs="Tahoma"/>
          <w:sz w:val="20"/>
          <w:szCs w:val="20"/>
        </w:rPr>
      </w:pPr>
      <w:r w:rsidRPr="0068236B">
        <w:rPr>
          <w:rFonts w:cs="Tahoma"/>
          <w:sz w:val="20"/>
          <w:szCs w:val="20"/>
        </w:rPr>
        <w:t xml:space="preserve">It is not expected that electrocution will happen during operation of the 110 kV and 400 kV transmission lines </w:t>
      </w:r>
      <w:r w:rsidR="00A95EF5" w:rsidRPr="0068236B">
        <w:rPr>
          <w:rFonts w:cs="Tahoma"/>
          <w:sz w:val="20"/>
          <w:szCs w:val="20"/>
        </w:rPr>
        <w:t xml:space="preserve">(high-voltage lines) </w:t>
      </w:r>
      <w:r w:rsidRPr="0068236B">
        <w:rPr>
          <w:rFonts w:cs="Tahoma"/>
          <w:sz w:val="20"/>
          <w:szCs w:val="20"/>
        </w:rPr>
        <w:t xml:space="preserve">since the distance between the conductors in horizontal and vertical plane </w:t>
      </w:r>
      <w:r w:rsidR="00037133" w:rsidRPr="0068236B">
        <w:rPr>
          <w:rFonts w:cs="Tahoma"/>
          <w:sz w:val="20"/>
          <w:szCs w:val="20"/>
        </w:rPr>
        <w:t xml:space="preserve">(see Section 2.4) </w:t>
      </w:r>
      <w:r w:rsidRPr="0068236B">
        <w:rPr>
          <w:rFonts w:cs="Tahoma"/>
          <w:sz w:val="20"/>
          <w:szCs w:val="20"/>
        </w:rPr>
        <w:t>is large enough even for the largest known birds of prey in Macedonia, e.g. Griffon vulture (2.3-2.8 m) and Golden eagle (1.8-2.3 m)</w:t>
      </w:r>
      <w:r w:rsidR="00A95EF5" w:rsidRPr="0068236B">
        <w:rPr>
          <w:rFonts w:cs="Tahoma"/>
          <w:sz w:val="20"/>
          <w:szCs w:val="20"/>
        </w:rPr>
        <w:t>, which are not present in the study area</w:t>
      </w:r>
      <w:r w:rsidRPr="0068236B">
        <w:rPr>
          <w:rFonts w:cs="Tahoma"/>
          <w:sz w:val="20"/>
          <w:szCs w:val="20"/>
        </w:rPr>
        <w:t>. Therefore, the significance of this potential impact is considered as negligible. Having in mind the design and scale of the transmission lines it is highly unlikely that electrocution will be a significant issue for any of the birds that are likely to perch on the infrastructure as the conductors are too far apart. The magnitude of the impact is very low and the respective significance in negligible.</w:t>
      </w:r>
      <w:r w:rsidR="00037133" w:rsidRPr="0068236B">
        <w:rPr>
          <w:rFonts w:cs="Tahoma"/>
          <w:sz w:val="20"/>
          <w:szCs w:val="20"/>
        </w:rPr>
        <w:t xml:space="preserve"> Nevertheless, mitigation through design is proposed to prevent any potential risk in this regard</w:t>
      </w:r>
      <w:r w:rsidR="0005598B" w:rsidRPr="0068236B">
        <w:rPr>
          <w:rFonts w:cs="Tahoma"/>
          <w:sz w:val="20"/>
          <w:szCs w:val="20"/>
        </w:rPr>
        <w:t>.</w:t>
      </w:r>
    </w:p>
    <w:p w14:paraId="4275DACB" w14:textId="77777777" w:rsidR="0005598B" w:rsidRPr="0068236B" w:rsidRDefault="0005598B" w:rsidP="0005598B">
      <w:pPr>
        <w:pStyle w:val="ListBullet"/>
        <w:spacing w:before="120" w:after="120"/>
        <w:jc w:val="left"/>
        <w:rPr>
          <w:sz w:val="20"/>
        </w:rPr>
      </w:pPr>
      <w:r w:rsidRPr="0068236B">
        <w:rPr>
          <w:sz w:val="20"/>
        </w:rPr>
        <w:t>Impacts on ecosystem services</w:t>
      </w:r>
    </w:p>
    <w:p w14:paraId="65B7AE5E" w14:textId="72853400" w:rsidR="0005598B" w:rsidRPr="0068236B" w:rsidRDefault="0005598B" w:rsidP="0005598B">
      <w:pPr>
        <w:pStyle w:val="ListBullet2"/>
        <w:numPr>
          <w:ilvl w:val="0"/>
          <w:numId w:val="0"/>
        </w:numPr>
        <w:contextualSpacing w:val="0"/>
        <w:jc w:val="both"/>
        <w:rPr>
          <w:sz w:val="20"/>
          <w:szCs w:val="20"/>
        </w:rPr>
      </w:pPr>
      <w:r w:rsidRPr="0068236B">
        <w:rPr>
          <w:sz w:val="20"/>
        </w:rPr>
        <w:t>The impact on ecosystem services during operational phase will be of negligible significance. Some of the provisioning ecosystem services are elaborated above (vegetation maintenance, loss of fauna). No impact is expected on other types of ecosystem services (regulating, cultural). No modification or alteration is e</w:t>
      </w:r>
      <w:r w:rsidRPr="0068236B">
        <w:rPr>
          <w:sz w:val="20"/>
        </w:rPr>
        <w:t>x</w:t>
      </w:r>
      <w:r w:rsidRPr="0068236B">
        <w:rPr>
          <w:sz w:val="20"/>
        </w:rPr>
        <w:t>pected on natural ecosystems that will impact regulating ecosystem services (no impacts on air, water and soils). For social and cultural impact, see the respective section (Section 9).</w:t>
      </w:r>
    </w:p>
    <w:p w14:paraId="1BF21070" w14:textId="77777777" w:rsidR="00733662" w:rsidRPr="0068236B" w:rsidRDefault="00733662" w:rsidP="00733662">
      <w:pPr>
        <w:pStyle w:val="Heading4"/>
        <w:rPr>
          <w:sz w:val="20"/>
          <w:szCs w:val="20"/>
        </w:rPr>
      </w:pPr>
      <w:r w:rsidRPr="0068236B">
        <w:rPr>
          <w:sz w:val="20"/>
          <w:szCs w:val="20"/>
        </w:rPr>
        <w:lastRenderedPageBreak/>
        <w:t>Impacts on critical habitats</w:t>
      </w:r>
    </w:p>
    <w:p w14:paraId="306D4C9D" w14:textId="2B484E84" w:rsidR="00733662" w:rsidRPr="0068236B" w:rsidRDefault="00733662" w:rsidP="00733662">
      <w:pPr>
        <w:pStyle w:val="ListBullet"/>
        <w:numPr>
          <w:ilvl w:val="0"/>
          <w:numId w:val="0"/>
        </w:numPr>
        <w:spacing w:before="120" w:after="120"/>
        <w:rPr>
          <w:rFonts w:cs="Tahoma"/>
          <w:sz w:val="20"/>
        </w:rPr>
      </w:pPr>
      <w:r w:rsidRPr="0068236B">
        <w:rPr>
          <w:rFonts w:cs="Tahoma"/>
          <w:sz w:val="20"/>
        </w:rPr>
        <w:t xml:space="preserve">All of the previously identified impacts on biodiversity are also valid in the case of Key Biodiversity Features (Critical Habitat – CH and Priority Biodiversity Features - PBF). The following table summarizes the specific impacts on Key Biodiversity Features. </w:t>
      </w:r>
    </w:p>
    <w:tbl>
      <w:tblPr>
        <w:tblStyle w:val="Kokan"/>
        <w:tblW w:w="9624" w:type="dxa"/>
        <w:jc w:val="center"/>
        <w:tblLayout w:type="fixed"/>
        <w:tblLook w:val="04A0" w:firstRow="1" w:lastRow="0" w:firstColumn="1" w:lastColumn="0" w:noHBand="0" w:noVBand="1"/>
      </w:tblPr>
      <w:tblGrid>
        <w:gridCol w:w="3165"/>
        <w:gridCol w:w="3436"/>
        <w:gridCol w:w="3023"/>
      </w:tblGrid>
      <w:tr w:rsidR="00733662" w:rsidRPr="0068236B" w14:paraId="553C4F12" w14:textId="77777777" w:rsidTr="00EB5EEF">
        <w:trPr>
          <w:cnfStyle w:val="100000000000" w:firstRow="1" w:lastRow="0" w:firstColumn="0" w:lastColumn="0" w:oddVBand="0" w:evenVBand="0" w:oddHBand="0" w:evenHBand="0" w:firstRowFirstColumn="0" w:firstRowLastColumn="0" w:lastRowFirstColumn="0" w:lastRowLastColumn="0"/>
          <w:cantSplit/>
          <w:trHeight w:val="437"/>
          <w:tblHeader/>
          <w:jc w:val="center"/>
        </w:trPr>
        <w:tc>
          <w:tcPr>
            <w:tcW w:w="3165" w:type="dxa"/>
            <w:tcBorders>
              <w:top w:val="double" w:sz="4" w:space="0" w:color="auto"/>
              <w:bottom w:val="double" w:sz="4" w:space="0" w:color="auto"/>
              <w:right w:val="double" w:sz="4" w:space="0" w:color="auto"/>
            </w:tcBorders>
            <w:shd w:val="clear" w:color="auto" w:fill="B4C6E7" w:themeFill="accent1" w:themeFillTint="66"/>
          </w:tcPr>
          <w:p w14:paraId="6C20F827" w14:textId="77777777" w:rsidR="00733662" w:rsidRPr="0068236B" w:rsidRDefault="00733662" w:rsidP="0042317A">
            <w:pPr>
              <w:autoSpaceDE w:val="0"/>
              <w:autoSpaceDN w:val="0"/>
              <w:adjustRightInd w:val="0"/>
              <w:spacing w:before="0" w:after="0" w:line="240" w:lineRule="auto"/>
              <w:jc w:val="center"/>
              <w:rPr>
                <w:rFonts w:cs="Tahoma"/>
                <w:bCs/>
                <w:color w:val="000000"/>
                <w:sz w:val="20"/>
                <w:szCs w:val="20"/>
              </w:rPr>
            </w:pPr>
            <w:r w:rsidRPr="0068236B">
              <w:rPr>
                <w:rFonts w:cs="Tahoma"/>
                <w:bCs/>
                <w:color w:val="000000"/>
                <w:sz w:val="20"/>
                <w:szCs w:val="20"/>
              </w:rPr>
              <w:t>Biodiversity feature</w:t>
            </w:r>
          </w:p>
        </w:tc>
        <w:tc>
          <w:tcPr>
            <w:tcW w:w="3436"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47DCD732" w14:textId="77777777" w:rsidR="00733662" w:rsidRPr="0068236B" w:rsidRDefault="00733662" w:rsidP="0042317A">
            <w:pPr>
              <w:autoSpaceDE w:val="0"/>
              <w:autoSpaceDN w:val="0"/>
              <w:adjustRightInd w:val="0"/>
              <w:spacing w:before="0" w:after="0" w:line="240" w:lineRule="auto"/>
              <w:jc w:val="center"/>
              <w:rPr>
                <w:rFonts w:cs="Tahoma"/>
                <w:color w:val="000000"/>
                <w:sz w:val="20"/>
                <w:szCs w:val="20"/>
              </w:rPr>
            </w:pPr>
            <w:r w:rsidRPr="0068236B">
              <w:rPr>
                <w:rFonts w:cs="Tahoma"/>
                <w:bCs/>
                <w:color w:val="000000"/>
                <w:sz w:val="20"/>
                <w:szCs w:val="20"/>
              </w:rPr>
              <w:t>Construction</w:t>
            </w:r>
          </w:p>
        </w:tc>
        <w:tc>
          <w:tcPr>
            <w:tcW w:w="3023" w:type="dxa"/>
            <w:tcBorders>
              <w:top w:val="double" w:sz="4" w:space="0" w:color="auto"/>
              <w:left w:val="double" w:sz="4" w:space="0" w:color="auto"/>
              <w:bottom w:val="double" w:sz="4" w:space="0" w:color="auto"/>
            </w:tcBorders>
            <w:shd w:val="clear" w:color="auto" w:fill="B4C6E7" w:themeFill="accent1" w:themeFillTint="66"/>
          </w:tcPr>
          <w:p w14:paraId="7E3869B5" w14:textId="77777777" w:rsidR="00733662" w:rsidRPr="0068236B" w:rsidRDefault="00733662" w:rsidP="0042317A">
            <w:pPr>
              <w:autoSpaceDE w:val="0"/>
              <w:autoSpaceDN w:val="0"/>
              <w:adjustRightInd w:val="0"/>
              <w:spacing w:before="0" w:after="0" w:line="240" w:lineRule="auto"/>
              <w:rPr>
                <w:rFonts w:cs="Tahoma"/>
                <w:color w:val="000000"/>
                <w:sz w:val="20"/>
                <w:szCs w:val="20"/>
              </w:rPr>
            </w:pPr>
            <w:r w:rsidRPr="0068236B">
              <w:rPr>
                <w:rFonts w:cs="Tahoma"/>
                <w:color w:val="000000"/>
                <w:sz w:val="20"/>
                <w:szCs w:val="20"/>
              </w:rPr>
              <w:t>Operation</w:t>
            </w:r>
          </w:p>
        </w:tc>
      </w:tr>
      <w:tr w:rsidR="00733662" w:rsidRPr="0068236B" w14:paraId="3DEDA11F" w14:textId="77777777" w:rsidTr="00733662">
        <w:trPr>
          <w:trHeight w:val="682"/>
          <w:jc w:val="center"/>
        </w:trPr>
        <w:tc>
          <w:tcPr>
            <w:tcW w:w="3165" w:type="dxa"/>
            <w:tcBorders>
              <w:top w:val="double" w:sz="4" w:space="0" w:color="auto"/>
              <w:bottom w:val="single" w:sz="4" w:space="0" w:color="auto"/>
              <w:right w:val="single" w:sz="4" w:space="0" w:color="auto"/>
            </w:tcBorders>
          </w:tcPr>
          <w:p w14:paraId="05B24B38" w14:textId="77777777" w:rsidR="00733662" w:rsidRPr="0068236B" w:rsidRDefault="00733662" w:rsidP="0042317A">
            <w:pPr>
              <w:autoSpaceDE w:val="0"/>
              <w:autoSpaceDN w:val="0"/>
              <w:adjustRightInd w:val="0"/>
              <w:spacing w:before="0" w:after="0" w:line="240" w:lineRule="auto"/>
              <w:jc w:val="left"/>
              <w:rPr>
                <w:rFonts w:cs="Tahoma"/>
                <w:i/>
                <w:sz w:val="20"/>
                <w:szCs w:val="20"/>
              </w:rPr>
            </w:pPr>
            <w:r w:rsidRPr="0068236B">
              <w:rPr>
                <w:rFonts w:cs="Tahoma"/>
                <w:sz w:val="20"/>
                <w:szCs w:val="20"/>
              </w:rPr>
              <w:t xml:space="preserve">92A0 </w:t>
            </w:r>
            <w:r w:rsidRPr="0068236B">
              <w:rPr>
                <w:rFonts w:cs="Tahoma"/>
                <w:i/>
                <w:sz w:val="20"/>
                <w:szCs w:val="20"/>
              </w:rPr>
              <w:t>Salix alba</w:t>
            </w:r>
            <w:r w:rsidRPr="0068236B">
              <w:rPr>
                <w:rFonts w:cs="Tahoma"/>
                <w:sz w:val="20"/>
                <w:szCs w:val="20"/>
              </w:rPr>
              <w:t xml:space="preserve"> and </w:t>
            </w:r>
            <w:r w:rsidRPr="0068236B">
              <w:rPr>
                <w:rFonts w:cs="Tahoma"/>
                <w:i/>
                <w:sz w:val="20"/>
                <w:szCs w:val="20"/>
              </w:rPr>
              <w:t>Populus alba galleries</w:t>
            </w:r>
          </w:p>
          <w:p w14:paraId="23FC697B" w14:textId="77777777" w:rsidR="00733662" w:rsidRPr="0068236B" w:rsidRDefault="00733662" w:rsidP="0042317A">
            <w:pPr>
              <w:autoSpaceDE w:val="0"/>
              <w:autoSpaceDN w:val="0"/>
              <w:adjustRightInd w:val="0"/>
              <w:spacing w:before="0" w:after="0" w:line="240" w:lineRule="auto"/>
              <w:jc w:val="left"/>
              <w:rPr>
                <w:rFonts w:cs="Tahoma"/>
                <w:i/>
                <w:sz w:val="20"/>
                <w:szCs w:val="20"/>
              </w:rPr>
            </w:pPr>
          </w:p>
          <w:p w14:paraId="256747C3" w14:textId="77777777" w:rsidR="00733662" w:rsidRPr="0068236B" w:rsidRDefault="00733662" w:rsidP="0042317A">
            <w:pPr>
              <w:autoSpaceDE w:val="0"/>
              <w:autoSpaceDN w:val="0"/>
              <w:adjustRightInd w:val="0"/>
              <w:spacing w:before="0" w:after="0" w:line="240" w:lineRule="auto"/>
              <w:jc w:val="left"/>
              <w:rPr>
                <w:rFonts w:cs="Tahoma"/>
                <w:color w:val="000000"/>
                <w:sz w:val="20"/>
                <w:szCs w:val="20"/>
              </w:rPr>
            </w:pPr>
            <w:r w:rsidRPr="0068236B">
              <w:rPr>
                <w:rFonts w:cs="Tahoma"/>
                <w:color w:val="000000"/>
                <w:sz w:val="20"/>
                <w:szCs w:val="20"/>
              </w:rPr>
              <w:t xml:space="preserve">PBF (Criterion I) - </w:t>
            </w:r>
            <w:r w:rsidRPr="0068236B">
              <w:rPr>
                <w:rFonts w:cs="Tahoma"/>
                <w:color w:val="000000" w:themeColor="text1"/>
                <w:sz w:val="20"/>
                <w:szCs w:val="20"/>
              </w:rPr>
              <w:t>This habitat is listed in Annex I of the EU Hab</w:t>
            </w:r>
            <w:r w:rsidRPr="0068236B">
              <w:rPr>
                <w:rFonts w:cs="Tahoma"/>
                <w:color w:val="000000" w:themeColor="text1"/>
                <w:sz w:val="20"/>
                <w:szCs w:val="20"/>
              </w:rPr>
              <w:t>i</w:t>
            </w:r>
            <w:r w:rsidRPr="0068236B">
              <w:rPr>
                <w:rFonts w:cs="Tahoma"/>
                <w:color w:val="000000" w:themeColor="text1"/>
                <w:sz w:val="20"/>
                <w:szCs w:val="20"/>
              </w:rPr>
              <w:t>tats Directive</w:t>
            </w:r>
          </w:p>
        </w:tc>
        <w:tc>
          <w:tcPr>
            <w:tcW w:w="3436" w:type="dxa"/>
            <w:tcBorders>
              <w:top w:val="double" w:sz="4" w:space="0" w:color="auto"/>
              <w:left w:val="single" w:sz="4" w:space="0" w:color="auto"/>
              <w:bottom w:val="single" w:sz="4" w:space="0" w:color="auto"/>
              <w:right w:val="single" w:sz="4" w:space="0" w:color="auto"/>
            </w:tcBorders>
          </w:tcPr>
          <w:p w14:paraId="0638C089" w14:textId="77777777" w:rsidR="00733662" w:rsidRPr="0068236B" w:rsidRDefault="00733662" w:rsidP="0042317A">
            <w:pPr>
              <w:autoSpaceDE w:val="0"/>
              <w:autoSpaceDN w:val="0"/>
              <w:adjustRightInd w:val="0"/>
              <w:spacing w:before="0" w:after="0" w:line="240" w:lineRule="auto"/>
              <w:jc w:val="left"/>
              <w:rPr>
                <w:rFonts w:cs="Tahoma"/>
                <w:color w:val="000000"/>
                <w:sz w:val="20"/>
                <w:szCs w:val="20"/>
              </w:rPr>
            </w:pPr>
            <w:r w:rsidRPr="0068236B">
              <w:rPr>
                <w:rFonts w:cs="Tahoma"/>
                <w:color w:val="000000"/>
                <w:sz w:val="20"/>
                <w:szCs w:val="20"/>
              </w:rPr>
              <w:t>No habitat loss is expected.</w:t>
            </w:r>
          </w:p>
          <w:p w14:paraId="4A3F0031" w14:textId="77777777" w:rsidR="00733662" w:rsidRPr="0068236B" w:rsidRDefault="00733662" w:rsidP="0042317A">
            <w:pPr>
              <w:autoSpaceDE w:val="0"/>
              <w:autoSpaceDN w:val="0"/>
              <w:adjustRightInd w:val="0"/>
              <w:spacing w:before="0" w:after="0" w:line="240" w:lineRule="auto"/>
              <w:jc w:val="left"/>
              <w:rPr>
                <w:rFonts w:cs="Tahoma"/>
                <w:color w:val="000000"/>
                <w:sz w:val="20"/>
                <w:szCs w:val="20"/>
              </w:rPr>
            </w:pPr>
          </w:p>
        </w:tc>
        <w:tc>
          <w:tcPr>
            <w:tcW w:w="3023" w:type="dxa"/>
            <w:tcBorders>
              <w:top w:val="double" w:sz="4" w:space="0" w:color="auto"/>
              <w:left w:val="single" w:sz="4" w:space="0" w:color="auto"/>
              <w:bottom w:val="single" w:sz="4" w:space="0" w:color="auto"/>
            </w:tcBorders>
          </w:tcPr>
          <w:p w14:paraId="6DF72905" w14:textId="35997B5B" w:rsidR="00733662" w:rsidRPr="0068236B" w:rsidRDefault="00733662" w:rsidP="0029505F">
            <w:pPr>
              <w:kinsoku w:val="0"/>
              <w:overflowPunct w:val="0"/>
              <w:autoSpaceDE w:val="0"/>
              <w:autoSpaceDN w:val="0"/>
              <w:adjustRightInd w:val="0"/>
              <w:spacing w:before="0" w:after="0" w:line="240" w:lineRule="auto"/>
              <w:jc w:val="left"/>
              <w:rPr>
                <w:rFonts w:cs="Tahoma"/>
                <w:color w:val="000000"/>
                <w:sz w:val="20"/>
                <w:szCs w:val="20"/>
              </w:rPr>
            </w:pPr>
            <w:r w:rsidRPr="0068236B">
              <w:rPr>
                <w:rFonts w:cs="Tahoma"/>
                <w:color w:val="000000"/>
                <w:sz w:val="20"/>
                <w:szCs w:val="20"/>
              </w:rPr>
              <w:t>No habitat loss or habitat mod</w:t>
            </w:r>
            <w:r w:rsidRPr="0068236B">
              <w:rPr>
                <w:rFonts w:cs="Tahoma"/>
                <w:color w:val="000000"/>
                <w:sz w:val="20"/>
                <w:szCs w:val="20"/>
              </w:rPr>
              <w:t>i</w:t>
            </w:r>
            <w:r w:rsidRPr="0068236B">
              <w:rPr>
                <w:rFonts w:cs="Tahoma"/>
                <w:color w:val="000000"/>
                <w:sz w:val="20"/>
                <w:szCs w:val="20"/>
              </w:rPr>
              <w:t xml:space="preserve">fication is expected. </w:t>
            </w:r>
          </w:p>
        </w:tc>
      </w:tr>
      <w:tr w:rsidR="00733662" w:rsidRPr="0068236B" w14:paraId="4DE4709C" w14:textId="77777777" w:rsidTr="00733662">
        <w:trPr>
          <w:trHeight w:val="682"/>
          <w:jc w:val="center"/>
        </w:trPr>
        <w:tc>
          <w:tcPr>
            <w:tcW w:w="3165" w:type="dxa"/>
            <w:tcBorders>
              <w:top w:val="single" w:sz="4" w:space="0" w:color="auto"/>
              <w:bottom w:val="single" w:sz="4" w:space="0" w:color="auto"/>
              <w:right w:val="single" w:sz="4" w:space="0" w:color="auto"/>
            </w:tcBorders>
          </w:tcPr>
          <w:p w14:paraId="604B0949" w14:textId="77777777" w:rsidR="00733662" w:rsidRPr="0068236B" w:rsidRDefault="00733662" w:rsidP="0042317A">
            <w:pPr>
              <w:spacing w:before="0" w:after="0" w:line="240" w:lineRule="auto"/>
              <w:jc w:val="left"/>
              <w:rPr>
                <w:rFonts w:cs="Tahoma"/>
                <w:i/>
                <w:sz w:val="20"/>
                <w:szCs w:val="20"/>
              </w:rPr>
            </w:pPr>
            <w:r w:rsidRPr="0068236B">
              <w:rPr>
                <w:rFonts w:cs="Tahoma"/>
                <w:i/>
                <w:sz w:val="20"/>
                <w:szCs w:val="20"/>
              </w:rPr>
              <w:t>Greek tortoise (Testudo graeca)</w:t>
            </w:r>
          </w:p>
          <w:p w14:paraId="39B02C5B" w14:textId="77777777" w:rsidR="00733662" w:rsidRPr="0068236B" w:rsidRDefault="00733662" w:rsidP="0042317A">
            <w:pPr>
              <w:spacing w:before="0" w:after="0" w:line="240" w:lineRule="auto"/>
              <w:jc w:val="left"/>
              <w:rPr>
                <w:rFonts w:cs="Tahoma"/>
                <w:i/>
                <w:sz w:val="20"/>
                <w:szCs w:val="20"/>
              </w:rPr>
            </w:pPr>
          </w:p>
          <w:p w14:paraId="36A27C0C" w14:textId="77777777" w:rsidR="00733662" w:rsidRPr="0068236B" w:rsidRDefault="00733662" w:rsidP="0042317A">
            <w:pPr>
              <w:spacing w:before="0" w:after="0" w:line="240" w:lineRule="auto"/>
              <w:jc w:val="left"/>
              <w:rPr>
                <w:rFonts w:cs="Tahoma"/>
                <w:i/>
                <w:sz w:val="20"/>
                <w:szCs w:val="20"/>
              </w:rPr>
            </w:pPr>
            <w:r w:rsidRPr="0068236B">
              <w:rPr>
                <w:rFonts w:cs="Tahoma"/>
                <w:color w:val="000000"/>
                <w:sz w:val="20"/>
                <w:szCs w:val="20"/>
              </w:rPr>
              <w:t>CH - Annex IV</w:t>
            </w:r>
            <w:r w:rsidRPr="0068236B">
              <w:rPr>
                <w:rFonts w:cs="Tahoma"/>
                <w:color w:val="000000" w:themeColor="text1"/>
                <w:sz w:val="20"/>
                <w:szCs w:val="20"/>
              </w:rPr>
              <w:t xml:space="preserve"> of the EU Habitats Directive</w:t>
            </w:r>
          </w:p>
        </w:tc>
        <w:tc>
          <w:tcPr>
            <w:tcW w:w="3436" w:type="dxa"/>
            <w:tcBorders>
              <w:top w:val="single" w:sz="4" w:space="0" w:color="auto"/>
              <w:left w:val="single" w:sz="4" w:space="0" w:color="auto"/>
              <w:bottom w:val="single" w:sz="4" w:space="0" w:color="auto"/>
              <w:right w:val="single" w:sz="4" w:space="0" w:color="auto"/>
            </w:tcBorders>
          </w:tcPr>
          <w:p w14:paraId="127D9BCC" w14:textId="77777777" w:rsidR="00733662" w:rsidRPr="0068236B" w:rsidRDefault="00733662" w:rsidP="0042317A">
            <w:pPr>
              <w:autoSpaceDE w:val="0"/>
              <w:autoSpaceDN w:val="0"/>
              <w:adjustRightInd w:val="0"/>
              <w:spacing w:before="0" w:after="0" w:line="240" w:lineRule="auto"/>
              <w:jc w:val="left"/>
              <w:rPr>
                <w:rFonts w:cs="Tahoma"/>
                <w:color w:val="000000"/>
                <w:sz w:val="20"/>
                <w:szCs w:val="20"/>
              </w:rPr>
            </w:pPr>
            <w:r w:rsidRPr="0068236B">
              <w:rPr>
                <w:rFonts w:cs="Tahoma"/>
                <w:color w:val="000000"/>
                <w:sz w:val="20"/>
                <w:szCs w:val="20"/>
              </w:rPr>
              <w:t>No measurable direct impact (mo</w:t>
            </w:r>
            <w:r w:rsidRPr="0068236B">
              <w:rPr>
                <w:rFonts w:cs="Tahoma"/>
                <w:color w:val="000000"/>
                <w:sz w:val="20"/>
                <w:szCs w:val="20"/>
              </w:rPr>
              <w:t>r</w:t>
            </w:r>
            <w:r w:rsidRPr="0068236B">
              <w:rPr>
                <w:rFonts w:cs="Tahoma"/>
                <w:color w:val="000000"/>
                <w:sz w:val="20"/>
                <w:szCs w:val="20"/>
              </w:rPr>
              <w:t>tality) is expected during the co</w:t>
            </w:r>
            <w:r w:rsidRPr="0068236B">
              <w:rPr>
                <w:rFonts w:cs="Tahoma"/>
                <w:color w:val="000000"/>
                <w:sz w:val="20"/>
                <w:szCs w:val="20"/>
              </w:rPr>
              <w:t>n</w:t>
            </w:r>
            <w:r w:rsidRPr="0068236B">
              <w:rPr>
                <w:rFonts w:cs="Tahoma"/>
                <w:color w:val="000000"/>
                <w:sz w:val="20"/>
                <w:szCs w:val="20"/>
              </w:rPr>
              <w:t>struction works in the whole area. Negligible indirect impact (habitats loss) may occur.</w:t>
            </w:r>
          </w:p>
        </w:tc>
        <w:tc>
          <w:tcPr>
            <w:tcW w:w="3023" w:type="dxa"/>
            <w:tcBorders>
              <w:top w:val="single" w:sz="4" w:space="0" w:color="auto"/>
              <w:left w:val="single" w:sz="4" w:space="0" w:color="auto"/>
              <w:bottom w:val="single" w:sz="4" w:space="0" w:color="auto"/>
            </w:tcBorders>
          </w:tcPr>
          <w:p w14:paraId="77CEA6DD" w14:textId="1D69B88B" w:rsidR="00733662" w:rsidRPr="0068236B" w:rsidRDefault="00733662" w:rsidP="0042317A">
            <w:pPr>
              <w:autoSpaceDE w:val="0"/>
              <w:autoSpaceDN w:val="0"/>
              <w:adjustRightInd w:val="0"/>
              <w:spacing w:before="0" w:after="0" w:line="240" w:lineRule="auto"/>
              <w:jc w:val="left"/>
              <w:rPr>
                <w:rFonts w:cs="Tahoma"/>
                <w:color w:val="000000"/>
                <w:sz w:val="20"/>
                <w:szCs w:val="20"/>
              </w:rPr>
            </w:pPr>
            <w:r w:rsidRPr="0068236B">
              <w:rPr>
                <w:rFonts w:cs="Tahoma"/>
                <w:color w:val="000000"/>
                <w:sz w:val="20"/>
                <w:szCs w:val="20"/>
              </w:rPr>
              <w:t xml:space="preserve">No impact is expected. </w:t>
            </w:r>
            <w:r w:rsidR="00037133" w:rsidRPr="0068236B">
              <w:rPr>
                <w:rFonts w:cs="Tahoma"/>
                <w:color w:val="000000"/>
                <w:sz w:val="20"/>
                <w:szCs w:val="20"/>
              </w:rPr>
              <w:t>. The species is ground dweller. There are no data on the i</w:t>
            </w:r>
            <w:r w:rsidR="00037133" w:rsidRPr="0068236B">
              <w:rPr>
                <w:rFonts w:cs="Tahoma"/>
                <w:color w:val="000000"/>
                <w:sz w:val="20"/>
                <w:szCs w:val="20"/>
              </w:rPr>
              <w:t>m</w:t>
            </w:r>
            <w:r w:rsidR="00037133" w:rsidRPr="0068236B">
              <w:rPr>
                <w:rFonts w:cs="Tahoma"/>
                <w:color w:val="000000"/>
                <w:sz w:val="20"/>
                <w:szCs w:val="20"/>
              </w:rPr>
              <w:t>pact of vibrations on this sp</w:t>
            </w:r>
            <w:r w:rsidR="00037133" w:rsidRPr="0068236B">
              <w:rPr>
                <w:rFonts w:cs="Tahoma"/>
                <w:color w:val="000000"/>
                <w:sz w:val="20"/>
                <w:szCs w:val="20"/>
              </w:rPr>
              <w:t>e</w:t>
            </w:r>
            <w:r w:rsidR="00037133" w:rsidRPr="0068236B">
              <w:rPr>
                <w:rFonts w:cs="Tahoma"/>
                <w:color w:val="000000"/>
                <w:sz w:val="20"/>
                <w:szCs w:val="20"/>
              </w:rPr>
              <w:t>cies.</w:t>
            </w:r>
          </w:p>
        </w:tc>
      </w:tr>
      <w:tr w:rsidR="00733662" w:rsidRPr="0068236B" w14:paraId="49AD78F3" w14:textId="77777777" w:rsidTr="00733662">
        <w:trPr>
          <w:trHeight w:val="682"/>
          <w:jc w:val="center"/>
        </w:trPr>
        <w:tc>
          <w:tcPr>
            <w:tcW w:w="3165" w:type="dxa"/>
            <w:tcBorders>
              <w:top w:val="single" w:sz="4" w:space="0" w:color="auto"/>
              <w:bottom w:val="single" w:sz="4" w:space="0" w:color="auto"/>
              <w:right w:val="single" w:sz="4" w:space="0" w:color="auto"/>
            </w:tcBorders>
          </w:tcPr>
          <w:p w14:paraId="4FC0E1F8" w14:textId="77777777" w:rsidR="00733662" w:rsidRPr="0068236B" w:rsidRDefault="00733662" w:rsidP="0042317A">
            <w:pPr>
              <w:spacing w:before="0" w:after="0" w:line="240" w:lineRule="auto"/>
              <w:jc w:val="left"/>
              <w:rPr>
                <w:rFonts w:cs="Tahoma"/>
                <w:sz w:val="20"/>
                <w:szCs w:val="20"/>
              </w:rPr>
            </w:pPr>
            <w:r w:rsidRPr="0068236B">
              <w:rPr>
                <w:rFonts w:cs="Tahoma"/>
                <w:i/>
                <w:sz w:val="20"/>
                <w:szCs w:val="20"/>
              </w:rPr>
              <w:t xml:space="preserve">Common wall lizard </w:t>
            </w:r>
            <w:r w:rsidRPr="0068236B">
              <w:rPr>
                <w:rFonts w:cs="Tahoma"/>
                <w:sz w:val="20"/>
                <w:szCs w:val="20"/>
              </w:rPr>
              <w:t>(</w:t>
            </w:r>
            <w:r w:rsidRPr="0068236B">
              <w:rPr>
                <w:rFonts w:cs="Tahoma"/>
                <w:i/>
                <w:sz w:val="20"/>
                <w:szCs w:val="20"/>
              </w:rPr>
              <w:t>Podarcis muralis</w:t>
            </w:r>
            <w:r w:rsidRPr="0068236B">
              <w:rPr>
                <w:rFonts w:cs="Tahoma"/>
                <w:sz w:val="20"/>
                <w:szCs w:val="20"/>
              </w:rPr>
              <w:t>)</w:t>
            </w:r>
          </w:p>
          <w:p w14:paraId="35A9C401" w14:textId="77777777" w:rsidR="00733662" w:rsidRPr="0068236B" w:rsidRDefault="00733662" w:rsidP="0042317A">
            <w:pPr>
              <w:spacing w:before="0" w:after="0" w:line="240" w:lineRule="auto"/>
              <w:jc w:val="left"/>
              <w:rPr>
                <w:rFonts w:cs="Tahoma"/>
                <w:sz w:val="20"/>
                <w:szCs w:val="20"/>
              </w:rPr>
            </w:pPr>
          </w:p>
          <w:p w14:paraId="4CD13D31" w14:textId="77777777" w:rsidR="00733662" w:rsidRPr="0068236B" w:rsidRDefault="00733662" w:rsidP="0042317A">
            <w:pPr>
              <w:spacing w:before="0" w:after="0" w:line="240" w:lineRule="auto"/>
              <w:jc w:val="left"/>
              <w:rPr>
                <w:rFonts w:cs="Tahoma"/>
                <w:sz w:val="20"/>
                <w:szCs w:val="20"/>
              </w:rPr>
            </w:pPr>
            <w:r w:rsidRPr="0068236B">
              <w:rPr>
                <w:rFonts w:cs="Tahoma"/>
                <w:color w:val="000000"/>
                <w:sz w:val="20"/>
                <w:szCs w:val="20"/>
              </w:rPr>
              <w:t>CH - Annex IV</w:t>
            </w:r>
            <w:r w:rsidRPr="0068236B">
              <w:rPr>
                <w:rFonts w:cs="Tahoma"/>
                <w:color w:val="000000" w:themeColor="text1"/>
                <w:sz w:val="20"/>
                <w:szCs w:val="20"/>
              </w:rPr>
              <w:t xml:space="preserve"> of the EU Habitats Directive</w:t>
            </w:r>
          </w:p>
        </w:tc>
        <w:tc>
          <w:tcPr>
            <w:tcW w:w="3436" w:type="dxa"/>
            <w:tcBorders>
              <w:top w:val="single" w:sz="4" w:space="0" w:color="auto"/>
              <w:left w:val="single" w:sz="4" w:space="0" w:color="auto"/>
              <w:bottom w:val="single" w:sz="4" w:space="0" w:color="auto"/>
              <w:right w:val="single" w:sz="4" w:space="0" w:color="auto"/>
            </w:tcBorders>
          </w:tcPr>
          <w:p w14:paraId="1225710C" w14:textId="0F834C0A" w:rsidR="00733662" w:rsidRPr="0068236B" w:rsidRDefault="00733662" w:rsidP="0042317A">
            <w:pPr>
              <w:autoSpaceDE w:val="0"/>
              <w:autoSpaceDN w:val="0"/>
              <w:adjustRightInd w:val="0"/>
              <w:spacing w:before="0" w:after="0" w:line="240" w:lineRule="auto"/>
              <w:jc w:val="left"/>
              <w:rPr>
                <w:rFonts w:cs="Tahoma"/>
                <w:color w:val="000000"/>
                <w:sz w:val="20"/>
                <w:szCs w:val="20"/>
              </w:rPr>
            </w:pPr>
            <w:r w:rsidRPr="0068236B">
              <w:rPr>
                <w:rFonts w:cs="Tahoma"/>
                <w:color w:val="000000"/>
                <w:sz w:val="20"/>
                <w:szCs w:val="20"/>
              </w:rPr>
              <w:t>No measurable direct impact (mo</w:t>
            </w:r>
            <w:r w:rsidRPr="0068236B">
              <w:rPr>
                <w:rFonts w:cs="Tahoma"/>
                <w:color w:val="000000"/>
                <w:sz w:val="20"/>
                <w:szCs w:val="20"/>
              </w:rPr>
              <w:t>r</w:t>
            </w:r>
            <w:r w:rsidRPr="0068236B">
              <w:rPr>
                <w:rFonts w:cs="Tahoma"/>
                <w:color w:val="000000"/>
                <w:sz w:val="20"/>
                <w:szCs w:val="20"/>
              </w:rPr>
              <w:t>tality) is expected during the co</w:t>
            </w:r>
            <w:r w:rsidRPr="0068236B">
              <w:rPr>
                <w:rFonts w:cs="Tahoma"/>
                <w:color w:val="000000"/>
                <w:sz w:val="20"/>
                <w:szCs w:val="20"/>
              </w:rPr>
              <w:t>n</w:t>
            </w:r>
            <w:r w:rsidRPr="0068236B">
              <w:rPr>
                <w:rFonts w:cs="Tahoma"/>
                <w:color w:val="000000"/>
                <w:sz w:val="20"/>
                <w:szCs w:val="20"/>
              </w:rPr>
              <w:t>stru</w:t>
            </w:r>
            <w:r w:rsidR="00C57B90" w:rsidRPr="0068236B">
              <w:rPr>
                <w:rFonts w:cs="Tahoma"/>
                <w:color w:val="000000"/>
                <w:sz w:val="20"/>
                <w:szCs w:val="20"/>
              </w:rPr>
              <w:t xml:space="preserve">ction works in the whole area. </w:t>
            </w:r>
            <w:r w:rsidRPr="0068236B">
              <w:rPr>
                <w:rFonts w:cs="Tahoma"/>
                <w:color w:val="000000"/>
                <w:sz w:val="20"/>
                <w:szCs w:val="20"/>
              </w:rPr>
              <w:t>Negligible indirect impact (habitats loss) may occur.</w:t>
            </w:r>
          </w:p>
        </w:tc>
        <w:tc>
          <w:tcPr>
            <w:tcW w:w="3023" w:type="dxa"/>
            <w:tcBorders>
              <w:top w:val="single" w:sz="4" w:space="0" w:color="auto"/>
              <w:left w:val="single" w:sz="4" w:space="0" w:color="auto"/>
              <w:bottom w:val="single" w:sz="4" w:space="0" w:color="auto"/>
            </w:tcBorders>
          </w:tcPr>
          <w:p w14:paraId="7BD96883" w14:textId="77777777" w:rsidR="00733662" w:rsidRPr="0068236B" w:rsidRDefault="00733662" w:rsidP="0042317A">
            <w:pPr>
              <w:autoSpaceDE w:val="0"/>
              <w:autoSpaceDN w:val="0"/>
              <w:adjustRightInd w:val="0"/>
              <w:spacing w:before="0" w:after="0" w:line="240" w:lineRule="auto"/>
              <w:jc w:val="left"/>
              <w:rPr>
                <w:rFonts w:cs="Tahoma"/>
                <w:color w:val="000000"/>
                <w:sz w:val="20"/>
                <w:szCs w:val="20"/>
              </w:rPr>
            </w:pPr>
            <w:r w:rsidRPr="0068236B">
              <w:rPr>
                <w:rFonts w:cs="Tahoma"/>
                <w:color w:val="000000"/>
                <w:sz w:val="20"/>
                <w:szCs w:val="20"/>
              </w:rPr>
              <w:t xml:space="preserve">No impact is expected. </w:t>
            </w:r>
          </w:p>
          <w:p w14:paraId="416E9095" w14:textId="79A8C00C" w:rsidR="00037133" w:rsidRPr="0068236B" w:rsidRDefault="00037133" w:rsidP="0042317A">
            <w:pPr>
              <w:autoSpaceDE w:val="0"/>
              <w:autoSpaceDN w:val="0"/>
              <w:adjustRightInd w:val="0"/>
              <w:spacing w:before="0" w:after="0" w:line="240" w:lineRule="auto"/>
              <w:jc w:val="left"/>
              <w:rPr>
                <w:rFonts w:cs="Tahoma"/>
                <w:color w:val="000000"/>
                <w:sz w:val="20"/>
                <w:szCs w:val="20"/>
              </w:rPr>
            </w:pPr>
            <w:r w:rsidRPr="0068236B">
              <w:rPr>
                <w:rFonts w:cs="Tahoma"/>
                <w:color w:val="000000"/>
                <w:sz w:val="20"/>
                <w:szCs w:val="20"/>
              </w:rPr>
              <w:t>The species is ground dweller. There are no data on the i</w:t>
            </w:r>
            <w:r w:rsidRPr="0068236B">
              <w:rPr>
                <w:rFonts w:cs="Tahoma"/>
                <w:color w:val="000000"/>
                <w:sz w:val="20"/>
                <w:szCs w:val="20"/>
              </w:rPr>
              <w:t>m</w:t>
            </w:r>
            <w:r w:rsidRPr="0068236B">
              <w:rPr>
                <w:rFonts w:cs="Tahoma"/>
                <w:color w:val="000000"/>
                <w:sz w:val="20"/>
                <w:szCs w:val="20"/>
              </w:rPr>
              <w:t>pact of vibrations on this sp</w:t>
            </w:r>
            <w:r w:rsidRPr="0068236B">
              <w:rPr>
                <w:rFonts w:cs="Tahoma"/>
                <w:color w:val="000000"/>
                <w:sz w:val="20"/>
                <w:szCs w:val="20"/>
              </w:rPr>
              <w:t>e</w:t>
            </w:r>
            <w:r w:rsidRPr="0068236B">
              <w:rPr>
                <w:rFonts w:cs="Tahoma"/>
                <w:color w:val="000000"/>
                <w:sz w:val="20"/>
                <w:szCs w:val="20"/>
              </w:rPr>
              <w:t>cies.</w:t>
            </w:r>
          </w:p>
        </w:tc>
      </w:tr>
      <w:tr w:rsidR="00733662" w:rsidRPr="0068236B" w14:paraId="2F878B1E" w14:textId="77777777" w:rsidTr="00733662">
        <w:trPr>
          <w:trHeight w:val="682"/>
          <w:jc w:val="center"/>
        </w:trPr>
        <w:tc>
          <w:tcPr>
            <w:tcW w:w="3165" w:type="dxa"/>
            <w:tcBorders>
              <w:top w:val="single" w:sz="4" w:space="0" w:color="auto"/>
              <w:bottom w:val="single" w:sz="4" w:space="0" w:color="auto"/>
              <w:right w:val="single" w:sz="4" w:space="0" w:color="auto"/>
            </w:tcBorders>
          </w:tcPr>
          <w:p w14:paraId="1F05CD6F" w14:textId="77777777" w:rsidR="00733662" w:rsidRPr="0068236B" w:rsidRDefault="00733662" w:rsidP="0042317A">
            <w:pPr>
              <w:spacing w:before="0" w:after="0" w:line="240" w:lineRule="auto"/>
              <w:jc w:val="left"/>
              <w:rPr>
                <w:rFonts w:cs="Tahoma"/>
                <w:sz w:val="20"/>
                <w:szCs w:val="20"/>
              </w:rPr>
            </w:pPr>
            <w:r w:rsidRPr="0068236B">
              <w:rPr>
                <w:rFonts w:cs="Tahoma"/>
                <w:i/>
                <w:sz w:val="20"/>
                <w:szCs w:val="20"/>
              </w:rPr>
              <w:t xml:space="preserve">Balkan green lizard </w:t>
            </w:r>
            <w:r w:rsidRPr="0068236B">
              <w:rPr>
                <w:rFonts w:cs="Tahoma"/>
                <w:sz w:val="20"/>
                <w:szCs w:val="20"/>
              </w:rPr>
              <w:t>(</w:t>
            </w:r>
            <w:r w:rsidRPr="0068236B">
              <w:rPr>
                <w:rFonts w:cs="Tahoma"/>
                <w:i/>
                <w:sz w:val="20"/>
                <w:szCs w:val="20"/>
              </w:rPr>
              <w:t>Lacerta trilineata</w:t>
            </w:r>
            <w:r w:rsidRPr="0068236B">
              <w:rPr>
                <w:rFonts w:cs="Tahoma"/>
                <w:sz w:val="20"/>
                <w:szCs w:val="20"/>
              </w:rPr>
              <w:t>)</w:t>
            </w:r>
          </w:p>
          <w:p w14:paraId="3CA6D5EB" w14:textId="77777777" w:rsidR="00733662" w:rsidRPr="0068236B" w:rsidRDefault="00733662" w:rsidP="0042317A">
            <w:pPr>
              <w:spacing w:before="0" w:after="0" w:line="240" w:lineRule="auto"/>
              <w:jc w:val="left"/>
              <w:rPr>
                <w:rFonts w:cs="Tahoma"/>
                <w:sz w:val="20"/>
                <w:szCs w:val="20"/>
              </w:rPr>
            </w:pPr>
          </w:p>
          <w:p w14:paraId="676973DB" w14:textId="77777777" w:rsidR="00733662" w:rsidRPr="0068236B" w:rsidRDefault="00733662" w:rsidP="0042317A">
            <w:pPr>
              <w:spacing w:before="0" w:after="0" w:line="240" w:lineRule="auto"/>
              <w:jc w:val="left"/>
              <w:rPr>
                <w:rFonts w:cs="Tahoma"/>
                <w:sz w:val="20"/>
                <w:szCs w:val="20"/>
              </w:rPr>
            </w:pPr>
            <w:r w:rsidRPr="0068236B">
              <w:rPr>
                <w:rFonts w:cs="Tahoma"/>
                <w:color w:val="000000"/>
                <w:sz w:val="20"/>
                <w:szCs w:val="20"/>
              </w:rPr>
              <w:t>CH - Annex IV</w:t>
            </w:r>
            <w:r w:rsidRPr="0068236B">
              <w:rPr>
                <w:rFonts w:cs="Tahoma"/>
                <w:color w:val="000000" w:themeColor="text1"/>
                <w:sz w:val="20"/>
                <w:szCs w:val="20"/>
              </w:rPr>
              <w:t xml:space="preserve"> of the EU Habitats Directive</w:t>
            </w:r>
          </w:p>
        </w:tc>
        <w:tc>
          <w:tcPr>
            <w:tcW w:w="3436" w:type="dxa"/>
            <w:tcBorders>
              <w:top w:val="single" w:sz="4" w:space="0" w:color="auto"/>
              <w:left w:val="single" w:sz="4" w:space="0" w:color="auto"/>
              <w:bottom w:val="single" w:sz="4" w:space="0" w:color="auto"/>
              <w:right w:val="single" w:sz="4" w:space="0" w:color="auto"/>
            </w:tcBorders>
          </w:tcPr>
          <w:p w14:paraId="538E9071" w14:textId="77777777" w:rsidR="00733662" w:rsidRPr="0068236B" w:rsidRDefault="00733662" w:rsidP="0042317A">
            <w:pPr>
              <w:autoSpaceDE w:val="0"/>
              <w:autoSpaceDN w:val="0"/>
              <w:adjustRightInd w:val="0"/>
              <w:spacing w:before="0" w:after="0" w:line="240" w:lineRule="auto"/>
              <w:jc w:val="left"/>
              <w:rPr>
                <w:rFonts w:cs="Tahoma"/>
                <w:color w:val="000000"/>
                <w:sz w:val="20"/>
                <w:szCs w:val="20"/>
              </w:rPr>
            </w:pPr>
            <w:r w:rsidRPr="0068236B">
              <w:rPr>
                <w:rFonts w:cs="Tahoma"/>
                <w:color w:val="000000"/>
                <w:sz w:val="20"/>
                <w:szCs w:val="20"/>
              </w:rPr>
              <w:t>No measurable direct impact (mo</w:t>
            </w:r>
            <w:r w:rsidRPr="0068236B">
              <w:rPr>
                <w:rFonts w:cs="Tahoma"/>
                <w:color w:val="000000"/>
                <w:sz w:val="20"/>
                <w:szCs w:val="20"/>
              </w:rPr>
              <w:t>r</w:t>
            </w:r>
            <w:r w:rsidRPr="0068236B">
              <w:rPr>
                <w:rFonts w:cs="Tahoma"/>
                <w:color w:val="000000"/>
                <w:sz w:val="20"/>
                <w:szCs w:val="20"/>
              </w:rPr>
              <w:t>tality) is expected during the co</w:t>
            </w:r>
            <w:r w:rsidRPr="0068236B">
              <w:rPr>
                <w:rFonts w:cs="Tahoma"/>
                <w:color w:val="000000"/>
                <w:sz w:val="20"/>
                <w:szCs w:val="20"/>
              </w:rPr>
              <w:t>n</w:t>
            </w:r>
            <w:r w:rsidRPr="0068236B">
              <w:rPr>
                <w:rFonts w:cs="Tahoma"/>
                <w:color w:val="000000"/>
                <w:sz w:val="20"/>
                <w:szCs w:val="20"/>
              </w:rPr>
              <w:t>struction works in the whole area.. Negligible indirect impact (habitats loss) may occur.</w:t>
            </w:r>
          </w:p>
        </w:tc>
        <w:tc>
          <w:tcPr>
            <w:tcW w:w="3023" w:type="dxa"/>
            <w:tcBorders>
              <w:top w:val="single" w:sz="4" w:space="0" w:color="auto"/>
              <w:left w:val="single" w:sz="4" w:space="0" w:color="auto"/>
              <w:bottom w:val="single" w:sz="4" w:space="0" w:color="auto"/>
            </w:tcBorders>
          </w:tcPr>
          <w:p w14:paraId="1F4830DF" w14:textId="61DDE510" w:rsidR="00733662" w:rsidRPr="0068236B" w:rsidRDefault="00733662" w:rsidP="0042317A">
            <w:pPr>
              <w:autoSpaceDE w:val="0"/>
              <w:autoSpaceDN w:val="0"/>
              <w:adjustRightInd w:val="0"/>
              <w:spacing w:before="0" w:after="0" w:line="240" w:lineRule="auto"/>
              <w:jc w:val="left"/>
              <w:rPr>
                <w:rFonts w:cs="Tahoma"/>
                <w:color w:val="000000"/>
                <w:sz w:val="20"/>
                <w:szCs w:val="20"/>
              </w:rPr>
            </w:pPr>
            <w:r w:rsidRPr="0068236B">
              <w:rPr>
                <w:rFonts w:cs="Tahoma"/>
                <w:color w:val="000000"/>
                <w:sz w:val="20"/>
                <w:szCs w:val="20"/>
              </w:rPr>
              <w:t xml:space="preserve">No impact is expected. </w:t>
            </w:r>
            <w:r w:rsidR="00037133" w:rsidRPr="0068236B">
              <w:rPr>
                <w:rFonts w:cs="Tahoma"/>
                <w:color w:val="000000"/>
                <w:sz w:val="20"/>
                <w:szCs w:val="20"/>
              </w:rPr>
              <w:t>The species is ground dweller. There are no data on the i</w:t>
            </w:r>
            <w:r w:rsidR="00037133" w:rsidRPr="0068236B">
              <w:rPr>
                <w:rFonts w:cs="Tahoma"/>
                <w:color w:val="000000"/>
                <w:sz w:val="20"/>
                <w:szCs w:val="20"/>
              </w:rPr>
              <w:t>m</w:t>
            </w:r>
            <w:r w:rsidR="00037133" w:rsidRPr="0068236B">
              <w:rPr>
                <w:rFonts w:cs="Tahoma"/>
                <w:color w:val="000000"/>
                <w:sz w:val="20"/>
                <w:szCs w:val="20"/>
              </w:rPr>
              <w:t>pact of vibrations on this sp</w:t>
            </w:r>
            <w:r w:rsidR="00037133" w:rsidRPr="0068236B">
              <w:rPr>
                <w:rFonts w:cs="Tahoma"/>
                <w:color w:val="000000"/>
                <w:sz w:val="20"/>
                <w:szCs w:val="20"/>
              </w:rPr>
              <w:t>e</w:t>
            </w:r>
            <w:r w:rsidR="00037133" w:rsidRPr="0068236B">
              <w:rPr>
                <w:rFonts w:cs="Tahoma"/>
                <w:color w:val="000000"/>
                <w:sz w:val="20"/>
                <w:szCs w:val="20"/>
              </w:rPr>
              <w:t>cies.</w:t>
            </w:r>
          </w:p>
        </w:tc>
      </w:tr>
      <w:tr w:rsidR="00733662" w:rsidRPr="0068236B" w14:paraId="7420BB80" w14:textId="77777777" w:rsidTr="00733662">
        <w:trPr>
          <w:trHeight w:val="682"/>
          <w:jc w:val="center"/>
        </w:trPr>
        <w:tc>
          <w:tcPr>
            <w:tcW w:w="3165" w:type="dxa"/>
            <w:tcBorders>
              <w:top w:val="single" w:sz="4" w:space="0" w:color="auto"/>
              <w:bottom w:val="single" w:sz="4" w:space="0" w:color="auto"/>
              <w:right w:val="single" w:sz="4" w:space="0" w:color="auto"/>
            </w:tcBorders>
          </w:tcPr>
          <w:p w14:paraId="7DF0C8E6" w14:textId="77777777" w:rsidR="00733662" w:rsidRPr="0068236B" w:rsidRDefault="00733662" w:rsidP="0042317A">
            <w:pPr>
              <w:spacing w:before="0" w:after="0" w:line="240" w:lineRule="auto"/>
              <w:jc w:val="left"/>
              <w:rPr>
                <w:rFonts w:cs="Tahoma"/>
                <w:sz w:val="20"/>
                <w:szCs w:val="20"/>
              </w:rPr>
            </w:pPr>
            <w:r w:rsidRPr="0068236B">
              <w:rPr>
                <w:rFonts w:cs="Tahoma"/>
                <w:i/>
                <w:sz w:val="20"/>
                <w:szCs w:val="20"/>
              </w:rPr>
              <w:t xml:space="preserve">European green toad </w:t>
            </w:r>
            <w:r w:rsidRPr="0068236B">
              <w:rPr>
                <w:rFonts w:cs="Tahoma"/>
                <w:sz w:val="20"/>
                <w:szCs w:val="20"/>
              </w:rPr>
              <w:t>(</w:t>
            </w:r>
            <w:r w:rsidRPr="0068236B">
              <w:rPr>
                <w:rFonts w:cs="Tahoma"/>
                <w:i/>
                <w:sz w:val="20"/>
                <w:szCs w:val="20"/>
              </w:rPr>
              <w:t>Bufo viri</w:t>
            </w:r>
            <w:r w:rsidRPr="0068236B">
              <w:rPr>
                <w:rFonts w:cs="Tahoma"/>
                <w:i/>
                <w:sz w:val="20"/>
                <w:szCs w:val="20"/>
              </w:rPr>
              <w:t>d</w:t>
            </w:r>
            <w:r w:rsidRPr="0068236B">
              <w:rPr>
                <w:rFonts w:cs="Tahoma"/>
                <w:i/>
                <w:sz w:val="20"/>
                <w:szCs w:val="20"/>
              </w:rPr>
              <w:t>is</w:t>
            </w:r>
            <w:r w:rsidRPr="0068236B">
              <w:rPr>
                <w:rFonts w:cs="Tahoma"/>
                <w:sz w:val="20"/>
                <w:szCs w:val="20"/>
              </w:rPr>
              <w:t>)</w:t>
            </w:r>
          </w:p>
          <w:p w14:paraId="195818F1" w14:textId="77777777" w:rsidR="00733662" w:rsidRPr="0068236B" w:rsidRDefault="00733662" w:rsidP="0042317A">
            <w:pPr>
              <w:spacing w:before="0" w:after="0" w:line="240" w:lineRule="auto"/>
              <w:jc w:val="left"/>
              <w:rPr>
                <w:rFonts w:cs="Tahoma"/>
                <w:sz w:val="20"/>
                <w:szCs w:val="20"/>
              </w:rPr>
            </w:pPr>
          </w:p>
          <w:p w14:paraId="63C192EA" w14:textId="77777777" w:rsidR="00733662" w:rsidRPr="0068236B" w:rsidRDefault="00733662" w:rsidP="0042317A">
            <w:pPr>
              <w:spacing w:before="0" w:after="0" w:line="240" w:lineRule="auto"/>
              <w:jc w:val="left"/>
              <w:rPr>
                <w:rFonts w:cs="Tahoma"/>
                <w:sz w:val="20"/>
                <w:szCs w:val="20"/>
              </w:rPr>
            </w:pPr>
            <w:r w:rsidRPr="0068236B">
              <w:rPr>
                <w:rFonts w:cs="Tahoma"/>
                <w:color w:val="000000"/>
                <w:sz w:val="20"/>
                <w:szCs w:val="20"/>
              </w:rPr>
              <w:t>CH - Annex IV</w:t>
            </w:r>
            <w:r w:rsidRPr="0068236B">
              <w:rPr>
                <w:rFonts w:cs="Tahoma"/>
                <w:color w:val="000000" w:themeColor="text1"/>
                <w:sz w:val="20"/>
                <w:szCs w:val="20"/>
              </w:rPr>
              <w:t xml:space="preserve"> of the EU Habitats Directive</w:t>
            </w:r>
          </w:p>
        </w:tc>
        <w:tc>
          <w:tcPr>
            <w:tcW w:w="3436" w:type="dxa"/>
            <w:tcBorders>
              <w:top w:val="single" w:sz="4" w:space="0" w:color="auto"/>
              <w:left w:val="single" w:sz="4" w:space="0" w:color="auto"/>
              <w:bottom w:val="single" w:sz="4" w:space="0" w:color="auto"/>
              <w:right w:val="single" w:sz="4" w:space="0" w:color="auto"/>
            </w:tcBorders>
          </w:tcPr>
          <w:p w14:paraId="142E1226" w14:textId="77777777" w:rsidR="00733662" w:rsidRPr="0068236B" w:rsidRDefault="00733662" w:rsidP="0042317A">
            <w:pPr>
              <w:autoSpaceDE w:val="0"/>
              <w:autoSpaceDN w:val="0"/>
              <w:adjustRightInd w:val="0"/>
              <w:spacing w:before="0" w:after="0" w:line="240" w:lineRule="auto"/>
              <w:jc w:val="left"/>
              <w:rPr>
                <w:rFonts w:cs="Tahoma"/>
                <w:color w:val="000000"/>
                <w:sz w:val="20"/>
                <w:szCs w:val="20"/>
              </w:rPr>
            </w:pPr>
            <w:r w:rsidRPr="0068236B">
              <w:rPr>
                <w:rFonts w:cs="Tahoma"/>
                <w:color w:val="000000"/>
                <w:sz w:val="20"/>
                <w:szCs w:val="20"/>
              </w:rPr>
              <w:t>No measurable direct impact (mo</w:t>
            </w:r>
            <w:r w:rsidRPr="0068236B">
              <w:rPr>
                <w:rFonts w:cs="Tahoma"/>
                <w:color w:val="000000"/>
                <w:sz w:val="20"/>
                <w:szCs w:val="20"/>
              </w:rPr>
              <w:t>r</w:t>
            </w:r>
            <w:r w:rsidRPr="0068236B">
              <w:rPr>
                <w:rFonts w:cs="Tahoma"/>
                <w:color w:val="000000"/>
                <w:sz w:val="20"/>
                <w:szCs w:val="20"/>
              </w:rPr>
              <w:t>tality) is expected during the co</w:t>
            </w:r>
            <w:r w:rsidRPr="0068236B">
              <w:rPr>
                <w:rFonts w:cs="Tahoma"/>
                <w:color w:val="000000"/>
                <w:sz w:val="20"/>
                <w:szCs w:val="20"/>
              </w:rPr>
              <w:t>n</w:t>
            </w:r>
            <w:r w:rsidRPr="0068236B">
              <w:rPr>
                <w:rFonts w:cs="Tahoma"/>
                <w:color w:val="000000"/>
                <w:sz w:val="20"/>
                <w:szCs w:val="20"/>
              </w:rPr>
              <w:t>struction works in the vicinity of rivers Vardar and Anska Reka. Ne</w:t>
            </w:r>
            <w:r w:rsidRPr="0068236B">
              <w:rPr>
                <w:rFonts w:cs="Tahoma"/>
                <w:color w:val="000000"/>
                <w:sz w:val="20"/>
                <w:szCs w:val="20"/>
              </w:rPr>
              <w:t>g</w:t>
            </w:r>
            <w:r w:rsidRPr="0068236B">
              <w:rPr>
                <w:rFonts w:cs="Tahoma"/>
                <w:color w:val="000000"/>
                <w:sz w:val="20"/>
                <w:szCs w:val="20"/>
              </w:rPr>
              <w:t>ligible indirect impact (habitats loss) may occur.</w:t>
            </w:r>
          </w:p>
        </w:tc>
        <w:tc>
          <w:tcPr>
            <w:tcW w:w="3023" w:type="dxa"/>
            <w:tcBorders>
              <w:top w:val="single" w:sz="4" w:space="0" w:color="auto"/>
              <w:left w:val="single" w:sz="4" w:space="0" w:color="auto"/>
              <w:bottom w:val="single" w:sz="4" w:space="0" w:color="auto"/>
            </w:tcBorders>
          </w:tcPr>
          <w:p w14:paraId="467AE7F0" w14:textId="6E9AA5AA" w:rsidR="00733662" w:rsidRPr="0068236B" w:rsidRDefault="00733662" w:rsidP="0042317A">
            <w:pPr>
              <w:autoSpaceDE w:val="0"/>
              <w:autoSpaceDN w:val="0"/>
              <w:adjustRightInd w:val="0"/>
              <w:spacing w:before="0" w:after="0" w:line="240" w:lineRule="auto"/>
              <w:jc w:val="left"/>
              <w:rPr>
                <w:rFonts w:cs="Tahoma"/>
                <w:color w:val="000000"/>
                <w:sz w:val="20"/>
                <w:szCs w:val="20"/>
              </w:rPr>
            </w:pPr>
            <w:r w:rsidRPr="0068236B">
              <w:rPr>
                <w:rFonts w:cs="Tahoma"/>
                <w:color w:val="000000"/>
                <w:sz w:val="20"/>
                <w:szCs w:val="20"/>
              </w:rPr>
              <w:t xml:space="preserve">No impact is expected. </w:t>
            </w:r>
            <w:r w:rsidR="00037133" w:rsidRPr="0068236B">
              <w:rPr>
                <w:rFonts w:cs="Tahoma"/>
                <w:color w:val="000000"/>
                <w:sz w:val="20"/>
                <w:szCs w:val="20"/>
              </w:rPr>
              <w:t>The species is semiaquatic. There are no data on the impact of vibrations on this species</w:t>
            </w:r>
          </w:p>
        </w:tc>
      </w:tr>
      <w:tr w:rsidR="00733662" w:rsidRPr="0068236B" w14:paraId="581E4B6C" w14:textId="77777777" w:rsidTr="00733662">
        <w:trPr>
          <w:trHeight w:val="682"/>
          <w:jc w:val="center"/>
        </w:trPr>
        <w:tc>
          <w:tcPr>
            <w:tcW w:w="3165" w:type="dxa"/>
            <w:tcBorders>
              <w:top w:val="single" w:sz="4" w:space="0" w:color="auto"/>
              <w:bottom w:val="single" w:sz="4" w:space="0" w:color="auto"/>
              <w:right w:val="single" w:sz="4" w:space="0" w:color="auto"/>
            </w:tcBorders>
          </w:tcPr>
          <w:p w14:paraId="26C60B1F" w14:textId="77777777" w:rsidR="00733662" w:rsidRPr="0068236B" w:rsidRDefault="00733662" w:rsidP="0042317A">
            <w:pPr>
              <w:spacing w:before="0" w:after="0" w:line="240" w:lineRule="auto"/>
              <w:jc w:val="left"/>
              <w:rPr>
                <w:rFonts w:cs="Tahoma"/>
                <w:sz w:val="20"/>
                <w:szCs w:val="20"/>
              </w:rPr>
            </w:pPr>
            <w:r w:rsidRPr="0068236B">
              <w:rPr>
                <w:rFonts w:cs="Tahoma"/>
                <w:i/>
                <w:sz w:val="20"/>
                <w:szCs w:val="20"/>
              </w:rPr>
              <w:t xml:space="preserve">Greek frog </w:t>
            </w:r>
            <w:r w:rsidRPr="0068236B">
              <w:rPr>
                <w:rFonts w:cs="Tahoma"/>
                <w:sz w:val="20"/>
                <w:szCs w:val="20"/>
              </w:rPr>
              <w:t>(</w:t>
            </w:r>
            <w:r w:rsidRPr="0068236B">
              <w:rPr>
                <w:rFonts w:cs="Tahoma"/>
                <w:i/>
                <w:sz w:val="20"/>
                <w:szCs w:val="20"/>
              </w:rPr>
              <w:t>Rana graeca</w:t>
            </w:r>
            <w:r w:rsidRPr="0068236B">
              <w:rPr>
                <w:rFonts w:cs="Tahoma"/>
                <w:sz w:val="20"/>
                <w:szCs w:val="20"/>
              </w:rPr>
              <w:t>)</w:t>
            </w:r>
          </w:p>
          <w:p w14:paraId="16A57437" w14:textId="77777777" w:rsidR="00733662" w:rsidRPr="0068236B" w:rsidRDefault="00733662" w:rsidP="0042317A">
            <w:pPr>
              <w:spacing w:before="0" w:after="0" w:line="240" w:lineRule="auto"/>
              <w:jc w:val="left"/>
              <w:rPr>
                <w:rFonts w:cs="Tahoma"/>
                <w:sz w:val="20"/>
                <w:szCs w:val="20"/>
              </w:rPr>
            </w:pPr>
          </w:p>
          <w:p w14:paraId="64680E30" w14:textId="77777777" w:rsidR="00733662" w:rsidRPr="0068236B" w:rsidRDefault="00733662" w:rsidP="0042317A">
            <w:pPr>
              <w:spacing w:before="0" w:after="0" w:line="240" w:lineRule="auto"/>
              <w:jc w:val="left"/>
              <w:rPr>
                <w:rFonts w:cs="Tahoma"/>
                <w:color w:val="000000" w:themeColor="text1"/>
                <w:sz w:val="20"/>
                <w:szCs w:val="20"/>
              </w:rPr>
            </w:pPr>
            <w:r w:rsidRPr="0068236B">
              <w:rPr>
                <w:rFonts w:cs="Tahoma"/>
                <w:color w:val="000000"/>
                <w:sz w:val="20"/>
                <w:szCs w:val="20"/>
              </w:rPr>
              <w:t>CH - Annex IV</w:t>
            </w:r>
            <w:r w:rsidRPr="0068236B">
              <w:rPr>
                <w:rFonts w:cs="Tahoma"/>
                <w:color w:val="000000" w:themeColor="text1"/>
                <w:sz w:val="20"/>
                <w:szCs w:val="20"/>
              </w:rPr>
              <w:t xml:space="preserve"> of the EU Habitats Directive</w:t>
            </w:r>
          </w:p>
          <w:p w14:paraId="06F527B9" w14:textId="77777777" w:rsidR="00733662" w:rsidRPr="0068236B" w:rsidRDefault="00733662" w:rsidP="0042317A">
            <w:pPr>
              <w:spacing w:before="0" w:after="0" w:line="240" w:lineRule="auto"/>
              <w:jc w:val="left"/>
              <w:rPr>
                <w:rFonts w:cs="Tahoma"/>
                <w:sz w:val="20"/>
                <w:szCs w:val="20"/>
              </w:rPr>
            </w:pPr>
          </w:p>
        </w:tc>
        <w:tc>
          <w:tcPr>
            <w:tcW w:w="3436" w:type="dxa"/>
            <w:tcBorders>
              <w:top w:val="single" w:sz="4" w:space="0" w:color="auto"/>
              <w:left w:val="single" w:sz="4" w:space="0" w:color="auto"/>
              <w:bottom w:val="single" w:sz="4" w:space="0" w:color="auto"/>
              <w:right w:val="single" w:sz="4" w:space="0" w:color="auto"/>
            </w:tcBorders>
          </w:tcPr>
          <w:p w14:paraId="0601A759" w14:textId="67C556D0" w:rsidR="00733662" w:rsidRPr="0068236B" w:rsidRDefault="00733662" w:rsidP="0042317A">
            <w:pPr>
              <w:autoSpaceDE w:val="0"/>
              <w:autoSpaceDN w:val="0"/>
              <w:adjustRightInd w:val="0"/>
              <w:spacing w:before="0" w:after="0" w:line="240" w:lineRule="auto"/>
              <w:jc w:val="left"/>
              <w:rPr>
                <w:rFonts w:cs="Tahoma"/>
                <w:color w:val="000000"/>
                <w:sz w:val="20"/>
                <w:szCs w:val="20"/>
              </w:rPr>
            </w:pPr>
            <w:r w:rsidRPr="0068236B">
              <w:rPr>
                <w:rFonts w:cs="Tahoma"/>
                <w:color w:val="000000"/>
                <w:sz w:val="20"/>
                <w:szCs w:val="20"/>
              </w:rPr>
              <w:t>No measurable direct impact (mo</w:t>
            </w:r>
            <w:r w:rsidRPr="0068236B">
              <w:rPr>
                <w:rFonts w:cs="Tahoma"/>
                <w:color w:val="000000"/>
                <w:sz w:val="20"/>
                <w:szCs w:val="20"/>
              </w:rPr>
              <w:t>r</w:t>
            </w:r>
            <w:r w:rsidRPr="0068236B">
              <w:rPr>
                <w:rFonts w:cs="Tahoma"/>
                <w:color w:val="000000"/>
                <w:sz w:val="20"/>
                <w:szCs w:val="20"/>
              </w:rPr>
              <w:t>tality) is expected during the co</w:t>
            </w:r>
            <w:r w:rsidRPr="0068236B">
              <w:rPr>
                <w:rFonts w:cs="Tahoma"/>
                <w:color w:val="000000"/>
                <w:sz w:val="20"/>
                <w:szCs w:val="20"/>
              </w:rPr>
              <w:t>n</w:t>
            </w:r>
            <w:r w:rsidRPr="0068236B">
              <w:rPr>
                <w:rFonts w:cs="Tahoma"/>
                <w:color w:val="000000"/>
                <w:sz w:val="20"/>
                <w:szCs w:val="20"/>
              </w:rPr>
              <w:t>struction works in the vicinity of</w:t>
            </w:r>
            <w:r w:rsidR="004C657D" w:rsidRPr="0068236B">
              <w:rPr>
                <w:rFonts w:cs="Tahoma"/>
                <w:color w:val="000000"/>
                <w:sz w:val="20"/>
                <w:szCs w:val="20"/>
              </w:rPr>
              <w:t xml:space="preserve"> rivers Vardar and Anska Reka. </w:t>
            </w:r>
            <w:r w:rsidRPr="0068236B">
              <w:rPr>
                <w:rFonts w:cs="Tahoma"/>
                <w:color w:val="000000"/>
                <w:sz w:val="20"/>
                <w:szCs w:val="20"/>
              </w:rPr>
              <w:t>Ne</w:t>
            </w:r>
            <w:r w:rsidRPr="0068236B">
              <w:rPr>
                <w:rFonts w:cs="Tahoma"/>
                <w:color w:val="000000"/>
                <w:sz w:val="20"/>
                <w:szCs w:val="20"/>
              </w:rPr>
              <w:t>g</w:t>
            </w:r>
            <w:r w:rsidRPr="0068236B">
              <w:rPr>
                <w:rFonts w:cs="Tahoma"/>
                <w:color w:val="000000"/>
                <w:sz w:val="20"/>
                <w:szCs w:val="20"/>
              </w:rPr>
              <w:t>ligible indirect impact (habitats loss) may occur.</w:t>
            </w:r>
          </w:p>
        </w:tc>
        <w:tc>
          <w:tcPr>
            <w:tcW w:w="3023" w:type="dxa"/>
            <w:tcBorders>
              <w:top w:val="single" w:sz="4" w:space="0" w:color="auto"/>
              <w:left w:val="single" w:sz="4" w:space="0" w:color="auto"/>
              <w:bottom w:val="single" w:sz="4" w:space="0" w:color="auto"/>
            </w:tcBorders>
          </w:tcPr>
          <w:p w14:paraId="087DAB38" w14:textId="113F490B" w:rsidR="00733662" w:rsidRPr="0068236B" w:rsidRDefault="00733662" w:rsidP="0042317A">
            <w:pPr>
              <w:autoSpaceDE w:val="0"/>
              <w:autoSpaceDN w:val="0"/>
              <w:adjustRightInd w:val="0"/>
              <w:spacing w:before="0" w:after="0" w:line="240" w:lineRule="auto"/>
              <w:jc w:val="left"/>
              <w:rPr>
                <w:rFonts w:cs="Tahoma"/>
                <w:color w:val="000000"/>
                <w:sz w:val="20"/>
                <w:szCs w:val="20"/>
              </w:rPr>
            </w:pPr>
            <w:r w:rsidRPr="0068236B">
              <w:rPr>
                <w:rFonts w:cs="Tahoma"/>
                <w:color w:val="000000"/>
                <w:sz w:val="20"/>
                <w:szCs w:val="20"/>
              </w:rPr>
              <w:t xml:space="preserve">No impact is expected. </w:t>
            </w:r>
            <w:r w:rsidR="00037133" w:rsidRPr="0068236B">
              <w:rPr>
                <w:rFonts w:cs="Tahoma"/>
                <w:color w:val="000000"/>
                <w:sz w:val="20"/>
                <w:szCs w:val="20"/>
              </w:rPr>
              <w:t xml:space="preserve"> The species is semiaquatic. There are no data on the impact of vibrations on this species.</w:t>
            </w:r>
          </w:p>
        </w:tc>
      </w:tr>
      <w:tr w:rsidR="00733662" w:rsidRPr="0068236B" w14:paraId="5DB56D3A" w14:textId="77777777" w:rsidTr="00733662">
        <w:trPr>
          <w:trHeight w:val="682"/>
          <w:jc w:val="center"/>
        </w:trPr>
        <w:tc>
          <w:tcPr>
            <w:tcW w:w="3165" w:type="dxa"/>
            <w:tcBorders>
              <w:top w:val="single" w:sz="4" w:space="0" w:color="auto"/>
              <w:bottom w:val="single" w:sz="4" w:space="0" w:color="auto"/>
              <w:right w:val="single" w:sz="4" w:space="0" w:color="auto"/>
            </w:tcBorders>
          </w:tcPr>
          <w:p w14:paraId="1D406466" w14:textId="77777777" w:rsidR="00733662" w:rsidRPr="0068236B" w:rsidRDefault="00733662" w:rsidP="0042317A">
            <w:pPr>
              <w:spacing w:before="0" w:after="0" w:line="240" w:lineRule="auto"/>
              <w:jc w:val="left"/>
              <w:rPr>
                <w:rFonts w:cs="Tahoma"/>
                <w:sz w:val="20"/>
                <w:szCs w:val="20"/>
              </w:rPr>
            </w:pPr>
            <w:r w:rsidRPr="0068236B">
              <w:rPr>
                <w:rFonts w:cs="Tahoma"/>
                <w:i/>
                <w:sz w:val="20"/>
                <w:szCs w:val="20"/>
              </w:rPr>
              <w:t xml:space="preserve">Common kingfisher </w:t>
            </w:r>
            <w:r w:rsidRPr="0068236B">
              <w:rPr>
                <w:rFonts w:cs="Tahoma"/>
                <w:sz w:val="20"/>
                <w:szCs w:val="20"/>
              </w:rPr>
              <w:t>(</w:t>
            </w:r>
            <w:r w:rsidRPr="0068236B">
              <w:rPr>
                <w:rFonts w:cs="Tahoma"/>
                <w:i/>
                <w:sz w:val="20"/>
                <w:szCs w:val="20"/>
              </w:rPr>
              <w:t>Alcedo a</w:t>
            </w:r>
            <w:r w:rsidRPr="0068236B">
              <w:rPr>
                <w:rFonts w:cs="Tahoma"/>
                <w:i/>
                <w:sz w:val="20"/>
                <w:szCs w:val="20"/>
              </w:rPr>
              <w:t>t</w:t>
            </w:r>
            <w:r w:rsidRPr="0068236B">
              <w:rPr>
                <w:rFonts w:cs="Tahoma"/>
                <w:i/>
                <w:sz w:val="20"/>
                <w:szCs w:val="20"/>
              </w:rPr>
              <w:t>this</w:t>
            </w:r>
            <w:r w:rsidRPr="0068236B">
              <w:rPr>
                <w:rFonts w:cs="Tahoma"/>
                <w:sz w:val="20"/>
                <w:szCs w:val="20"/>
              </w:rPr>
              <w:t>)</w:t>
            </w:r>
          </w:p>
          <w:p w14:paraId="4A5861B0" w14:textId="77777777" w:rsidR="00733662" w:rsidRPr="0068236B" w:rsidRDefault="00733662" w:rsidP="0042317A">
            <w:pPr>
              <w:spacing w:before="0" w:after="0" w:line="240" w:lineRule="auto"/>
              <w:jc w:val="left"/>
              <w:rPr>
                <w:rFonts w:cs="Tahoma"/>
                <w:sz w:val="20"/>
                <w:szCs w:val="20"/>
              </w:rPr>
            </w:pPr>
          </w:p>
          <w:p w14:paraId="3BA88577" w14:textId="77777777" w:rsidR="00733662" w:rsidRPr="0068236B" w:rsidRDefault="00733662" w:rsidP="0042317A">
            <w:pPr>
              <w:spacing w:before="0" w:after="0" w:line="240" w:lineRule="auto"/>
              <w:jc w:val="left"/>
              <w:rPr>
                <w:rFonts w:cs="Tahoma"/>
                <w:sz w:val="20"/>
                <w:szCs w:val="20"/>
              </w:rPr>
            </w:pPr>
            <w:r w:rsidRPr="0068236B">
              <w:rPr>
                <w:rFonts w:cs="Tahoma"/>
                <w:color w:val="000000"/>
                <w:sz w:val="20"/>
                <w:szCs w:val="20"/>
              </w:rPr>
              <w:t>PBF (vulnerable species accor</w:t>
            </w:r>
            <w:r w:rsidRPr="0068236B">
              <w:rPr>
                <w:rFonts w:cs="Tahoma"/>
                <w:color w:val="000000"/>
                <w:sz w:val="20"/>
                <w:szCs w:val="20"/>
              </w:rPr>
              <w:t>d</w:t>
            </w:r>
            <w:r w:rsidRPr="0068236B">
              <w:rPr>
                <w:rFonts w:cs="Tahoma"/>
                <w:color w:val="000000"/>
                <w:sz w:val="20"/>
                <w:szCs w:val="20"/>
              </w:rPr>
              <w:t>ing to IUCN)</w:t>
            </w:r>
          </w:p>
        </w:tc>
        <w:tc>
          <w:tcPr>
            <w:tcW w:w="3436" w:type="dxa"/>
            <w:tcBorders>
              <w:top w:val="single" w:sz="4" w:space="0" w:color="auto"/>
              <w:left w:val="single" w:sz="4" w:space="0" w:color="auto"/>
              <w:bottom w:val="single" w:sz="4" w:space="0" w:color="auto"/>
              <w:right w:val="single" w:sz="4" w:space="0" w:color="auto"/>
            </w:tcBorders>
          </w:tcPr>
          <w:p w14:paraId="4B14E89E" w14:textId="77777777" w:rsidR="00733662" w:rsidRPr="0068236B" w:rsidRDefault="00733662" w:rsidP="0042317A">
            <w:pPr>
              <w:autoSpaceDE w:val="0"/>
              <w:autoSpaceDN w:val="0"/>
              <w:adjustRightInd w:val="0"/>
              <w:spacing w:before="0" w:after="0" w:line="240" w:lineRule="auto"/>
              <w:jc w:val="left"/>
              <w:rPr>
                <w:rFonts w:cs="Tahoma"/>
                <w:color w:val="000000"/>
                <w:sz w:val="20"/>
                <w:szCs w:val="20"/>
              </w:rPr>
            </w:pPr>
            <w:r w:rsidRPr="0068236B">
              <w:rPr>
                <w:rFonts w:cs="Tahoma"/>
                <w:color w:val="000000"/>
                <w:sz w:val="20"/>
                <w:szCs w:val="20"/>
              </w:rPr>
              <w:t>Negligible direct impact (distur</w:t>
            </w:r>
            <w:r w:rsidRPr="0068236B">
              <w:rPr>
                <w:rFonts w:cs="Tahoma"/>
                <w:color w:val="000000"/>
                <w:sz w:val="20"/>
                <w:szCs w:val="20"/>
              </w:rPr>
              <w:t>b</w:t>
            </w:r>
            <w:r w:rsidRPr="0068236B">
              <w:rPr>
                <w:rFonts w:cs="Tahoma"/>
                <w:color w:val="000000"/>
                <w:sz w:val="20"/>
                <w:szCs w:val="20"/>
              </w:rPr>
              <w:t>ance) may be expected during the construction works in the vicinity of rivers Vardar and Anska Reka.</w:t>
            </w:r>
          </w:p>
        </w:tc>
        <w:tc>
          <w:tcPr>
            <w:tcW w:w="3023" w:type="dxa"/>
            <w:tcBorders>
              <w:top w:val="single" w:sz="4" w:space="0" w:color="auto"/>
              <w:left w:val="single" w:sz="4" w:space="0" w:color="auto"/>
              <w:bottom w:val="single" w:sz="4" w:space="0" w:color="auto"/>
            </w:tcBorders>
          </w:tcPr>
          <w:p w14:paraId="7C2CCCB0" w14:textId="5C1E1F88" w:rsidR="00733662" w:rsidRPr="0068236B" w:rsidRDefault="00037133" w:rsidP="0042317A">
            <w:pPr>
              <w:autoSpaceDE w:val="0"/>
              <w:autoSpaceDN w:val="0"/>
              <w:adjustRightInd w:val="0"/>
              <w:spacing w:before="0" w:after="0" w:line="240" w:lineRule="auto"/>
              <w:jc w:val="left"/>
              <w:rPr>
                <w:rFonts w:cs="Tahoma"/>
                <w:color w:val="000000"/>
                <w:sz w:val="20"/>
                <w:szCs w:val="20"/>
              </w:rPr>
            </w:pPr>
            <w:r w:rsidRPr="0068236B">
              <w:rPr>
                <w:rFonts w:cs="Tahoma"/>
                <w:color w:val="000000"/>
                <w:sz w:val="20"/>
                <w:szCs w:val="20"/>
              </w:rPr>
              <w:t>The risk of collisions is a</w:t>
            </w:r>
            <w:r w:rsidRPr="0068236B">
              <w:rPr>
                <w:rFonts w:cs="Tahoma"/>
                <w:color w:val="000000"/>
                <w:sz w:val="20"/>
                <w:szCs w:val="20"/>
              </w:rPr>
              <w:t>s</w:t>
            </w:r>
            <w:r w:rsidRPr="0068236B">
              <w:rPr>
                <w:rFonts w:cs="Tahoma"/>
                <w:color w:val="000000"/>
                <w:sz w:val="20"/>
                <w:szCs w:val="20"/>
              </w:rPr>
              <w:t>sessed as: no apparent threat to the bird population to r</w:t>
            </w:r>
            <w:r w:rsidRPr="0068236B">
              <w:rPr>
                <w:rFonts w:cs="Tahoma"/>
                <w:color w:val="000000"/>
                <w:sz w:val="20"/>
                <w:szCs w:val="20"/>
              </w:rPr>
              <w:t>e</w:t>
            </w:r>
            <w:r w:rsidRPr="0068236B">
              <w:rPr>
                <w:rFonts w:cs="Tahoma"/>
                <w:color w:val="000000"/>
                <w:sz w:val="20"/>
                <w:szCs w:val="20"/>
              </w:rPr>
              <w:t>gionally or locally high casua</w:t>
            </w:r>
            <w:r w:rsidRPr="0068236B">
              <w:rPr>
                <w:rFonts w:cs="Tahoma"/>
                <w:color w:val="000000"/>
                <w:sz w:val="20"/>
                <w:szCs w:val="20"/>
              </w:rPr>
              <w:t>l</w:t>
            </w:r>
            <w:r w:rsidRPr="0068236B">
              <w:rPr>
                <w:rFonts w:cs="Tahoma"/>
                <w:color w:val="000000"/>
                <w:sz w:val="20"/>
                <w:szCs w:val="20"/>
              </w:rPr>
              <w:t>ties, but with no significant impact on the overall species population.</w:t>
            </w:r>
          </w:p>
        </w:tc>
      </w:tr>
      <w:tr w:rsidR="00733662" w:rsidRPr="0068236B" w14:paraId="4B073190" w14:textId="77777777" w:rsidTr="00733662">
        <w:trPr>
          <w:trHeight w:val="682"/>
          <w:jc w:val="center"/>
        </w:trPr>
        <w:tc>
          <w:tcPr>
            <w:tcW w:w="3165" w:type="dxa"/>
            <w:tcBorders>
              <w:top w:val="single" w:sz="4" w:space="0" w:color="auto"/>
              <w:bottom w:val="double" w:sz="4" w:space="0" w:color="auto"/>
              <w:right w:val="single" w:sz="4" w:space="0" w:color="auto"/>
            </w:tcBorders>
          </w:tcPr>
          <w:p w14:paraId="142C3C7D" w14:textId="77777777" w:rsidR="00733662" w:rsidRPr="0068236B" w:rsidRDefault="00733662" w:rsidP="0042317A">
            <w:pPr>
              <w:autoSpaceDE w:val="0"/>
              <w:autoSpaceDN w:val="0"/>
              <w:adjustRightInd w:val="0"/>
              <w:spacing w:before="0" w:after="0" w:line="240" w:lineRule="auto"/>
              <w:jc w:val="left"/>
              <w:rPr>
                <w:rFonts w:cs="Tahoma"/>
                <w:color w:val="000000"/>
                <w:sz w:val="20"/>
                <w:szCs w:val="20"/>
              </w:rPr>
            </w:pPr>
            <w:r w:rsidRPr="0068236B">
              <w:rPr>
                <w:rFonts w:cs="Tahoma"/>
                <w:color w:val="000000"/>
                <w:sz w:val="20"/>
                <w:szCs w:val="20"/>
              </w:rPr>
              <w:t>European turtle dove (</w:t>
            </w:r>
            <w:r w:rsidRPr="0068236B">
              <w:rPr>
                <w:rFonts w:cs="Tahoma"/>
                <w:i/>
                <w:color w:val="000000"/>
                <w:sz w:val="20"/>
                <w:szCs w:val="20"/>
              </w:rPr>
              <w:t>Streptop</w:t>
            </w:r>
            <w:r w:rsidRPr="0068236B">
              <w:rPr>
                <w:rFonts w:cs="Tahoma"/>
                <w:i/>
                <w:color w:val="000000"/>
                <w:sz w:val="20"/>
                <w:szCs w:val="20"/>
              </w:rPr>
              <w:t>e</w:t>
            </w:r>
            <w:r w:rsidRPr="0068236B">
              <w:rPr>
                <w:rFonts w:cs="Tahoma"/>
                <w:i/>
                <w:color w:val="000000"/>
                <w:sz w:val="20"/>
                <w:szCs w:val="20"/>
              </w:rPr>
              <w:t>lia turtur</w:t>
            </w:r>
            <w:r w:rsidRPr="0068236B">
              <w:rPr>
                <w:rFonts w:cs="Tahoma"/>
                <w:color w:val="000000"/>
                <w:sz w:val="20"/>
                <w:szCs w:val="20"/>
              </w:rPr>
              <w:t>)</w:t>
            </w:r>
          </w:p>
          <w:p w14:paraId="001948E7" w14:textId="77777777" w:rsidR="00733662" w:rsidRPr="0068236B" w:rsidRDefault="00733662" w:rsidP="0042317A">
            <w:pPr>
              <w:spacing w:before="0" w:after="0" w:line="240" w:lineRule="auto"/>
              <w:jc w:val="left"/>
              <w:rPr>
                <w:rFonts w:cs="Tahoma"/>
                <w:sz w:val="20"/>
                <w:szCs w:val="20"/>
              </w:rPr>
            </w:pPr>
          </w:p>
          <w:p w14:paraId="650E6FF3" w14:textId="77777777" w:rsidR="00733662" w:rsidRPr="0068236B" w:rsidRDefault="00733662" w:rsidP="0042317A">
            <w:pPr>
              <w:autoSpaceDE w:val="0"/>
              <w:autoSpaceDN w:val="0"/>
              <w:adjustRightInd w:val="0"/>
              <w:spacing w:before="0" w:after="0" w:line="240" w:lineRule="auto"/>
              <w:jc w:val="left"/>
              <w:rPr>
                <w:rFonts w:cs="Tahoma"/>
                <w:color w:val="000000"/>
                <w:sz w:val="20"/>
                <w:szCs w:val="20"/>
              </w:rPr>
            </w:pPr>
            <w:r w:rsidRPr="0068236B">
              <w:rPr>
                <w:rFonts w:cs="Tahoma"/>
                <w:color w:val="000000"/>
                <w:sz w:val="20"/>
                <w:szCs w:val="20"/>
              </w:rPr>
              <w:t>PBF (vulnerable species accor</w:t>
            </w:r>
            <w:r w:rsidRPr="0068236B">
              <w:rPr>
                <w:rFonts w:cs="Tahoma"/>
                <w:color w:val="000000"/>
                <w:sz w:val="20"/>
                <w:szCs w:val="20"/>
              </w:rPr>
              <w:t>d</w:t>
            </w:r>
            <w:r w:rsidRPr="0068236B">
              <w:rPr>
                <w:rFonts w:cs="Tahoma"/>
                <w:color w:val="000000"/>
                <w:sz w:val="20"/>
                <w:szCs w:val="20"/>
              </w:rPr>
              <w:t>ing to IUCN)</w:t>
            </w:r>
          </w:p>
        </w:tc>
        <w:tc>
          <w:tcPr>
            <w:tcW w:w="3436" w:type="dxa"/>
            <w:tcBorders>
              <w:top w:val="single" w:sz="4" w:space="0" w:color="auto"/>
              <w:left w:val="single" w:sz="4" w:space="0" w:color="auto"/>
              <w:bottom w:val="double" w:sz="4" w:space="0" w:color="auto"/>
              <w:right w:val="single" w:sz="4" w:space="0" w:color="auto"/>
            </w:tcBorders>
          </w:tcPr>
          <w:p w14:paraId="75E9B9A8" w14:textId="77777777" w:rsidR="00733662" w:rsidRPr="0068236B" w:rsidRDefault="00733662" w:rsidP="0042317A">
            <w:pPr>
              <w:autoSpaceDE w:val="0"/>
              <w:autoSpaceDN w:val="0"/>
              <w:adjustRightInd w:val="0"/>
              <w:spacing w:before="0" w:after="0" w:line="240" w:lineRule="auto"/>
              <w:jc w:val="left"/>
              <w:rPr>
                <w:rFonts w:cs="Tahoma"/>
                <w:color w:val="000000"/>
                <w:sz w:val="20"/>
                <w:szCs w:val="20"/>
              </w:rPr>
            </w:pPr>
            <w:r w:rsidRPr="0068236B">
              <w:rPr>
                <w:rFonts w:cs="Tahoma"/>
                <w:color w:val="000000"/>
                <w:sz w:val="20"/>
                <w:szCs w:val="20"/>
              </w:rPr>
              <w:t>Negligible direct impact (distur</w:t>
            </w:r>
            <w:r w:rsidRPr="0068236B">
              <w:rPr>
                <w:rFonts w:cs="Tahoma"/>
                <w:color w:val="000000"/>
                <w:sz w:val="20"/>
                <w:szCs w:val="20"/>
              </w:rPr>
              <w:t>b</w:t>
            </w:r>
            <w:r w:rsidRPr="0068236B">
              <w:rPr>
                <w:rFonts w:cs="Tahoma"/>
                <w:color w:val="000000"/>
                <w:sz w:val="20"/>
                <w:szCs w:val="20"/>
              </w:rPr>
              <w:t>ance) may be expected during the construction works in the whole area.</w:t>
            </w:r>
          </w:p>
        </w:tc>
        <w:tc>
          <w:tcPr>
            <w:tcW w:w="3023" w:type="dxa"/>
            <w:tcBorders>
              <w:top w:val="single" w:sz="4" w:space="0" w:color="auto"/>
              <w:left w:val="single" w:sz="4" w:space="0" w:color="auto"/>
              <w:bottom w:val="double" w:sz="4" w:space="0" w:color="auto"/>
            </w:tcBorders>
          </w:tcPr>
          <w:p w14:paraId="22845D97" w14:textId="0AAC9D92" w:rsidR="00733662" w:rsidRPr="0068236B" w:rsidRDefault="00037133" w:rsidP="0042317A">
            <w:pPr>
              <w:autoSpaceDE w:val="0"/>
              <w:autoSpaceDN w:val="0"/>
              <w:adjustRightInd w:val="0"/>
              <w:spacing w:before="0" w:after="0" w:line="240" w:lineRule="auto"/>
              <w:jc w:val="left"/>
              <w:rPr>
                <w:rFonts w:cs="Tahoma"/>
                <w:noProof/>
                <w:color w:val="000000"/>
                <w:sz w:val="20"/>
                <w:szCs w:val="20"/>
                <w:lang w:eastAsia="mk-MK"/>
              </w:rPr>
            </w:pPr>
            <w:r w:rsidRPr="0068236B">
              <w:rPr>
                <w:rFonts w:cs="Tahoma"/>
                <w:noProof/>
                <w:color w:val="000000"/>
                <w:sz w:val="20"/>
                <w:szCs w:val="20"/>
                <w:lang w:eastAsia="mk-MK"/>
              </w:rPr>
              <w:t xml:space="preserve">The risk of collisions is assessed as </w:t>
            </w:r>
            <w:r w:rsidRPr="0068236B">
              <w:rPr>
                <w:rFonts w:cs="Arial"/>
                <w:sz w:val="20"/>
                <w:szCs w:val="20"/>
              </w:rPr>
              <w:t>regionally or locally high casualties, but with no significant impact on the ove</w:t>
            </w:r>
            <w:r w:rsidRPr="0068236B">
              <w:rPr>
                <w:rFonts w:cs="Arial"/>
                <w:sz w:val="20"/>
                <w:szCs w:val="20"/>
              </w:rPr>
              <w:t>r</w:t>
            </w:r>
            <w:r w:rsidRPr="0068236B">
              <w:rPr>
                <w:rFonts w:cs="Arial"/>
                <w:sz w:val="20"/>
                <w:szCs w:val="20"/>
              </w:rPr>
              <w:t>all species population</w:t>
            </w:r>
          </w:p>
        </w:tc>
      </w:tr>
    </w:tbl>
    <w:p w14:paraId="06B4FA44" w14:textId="73CC6FEF" w:rsidR="00733662" w:rsidRPr="0068236B" w:rsidRDefault="00733662" w:rsidP="00733662">
      <w:pPr>
        <w:pStyle w:val="Caption"/>
        <w:spacing w:after="240" w:line="240" w:lineRule="auto"/>
        <w:jc w:val="left"/>
        <w:rPr>
          <w:rFonts w:eastAsia="Calibri"/>
          <w:b w:val="0"/>
        </w:rPr>
      </w:pPr>
      <w:bookmarkStart w:id="505" w:name="_Toc113018235"/>
      <w:r w:rsidRPr="0068236B">
        <w:rPr>
          <w:b w:val="0"/>
        </w:rPr>
        <w:t xml:space="preserve">Table </w:t>
      </w:r>
      <w:r w:rsidRPr="0068236B">
        <w:rPr>
          <w:b w:val="0"/>
          <w:i/>
        </w:rPr>
        <w:fldChar w:fldCharType="begin"/>
      </w:r>
      <w:r w:rsidRPr="0068236B">
        <w:rPr>
          <w:b w:val="0"/>
        </w:rPr>
        <w:instrText xml:space="preserve"> STYLEREF 1 \s </w:instrText>
      </w:r>
      <w:r w:rsidRPr="0068236B">
        <w:rPr>
          <w:b w:val="0"/>
          <w:i/>
        </w:rPr>
        <w:fldChar w:fldCharType="separate"/>
      </w:r>
      <w:r w:rsidR="00FD57E6">
        <w:rPr>
          <w:b w:val="0"/>
          <w:noProof/>
        </w:rPr>
        <w:t>8</w:t>
      </w:r>
      <w:r w:rsidRPr="0068236B">
        <w:rPr>
          <w:b w:val="0"/>
          <w:i/>
        </w:rPr>
        <w:fldChar w:fldCharType="end"/>
      </w:r>
      <w:r w:rsidRPr="0068236B">
        <w:rPr>
          <w:b w:val="0"/>
          <w:i/>
        </w:rPr>
        <w:t>.</w:t>
      </w:r>
      <w:r w:rsidRPr="0068236B">
        <w:rPr>
          <w:b w:val="0"/>
          <w:i/>
        </w:rPr>
        <w:fldChar w:fldCharType="begin"/>
      </w:r>
      <w:r w:rsidRPr="0068236B">
        <w:rPr>
          <w:b w:val="0"/>
        </w:rPr>
        <w:instrText xml:space="preserve"> SEQ Table \* ARABIC \s 1 </w:instrText>
      </w:r>
      <w:r w:rsidRPr="0068236B">
        <w:rPr>
          <w:b w:val="0"/>
          <w:i/>
        </w:rPr>
        <w:fldChar w:fldCharType="separate"/>
      </w:r>
      <w:r w:rsidR="00FD57E6">
        <w:rPr>
          <w:b w:val="0"/>
          <w:noProof/>
        </w:rPr>
        <w:t>39</w:t>
      </w:r>
      <w:r w:rsidRPr="0068236B">
        <w:rPr>
          <w:b w:val="0"/>
          <w:i/>
        </w:rPr>
        <w:fldChar w:fldCharType="end"/>
      </w:r>
      <w:r w:rsidRPr="0068236B">
        <w:rPr>
          <w:rFonts w:eastAsia="Calibri"/>
          <w:b w:val="0"/>
        </w:rPr>
        <w:t xml:space="preserve">: Summary of impacts to </w:t>
      </w:r>
      <w:r w:rsidRPr="0068236B">
        <w:rPr>
          <w:rFonts w:cs="Tahoma"/>
          <w:b w:val="0"/>
        </w:rPr>
        <w:t>Key Biodiversity Features</w:t>
      </w:r>
      <w:bookmarkEnd w:id="505"/>
    </w:p>
    <w:p w14:paraId="58C10417" w14:textId="5233C3F8" w:rsidR="00733662" w:rsidRPr="0068236B" w:rsidRDefault="00733662" w:rsidP="00733662">
      <w:pPr>
        <w:pStyle w:val="ListBullet"/>
        <w:numPr>
          <w:ilvl w:val="0"/>
          <w:numId w:val="0"/>
        </w:numPr>
        <w:jc w:val="left"/>
        <w:rPr>
          <w:sz w:val="20"/>
        </w:rPr>
      </w:pPr>
      <w:r w:rsidRPr="0068236B">
        <w:rPr>
          <w:sz w:val="20"/>
        </w:rPr>
        <w:t xml:space="preserve">It is concluded that the Project construction and operation will have no measurable impact on the </w:t>
      </w:r>
      <w:r w:rsidRPr="0068236B">
        <w:rPr>
          <w:rFonts w:cs="Tahoma"/>
          <w:sz w:val="20"/>
        </w:rPr>
        <w:t>Key Biod</w:t>
      </w:r>
      <w:r w:rsidRPr="0068236B">
        <w:rPr>
          <w:rFonts w:cs="Tahoma"/>
          <w:sz w:val="20"/>
        </w:rPr>
        <w:t>i</w:t>
      </w:r>
      <w:r w:rsidRPr="0068236B">
        <w:rPr>
          <w:rFonts w:cs="Tahoma"/>
          <w:sz w:val="20"/>
        </w:rPr>
        <w:t xml:space="preserve">versity Features (Critical Habitat – CH and Priority Biodiversity Features - PBF) i.e. no-net-biodiversity-loss is </w:t>
      </w:r>
      <w:r w:rsidRPr="0068236B">
        <w:rPr>
          <w:rFonts w:cs="Tahoma"/>
          <w:sz w:val="20"/>
        </w:rPr>
        <w:lastRenderedPageBreak/>
        <w:t>expected. The mitigation proposed in this assessment will secure no-net-biodiversity-loss and will (to a ce</w:t>
      </w:r>
      <w:r w:rsidRPr="0068236B">
        <w:rPr>
          <w:rFonts w:cs="Tahoma"/>
          <w:sz w:val="20"/>
        </w:rPr>
        <w:t>r</w:t>
      </w:r>
      <w:r w:rsidRPr="0068236B">
        <w:rPr>
          <w:rFonts w:cs="Tahoma"/>
          <w:sz w:val="20"/>
        </w:rPr>
        <w:t>tain extent) be beneficial (net gain) for critical habitats.</w:t>
      </w:r>
    </w:p>
    <w:p w14:paraId="7C70698C" w14:textId="77777777" w:rsidR="003B46E3" w:rsidRPr="0068236B" w:rsidRDefault="003B46E3" w:rsidP="003B46E3">
      <w:pPr>
        <w:pStyle w:val="Heading3"/>
        <w:spacing w:line="240" w:lineRule="auto"/>
        <w:ind w:left="993" w:hanging="993"/>
      </w:pPr>
      <w:bookmarkStart w:id="506" w:name="_Toc112852292"/>
      <w:r w:rsidRPr="0068236B">
        <w:t>Mitigation</w:t>
      </w:r>
      <w:bookmarkEnd w:id="501"/>
      <w:bookmarkEnd w:id="506"/>
    </w:p>
    <w:p w14:paraId="3807CD17" w14:textId="215B08DC" w:rsidR="00733662" w:rsidRPr="0068236B" w:rsidRDefault="00733662" w:rsidP="00733662">
      <w:pPr>
        <w:pStyle w:val="NumberedParagraph"/>
        <w:rPr>
          <w:rFonts w:cs="Tahoma"/>
          <w:sz w:val="20"/>
          <w:szCs w:val="20"/>
          <w:lang w:eastAsia="en-US"/>
        </w:rPr>
      </w:pPr>
      <w:r w:rsidRPr="0068236B">
        <w:rPr>
          <w:rFonts w:cs="Tahoma"/>
          <w:sz w:val="20"/>
          <w:szCs w:val="20"/>
          <w:lang w:eastAsia="en-US"/>
        </w:rPr>
        <w:t xml:space="preserve">Primary mitigation measures are embedded within the Project design to date. </w:t>
      </w:r>
      <w:r w:rsidRPr="0068236B">
        <w:rPr>
          <w:rFonts w:cs="Tahoma"/>
          <w:sz w:val="20"/>
          <w:szCs w:val="20"/>
        </w:rPr>
        <w:t>Based</w:t>
      </w:r>
      <w:r w:rsidRPr="0068236B">
        <w:rPr>
          <w:rFonts w:cs="Tahoma"/>
          <w:sz w:val="20"/>
          <w:szCs w:val="20"/>
          <w:lang w:eastAsia="en-US"/>
        </w:rPr>
        <w:t xml:space="preserve"> on the principles of the mitigation hierarchy (by implementing the preventive approach of ‘mitigation through design’), the designing process to date has achieved to completely avoid protected/designated areas. This was done by integrating the impact avoidance strategy into the</w:t>
      </w:r>
      <w:r w:rsidRPr="0068236B">
        <w:rPr>
          <w:rFonts w:cs="Tahoma"/>
          <w:sz w:val="20"/>
          <w:szCs w:val="20"/>
        </w:rPr>
        <w:t xml:space="preserve"> previous project stage – Project options identification and analysis, and selection of the preferred option for further development</w:t>
      </w:r>
      <w:r w:rsidRPr="0068236B">
        <w:rPr>
          <w:rStyle w:val="FootnoteReference"/>
          <w:rFonts w:cs="Tahoma"/>
          <w:sz w:val="20"/>
          <w:szCs w:val="20"/>
        </w:rPr>
        <w:footnoteReference w:id="130"/>
      </w:r>
      <w:r w:rsidRPr="0068236B">
        <w:rPr>
          <w:rFonts w:cs="Tahoma"/>
          <w:sz w:val="20"/>
          <w:szCs w:val="20"/>
        </w:rPr>
        <w:t xml:space="preserve"> which resulted in siting the Project </w:t>
      </w:r>
      <w:r w:rsidRPr="0068236B">
        <w:rPr>
          <w:rFonts w:cs="Tahoma"/>
          <w:sz w:val="20"/>
          <w:szCs w:val="20"/>
          <w:lang w:eastAsia="en-US"/>
        </w:rPr>
        <w:t xml:space="preserve">away from the protected/designated areas situated in the wider Project region. </w:t>
      </w:r>
    </w:p>
    <w:p w14:paraId="18433103" w14:textId="74F13074" w:rsidR="00A77183" w:rsidRPr="0068236B" w:rsidRDefault="00733662" w:rsidP="00A77183">
      <w:pPr>
        <w:pStyle w:val="NumberedParagraph"/>
        <w:rPr>
          <w:rFonts w:cs="Tahoma"/>
          <w:sz w:val="20"/>
          <w:szCs w:val="20"/>
        </w:rPr>
      </w:pPr>
      <w:r w:rsidRPr="0068236B">
        <w:rPr>
          <w:rFonts w:cs="Tahoma"/>
          <w:sz w:val="20"/>
          <w:szCs w:val="20"/>
          <w:lang w:eastAsia="en-US"/>
        </w:rPr>
        <w:t>The proposed mitigation measures in the construction and operation phases are designed for all of the bi</w:t>
      </w:r>
      <w:r w:rsidRPr="0068236B">
        <w:rPr>
          <w:rFonts w:cs="Tahoma"/>
          <w:sz w:val="20"/>
          <w:szCs w:val="20"/>
          <w:lang w:eastAsia="en-US"/>
        </w:rPr>
        <w:t>o</w:t>
      </w:r>
      <w:r w:rsidRPr="0068236B">
        <w:rPr>
          <w:rFonts w:cs="Tahoma"/>
          <w:sz w:val="20"/>
          <w:szCs w:val="20"/>
          <w:lang w:eastAsia="en-US"/>
        </w:rPr>
        <w:t>diversity components including Key Biodiversity Features.</w:t>
      </w:r>
    </w:p>
    <w:p w14:paraId="63DCC59A" w14:textId="2B32724D" w:rsidR="00A77183" w:rsidRPr="0068236B" w:rsidRDefault="003A626D" w:rsidP="00A77183">
      <w:pPr>
        <w:pStyle w:val="Heading4"/>
        <w:spacing w:line="240" w:lineRule="auto"/>
        <w:ind w:hanging="1091"/>
      </w:pPr>
      <w:r w:rsidRPr="0068236B">
        <w:t>Design-based Mitigation</w:t>
      </w:r>
    </w:p>
    <w:p w14:paraId="07B69C98" w14:textId="2E9A52ED" w:rsidR="00C84A48" w:rsidRPr="0068236B" w:rsidRDefault="00380128" w:rsidP="00C84A48">
      <w:pPr>
        <w:pStyle w:val="NumberedParagraph"/>
        <w:rPr>
          <w:sz w:val="20"/>
          <w:szCs w:val="20"/>
          <w:lang w:eastAsia="en-US"/>
        </w:rPr>
      </w:pPr>
      <w:r w:rsidRPr="0068236B">
        <w:rPr>
          <w:rFonts w:cs="Tahoma"/>
          <w:sz w:val="20"/>
          <w:lang w:eastAsia="en-US"/>
        </w:rPr>
        <w:t>To eliminate or mitigate the key pote</w:t>
      </w:r>
      <w:r w:rsidR="00C84A48" w:rsidRPr="0068236B">
        <w:rPr>
          <w:rFonts w:cs="Tahoma"/>
          <w:sz w:val="20"/>
          <w:lang w:eastAsia="en-US"/>
        </w:rPr>
        <w:t>ntial operational risk</w:t>
      </w:r>
      <w:r w:rsidRPr="0068236B">
        <w:rPr>
          <w:rFonts w:cs="Tahoma"/>
          <w:sz w:val="20"/>
          <w:lang w:eastAsia="en-US"/>
        </w:rPr>
        <w:t xml:space="preserve"> to avian fauna – collision risk, primary mitigation would need to be incorporated during the advanced Project design stages (Preliminary Design and Detailed Design) at the sensitive sites – </w:t>
      </w:r>
      <w:r w:rsidRPr="0068236B">
        <w:rPr>
          <w:sz w:val="20"/>
        </w:rPr>
        <w:t xml:space="preserve">installation of bird (flight) diverters to the earth wire of the transmission line </w:t>
      </w:r>
      <w:r w:rsidRPr="0068236B">
        <w:rPr>
          <w:rFonts w:eastAsia="Calibri" w:cs="Arial"/>
          <w:color w:val="000000"/>
          <w:sz w:val="20"/>
        </w:rPr>
        <w:t>at the crossing over the Vardar River</w:t>
      </w:r>
      <w:r w:rsidR="00C84A48" w:rsidRPr="0068236B">
        <w:rPr>
          <w:rFonts w:eastAsia="Calibri" w:cs="Arial"/>
          <w:color w:val="000000"/>
          <w:sz w:val="20"/>
        </w:rPr>
        <w:t xml:space="preserve">, </w:t>
      </w:r>
      <w:r w:rsidR="00C84A48" w:rsidRPr="0068236B">
        <w:rPr>
          <w:sz w:val="20"/>
          <w:szCs w:val="20"/>
          <w:lang w:eastAsia="en-US"/>
        </w:rPr>
        <w:t>in order to avoid collisions. The proposed design of the flight diverters for the purposes of the Project is taken from the available latest studies concerning the efficacy of different types of flight diverters. It was concluded that the flapper design gives the best results (Figure below)</w:t>
      </w:r>
      <w:r w:rsidR="00C84A48" w:rsidRPr="0068236B">
        <w:rPr>
          <w:rStyle w:val="FootnoteReference"/>
          <w:sz w:val="20"/>
          <w:szCs w:val="20"/>
          <w:lang w:eastAsia="en-US"/>
        </w:rPr>
        <w:footnoteReference w:id="131"/>
      </w:r>
      <w:r w:rsidR="00C84A48" w:rsidRPr="0068236B">
        <w:rPr>
          <w:sz w:val="20"/>
          <w:szCs w:val="20"/>
          <w:lang w:eastAsia="en-US"/>
        </w:rPr>
        <w:t>. This type of flight diverter reduces avian mortality rate for a 70.2%. The flapper consists of polypropylene blades with three sides with reflective stickers. Flappers are 21 cm long, apart from the chain, which is 9.5 cm long, and each side of the blade is approximately 12 cm wide. They hang from a cable by staples and can rotate.</w:t>
      </w:r>
    </w:p>
    <w:p w14:paraId="27AF1F7B" w14:textId="67C7F3DD" w:rsidR="004E5E4B" w:rsidRPr="0068236B" w:rsidRDefault="004E5E4B" w:rsidP="004E5E4B">
      <w:pPr>
        <w:pStyle w:val="NumberedParagraph"/>
        <w:rPr>
          <w:sz w:val="20"/>
          <w:lang w:eastAsia="en-US"/>
        </w:rPr>
      </w:pPr>
      <w:r w:rsidRPr="0068236B">
        <w:rPr>
          <w:sz w:val="20"/>
        </w:rPr>
        <w:t xml:space="preserve">Installation of these bird (flight) diverters to the earth wire of the transmission line </w:t>
      </w:r>
      <w:r w:rsidRPr="0068236B">
        <w:rPr>
          <w:rFonts w:eastAsia="Calibri" w:cs="Arial"/>
          <w:color w:val="000000"/>
          <w:sz w:val="20"/>
        </w:rPr>
        <w:t>at the crossing over the river Vardar is foreseen as a design-based mitigation measure. The diverters should be placed at a distance of 5 metres (from 22.481350E / 41.291137N to 22.479220E / 41.289716N in total length of 250 m</w:t>
      </w:r>
      <w:r w:rsidR="00DC13D4">
        <w:rPr>
          <w:rFonts w:eastAsia="Calibri" w:cs="Arial"/>
          <w:color w:val="000000"/>
          <w:sz w:val="20"/>
        </w:rPr>
        <w:t>etres</w:t>
      </w:r>
      <w:r w:rsidRPr="0068236B">
        <w:rPr>
          <w:rFonts w:eastAsia="Calibri" w:cs="Arial"/>
          <w:color w:val="000000"/>
          <w:sz w:val="20"/>
        </w:rPr>
        <w:t xml:space="preserve"> i.e. approximately 50 diverters).</w:t>
      </w:r>
    </w:p>
    <w:p w14:paraId="6075F118" w14:textId="77777777" w:rsidR="004E5E4B" w:rsidRPr="0068236B" w:rsidRDefault="004E5E4B" w:rsidP="00C84A48">
      <w:pPr>
        <w:pStyle w:val="NumberedParagraph"/>
        <w:rPr>
          <w:sz w:val="20"/>
          <w:szCs w:val="20"/>
          <w:lang w:eastAsia="en-US"/>
        </w:rPr>
      </w:pPr>
    </w:p>
    <w:p w14:paraId="52AA01B2" w14:textId="3655EB13" w:rsidR="00380128" w:rsidRPr="0068236B" w:rsidRDefault="00C84A48" w:rsidP="00627947">
      <w:pPr>
        <w:pStyle w:val="NumberedParagraph"/>
        <w:rPr>
          <w:rFonts w:eastAsia="Calibri" w:cs="Arial"/>
          <w:color w:val="000000"/>
          <w:sz w:val="20"/>
        </w:rPr>
      </w:pPr>
      <w:r w:rsidRPr="0068236B">
        <w:rPr>
          <w:noProof/>
          <w:lang w:val="mk-MK" w:eastAsia="mk-MK"/>
        </w:rPr>
        <w:lastRenderedPageBreak/>
        <w:drawing>
          <wp:inline distT="0" distB="0" distL="0" distR="0" wp14:anchorId="1927FB1E" wp14:editId="559CA32D">
            <wp:extent cx="1932823" cy="3545456"/>
            <wp:effectExtent l="19050" t="19050" r="10795" b="17145"/>
            <wp:docPr id="94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7" cstate="print"/>
                    <a:srcRect/>
                    <a:stretch>
                      <a:fillRect/>
                    </a:stretch>
                  </pic:blipFill>
                  <pic:spPr bwMode="auto">
                    <a:xfrm>
                      <a:off x="0" y="0"/>
                      <a:ext cx="1931690" cy="3543377"/>
                    </a:xfrm>
                    <a:prstGeom prst="rect">
                      <a:avLst/>
                    </a:prstGeom>
                    <a:noFill/>
                    <a:ln w="9525">
                      <a:solidFill>
                        <a:schemeClr val="tx1"/>
                      </a:solidFill>
                      <a:miter lim="800000"/>
                      <a:headEnd/>
                      <a:tailEnd/>
                    </a:ln>
                  </pic:spPr>
                </pic:pic>
              </a:graphicData>
            </a:graphic>
          </wp:inline>
        </w:drawing>
      </w:r>
    </w:p>
    <w:p w14:paraId="1C627528" w14:textId="77777777" w:rsidR="00C84A48" w:rsidRPr="0068236B" w:rsidRDefault="00C84A48" w:rsidP="00C84A48">
      <w:pPr>
        <w:pStyle w:val="NumberedParagraph"/>
        <w:spacing w:before="60" w:after="240"/>
        <w:rPr>
          <w:sz w:val="18"/>
          <w:szCs w:val="18"/>
        </w:rPr>
      </w:pPr>
      <w:bookmarkStart w:id="507" w:name="_Toc112928895"/>
      <w:r w:rsidRPr="0068236B">
        <w:rPr>
          <w:sz w:val="18"/>
          <w:szCs w:val="18"/>
        </w:rPr>
        <w:t xml:space="preserve">Figure </w:t>
      </w:r>
      <w:r w:rsidRPr="0068236B">
        <w:rPr>
          <w:sz w:val="18"/>
          <w:szCs w:val="18"/>
        </w:rPr>
        <w:fldChar w:fldCharType="begin"/>
      </w:r>
      <w:r w:rsidRPr="0068236B">
        <w:rPr>
          <w:sz w:val="18"/>
          <w:szCs w:val="18"/>
        </w:rPr>
        <w:instrText xml:space="preserve"> STYLEREF 1 \s </w:instrText>
      </w:r>
      <w:r w:rsidRPr="0068236B">
        <w:rPr>
          <w:sz w:val="18"/>
          <w:szCs w:val="18"/>
        </w:rPr>
        <w:fldChar w:fldCharType="separate"/>
      </w:r>
      <w:r w:rsidR="00FD57E6">
        <w:rPr>
          <w:noProof/>
          <w:sz w:val="18"/>
          <w:szCs w:val="18"/>
        </w:rPr>
        <w:t>8</w:t>
      </w:r>
      <w:r w:rsidRPr="0068236B">
        <w:rPr>
          <w:sz w:val="18"/>
          <w:szCs w:val="18"/>
        </w:rPr>
        <w:fldChar w:fldCharType="end"/>
      </w:r>
      <w:r w:rsidRPr="0068236B">
        <w:rPr>
          <w:sz w:val="18"/>
          <w:szCs w:val="18"/>
        </w:rPr>
        <w:t>.</w:t>
      </w:r>
      <w:r w:rsidRPr="0068236B">
        <w:rPr>
          <w:sz w:val="18"/>
          <w:szCs w:val="18"/>
        </w:rPr>
        <w:fldChar w:fldCharType="begin"/>
      </w:r>
      <w:r w:rsidRPr="0068236B">
        <w:rPr>
          <w:sz w:val="18"/>
          <w:szCs w:val="18"/>
        </w:rPr>
        <w:instrText xml:space="preserve"> SEQ Figure \* ARABIC \s 1 </w:instrText>
      </w:r>
      <w:r w:rsidRPr="0068236B">
        <w:rPr>
          <w:sz w:val="18"/>
          <w:szCs w:val="18"/>
        </w:rPr>
        <w:fldChar w:fldCharType="separate"/>
      </w:r>
      <w:r w:rsidR="00FD57E6">
        <w:rPr>
          <w:noProof/>
          <w:sz w:val="18"/>
          <w:szCs w:val="18"/>
        </w:rPr>
        <w:t>3</w:t>
      </w:r>
      <w:r w:rsidRPr="0068236B">
        <w:rPr>
          <w:sz w:val="18"/>
          <w:szCs w:val="18"/>
        </w:rPr>
        <w:fldChar w:fldCharType="end"/>
      </w:r>
      <w:r w:rsidRPr="0068236B">
        <w:rPr>
          <w:sz w:val="18"/>
          <w:szCs w:val="18"/>
        </w:rPr>
        <w:t>:</w:t>
      </w:r>
      <w:r w:rsidRPr="0068236B">
        <w:rPr>
          <w:rFonts w:cs="Tahoma"/>
          <w:sz w:val="18"/>
          <w:szCs w:val="18"/>
        </w:rPr>
        <w:t xml:space="preserve"> </w:t>
      </w:r>
      <w:r w:rsidRPr="0068236B">
        <w:rPr>
          <w:sz w:val="18"/>
          <w:szCs w:val="18"/>
        </w:rPr>
        <w:t>Design with measures of “flapper flight” diverter installed on overhead wire</w:t>
      </w:r>
      <w:bookmarkEnd w:id="507"/>
    </w:p>
    <w:p w14:paraId="1A35D652" w14:textId="382298A5" w:rsidR="006C6ADB" w:rsidRPr="0068236B" w:rsidRDefault="006C6ADB" w:rsidP="006C6ADB">
      <w:pPr>
        <w:pStyle w:val="NumberedParagraph"/>
        <w:rPr>
          <w:sz w:val="20"/>
          <w:szCs w:val="20"/>
        </w:rPr>
      </w:pPr>
      <w:r w:rsidRPr="0068236B">
        <w:rPr>
          <w:sz w:val="20"/>
          <w:szCs w:val="20"/>
        </w:rPr>
        <w:t xml:space="preserve">Throughout the </w:t>
      </w:r>
      <w:r w:rsidRPr="0068236B">
        <w:rPr>
          <w:rFonts w:cs="Arial"/>
          <w:sz w:val="20"/>
          <w:szCs w:val="20"/>
        </w:rPr>
        <w:t>upcoming Project reference development stages (Preliminary Design and Detailed Design) in line with the applicable legal requirements</w:t>
      </w:r>
      <w:r w:rsidRPr="0068236B">
        <w:rPr>
          <w:rStyle w:val="FootnoteReference"/>
          <w:rFonts w:cs="Arial"/>
          <w:sz w:val="20"/>
          <w:szCs w:val="20"/>
        </w:rPr>
        <w:footnoteReference w:id="132"/>
      </w:r>
      <w:r w:rsidRPr="0068236B">
        <w:rPr>
          <w:rFonts w:cs="Arial"/>
          <w:sz w:val="20"/>
          <w:szCs w:val="20"/>
        </w:rPr>
        <w:t xml:space="preserve"> and technical standards</w:t>
      </w:r>
      <w:r w:rsidRPr="0068236B">
        <w:rPr>
          <w:rStyle w:val="FootnoteReference"/>
          <w:rFonts w:cs="Tahoma"/>
          <w:sz w:val="20"/>
          <w:szCs w:val="20"/>
        </w:rPr>
        <w:footnoteReference w:id="133"/>
      </w:r>
      <w:r w:rsidRPr="0068236B">
        <w:rPr>
          <w:rFonts w:cs="Arial"/>
          <w:sz w:val="20"/>
          <w:szCs w:val="20"/>
        </w:rPr>
        <w:t xml:space="preserve">, </w:t>
      </w:r>
      <w:r w:rsidRPr="0068236B">
        <w:rPr>
          <w:sz w:val="20"/>
          <w:szCs w:val="20"/>
        </w:rPr>
        <w:t xml:space="preserve">MEPSO will maintain the design principle for the insulator chains for the typical 110 kV and 400 kV OHL towers to ensure </w:t>
      </w:r>
      <w:r w:rsidRPr="0068236B">
        <w:rPr>
          <w:sz w:val="20"/>
          <w:szCs w:val="20"/>
          <w:lang w:val="en-US"/>
        </w:rPr>
        <w:t>that the bird ele</w:t>
      </w:r>
      <w:r w:rsidRPr="0068236B">
        <w:rPr>
          <w:sz w:val="20"/>
          <w:szCs w:val="20"/>
          <w:lang w:val="en-US"/>
        </w:rPr>
        <w:t>c</w:t>
      </w:r>
      <w:r w:rsidRPr="0068236B">
        <w:rPr>
          <w:sz w:val="20"/>
          <w:szCs w:val="20"/>
          <w:lang w:val="en-US"/>
        </w:rPr>
        <w:t>trocution hazard is prevented</w:t>
      </w:r>
      <w:r w:rsidRPr="0068236B">
        <w:rPr>
          <w:sz w:val="20"/>
          <w:szCs w:val="20"/>
        </w:rPr>
        <w:t>, which comply with the international energy standards</w:t>
      </w:r>
      <w:r w:rsidRPr="0068236B">
        <w:rPr>
          <w:rStyle w:val="FootnoteReference"/>
          <w:sz w:val="20"/>
          <w:szCs w:val="20"/>
        </w:rPr>
        <w:footnoteReference w:id="134"/>
      </w:r>
      <w:r w:rsidRPr="0068236B">
        <w:rPr>
          <w:sz w:val="20"/>
          <w:szCs w:val="20"/>
        </w:rPr>
        <w:t xml:space="preserve">. These insulators would be of </w:t>
      </w:r>
      <w:r w:rsidR="002E11CD" w:rsidRPr="0068236B">
        <w:rPr>
          <w:sz w:val="20"/>
          <w:szCs w:val="20"/>
        </w:rPr>
        <w:t>suspended design at the suspens</w:t>
      </w:r>
      <w:r w:rsidRPr="0068236B">
        <w:rPr>
          <w:sz w:val="20"/>
          <w:szCs w:val="20"/>
        </w:rPr>
        <w:t>ion towers. Suspended insulators are considered as safe pr</w:t>
      </w:r>
      <w:r w:rsidRPr="0068236B">
        <w:rPr>
          <w:sz w:val="20"/>
          <w:szCs w:val="20"/>
        </w:rPr>
        <w:t>o</w:t>
      </w:r>
      <w:r w:rsidRPr="0068236B">
        <w:rPr>
          <w:sz w:val="20"/>
          <w:szCs w:val="20"/>
        </w:rPr>
        <w:t>vided the distance between the crossarm (perching site) to the energised conductor is at least 600 mm</w:t>
      </w:r>
      <w:r w:rsidRPr="0068236B">
        <w:rPr>
          <w:rStyle w:val="FootnoteReference"/>
          <w:sz w:val="20"/>
          <w:szCs w:val="20"/>
        </w:rPr>
        <w:footnoteReference w:id="135"/>
      </w:r>
      <w:r w:rsidRPr="0068236B">
        <w:rPr>
          <w:sz w:val="20"/>
          <w:szCs w:val="20"/>
        </w:rPr>
        <w:t>. Strain insulators (at the angle towers) are considered as safe provided their length is at least 700 mm</w:t>
      </w:r>
      <w:r w:rsidRPr="0068236B">
        <w:rPr>
          <w:rStyle w:val="FootnoteReference"/>
          <w:sz w:val="20"/>
          <w:szCs w:val="20"/>
        </w:rPr>
        <w:footnoteReference w:id="136"/>
      </w:r>
      <w:r w:rsidRPr="0068236B">
        <w:rPr>
          <w:sz w:val="20"/>
          <w:szCs w:val="20"/>
        </w:rPr>
        <w:t>. MEPSO design practice use</w:t>
      </w:r>
      <w:r w:rsidR="002E11CD" w:rsidRPr="0068236B">
        <w:rPr>
          <w:sz w:val="20"/>
          <w:szCs w:val="20"/>
        </w:rPr>
        <w:t>s</w:t>
      </w:r>
      <w:r w:rsidRPr="0068236B">
        <w:rPr>
          <w:sz w:val="20"/>
          <w:szCs w:val="20"/>
        </w:rPr>
        <w:t xml:space="preserve"> the following insulators</w:t>
      </w:r>
      <w:r w:rsidR="002E11CD" w:rsidRPr="0068236B">
        <w:rPr>
          <w:sz w:val="20"/>
          <w:szCs w:val="20"/>
        </w:rPr>
        <w:t>:</w:t>
      </w:r>
    </w:p>
    <w:p w14:paraId="387322B8" w14:textId="77777777" w:rsidR="006C6ADB" w:rsidRPr="0068236B" w:rsidRDefault="006C6ADB" w:rsidP="006C6ADB">
      <w:pPr>
        <w:pStyle w:val="ListBullet"/>
        <w:rPr>
          <w:sz w:val="20"/>
          <w:szCs w:val="20"/>
        </w:rPr>
      </w:pPr>
      <w:r w:rsidRPr="0068236B">
        <w:rPr>
          <w:sz w:val="20"/>
          <w:szCs w:val="20"/>
        </w:rPr>
        <w:t>For 110 kV lines: Type Glass Cap U 160 BS, insulator chain with a length of 1800 mm</w:t>
      </w:r>
    </w:p>
    <w:p w14:paraId="1EE2E379" w14:textId="3E0B39C7" w:rsidR="006C6ADB" w:rsidRPr="0068236B" w:rsidRDefault="006C6ADB" w:rsidP="006C6ADB">
      <w:pPr>
        <w:pStyle w:val="ListBullet"/>
        <w:rPr>
          <w:sz w:val="20"/>
          <w:szCs w:val="20"/>
        </w:rPr>
      </w:pPr>
      <w:r w:rsidRPr="0068236B">
        <w:rPr>
          <w:sz w:val="20"/>
          <w:szCs w:val="20"/>
        </w:rPr>
        <w:t xml:space="preserve">For 400 kV lines: Type </w:t>
      </w:r>
      <w:r w:rsidRPr="0068236B">
        <w:rPr>
          <w:sz w:val="20"/>
          <w:szCs w:val="20"/>
          <w:lang w:eastAsia="en-US"/>
        </w:rPr>
        <w:t>Glass cap U 120</w:t>
      </w:r>
      <w:r w:rsidRPr="0068236B">
        <w:rPr>
          <w:sz w:val="20"/>
          <w:szCs w:val="20"/>
        </w:rPr>
        <w:t>, insulator chain with a length in a range from 3</w:t>
      </w:r>
      <w:r w:rsidR="00ED2B22" w:rsidRPr="0068236B">
        <w:rPr>
          <w:sz w:val="20"/>
          <w:szCs w:val="20"/>
        </w:rPr>
        <w:t>400 mm to 37</w:t>
      </w:r>
      <w:r w:rsidRPr="0068236B">
        <w:rPr>
          <w:sz w:val="20"/>
          <w:szCs w:val="20"/>
        </w:rPr>
        <w:t>00 mm.</w:t>
      </w:r>
    </w:p>
    <w:p w14:paraId="68E20DE8" w14:textId="7F563757" w:rsidR="006C6ADB" w:rsidRPr="0068236B" w:rsidRDefault="006C6ADB" w:rsidP="006C6ADB">
      <w:pPr>
        <w:pStyle w:val="NumberedParagraph"/>
        <w:rPr>
          <w:sz w:val="20"/>
          <w:szCs w:val="20"/>
          <w:lang w:eastAsia="en-US"/>
        </w:rPr>
      </w:pPr>
      <w:r w:rsidRPr="0068236B">
        <w:rPr>
          <w:sz w:val="20"/>
          <w:szCs w:val="20"/>
          <w:lang w:eastAsia="en-US"/>
        </w:rPr>
        <w:t xml:space="preserve">No pin-insulators (upright </w:t>
      </w:r>
      <w:r w:rsidR="00A40352">
        <w:rPr>
          <w:sz w:val="20"/>
          <w:szCs w:val="20"/>
          <w:lang w:eastAsia="en-US"/>
        </w:rPr>
        <w:t>insulators</w:t>
      </w:r>
      <w:r w:rsidRPr="0068236B">
        <w:rPr>
          <w:sz w:val="20"/>
          <w:szCs w:val="20"/>
          <w:lang w:eastAsia="en-US"/>
        </w:rPr>
        <w:t>) are used in the</w:t>
      </w:r>
      <w:r w:rsidR="00A40352">
        <w:rPr>
          <w:sz w:val="20"/>
          <w:szCs w:val="20"/>
          <w:lang w:eastAsia="en-US"/>
        </w:rPr>
        <w:t xml:space="preserve"> Macedonian high-voltage transm</w:t>
      </w:r>
      <w:r w:rsidRPr="0068236B">
        <w:rPr>
          <w:sz w:val="20"/>
          <w:szCs w:val="20"/>
          <w:lang w:eastAsia="en-US"/>
        </w:rPr>
        <w:t>ission grid, therefore no electrocution risk to birds associated with this type of insulators will occur.</w:t>
      </w:r>
    </w:p>
    <w:p w14:paraId="08A20C4F" w14:textId="77777777" w:rsidR="003B46E3" w:rsidRPr="0068236B" w:rsidRDefault="003B46E3" w:rsidP="003B46E3">
      <w:pPr>
        <w:pStyle w:val="Heading4"/>
        <w:spacing w:line="240" w:lineRule="auto"/>
        <w:ind w:hanging="1091"/>
        <w:rPr>
          <w:rFonts w:cs="Arial"/>
          <w:sz w:val="20"/>
        </w:rPr>
      </w:pPr>
      <w:r w:rsidRPr="0068236B">
        <w:rPr>
          <w:rFonts w:cs="Arial"/>
          <w:sz w:val="20"/>
        </w:rPr>
        <w:lastRenderedPageBreak/>
        <w:t>Construction</w:t>
      </w:r>
    </w:p>
    <w:p w14:paraId="7BD660F6" w14:textId="77777777" w:rsidR="00B93A80" w:rsidRPr="0068236B" w:rsidRDefault="00B93A80" w:rsidP="00B93A80">
      <w:pPr>
        <w:pStyle w:val="ListBullet"/>
        <w:numPr>
          <w:ilvl w:val="0"/>
          <w:numId w:val="0"/>
        </w:numPr>
        <w:spacing w:before="120" w:after="120"/>
        <w:rPr>
          <w:sz w:val="20"/>
          <w:lang w:eastAsia="en-US"/>
        </w:rPr>
      </w:pPr>
      <w:r w:rsidRPr="0068236B">
        <w:rPr>
          <w:sz w:val="20"/>
          <w:lang w:eastAsia="en-US"/>
        </w:rPr>
        <w:t>The potential impacts would be mitigated by undertaking of construction works in accordance with a CESMP which will include, at minimum:</w:t>
      </w:r>
    </w:p>
    <w:p w14:paraId="6A52C669" w14:textId="1B259281" w:rsidR="00B93A80" w:rsidRPr="0068236B" w:rsidRDefault="00B93A80" w:rsidP="00B93A80">
      <w:pPr>
        <w:pStyle w:val="ListBullet"/>
        <w:jc w:val="left"/>
        <w:rPr>
          <w:sz w:val="20"/>
        </w:rPr>
      </w:pPr>
      <w:r w:rsidRPr="0068236B">
        <w:rPr>
          <w:sz w:val="20"/>
        </w:rPr>
        <w:t>Measures of good construction practice (e.g. avoid sensitive habitats (e.g. alluvial terrains, r</w:t>
      </w:r>
      <w:r w:rsidRPr="0068236B">
        <w:rPr>
          <w:sz w:val="20"/>
        </w:rPr>
        <w:t>i</w:t>
      </w:r>
      <w:r w:rsidRPr="0068236B">
        <w:rPr>
          <w:sz w:val="20"/>
        </w:rPr>
        <w:t xml:space="preserve">parian areas), avoid destruction of natural habitats, avoid temporal occupation and destruction of adjacent land; sound storage of hazardous substances, provide fire-protection measures and equipment / vehicle, provide spill-kits in construction and transport vehicles, sound material and waste management practices, etc.). These measures are particularly important for the riparian </w:t>
      </w:r>
      <w:r w:rsidR="004E5E4B" w:rsidRPr="0068236B">
        <w:rPr>
          <w:sz w:val="20"/>
        </w:rPr>
        <w:t xml:space="preserve">habitats </w:t>
      </w:r>
      <w:r w:rsidRPr="0068236B">
        <w:rPr>
          <w:sz w:val="20"/>
        </w:rPr>
        <w:t>along the Vardar River</w:t>
      </w:r>
      <w:r w:rsidR="004E5E4B" w:rsidRPr="0068236B">
        <w:rPr>
          <w:sz w:val="20"/>
        </w:rPr>
        <w:t xml:space="preserve"> and Anska Reka</w:t>
      </w:r>
      <w:r w:rsidRPr="0068236B">
        <w:rPr>
          <w:sz w:val="20"/>
        </w:rPr>
        <w:t>.</w:t>
      </w:r>
      <w:r w:rsidR="004E5E4B" w:rsidRPr="0068236B">
        <w:rPr>
          <w:sz w:val="20"/>
        </w:rPr>
        <w:t xml:space="preserve"> These no-go zones within the study area are depicted below.</w:t>
      </w:r>
    </w:p>
    <w:p w14:paraId="32EAFEDB" w14:textId="12004E09" w:rsidR="004E5E4B" w:rsidRPr="0068236B" w:rsidRDefault="004E5E4B" w:rsidP="004E5E4B">
      <w:pPr>
        <w:pStyle w:val="ListBullet"/>
        <w:numPr>
          <w:ilvl w:val="0"/>
          <w:numId w:val="0"/>
        </w:numPr>
        <w:jc w:val="left"/>
        <w:rPr>
          <w:sz w:val="20"/>
        </w:rPr>
      </w:pPr>
      <w:r w:rsidRPr="0068236B">
        <w:rPr>
          <w:noProof/>
          <w:lang w:val="mk-MK" w:eastAsia="mk-MK"/>
        </w:rPr>
        <w:drawing>
          <wp:inline distT="0" distB="0" distL="0" distR="0" wp14:anchorId="30BE6C30" wp14:editId="06FA6F36">
            <wp:extent cx="6120130" cy="4346644"/>
            <wp:effectExtent l="19050" t="19050" r="13970" b="15875"/>
            <wp:docPr id="941" name="Picture 5" descr="D:\EIA\MK OHL Dubrovo-Valandovo-Strumica\ESIA\SP1\No-go Vardar and Ans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IA\MK OHL Dubrovo-Valandovo-Strumica\ESIA\SP1\No-go Vardar and Anska.jpg"/>
                    <pic:cNvPicPr>
                      <a:picLocks noChangeAspect="1" noChangeArrowheads="1"/>
                    </pic:cNvPicPr>
                  </pic:nvPicPr>
                  <pic:blipFill>
                    <a:blip r:embed="rId138" cstate="print"/>
                    <a:srcRect/>
                    <a:stretch>
                      <a:fillRect/>
                    </a:stretch>
                  </pic:blipFill>
                  <pic:spPr bwMode="auto">
                    <a:xfrm>
                      <a:off x="0" y="0"/>
                      <a:ext cx="6120130" cy="4346644"/>
                    </a:xfrm>
                    <a:prstGeom prst="rect">
                      <a:avLst/>
                    </a:prstGeom>
                    <a:noFill/>
                    <a:ln w="9525">
                      <a:solidFill>
                        <a:schemeClr val="tx1"/>
                      </a:solidFill>
                      <a:miter lim="800000"/>
                      <a:headEnd/>
                      <a:tailEnd/>
                    </a:ln>
                  </pic:spPr>
                </pic:pic>
              </a:graphicData>
            </a:graphic>
          </wp:inline>
        </w:drawing>
      </w:r>
    </w:p>
    <w:p w14:paraId="59CBD68D" w14:textId="3A87CE94" w:rsidR="004E5E4B" w:rsidRPr="0068236B" w:rsidRDefault="004E5E4B" w:rsidP="004E5E4B">
      <w:pPr>
        <w:pStyle w:val="ListBullet"/>
        <w:numPr>
          <w:ilvl w:val="0"/>
          <w:numId w:val="0"/>
        </w:numPr>
        <w:spacing w:after="240"/>
        <w:jc w:val="left"/>
        <w:rPr>
          <w:sz w:val="20"/>
        </w:rPr>
      </w:pPr>
      <w:bookmarkStart w:id="508" w:name="_Toc112928896"/>
      <w:r w:rsidRPr="0068236B">
        <w:rPr>
          <w:rFonts w:cs="Tahoma"/>
          <w:sz w:val="18"/>
          <w:szCs w:val="18"/>
          <w:lang w:eastAsia="en-US"/>
        </w:rPr>
        <w:t xml:space="preserve">Figure </w:t>
      </w:r>
      <w:r w:rsidRPr="0068236B">
        <w:rPr>
          <w:rFonts w:cs="Tahoma"/>
          <w:sz w:val="18"/>
          <w:szCs w:val="18"/>
          <w:lang w:eastAsia="en-US"/>
        </w:rPr>
        <w:fldChar w:fldCharType="begin"/>
      </w:r>
      <w:r w:rsidRPr="0068236B">
        <w:rPr>
          <w:rFonts w:cs="Tahoma"/>
          <w:sz w:val="18"/>
          <w:szCs w:val="18"/>
          <w:lang w:eastAsia="en-US"/>
        </w:rPr>
        <w:instrText xml:space="preserve"> STYLEREF 1 \s </w:instrText>
      </w:r>
      <w:r w:rsidRPr="0068236B">
        <w:rPr>
          <w:rFonts w:cs="Tahoma"/>
          <w:sz w:val="18"/>
          <w:szCs w:val="18"/>
          <w:lang w:eastAsia="en-US"/>
        </w:rPr>
        <w:fldChar w:fldCharType="separate"/>
      </w:r>
      <w:r w:rsidR="00FD57E6">
        <w:rPr>
          <w:rFonts w:cs="Tahoma"/>
          <w:noProof/>
          <w:sz w:val="18"/>
          <w:szCs w:val="18"/>
          <w:lang w:eastAsia="en-US"/>
        </w:rPr>
        <w:t>8</w:t>
      </w:r>
      <w:r w:rsidRPr="0068236B">
        <w:rPr>
          <w:rFonts w:cs="Tahoma"/>
          <w:sz w:val="18"/>
          <w:szCs w:val="18"/>
          <w:lang w:eastAsia="en-US"/>
        </w:rPr>
        <w:fldChar w:fldCharType="end"/>
      </w:r>
      <w:r w:rsidRPr="0068236B">
        <w:rPr>
          <w:rFonts w:cs="Tahoma"/>
          <w:sz w:val="18"/>
          <w:szCs w:val="18"/>
          <w:lang w:eastAsia="en-US"/>
        </w:rPr>
        <w:t>.</w:t>
      </w:r>
      <w:r w:rsidRPr="0068236B">
        <w:rPr>
          <w:rFonts w:cs="Tahoma"/>
          <w:sz w:val="18"/>
          <w:szCs w:val="18"/>
          <w:lang w:eastAsia="en-US"/>
        </w:rPr>
        <w:fldChar w:fldCharType="begin"/>
      </w:r>
      <w:r w:rsidRPr="0068236B">
        <w:rPr>
          <w:rFonts w:cs="Tahoma"/>
          <w:sz w:val="18"/>
          <w:szCs w:val="18"/>
          <w:lang w:eastAsia="en-US"/>
        </w:rPr>
        <w:instrText xml:space="preserve"> SEQ Figure \* ARABIC \s 1 </w:instrText>
      </w:r>
      <w:r w:rsidRPr="0068236B">
        <w:rPr>
          <w:rFonts w:cs="Tahoma"/>
          <w:sz w:val="18"/>
          <w:szCs w:val="18"/>
          <w:lang w:eastAsia="en-US"/>
        </w:rPr>
        <w:fldChar w:fldCharType="separate"/>
      </w:r>
      <w:r w:rsidR="00FD57E6">
        <w:rPr>
          <w:rFonts w:cs="Tahoma"/>
          <w:noProof/>
          <w:sz w:val="18"/>
          <w:szCs w:val="18"/>
          <w:lang w:eastAsia="en-US"/>
        </w:rPr>
        <w:t>4</w:t>
      </w:r>
      <w:r w:rsidRPr="0068236B">
        <w:rPr>
          <w:rFonts w:cs="Tahoma"/>
          <w:sz w:val="18"/>
          <w:szCs w:val="18"/>
          <w:lang w:eastAsia="en-US"/>
        </w:rPr>
        <w:fldChar w:fldCharType="end"/>
      </w:r>
      <w:r w:rsidRPr="0068236B">
        <w:rPr>
          <w:rFonts w:cs="Tahoma"/>
          <w:sz w:val="18"/>
          <w:szCs w:val="18"/>
          <w:lang w:eastAsia="en-US"/>
        </w:rPr>
        <w:t xml:space="preserve">: No-go areas in the Project area (rivers and riparian habitats), at the crossing of the Vardar River and Anska Reka (largely </w:t>
      </w:r>
      <w:r w:rsidR="00B919AF" w:rsidRPr="004754E9">
        <w:rPr>
          <w:sz w:val="20"/>
        </w:rPr>
        <w:t>channelled</w:t>
      </w:r>
      <w:r w:rsidRPr="0068236B">
        <w:rPr>
          <w:rFonts w:cs="Tahoma"/>
          <w:sz w:val="18"/>
          <w:szCs w:val="18"/>
          <w:lang w:eastAsia="en-US"/>
        </w:rPr>
        <w:t>)</w:t>
      </w:r>
      <w:bookmarkEnd w:id="508"/>
    </w:p>
    <w:p w14:paraId="04928C88" w14:textId="279AC974" w:rsidR="00B93A80" w:rsidRPr="0068236B" w:rsidRDefault="00B93A80" w:rsidP="00B93A80">
      <w:pPr>
        <w:pStyle w:val="ListBullet"/>
        <w:jc w:val="left"/>
        <w:rPr>
          <w:rFonts w:ascii="Arial" w:hAnsi="Arial" w:cs="Arial"/>
          <w:color w:val="595959"/>
          <w:sz w:val="24"/>
          <w:szCs w:val="24"/>
          <w:lang w:eastAsia="en-US"/>
        </w:rPr>
      </w:pPr>
      <w:r w:rsidRPr="0068236B">
        <w:rPr>
          <w:sz w:val="20"/>
          <w:lang w:eastAsia="en-US"/>
        </w:rPr>
        <w:t>Temporary land-take (including new access roads, storage area(s), etc.) would include ad</w:t>
      </w:r>
      <w:r w:rsidRPr="0068236B">
        <w:rPr>
          <w:sz w:val="20"/>
          <w:lang w:eastAsia="en-US"/>
        </w:rPr>
        <w:t>e</w:t>
      </w:r>
      <w:r w:rsidRPr="0068236B">
        <w:rPr>
          <w:sz w:val="20"/>
          <w:lang w:eastAsia="en-US"/>
        </w:rPr>
        <w:t>quate areas of land set away from sensitive biodiversity areas.</w:t>
      </w:r>
      <w:r w:rsidRPr="0068236B">
        <w:rPr>
          <w:rFonts w:ascii="Arial" w:hAnsi="Arial" w:cs="Arial"/>
          <w:color w:val="595959"/>
          <w:sz w:val="24"/>
          <w:szCs w:val="24"/>
          <w:lang w:eastAsia="en-US"/>
        </w:rPr>
        <w:t xml:space="preserve"> </w:t>
      </w:r>
    </w:p>
    <w:p w14:paraId="0525DD7B" w14:textId="77777777" w:rsidR="00B93A80" w:rsidRPr="0068236B" w:rsidRDefault="00B93A80" w:rsidP="00B93A80">
      <w:pPr>
        <w:pStyle w:val="ListBullet"/>
        <w:jc w:val="left"/>
        <w:rPr>
          <w:sz w:val="20"/>
          <w:szCs w:val="20"/>
          <w:lang w:eastAsia="en-US"/>
        </w:rPr>
      </w:pPr>
      <w:r w:rsidRPr="0068236B">
        <w:rPr>
          <w:rFonts w:cs="Tahoma"/>
          <w:sz w:val="20"/>
          <w:szCs w:val="20"/>
        </w:rPr>
        <w:t>Establish sound waste management and actions</w:t>
      </w:r>
      <w:r w:rsidRPr="0068236B">
        <w:rPr>
          <w:sz w:val="20"/>
          <w:lang w:eastAsia="en-US"/>
        </w:rPr>
        <w:t xml:space="preserve"> to ensure contaminated material is identified, isolated and removed to appropriate treatment sites or landfill to avoid any impacts on the bi</w:t>
      </w:r>
      <w:r w:rsidRPr="0068236B">
        <w:rPr>
          <w:sz w:val="20"/>
          <w:lang w:eastAsia="en-US"/>
        </w:rPr>
        <w:t>o</w:t>
      </w:r>
      <w:r w:rsidRPr="0068236B">
        <w:rPr>
          <w:sz w:val="20"/>
          <w:lang w:eastAsia="en-US"/>
        </w:rPr>
        <w:t>div</w:t>
      </w:r>
      <w:r w:rsidRPr="0068236B">
        <w:rPr>
          <w:sz w:val="20"/>
          <w:szCs w:val="20"/>
          <w:lang w:eastAsia="en-US"/>
        </w:rPr>
        <w:t>ersity.</w:t>
      </w:r>
    </w:p>
    <w:p w14:paraId="18AE6146" w14:textId="787A13C1" w:rsidR="00B93A80" w:rsidRPr="0068236B" w:rsidRDefault="00B93A80" w:rsidP="00B93A80">
      <w:pPr>
        <w:pStyle w:val="ListBullet"/>
        <w:jc w:val="left"/>
        <w:rPr>
          <w:sz w:val="20"/>
          <w:szCs w:val="20"/>
          <w:lang w:eastAsia="en-US"/>
        </w:rPr>
      </w:pPr>
      <w:r w:rsidRPr="0068236B">
        <w:rPr>
          <w:sz w:val="20"/>
          <w:szCs w:val="20"/>
        </w:rPr>
        <w:t>Design and implement adequate management plans and actions to monitor their implement</w:t>
      </w:r>
      <w:r w:rsidRPr="0068236B">
        <w:rPr>
          <w:sz w:val="20"/>
          <w:szCs w:val="20"/>
        </w:rPr>
        <w:t>a</w:t>
      </w:r>
      <w:r w:rsidRPr="0068236B">
        <w:rPr>
          <w:sz w:val="20"/>
          <w:szCs w:val="20"/>
        </w:rPr>
        <w:t>tion during the construction.</w:t>
      </w:r>
    </w:p>
    <w:p w14:paraId="34D28FAF" w14:textId="77777777" w:rsidR="00C949AE" w:rsidRPr="0068236B" w:rsidRDefault="00A77183" w:rsidP="00A77183">
      <w:pPr>
        <w:pStyle w:val="ListBullet"/>
        <w:jc w:val="left"/>
        <w:rPr>
          <w:sz w:val="20"/>
          <w:szCs w:val="20"/>
          <w:lang w:eastAsia="en-US"/>
        </w:rPr>
      </w:pPr>
      <w:r w:rsidRPr="0068236B">
        <w:rPr>
          <w:rFonts w:cs="Tahoma"/>
          <w:sz w:val="20"/>
          <w:szCs w:val="20"/>
        </w:rPr>
        <w:t xml:space="preserve">Involve biodiversity specialist during the construction period as part of the Contractor(s) </w:t>
      </w:r>
      <w:r w:rsidR="00C949AE" w:rsidRPr="0068236B">
        <w:rPr>
          <w:rFonts w:cs="Tahoma"/>
          <w:sz w:val="20"/>
          <w:szCs w:val="20"/>
        </w:rPr>
        <w:t xml:space="preserve">EHS </w:t>
      </w:r>
      <w:r w:rsidRPr="0068236B">
        <w:rPr>
          <w:rFonts w:cs="Tahoma"/>
          <w:sz w:val="20"/>
          <w:szCs w:val="20"/>
        </w:rPr>
        <w:t>team in order to supervise to construction works, avoid unnecessary tree removal, prepare plan for removal of invasive species, record nesting sites and other sensitive biodiversity comp</w:t>
      </w:r>
      <w:r w:rsidRPr="0068236B">
        <w:rPr>
          <w:rFonts w:cs="Tahoma"/>
          <w:sz w:val="20"/>
          <w:szCs w:val="20"/>
        </w:rPr>
        <w:t>o</w:t>
      </w:r>
      <w:r w:rsidRPr="0068236B">
        <w:rPr>
          <w:rFonts w:cs="Tahoma"/>
          <w:sz w:val="20"/>
          <w:szCs w:val="20"/>
        </w:rPr>
        <w:t xml:space="preserve">nents, etc. </w:t>
      </w:r>
    </w:p>
    <w:p w14:paraId="2D0D3DA1" w14:textId="0CDF00F2" w:rsidR="00A77183" w:rsidRPr="0068236B" w:rsidRDefault="00A77183" w:rsidP="00A77183">
      <w:pPr>
        <w:pStyle w:val="ListBullet"/>
        <w:jc w:val="left"/>
        <w:rPr>
          <w:sz w:val="20"/>
          <w:szCs w:val="20"/>
          <w:lang w:eastAsia="en-US"/>
        </w:rPr>
      </w:pPr>
      <w:r w:rsidRPr="0068236B">
        <w:rPr>
          <w:rFonts w:cs="Tahoma"/>
          <w:sz w:val="20"/>
          <w:szCs w:val="20"/>
          <w:lang w:val="en-US"/>
        </w:rPr>
        <w:lastRenderedPageBreak/>
        <w:t>Introduce seasonal limitation of construction works if necessary at some of the identified sens</w:t>
      </w:r>
      <w:r w:rsidRPr="0068236B">
        <w:rPr>
          <w:rFonts w:cs="Tahoma"/>
          <w:sz w:val="20"/>
          <w:szCs w:val="20"/>
          <w:lang w:val="en-US"/>
        </w:rPr>
        <w:t>i</w:t>
      </w:r>
      <w:r w:rsidRPr="0068236B">
        <w:rPr>
          <w:rFonts w:cs="Tahoma"/>
          <w:sz w:val="20"/>
          <w:szCs w:val="20"/>
          <w:lang w:val="en-US"/>
        </w:rPr>
        <w:t>tive sites during the nesting period (April-May) which coincides with the majority of nesting species in the area, including the Turtle-dove (PBF). This measure will ensure no-net-loss of these bird species.</w:t>
      </w:r>
    </w:p>
    <w:p w14:paraId="639A2F16" w14:textId="217413A1" w:rsidR="00A77183" w:rsidRPr="0068236B" w:rsidRDefault="00C949AE" w:rsidP="00A77183">
      <w:pPr>
        <w:pStyle w:val="ListBullet"/>
        <w:jc w:val="left"/>
        <w:rPr>
          <w:sz w:val="20"/>
          <w:szCs w:val="20"/>
          <w:lang w:eastAsia="en-US"/>
        </w:rPr>
      </w:pPr>
      <w:r w:rsidRPr="0068236B">
        <w:rPr>
          <w:rFonts w:cs="Tahoma"/>
          <w:sz w:val="20"/>
          <w:szCs w:val="20"/>
          <w:lang w:val="en-US"/>
        </w:rPr>
        <w:t>Er</w:t>
      </w:r>
      <w:r w:rsidR="00A77183" w:rsidRPr="0068236B">
        <w:rPr>
          <w:rFonts w:cs="Tahoma"/>
          <w:sz w:val="20"/>
          <w:szCs w:val="20"/>
          <w:lang w:val="en-US"/>
        </w:rPr>
        <w:t xml:space="preserve">adication of invasive species in the habitat 92A0 </w:t>
      </w:r>
      <w:r w:rsidR="00A77183" w:rsidRPr="0068236B">
        <w:rPr>
          <w:rFonts w:cs="Tahoma"/>
          <w:i/>
          <w:iCs/>
          <w:sz w:val="20"/>
          <w:szCs w:val="20"/>
        </w:rPr>
        <w:t>Salix alba</w:t>
      </w:r>
      <w:r w:rsidR="00A77183" w:rsidRPr="0068236B">
        <w:rPr>
          <w:rFonts w:cs="Tahoma"/>
          <w:iCs/>
          <w:sz w:val="20"/>
          <w:szCs w:val="20"/>
        </w:rPr>
        <w:t xml:space="preserve"> and </w:t>
      </w:r>
      <w:r w:rsidR="00A77183" w:rsidRPr="0068236B">
        <w:rPr>
          <w:rFonts w:cs="Tahoma"/>
          <w:i/>
          <w:iCs/>
          <w:sz w:val="20"/>
          <w:szCs w:val="20"/>
        </w:rPr>
        <w:t>Populus alba</w:t>
      </w:r>
      <w:r w:rsidR="00346EA9" w:rsidRPr="0068236B">
        <w:rPr>
          <w:rFonts w:cs="Tahoma"/>
          <w:iCs/>
          <w:sz w:val="20"/>
          <w:szCs w:val="20"/>
        </w:rPr>
        <w:t xml:space="preserve"> galleries in the patches</w:t>
      </w:r>
      <w:r w:rsidR="00346EA9" w:rsidRPr="0068236B">
        <w:rPr>
          <w:rFonts w:cs="Tahoma"/>
          <w:iCs/>
          <w:sz w:val="20"/>
          <w:szCs w:val="20"/>
          <w:lang w:val="en-US"/>
        </w:rPr>
        <w:t xml:space="preserve"> presented on </w:t>
      </w:r>
      <w:r w:rsidR="00367D88" w:rsidRPr="0068236B">
        <w:rPr>
          <w:rFonts w:cs="Tahoma"/>
          <w:iCs/>
          <w:sz w:val="20"/>
          <w:szCs w:val="20"/>
          <w:lang w:val="en-US"/>
        </w:rPr>
        <w:t xml:space="preserve">the </w:t>
      </w:r>
      <w:r w:rsidR="00346EA9" w:rsidRPr="0068236B">
        <w:rPr>
          <w:rFonts w:cs="Tahoma"/>
          <w:iCs/>
          <w:sz w:val="20"/>
          <w:szCs w:val="20"/>
          <w:lang w:val="en-US"/>
        </w:rPr>
        <w:t xml:space="preserve">Figure </w:t>
      </w:r>
      <w:r w:rsidR="00367D88" w:rsidRPr="0068236B">
        <w:rPr>
          <w:rFonts w:cs="Tahoma"/>
          <w:iCs/>
          <w:sz w:val="20"/>
          <w:szCs w:val="20"/>
          <w:lang w:val="en-US"/>
        </w:rPr>
        <w:t>below</w:t>
      </w:r>
      <w:r w:rsidR="00346EA9" w:rsidRPr="0068236B">
        <w:rPr>
          <w:rFonts w:cs="Tahoma"/>
          <w:iCs/>
          <w:sz w:val="20"/>
          <w:szCs w:val="20"/>
        </w:rPr>
        <w:t xml:space="preserve"> </w:t>
      </w:r>
      <w:r w:rsidRPr="0068236B">
        <w:rPr>
          <w:rFonts w:cs="Tahoma"/>
          <w:iCs/>
          <w:sz w:val="20"/>
          <w:szCs w:val="20"/>
        </w:rPr>
        <w:t xml:space="preserve">- </w:t>
      </w:r>
      <w:r w:rsidR="00A77183" w:rsidRPr="0068236B">
        <w:rPr>
          <w:sz w:val="20"/>
          <w:szCs w:val="20"/>
        </w:rPr>
        <w:t xml:space="preserve">the two patches have an </w:t>
      </w:r>
      <w:r w:rsidRPr="0068236B">
        <w:rPr>
          <w:sz w:val="20"/>
          <w:szCs w:val="20"/>
        </w:rPr>
        <w:t>an area of 2.72 ha and 0.85 ha</w:t>
      </w:r>
      <w:r w:rsidR="00A77183" w:rsidRPr="0068236B">
        <w:rPr>
          <w:sz w:val="20"/>
          <w:szCs w:val="20"/>
        </w:rPr>
        <w:t>. Monitoring of the effectiveness of eradication of invasive species in the riparian woodlands along river Vardar should also be implemented.</w:t>
      </w:r>
      <w:r w:rsidR="00395A3F" w:rsidRPr="0068236B">
        <w:rPr>
          <w:sz w:val="20"/>
          <w:szCs w:val="20"/>
        </w:rPr>
        <w:t xml:space="preserve"> This may be considered as an offset measure for biodiversity which will have positive effect on native plant and animal species.</w:t>
      </w:r>
    </w:p>
    <w:p w14:paraId="25AEF16C" w14:textId="77777777" w:rsidR="00367D88" w:rsidRPr="0068236B" w:rsidRDefault="00367D88" w:rsidP="00367D88">
      <w:pPr>
        <w:pStyle w:val="ListBullet"/>
        <w:numPr>
          <w:ilvl w:val="0"/>
          <w:numId w:val="0"/>
        </w:numPr>
        <w:jc w:val="left"/>
        <w:rPr>
          <w:rFonts w:cs="Tahoma"/>
          <w:sz w:val="20"/>
          <w:szCs w:val="20"/>
          <w:lang w:val="en-US"/>
        </w:rPr>
      </w:pPr>
    </w:p>
    <w:p w14:paraId="43709147" w14:textId="563DBD0B" w:rsidR="00367D88" w:rsidRPr="0068236B" w:rsidRDefault="00367D88" w:rsidP="00367D88">
      <w:pPr>
        <w:pStyle w:val="ListBullet"/>
        <w:numPr>
          <w:ilvl w:val="0"/>
          <w:numId w:val="0"/>
        </w:numPr>
        <w:jc w:val="left"/>
        <w:rPr>
          <w:sz w:val="20"/>
          <w:szCs w:val="20"/>
          <w:lang w:eastAsia="en-US"/>
        </w:rPr>
      </w:pPr>
      <w:r w:rsidRPr="0068236B">
        <w:rPr>
          <w:noProof/>
          <w:lang w:val="mk-MK" w:eastAsia="mk-MK"/>
        </w:rPr>
        <w:drawing>
          <wp:inline distT="0" distB="0" distL="0" distR="0" wp14:anchorId="198A399F" wp14:editId="66D14E71">
            <wp:extent cx="3876675" cy="3009900"/>
            <wp:effectExtent l="19050" t="0" r="9525" b="0"/>
            <wp:docPr id="2052" name="Picture 4" descr="D:\EIA\MK OHL Dubrovo-Valandovo-Strumica\Riparian bel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IA\MK OHL Dubrovo-Valandovo-Strumica\Riparian belts.jpg"/>
                    <pic:cNvPicPr>
                      <a:picLocks noChangeAspect="1" noChangeArrowheads="1"/>
                    </pic:cNvPicPr>
                  </pic:nvPicPr>
                  <pic:blipFill>
                    <a:blip r:embed="rId139" cstate="email">
                      <a:extLst>
                        <a:ext uri="{28A0092B-C50C-407E-A947-70E740481C1C}">
                          <a14:useLocalDpi xmlns:a14="http://schemas.microsoft.com/office/drawing/2010/main" val="0"/>
                        </a:ext>
                      </a:extLst>
                    </a:blip>
                    <a:srcRect/>
                    <a:stretch>
                      <a:fillRect/>
                    </a:stretch>
                  </pic:blipFill>
                  <pic:spPr bwMode="auto">
                    <a:xfrm>
                      <a:off x="0" y="0"/>
                      <a:ext cx="3876675" cy="3009900"/>
                    </a:xfrm>
                    <a:prstGeom prst="rect">
                      <a:avLst/>
                    </a:prstGeom>
                    <a:noFill/>
                    <a:ln w="9525">
                      <a:noFill/>
                      <a:miter lim="800000"/>
                      <a:headEnd/>
                      <a:tailEnd/>
                    </a:ln>
                  </pic:spPr>
                </pic:pic>
              </a:graphicData>
            </a:graphic>
          </wp:inline>
        </w:drawing>
      </w:r>
    </w:p>
    <w:p w14:paraId="789739C2" w14:textId="1B5CE116" w:rsidR="00367D88" w:rsidRPr="0068236B" w:rsidRDefault="00367D88" w:rsidP="00367D88">
      <w:pPr>
        <w:pStyle w:val="ListBullet"/>
        <w:numPr>
          <w:ilvl w:val="0"/>
          <w:numId w:val="0"/>
        </w:numPr>
        <w:spacing w:after="240"/>
        <w:jc w:val="left"/>
        <w:rPr>
          <w:sz w:val="18"/>
          <w:szCs w:val="18"/>
          <w:lang w:eastAsia="en-US"/>
        </w:rPr>
      </w:pPr>
      <w:bookmarkStart w:id="509" w:name="_Toc112928897"/>
      <w:r w:rsidRPr="0068236B">
        <w:rPr>
          <w:sz w:val="18"/>
          <w:szCs w:val="18"/>
        </w:rPr>
        <w:t xml:space="preserve">Figure </w:t>
      </w:r>
      <w:r w:rsidRPr="0068236B">
        <w:rPr>
          <w:sz w:val="18"/>
          <w:szCs w:val="18"/>
        </w:rPr>
        <w:fldChar w:fldCharType="begin"/>
      </w:r>
      <w:r w:rsidRPr="0068236B">
        <w:rPr>
          <w:sz w:val="18"/>
          <w:szCs w:val="18"/>
        </w:rPr>
        <w:instrText xml:space="preserve"> STYLEREF 1 \s </w:instrText>
      </w:r>
      <w:r w:rsidRPr="0068236B">
        <w:rPr>
          <w:sz w:val="18"/>
          <w:szCs w:val="18"/>
        </w:rPr>
        <w:fldChar w:fldCharType="separate"/>
      </w:r>
      <w:r w:rsidR="00FD57E6">
        <w:rPr>
          <w:noProof/>
          <w:sz w:val="18"/>
          <w:szCs w:val="18"/>
        </w:rPr>
        <w:t>8</w:t>
      </w:r>
      <w:r w:rsidRPr="0068236B">
        <w:rPr>
          <w:sz w:val="18"/>
          <w:szCs w:val="18"/>
        </w:rPr>
        <w:fldChar w:fldCharType="end"/>
      </w:r>
      <w:r w:rsidRPr="0068236B">
        <w:rPr>
          <w:sz w:val="18"/>
          <w:szCs w:val="18"/>
        </w:rPr>
        <w:t>.</w:t>
      </w:r>
      <w:r w:rsidRPr="0068236B">
        <w:rPr>
          <w:sz w:val="18"/>
          <w:szCs w:val="18"/>
        </w:rPr>
        <w:fldChar w:fldCharType="begin"/>
      </w:r>
      <w:r w:rsidRPr="0068236B">
        <w:rPr>
          <w:sz w:val="18"/>
          <w:szCs w:val="18"/>
        </w:rPr>
        <w:instrText xml:space="preserve"> SEQ Figure \* ARABIC \s 1 </w:instrText>
      </w:r>
      <w:r w:rsidRPr="0068236B">
        <w:rPr>
          <w:sz w:val="18"/>
          <w:szCs w:val="18"/>
        </w:rPr>
        <w:fldChar w:fldCharType="separate"/>
      </w:r>
      <w:r w:rsidR="00FD57E6">
        <w:rPr>
          <w:noProof/>
          <w:sz w:val="18"/>
          <w:szCs w:val="18"/>
        </w:rPr>
        <w:t>5</w:t>
      </w:r>
      <w:r w:rsidRPr="0068236B">
        <w:rPr>
          <w:sz w:val="18"/>
          <w:szCs w:val="18"/>
        </w:rPr>
        <w:fldChar w:fldCharType="end"/>
      </w:r>
      <w:r w:rsidRPr="0068236B">
        <w:rPr>
          <w:sz w:val="18"/>
          <w:szCs w:val="18"/>
        </w:rPr>
        <w:t>: Riparian Willow and Poplar belts along the Vardar River</w:t>
      </w:r>
      <w:r w:rsidR="00392BDE" w:rsidRPr="0068236B">
        <w:rPr>
          <w:sz w:val="18"/>
          <w:szCs w:val="18"/>
        </w:rPr>
        <w:t>,</w:t>
      </w:r>
      <w:r w:rsidRPr="0068236B">
        <w:rPr>
          <w:sz w:val="18"/>
          <w:szCs w:val="18"/>
        </w:rPr>
        <w:t xml:space="preserve"> at the river crossing section with the Project</w:t>
      </w:r>
      <w:bookmarkEnd w:id="509"/>
    </w:p>
    <w:p w14:paraId="52FEF965" w14:textId="77777777" w:rsidR="003B46E3" w:rsidRPr="0068236B" w:rsidRDefault="003B46E3" w:rsidP="003B46E3">
      <w:pPr>
        <w:pStyle w:val="Heading4"/>
        <w:spacing w:line="240" w:lineRule="auto"/>
        <w:ind w:hanging="1091"/>
        <w:rPr>
          <w:rFonts w:cs="Arial"/>
          <w:sz w:val="20"/>
        </w:rPr>
      </w:pPr>
      <w:r w:rsidRPr="0068236B">
        <w:rPr>
          <w:rFonts w:cs="Arial"/>
          <w:sz w:val="20"/>
        </w:rPr>
        <w:t>Operation</w:t>
      </w:r>
    </w:p>
    <w:p w14:paraId="395A9E7E" w14:textId="049E44C4" w:rsidR="00B93A80" w:rsidRPr="0068236B" w:rsidRDefault="00B93A80" w:rsidP="00B93A80">
      <w:pPr>
        <w:autoSpaceDE w:val="0"/>
        <w:autoSpaceDN w:val="0"/>
        <w:adjustRightInd w:val="0"/>
        <w:rPr>
          <w:rFonts w:cs="Tahoma"/>
          <w:sz w:val="20"/>
          <w:szCs w:val="20"/>
          <w:lang w:eastAsia="en-US"/>
        </w:rPr>
      </w:pPr>
      <w:bookmarkStart w:id="510" w:name="_Toc80181174"/>
      <w:r w:rsidRPr="0068236B">
        <w:rPr>
          <w:rFonts w:cs="Tahoma"/>
          <w:sz w:val="20"/>
          <w:szCs w:val="20"/>
          <w:lang w:eastAsia="en-US"/>
        </w:rPr>
        <w:t xml:space="preserve">Principle measures of good </w:t>
      </w:r>
      <w:r w:rsidR="00AA387E" w:rsidRPr="0068236B">
        <w:rPr>
          <w:rFonts w:cs="Tahoma"/>
          <w:sz w:val="20"/>
          <w:szCs w:val="20"/>
          <w:lang w:eastAsia="en-US"/>
        </w:rPr>
        <w:t xml:space="preserve">operational and </w:t>
      </w:r>
      <w:r w:rsidRPr="0068236B">
        <w:rPr>
          <w:rFonts w:cs="Tahoma"/>
          <w:sz w:val="20"/>
          <w:szCs w:val="20"/>
          <w:lang w:eastAsia="en-US"/>
        </w:rPr>
        <w:t>maintenance practice to mitigate operational impacts from the Project to the habitats include:</w:t>
      </w:r>
    </w:p>
    <w:p w14:paraId="647F2176" w14:textId="32B4DF97" w:rsidR="00B93A80" w:rsidRPr="0068236B" w:rsidRDefault="00B93A80" w:rsidP="00B93A80">
      <w:pPr>
        <w:pStyle w:val="ListBullet"/>
        <w:autoSpaceDE w:val="0"/>
        <w:autoSpaceDN w:val="0"/>
        <w:adjustRightInd w:val="0"/>
        <w:jc w:val="left"/>
        <w:rPr>
          <w:rFonts w:cs="Tahoma"/>
          <w:sz w:val="20"/>
          <w:lang w:eastAsia="en-US"/>
        </w:rPr>
      </w:pPr>
      <w:r w:rsidRPr="0068236B">
        <w:rPr>
          <w:rFonts w:cs="Arial"/>
          <w:sz w:val="20"/>
          <w:szCs w:val="20"/>
        </w:rPr>
        <w:t>Implement an integrated vegetation management approach through the selective removal of tall growing tr</w:t>
      </w:r>
      <w:r w:rsidRPr="0068236B">
        <w:rPr>
          <w:rFonts w:cs="Arial"/>
          <w:spacing w:val="1"/>
          <w:sz w:val="20"/>
          <w:szCs w:val="20"/>
        </w:rPr>
        <w:t>e</w:t>
      </w:r>
      <w:r w:rsidRPr="0068236B">
        <w:rPr>
          <w:rFonts w:cs="Arial"/>
          <w:sz w:val="20"/>
          <w:szCs w:val="20"/>
        </w:rPr>
        <w:t>e species. The riparian belt along the Vardar River should not be modified in any way</w:t>
      </w:r>
      <w:r w:rsidR="00D1745B" w:rsidRPr="0068236B">
        <w:rPr>
          <w:rFonts w:cs="Arial"/>
          <w:sz w:val="20"/>
          <w:szCs w:val="20"/>
        </w:rPr>
        <w:t>.</w:t>
      </w:r>
    </w:p>
    <w:p w14:paraId="620D065C" w14:textId="3065A55C" w:rsidR="00B93A80" w:rsidRPr="0068236B" w:rsidRDefault="00B93A80" w:rsidP="00B93A80">
      <w:pPr>
        <w:pStyle w:val="ListBullet"/>
        <w:autoSpaceDE w:val="0"/>
        <w:autoSpaceDN w:val="0"/>
        <w:adjustRightInd w:val="0"/>
        <w:jc w:val="left"/>
        <w:rPr>
          <w:rFonts w:cs="Tahoma"/>
          <w:sz w:val="20"/>
          <w:szCs w:val="20"/>
          <w:lang w:eastAsia="en-US"/>
        </w:rPr>
      </w:pPr>
      <w:r w:rsidRPr="0068236B">
        <w:rPr>
          <w:rFonts w:cs="Tahoma"/>
          <w:sz w:val="20"/>
          <w:lang w:eastAsia="en-US"/>
        </w:rPr>
        <w:t xml:space="preserve">The stretch of the Vardar River at the crossing with the transmission line is also used for fishing at the moment. </w:t>
      </w:r>
      <w:r w:rsidR="00346EA9" w:rsidRPr="0068236B">
        <w:rPr>
          <w:rFonts w:cs="Tahoma"/>
          <w:sz w:val="20"/>
          <w:lang w:eastAsia="en-US"/>
        </w:rPr>
        <w:t>Reducing and modifying human access points to decrease the likelihood that human activities will disturb birds where they congregate near power lines can reduce collisions caused by frightening and flushing birds into the power lines (APLIC 2012)</w:t>
      </w:r>
      <w:r w:rsidR="00346EA9" w:rsidRPr="0068236B">
        <w:rPr>
          <w:rStyle w:val="FootnoteReference"/>
          <w:rFonts w:cs="Tahoma"/>
          <w:sz w:val="20"/>
          <w:lang w:eastAsia="en-US"/>
        </w:rPr>
        <w:footnoteReference w:id="137"/>
      </w:r>
      <w:r w:rsidR="00346EA9" w:rsidRPr="0068236B">
        <w:rPr>
          <w:rFonts w:cs="Tahoma"/>
          <w:sz w:val="20"/>
          <w:lang w:eastAsia="en-US"/>
        </w:rPr>
        <w:t xml:space="preserve">. </w:t>
      </w:r>
      <w:r w:rsidRPr="0068236B">
        <w:rPr>
          <w:rFonts w:cs="Tahoma"/>
          <w:sz w:val="20"/>
          <w:lang w:eastAsia="en-US"/>
        </w:rPr>
        <w:t xml:space="preserve">Prohibition of fishing in a stretch of 250 m on both side of river Vardar will benefit biodiversity (habitats and species including the Kingfisher </w:t>
      </w:r>
      <w:r w:rsidRPr="0068236B">
        <w:rPr>
          <w:rFonts w:cs="Tahoma"/>
          <w:i/>
          <w:sz w:val="20"/>
          <w:lang w:eastAsia="en-US"/>
        </w:rPr>
        <w:t>Alcedo atthis</w:t>
      </w:r>
      <w:r w:rsidRPr="0068236B">
        <w:rPr>
          <w:rFonts w:cs="Tahoma"/>
          <w:sz w:val="20"/>
          <w:lang w:eastAsia="en-US"/>
        </w:rPr>
        <w:t xml:space="preserve">). This measure will cause certain </w:t>
      </w:r>
      <w:r w:rsidR="000206B1" w:rsidRPr="0068236B">
        <w:rPr>
          <w:rFonts w:cs="Tahoma"/>
          <w:sz w:val="20"/>
          <w:lang w:eastAsia="en-US"/>
        </w:rPr>
        <w:t xml:space="preserve">(small) </w:t>
      </w:r>
      <w:r w:rsidRPr="0068236B">
        <w:rPr>
          <w:rFonts w:cs="Tahoma"/>
          <w:sz w:val="20"/>
          <w:lang w:eastAsia="en-US"/>
        </w:rPr>
        <w:t>net gain for Kingfisher, as well (no disturbance</w:t>
      </w:r>
      <w:r w:rsidR="000206B1" w:rsidRPr="0068236B">
        <w:rPr>
          <w:rFonts w:cs="Tahoma"/>
          <w:sz w:val="20"/>
          <w:lang w:eastAsia="en-US"/>
        </w:rPr>
        <w:t>, compared to the existing situation</w:t>
      </w:r>
      <w:r w:rsidRPr="0068236B">
        <w:rPr>
          <w:rFonts w:cs="Tahoma"/>
          <w:sz w:val="20"/>
          <w:lang w:eastAsia="en-US"/>
        </w:rPr>
        <w:t>).</w:t>
      </w:r>
    </w:p>
    <w:p w14:paraId="40037EDB" w14:textId="78E291BE" w:rsidR="003F6E71" w:rsidRPr="0068236B" w:rsidRDefault="00D1745B" w:rsidP="003F6E71">
      <w:pPr>
        <w:pStyle w:val="ListBullet"/>
        <w:autoSpaceDE w:val="0"/>
        <w:autoSpaceDN w:val="0"/>
        <w:adjustRightInd w:val="0"/>
        <w:jc w:val="left"/>
        <w:rPr>
          <w:rFonts w:cs="Tahoma"/>
          <w:sz w:val="20"/>
          <w:szCs w:val="20"/>
          <w:lang w:eastAsia="en-US"/>
        </w:rPr>
      </w:pPr>
      <w:r w:rsidRPr="0068236B">
        <w:rPr>
          <w:rFonts w:eastAsia="Calibri"/>
          <w:sz w:val="20"/>
        </w:rPr>
        <w:lastRenderedPageBreak/>
        <w:t>A</w:t>
      </w:r>
      <w:r w:rsidR="003F6E71" w:rsidRPr="0068236B">
        <w:rPr>
          <w:rFonts w:eastAsia="Calibri"/>
          <w:sz w:val="20"/>
        </w:rPr>
        <w:t xml:space="preserve"> post construction monitoring programme to assess eventual bird mortality due to collision is to be designed and implemented </w:t>
      </w:r>
      <w:r w:rsidR="00395A3F" w:rsidRPr="0068236B">
        <w:rPr>
          <w:rFonts w:eastAsia="Calibri" w:cs="Tahoma"/>
          <w:sz w:val="20"/>
          <w:szCs w:val="18"/>
        </w:rPr>
        <w:t>along the OHL alignments and especially</w:t>
      </w:r>
      <w:r w:rsidR="00395A3F" w:rsidRPr="0068236B">
        <w:rPr>
          <w:rFonts w:eastAsia="Calibri"/>
          <w:sz w:val="20"/>
        </w:rPr>
        <w:t xml:space="preserve"> </w:t>
      </w:r>
      <w:r w:rsidR="003F6E71" w:rsidRPr="0068236B">
        <w:rPr>
          <w:rFonts w:eastAsia="Calibri"/>
          <w:sz w:val="20"/>
        </w:rPr>
        <w:t xml:space="preserve">at the Vardar River crossing section during first three years of the Project implementation. </w:t>
      </w:r>
    </w:p>
    <w:p w14:paraId="40D68783" w14:textId="77777777" w:rsidR="003B46E3" w:rsidRPr="0068236B" w:rsidRDefault="003B46E3" w:rsidP="003B46E3">
      <w:pPr>
        <w:pStyle w:val="Heading3"/>
        <w:spacing w:line="240" w:lineRule="auto"/>
        <w:ind w:left="993" w:hanging="993"/>
      </w:pPr>
      <w:bookmarkStart w:id="511" w:name="_Toc112852293"/>
      <w:r w:rsidRPr="0068236B">
        <w:t>Residual Impacts</w:t>
      </w:r>
      <w:bookmarkEnd w:id="510"/>
      <w:bookmarkEnd w:id="511"/>
    </w:p>
    <w:p w14:paraId="59DA89DA" w14:textId="4D8C0F7A" w:rsidR="00B93A80" w:rsidRPr="0068236B" w:rsidRDefault="00B93A80" w:rsidP="00B93A80">
      <w:pPr>
        <w:rPr>
          <w:rFonts w:cs="Arial"/>
          <w:sz w:val="20"/>
          <w:szCs w:val="20"/>
        </w:rPr>
      </w:pPr>
      <w:bookmarkStart w:id="512" w:name="_Toc80181180"/>
      <w:r w:rsidRPr="0068236B">
        <w:rPr>
          <w:rFonts w:cs="Arial"/>
          <w:sz w:val="20"/>
          <w:szCs w:val="20"/>
        </w:rPr>
        <w:t xml:space="preserve">No residual impacts have been identified except for the possible collision risk for birds. So far, there are no data about the morality of birds from collision with transmission lines in Macedonia. Therefore a </w:t>
      </w:r>
      <w:r w:rsidRPr="0068236B">
        <w:rPr>
          <w:rFonts w:eastAsia="Calibri"/>
          <w:sz w:val="20"/>
        </w:rPr>
        <w:t>post co</w:t>
      </w:r>
      <w:r w:rsidRPr="0068236B">
        <w:rPr>
          <w:rFonts w:eastAsia="Calibri"/>
          <w:sz w:val="20"/>
        </w:rPr>
        <w:t>n</w:t>
      </w:r>
      <w:r w:rsidRPr="0068236B">
        <w:rPr>
          <w:rFonts w:eastAsia="Calibri"/>
          <w:sz w:val="20"/>
        </w:rPr>
        <w:t>struction monitoring programme to assess eventual bird mortality</w:t>
      </w:r>
      <w:r w:rsidRPr="0068236B">
        <w:rPr>
          <w:rFonts w:cs="Arial"/>
          <w:sz w:val="20"/>
          <w:szCs w:val="20"/>
        </w:rPr>
        <w:t xml:space="preserve"> is proposed. In summary, this residual impact along the OHL corridors as a whole is assessed as of negligible significance.</w:t>
      </w:r>
    </w:p>
    <w:p w14:paraId="28F72118" w14:textId="30DE19B9" w:rsidR="003B46E3" w:rsidRPr="0068236B" w:rsidRDefault="003B46E3" w:rsidP="003B46E3">
      <w:pPr>
        <w:pStyle w:val="Heading2"/>
        <w:spacing w:before="480" w:after="240"/>
        <w:ind w:left="576" w:hanging="576"/>
        <w:rPr>
          <w:rFonts w:cs="Tahoma"/>
          <w:szCs w:val="20"/>
        </w:rPr>
      </w:pPr>
      <w:bookmarkStart w:id="513" w:name="_Toc112852294"/>
      <w:r w:rsidRPr="0068236B">
        <w:rPr>
          <w:rFonts w:cs="Tahoma"/>
          <w:szCs w:val="20"/>
        </w:rPr>
        <w:t>Waste</w:t>
      </w:r>
      <w:bookmarkEnd w:id="512"/>
      <w:bookmarkEnd w:id="513"/>
    </w:p>
    <w:p w14:paraId="7536FC3F" w14:textId="5977ED6E" w:rsidR="00BD1E91" w:rsidRPr="0068236B" w:rsidRDefault="00BD1E91" w:rsidP="00BD1E91">
      <w:pPr>
        <w:pStyle w:val="NumberedParagraph"/>
      </w:pPr>
      <w:r w:rsidRPr="0068236B">
        <w:rPr>
          <w:rFonts w:cs="Tahoma"/>
          <w:sz w:val="20"/>
          <w:szCs w:val="20"/>
          <w:lang w:eastAsia="en-US"/>
        </w:rPr>
        <w:t>Waste is defined "any substance or object which the holder discards or intends or is required to discard."</w:t>
      </w:r>
      <w:r w:rsidRPr="0068236B">
        <w:rPr>
          <w:rStyle w:val="FootnoteReference"/>
          <w:rFonts w:cs="Tahoma"/>
          <w:sz w:val="20"/>
          <w:szCs w:val="20"/>
          <w:lang w:eastAsia="en-US"/>
        </w:rPr>
        <w:footnoteReference w:id="138"/>
      </w:r>
    </w:p>
    <w:p w14:paraId="2BBD5E8D" w14:textId="3C03D4E8" w:rsidR="003B46E3" w:rsidRPr="0068236B" w:rsidRDefault="00234EBE" w:rsidP="003B46E3">
      <w:pPr>
        <w:pStyle w:val="Heading3"/>
        <w:tabs>
          <w:tab w:val="left" w:pos="1134"/>
        </w:tabs>
        <w:ind w:left="720" w:hanging="720"/>
        <w:rPr>
          <w:rFonts w:cs="Arial"/>
        </w:rPr>
      </w:pPr>
      <w:bookmarkStart w:id="514" w:name="_Toc80181181"/>
      <w:bookmarkStart w:id="515" w:name="_Toc112852295"/>
      <w:r w:rsidRPr="0068236B">
        <w:rPr>
          <w:rFonts w:cs="Arial"/>
        </w:rPr>
        <w:t xml:space="preserve">Construction </w:t>
      </w:r>
      <w:r w:rsidR="007E29DC" w:rsidRPr="0068236B">
        <w:rPr>
          <w:rFonts w:cs="Arial"/>
        </w:rPr>
        <w:t xml:space="preserve">and Dismantling </w:t>
      </w:r>
      <w:r w:rsidRPr="0068236B">
        <w:rPr>
          <w:rFonts w:cs="Arial"/>
        </w:rPr>
        <w:t>Waste</w:t>
      </w:r>
      <w:bookmarkEnd w:id="514"/>
      <w:bookmarkEnd w:id="515"/>
    </w:p>
    <w:p w14:paraId="1AE10FFB" w14:textId="49B09028" w:rsidR="003B46E3" w:rsidRPr="0068236B" w:rsidRDefault="003B46E3" w:rsidP="003B46E3">
      <w:pPr>
        <w:widowControl w:val="0"/>
        <w:autoSpaceDE w:val="0"/>
        <w:autoSpaceDN w:val="0"/>
        <w:adjustRightInd w:val="0"/>
        <w:rPr>
          <w:sz w:val="20"/>
        </w:rPr>
      </w:pPr>
      <w:r w:rsidRPr="0068236B">
        <w:rPr>
          <w:rFonts w:cs="Arial"/>
          <w:sz w:val="20"/>
          <w:szCs w:val="20"/>
        </w:rPr>
        <w:t>During the construction of the Project facilities (substation and overhead line(s)), the main source of waste will be the preparation works and construction activities themselves, and waste generated by the workforce</w:t>
      </w:r>
      <w:r w:rsidR="00103388" w:rsidRPr="0068236B">
        <w:rPr>
          <w:rFonts w:cs="Arial"/>
          <w:sz w:val="20"/>
          <w:szCs w:val="20"/>
        </w:rPr>
        <w:t xml:space="preserve"> (Table below). In addition, </w:t>
      </w:r>
      <w:r w:rsidR="007E29DC" w:rsidRPr="0068236B">
        <w:rPr>
          <w:rFonts w:cs="Arial"/>
          <w:sz w:val="20"/>
          <w:szCs w:val="20"/>
        </w:rPr>
        <w:t xml:space="preserve">waste from dismantling of two towers and </w:t>
      </w:r>
      <w:r w:rsidR="00103388" w:rsidRPr="0068236B">
        <w:rPr>
          <w:rFonts w:cs="Arial"/>
          <w:sz w:val="20"/>
          <w:szCs w:val="20"/>
        </w:rPr>
        <w:t>specific electrical waste from disma</w:t>
      </w:r>
      <w:r w:rsidR="00103388" w:rsidRPr="0068236B">
        <w:rPr>
          <w:rFonts w:cs="Arial"/>
          <w:sz w:val="20"/>
          <w:szCs w:val="20"/>
        </w:rPr>
        <w:t>n</w:t>
      </w:r>
      <w:r w:rsidR="00103388" w:rsidRPr="0068236B">
        <w:rPr>
          <w:rFonts w:cs="Arial"/>
          <w:sz w:val="20"/>
          <w:szCs w:val="20"/>
        </w:rPr>
        <w:t>tling of the</w:t>
      </w:r>
      <w:r w:rsidR="00234EBE" w:rsidRPr="0068236B">
        <w:rPr>
          <w:rFonts w:cs="Arial"/>
          <w:sz w:val="20"/>
          <w:szCs w:val="20"/>
        </w:rPr>
        <w:t xml:space="preserve"> obsolete </w:t>
      </w:r>
      <w:r w:rsidR="007E29DC" w:rsidRPr="0068236B">
        <w:rPr>
          <w:rFonts w:cs="Arial"/>
          <w:sz w:val="20"/>
          <w:szCs w:val="20"/>
        </w:rPr>
        <w:t>equipment (</w:t>
      </w:r>
      <w:r w:rsidR="00103388" w:rsidRPr="0068236B">
        <w:rPr>
          <w:rFonts w:cs="Arial"/>
          <w:sz w:val="20"/>
          <w:szCs w:val="20"/>
        </w:rPr>
        <w:t>conductors</w:t>
      </w:r>
      <w:r w:rsidR="007E29DC" w:rsidRPr="0068236B">
        <w:rPr>
          <w:rFonts w:cs="Arial"/>
          <w:sz w:val="20"/>
          <w:szCs w:val="20"/>
        </w:rPr>
        <w:t>, insulators, earth wire)</w:t>
      </w:r>
      <w:r w:rsidR="00103388" w:rsidRPr="0068236B">
        <w:rPr>
          <w:rFonts w:cs="Arial"/>
          <w:sz w:val="20"/>
          <w:szCs w:val="20"/>
        </w:rPr>
        <w:t xml:space="preserve"> of the existing line between substations in Valandovo and ‘EVP’ Miletkovo will be generated</w:t>
      </w:r>
      <w:r w:rsidRPr="0068236B">
        <w:rPr>
          <w:rFonts w:cs="Arial"/>
          <w:sz w:val="20"/>
          <w:szCs w:val="20"/>
        </w:rPr>
        <w:t>.</w:t>
      </w:r>
    </w:p>
    <w:tbl>
      <w:tblPr>
        <w:tblStyle w:val="TableGrid"/>
        <w:tblW w:w="8789" w:type="dxa"/>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3544"/>
        <w:gridCol w:w="5245"/>
      </w:tblGrid>
      <w:tr w:rsidR="003B46E3" w:rsidRPr="0068236B" w14:paraId="4E9FF2AE" w14:textId="77777777" w:rsidTr="007E29DC">
        <w:trPr>
          <w:trHeight w:val="232"/>
        </w:trPr>
        <w:tc>
          <w:tcPr>
            <w:tcW w:w="3544" w:type="dxa"/>
            <w:tcBorders>
              <w:top w:val="double" w:sz="4" w:space="0" w:color="auto"/>
              <w:bottom w:val="double" w:sz="4" w:space="0" w:color="auto"/>
              <w:right w:val="double" w:sz="4" w:space="0" w:color="auto"/>
            </w:tcBorders>
            <w:shd w:val="clear" w:color="auto" w:fill="D9E2F3" w:themeFill="accent1" w:themeFillTint="33"/>
          </w:tcPr>
          <w:p w14:paraId="472ED1F8" w14:textId="77777777" w:rsidR="003B46E3" w:rsidRPr="0068236B" w:rsidRDefault="003B46E3" w:rsidP="003B46E3">
            <w:pPr>
              <w:spacing w:before="0" w:after="0" w:line="240" w:lineRule="auto"/>
              <w:rPr>
                <w:rFonts w:cs="Tahoma"/>
                <w:sz w:val="20"/>
                <w:szCs w:val="20"/>
              </w:rPr>
            </w:pPr>
            <w:r w:rsidRPr="0068236B">
              <w:rPr>
                <w:rFonts w:cs="Tahoma"/>
                <w:sz w:val="20"/>
                <w:szCs w:val="20"/>
              </w:rPr>
              <w:t>Project activity</w:t>
            </w:r>
          </w:p>
        </w:tc>
        <w:tc>
          <w:tcPr>
            <w:tcW w:w="5245" w:type="dxa"/>
            <w:tcBorders>
              <w:top w:val="double" w:sz="4" w:space="0" w:color="auto"/>
              <w:left w:val="double" w:sz="4" w:space="0" w:color="auto"/>
              <w:bottom w:val="double" w:sz="4" w:space="0" w:color="auto"/>
            </w:tcBorders>
            <w:shd w:val="clear" w:color="auto" w:fill="D9E2F3" w:themeFill="accent1" w:themeFillTint="33"/>
          </w:tcPr>
          <w:p w14:paraId="6A3A035D" w14:textId="77777777" w:rsidR="003B46E3" w:rsidRPr="0068236B" w:rsidRDefault="003B46E3" w:rsidP="003B46E3">
            <w:pPr>
              <w:spacing w:before="0" w:after="0" w:line="240" w:lineRule="auto"/>
              <w:rPr>
                <w:rFonts w:cs="Tahoma"/>
                <w:sz w:val="20"/>
                <w:szCs w:val="20"/>
              </w:rPr>
            </w:pPr>
            <w:r w:rsidRPr="0068236B">
              <w:rPr>
                <w:rFonts w:cs="Tahoma"/>
                <w:sz w:val="20"/>
                <w:szCs w:val="20"/>
              </w:rPr>
              <w:t>Waste generation</w:t>
            </w:r>
          </w:p>
        </w:tc>
      </w:tr>
      <w:tr w:rsidR="003B46E3" w:rsidRPr="0068236B" w14:paraId="05596596" w14:textId="77777777" w:rsidTr="006F1369">
        <w:trPr>
          <w:trHeight w:val="625"/>
        </w:trPr>
        <w:tc>
          <w:tcPr>
            <w:tcW w:w="3544" w:type="dxa"/>
            <w:tcBorders>
              <w:top w:val="double" w:sz="4" w:space="0" w:color="auto"/>
            </w:tcBorders>
          </w:tcPr>
          <w:p w14:paraId="692DECA1" w14:textId="77777777" w:rsidR="003B46E3" w:rsidRPr="0068236B" w:rsidRDefault="003B46E3" w:rsidP="003B46E3">
            <w:pPr>
              <w:autoSpaceDE w:val="0"/>
              <w:autoSpaceDN w:val="0"/>
              <w:adjustRightInd w:val="0"/>
              <w:spacing w:before="0" w:after="0" w:line="240" w:lineRule="auto"/>
              <w:jc w:val="left"/>
              <w:rPr>
                <w:rFonts w:cs="Tahoma"/>
                <w:sz w:val="20"/>
                <w:szCs w:val="20"/>
              </w:rPr>
            </w:pPr>
            <w:r w:rsidRPr="0068236B">
              <w:rPr>
                <w:rFonts w:cs="Tahoma"/>
                <w:sz w:val="20"/>
                <w:szCs w:val="20"/>
                <w:lang w:eastAsia="en-US"/>
              </w:rPr>
              <w:t>Site preparation / earthworks / site remediation</w:t>
            </w:r>
          </w:p>
        </w:tc>
        <w:tc>
          <w:tcPr>
            <w:tcW w:w="5245" w:type="dxa"/>
            <w:tcBorders>
              <w:top w:val="double" w:sz="4" w:space="0" w:color="auto"/>
            </w:tcBorders>
          </w:tcPr>
          <w:p w14:paraId="21DBBA27" w14:textId="77777777" w:rsidR="003B46E3" w:rsidRPr="0068236B" w:rsidRDefault="003B46E3" w:rsidP="008E77D3">
            <w:pPr>
              <w:pStyle w:val="ListParagraph"/>
              <w:numPr>
                <w:ilvl w:val="0"/>
                <w:numId w:val="73"/>
              </w:numPr>
              <w:autoSpaceDE w:val="0"/>
              <w:autoSpaceDN w:val="0"/>
              <w:adjustRightInd w:val="0"/>
              <w:spacing w:before="0" w:after="0" w:line="240" w:lineRule="auto"/>
              <w:ind w:left="176" w:hanging="176"/>
              <w:contextualSpacing w:val="0"/>
              <w:jc w:val="left"/>
              <w:rPr>
                <w:rFonts w:cs="Tahoma"/>
                <w:sz w:val="20"/>
                <w:szCs w:val="20"/>
                <w:lang w:eastAsia="en-US"/>
              </w:rPr>
            </w:pPr>
            <w:r w:rsidRPr="0068236B">
              <w:rPr>
                <w:rFonts w:cs="Tahoma"/>
                <w:sz w:val="20"/>
                <w:szCs w:val="20"/>
                <w:lang w:eastAsia="en-US"/>
              </w:rPr>
              <w:t>Surplus excavated materials</w:t>
            </w:r>
          </w:p>
          <w:p w14:paraId="05811F99" w14:textId="77777777" w:rsidR="003B46E3" w:rsidRPr="0068236B" w:rsidRDefault="003B46E3" w:rsidP="008E77D3">
            <w:pPr>
              <w:pStyle w:val="ListParagraph"/>
              <w:numPr>
                <w:ilvl w:val="0"/>
                <w:numId w:val="73"/>
              </w:numPr>
              <w:autoSpaceDE w:val="0"/>
              <w:autoSpaceDN w:val="0"/>
              <w:adjustRightInd w:val="0"/>
              <w:spacing w:before="0" w:after="0" w:line="240" w:lineRule="auto"/>
              <w:ind w:left="176" w:hanging="176"/>
              <w:contextualSpacing w:val="0"/>
              <w:jc w:val="left"/>
              <w:rPr>
                <w:rFonts w:cs="Tahoma"/>
                <w:sz w:val="20"/>
                <w:szCs w:val="20"/>
                <w:lang w:eastAsia="en-US"/>
              </w:rPr>
            </w:pPr>
            <w:r w:rsidRPr="0068236B">
              <w:rPr>
                <w:rFonts w:cs="Tahoma"/>
                <w:sz w:val="20"/>
                <w:szCs w:val="20"/>
                <w:lang w:eastAsia="en-US"/>
              </w:rPr>
              <w:t>Stripped topsoil and subsoil</w:t>
            </w:r>
          </w:p>
          <w:p w14:paraId="45A5D140" w14:textId="77777777" w:rsidR="003B46E3" w:rsidRPr="0068236B" w:rsidRDefault="003B46E3" w:rsidP="008E77D3">
            <w:pPr>
              <w:pStyle w:val="ListParagraph"/>
              <w:numPr>
                <w:ilvl w:val="0"/>
                <w:numId w:val="73"/>
              </w:numPr>
              <w:autoSpaceDE w:val="0"/>
              <w:autoSpaceDN w:val="0"/>
              <w:adjustRightInd w:val="0"/>
              <w:spacing w:before="0" w:after="0" w:line="240" w:lineRule="auto"/>
              <w:ind w:left="176" w:hanging="176"/>
              <w:contextualSpacing w:val="0"/>
              <w:jc w:val="left"/>
              <w:rPr>
                <w:rFonts w:cs="Tahoma"/>
                <w:sz w:val="20"/>
                <w:szCs w:val="20"/>
                <w:lang w:eastAsia="en-US"/>
              </w:rPr>
            </w:pPr>
            <w:r w:rsidRPr="0068236B">
              <w:rPr>
                <w:rFonts w:cs="Tahoma"/>
                <w:sz w:val="20"/>
                <w:szCs w:val="20"/>
                <w:lang w:eastAsia="en-US"/>
              </w:rPr>
              <w:t>Organic waste (vegetation, etc.)</w:t>
            </w:r>
          </w:p>
        </w:tc>
      </w:tr>
      <w:tr w:rsidR="003B46E3" w:rsidRPr="0068236B" w14:paraId="180DF7F1" w14:textId="77777777" w:rsidTr="003B46E3">
        <w:trPr>
          <w:trHeight w:val="1126"/>
        </w:trPr>
        <w:tc>
          <w:tcPr>
            <w:tcW w:w="3544" w:type="dxa"/>
          </w:tcPr>
          <w:p w14:paraId="519ADD18" w14:textId="77777777" w:rsidR="003B46E3" w:rsidRPr="0068236B" w:rsidRDefault="003B46E3" w:rsidP="003B46E3">
            <w:pPr>
              <w:spacing w:before="0" w:after="0" w:line="240" w:lineRule="auto"/>
              <w:rPr>
                <w:rFonts w:cs="Tahoma"/>
                <w:sz w:val="20"/>
                <w:szCs w:val="20"/>
              </w:rPr>
            </w:pPr>
            <w:r w:rsidRPr="0068236B">
              <w:rPr>
                <w:rFonts w:cs="Tahoma"/>
                <w:sz w:val="20"/>
                <w:szCs w:val="20"/>
              </w:rPr>
              <w:t>Construction</w:t>
            </w:r>
          </w:p>
        </w:tc>
        <w:tc>
          <w:tcPr>
            <w:tcW w:w="5245" w:type="dxa"/>
          </w:tcPr>
          <w:p w14:paraId="6FD27259" w14:textId="4C7BB57C" w:rsidR="006F1369" w:rsidRPr="0068236B" w:rsidRDefault="008A74D0" w:rsidP="008E77D3">
            <w:pPr>
              <w:pStyle w:val="ListParagraph"/>
              <w:numPr>
                <w:ilvl w:val="0"/>
                <w:numId w:val="73"/>
              </w:numPr>
              <w:autoSpaceDE w:val="0"/>
              <w:autoSpaceDN w:val="0"/>
              <w:adjustRightInd w:val="0"/>
              <w:spacing w:before="0" w:after="0" w:line="240" w:lineRule="auto"/>
              <w:ind w:left="176" w:hanging="176"/>
              <w:contextualSpacing w:val="0"/>
              <w:jc w:val="left"/>
              <w:rPr>
                <w:rFonts w:cs="Tahoma"/>
                <w:sz w:val="20"/>
                <w:szCs w:val="20"/>
                <w:lang w:eastAsia="en-US"/>
              </w:rPr>
            </w:pPr>
            <w:r w:rsidRPr="0068236B">
              <w:rPr>
                <w:rFonts w:cs="Tahoma"/>
                <w:sz w:val="20"/>
                <w:szCs w:val="20"/>
                <w:lang w:eastAsia="en-US"/>
              </w:rPr>
              <w:t>W</w:t>
            </w:r>
            <w:r w:rsidR="00103388" w:rsidRPr="0068236B">
              <w:rPr>
                <w:rFonts w:cs="Tahoma"/>
                <w:sz w:val="20"/>
                <w:szCs w:val="20"/>
                <w:lang w:eastAsia="en-US"/>
              </w:rPr>
              <w:t xml:space="preserve">aste from dismantling of </w:t>
            </w:r>
            <w:r w:rsidR="007E29DC" w:rsidRPr="0068236B">
              <w:rPr>
                <w:rFonts w:cs="Tahoma"/>
                <w:sz w:val="20"/>
                <w:szCs w:val="20"/>
                <w:lang w:eastAsia="en-US"/>
              </w:rPr>
              <w:t xml:space="preserve">two towers and electrical equipment </w:t>
            </w:r>
            <w:r w:rsidR="00103388" w:rsidRPr="0068236B">
              <w:rPr>
                <w:rFonts w:cs="Tahoma"/>
                <w:sz w:val="20"/>
                <w:szCs w:val="20"/>
                <w:lang w:eastAsia="en-US"/>
              </w:rPr>
              <w:t xml:space="preserve">(existing line from SS Valandovo to </w:t>
            </w:r>
            <w:r w:rsidR="006F1369" w:rsidRPr="0068236B">
              <w:rPr>
                <w:rFonts w:cs="Tahoma"/>
                <w:sz w:val="20"/>
                <w:szCs w:val="20"/>
                <w:lang w:eastAsia="en-US"/>
              </w:rPr>
              <w:t xml:space="preserve">‘EVP’ </w:t>
            </w:r>
            <w:r w:rsidRPr="0068236B">
              <w:rPr>
                <w:rFonts w:cs="Tahoma"/>
                <w:sz w:val="20"/>
                <w:szCs w:val="20"/>
                <w:lang w:eastAsia="en-US"/>
              </w:rPr>
              <w:t xml:space="preserve">SS </w:t>
            </w:r>
            <w:r w:rsidR="006F1369" w:rsidRPr="0068236B">
              <w:rPr>
                <w:rFonts w:cs="Tahoma"/>
                <w:sz w:val="20"/>
                <w:szCs w:val="20"/>
                <w:lang w:eastAsia="en-US"/>
              </w:rPr>
              <w:t>Miletkovo)</w:t>
            </w:r>
            <w:r w:rsidR="007E29DC" w:rsidRPr="0068236B">
              <w:rPr>
                <w:rFonts w:cs="Tahoma"/>
                <w:sz w:val="20"/>
                <w:szCs w:val="20"/>
                <w:lang w:eastAsia="en-US"/>
              </w:rPr>
              <w:t xml:space="preserve"> (Table below)</w:t>
            </w:r>
          </w:p>
          <w:p w14:paraId="3D20C500" w14:textId="7779C09B" w:rsidR="003B46E3" w:rsidRPr="0068236B" w:rsidRDefault="003B46E3" w:rsidP="008E77D3">
            <w:pPr>
              <w:pStyle w:val="ListParagraph"/>
              <w:numPr>
                <w:ilvl w:val="0"/>
                <w:numId w:val="73"/>
              </w:numPr>
              <w:autoSpaceDE w:val="0"/>
              <w:autoSpaceDN w:val="0"/>
              <w:adjustRightInd w:val="0"/>
              <w:spacing w:before="0" w:after="0" w:line="240" w:lineRule="auto"/>
              <w:ind w:left="176" w:hanging="176"/>
              <w:contextualSpacing w:val="0"/>
              <w:jc w:val="left"/>
              <w:rPr>
                <w:rFonts w:cs="Tahoma"/>
                <w:sz w:val="20"/>
                <w:szCs w:val="20"/>
                <w:lang w:eastAsia="en-US"/>
              </w:rPr>
            </w:pPr>
            <w:r w:rsidRPr="0068236B">
              <w:rPr>
                <w:rFonts w:cs="Tahoma"/>
                <w:sz w:val="20"/>
                <w:szCs w:val="20"/>
                <w:lang w:eastAsia="en-US"/>
              </w:rPr>
              <w:t>Packaging from materials delivered to construction site</w:t>
            </w:r>
          </w:p>
          <w:p w14:paraId="2D325E54" w14:textId="77777777" w:rsidR="003B46E3" w:rsidRPr="0068236B" w:rsidRDefault="003B46E3" w:rsidP="008E77D3">
            <w:pPr>
              <w:pStyle w:val="ListParagraph"/>
              <w:numPr>
                <w:ilvl w:val="0"/>
                <w:numId w:val="73"/>
              </w:numPr>
              <w:autoSpaceDE w:val="0"/>
              <w:autoSpaceDN w:val="0"/>
              <w:adjustRightInd w:val="0"/>
              <w:spacing w:before="0" w:after="0" w:line="240" w:lineRule="auto"/>
              <w:ind w:left="176" w:hanging="176"/>
              <w:contextualSpacing w:val="0"/>
              <w:jc w:val="left"/>
              <w:rPr>
                <w:rFonts w:cs="Tahoma"/>
                <w:sz w:val="20"/>
                <w:szCs w:val="20"/>
                <w:lang w:eastAsia="en-US"/>
              </w:rPr>
            </w:pPr>
            <w:r w:rsidRPr="0068236B">
              <w:rPr>
                <w:rFonts w:cs="Tahoma"/>
                <w:sz w:val="20"/>
                <w:szCs w:val="20"/>
                <w:lang w:eastAsia="en-US"/>
              </w:rPr>
              <w:t>Excess and broken / damaged construction materials</w:t>
            </w:r>
          </w:p>
          <w:p w14:paraId="00598161" w14:textId="77777777" w:rsidR="003B46E3" w:rsidRPr="0068236B" w:rsidRDefault="003B46E3" w:rsidP="008E77D3">
            <w:pPr>
              <w:pStyle w:val="ListParagraph"/>
              <w:numPr>
                <w:ilvl w:val="0"/>
                <w:numId w:val="73"/>
              </w:numPr>
              <w:autoSpaceDE w:val="0"/>
              <w:autoSpaceDN w:val="0"/>
              <w:adjustRightInd w:val="0"/>
              <w:spacing w:before="0" w:after="0" w:line="240" w:lineRule="auto"/>
              <w:ind w:left="176" w:hanging="176"/>
              <w:contextualSpacing w:val="0"/>
              <w:jc w:val="left"/>
              <w:rPr>
                <w:rFonts w:cs="Tahoma"/>
                <w:sz w:val="20"/>
                <w:szCs w:val="20"/>
                <w:lang w:eastAsia="en-US"/>
              </w:rPr>
            </w:pPr>
            <w:r w:rsidRPr="0068236B">
              <w:rPr>
                <w:rFonts w:cs="Tahoma"/>
                <w:sz w:val="20"/>
                <w:szCs w:val="20"/>
                <w:lang w:eastAsia="en-US"/>
              </w:rPr>
              <w:t>Waste oils from construction vehicles</w:t>
            </w:r>
          </w:p>
          <w:p w14:paraId="04C516F2" w14:textId="77777777" w:rsidR="003B46E3" w:rsidRPr="0068236B" w:rsidRDefault="003B46E3" w:rsidP="008E77D3">
            <w:pPr>
              <w:pStyle w:val="ListParagraph"/>
              <w:numPr>
                <w:ilvl w:val="0"/>
                <w:numId w:val="73"/>
              </w:numPr>
              <w:autoSpaceDE w:val="0"/>
              <w:autoSpaceDN w:val="0"/>
              <w:adjustRightInd w:val="0"/>
              <w:spacing w:before="0" w:after="0" w:line="240" w:lineRule="auto"/>
              <w:ind w:left="176" w:hanging="176"/>
              <w:contextualSpacing w:val="0"/>
              <w:jc w:val="left"/>
              <w:rPr>
                <w:rFonts w:cs="Tahoma"/>
                <w:sz w:val="20"/>
                <w:szCs w:val="20"/>
              </w:rPr>
            </w:pPr>
            <w:r w:rsidRPr="0068236B">
              <w:rPr>
                <w:rFonts w:cs="Tahoma"/>
                <w:sz w:val="20"/>
                <w:szCs w:val="20"/>
                <w:lang w:eastAsia="en-US"/>
              </w:rPr>
              <w:t>Construction worker wastes</w:t>
            </w:r>
          </w:p>
        </w:tc>
      </w:tr>
    </w:tbl>
    <w:p w14:paraId="6AED98F9" w14:textId="072E0544" w:rsidR="003B46E3" w:rsidRPr="0068236B" w:rsidRDefault="003B46E3" w:rsidP="003B46E3">
      <w:pPr>
        <w:pStyle w:val="Caption"/>
        <w:spacing w:after="240"/>
        <w:jc w:val="left"/>
        <w:rPr>
          <w:rFonts w:eastAsia="Calibri"/>
          <w:b w:val="0"/>
          <w:i/>
        </w:rPr>
      </w:pPr>
      <w:bookmarkStart w:id="516" w:name="_Toc80181283"/>
      <w:bookmarkStart w:id="517" w:name="_Toc113018236"/>
      <w:r w:rsidRPr="0068236B">
        <w:rPr>
          <w:b w:val="0"/>
        </w:rPr>
        <w:t xml:space="preserve">Table </w:t>
      </w:r>
      <w:r w:rsidRPr="0068236B">
        <w:rPr>
          <w:b w:val="0"/>
          <w:i/>
        </w:rPr>
        <w:fldChar w:fldCharType="begin"/>
      </w:r>
      <w:r w:rsidRPr="0068236B">
        <w:rPr>
          <w:b w:val="0"/>
        </w:rPr>
        <w:instrText xml:space="preserve"> STYLEREF 1 \s </w:instrText>
      </w:r>
      <w:r w:rsidRPr="0068236B">
        <w:rPr>
          <w:b w:val="0"/>
          <w:i/>
        </w:rPr>
        <w:fldChar w:fldCharType="separate"/>
      </w:r>
      <w:r w:rsidR="00FD57E6">
        <w:rPr>
          <w:b w:val="0"/>
          <w:noProof/>
        </w:rPr>
        <w:t>8</w:t>
      </w:r>
      <w:r w:rsidRPr="0068236B">
        <w:rPr>
          <w:b w:val="0"/>
          <w:i/>
        </w:rPr>
        <w:fldChar w:fldCharType="end"/>
      </w:r>
      <w:r w:rsidRPr="0068236B">
        <w:rPr>
          <w:b w:val="0"/>
        </w:rPr>
        <w:t>.</w:t>
      </w:r>
      <w:r w:rsidRPr="0068236B">
        <w:rPr>
          <w:b w:val="0"/>
          <w:i/>
        </w:rPr>
        <w:fldChar w:fldCharType="begin"/>
      </w:r>
      <w:r w:rsidRPr="0068236B">
        <w:rPr>
          <w:b w:val="0"/>
        </w:rPr>
        <w:instrText xml:space="preserve"> SEQ Table \* ARABIC \s 1 </w:instrText>
      </w:r>
      <w:r w:rsidRPr="0068236B">
        <w:rPr>
          <w:b w:val="0"/>
          <w:i/>
        </w:rPr>
        <w:fldChar w:fldCharType="separate"/>
      </w:r>
      <w:r w:rsidR="00FD57E6">
        <w:rPr>
          <w:b w:val="0"/>
          <w:noProof/>
        </w:rPr>
        <w:t>40</w:t>
      </w:r>
      <w:r w:rsidRPr="0068236B">
        <w:rPr>
          <w:b w:val="0"/>
          <w:i/>
        </w:rPr>
        <w:fldChar w:fldCharType="end"/>
      </w:r>
      <w:r w:rsidR="00E7643A" w:rsidRPr="0068236B">
        <w:rPr>
          <w:rFonts w:eastAsia="Calibri"/>
          <w:b w:val="0"/>
        </w:rPr>
        <w:t>:</w:t>
      </w:r>
      <w:r w:rsidRPr="0068236B">
        <w:rPr>
          <w:rFonts w:eastAsia="Calibri"/>
          <w:b w:val="0"/>
        </w:rPr>
        <w:t xml:space="preserve"> Project activities and construction waste generation</w:t>
      </w:r>
      <w:bookmarkEnd w:id="516"/>
      <w:bookmarkEnd w:id="517"/>
    </w:p>
    <w:p w14:paraId="24B95F70" w14:textId="09401BB6" w:rsidR="007E29DC" w:rsidRPr="0068236B" w:rsidRDefault="007E29DC" w:rsidP="007E29DC">
      <w:pPr>
        <w:autoSpaceDE w:val="0"/>
        <w:autoSpaceDN w:val="0"/>
        <w:adjustRightInd w:val="0"/>
        <w:rPr>
          <w:rFonts w:eastAsia="Calibri" w:cs="Arial"/>
          <w:sz w:val="20"/>
          <w:szCs w:val="20"/>
        </w:rPr>
      </w:pPr>
      <w:r w:rsidRPr="0068236B">
        <w:rPr>
          <w:rFonts w:eastAsia="Calibri" w:cs="Arial"/>
          <w:sz w:val="20"/>
          <w:szCs w:val="20"/>
        </w:rPr>
        <w:t>An initial estimate of the waste materials which will be generated as a result of the demolition / dismantling works is given in the following Table.</w:t>
      </w:r>
      <w:r w:rsidR="00003501" w:rsidRPr="0068236B">
        <w:rPr>
          <w:rFonts w:eastAsia="Calibri"/>
          <w:sz w:val="20"/>
          <w:szCs w:val="20"/>
        </w:rPr>
        <w:t xml:space="preserve"> U</w:t>
      </w:r>
      <w:r w:rsidR="00003501" w:rsidRPr="0068236B">
        <w:rPr>
          <w:sz w:val="20"/>
          <w:szCs w:val="20"/>
        </w:rPr>
        <w:t>pon removal, many of these elements would be suitable for recycling.</w:t>
      </w:r>
    </w:p>
    <w:tbl>
      <w:tblPr>
        <w:tblW w:w="0" w:type="auto"/>
        <w:tblInd w:w="-9" w:type="dxa"/>
        <w:tblLayout w:type="fixed"/>
        <w:tblCellMar>
          <w:top w:w="57" w:type="dxa"/>
          <w:left w:w="57" w:type="dxa"/>
          <w:bottom w:w="57" w:type="dxa"/>
          <w:right w:w="57" w:type="dxa"/>
        </w:tblCellMar>
        <w:tblLook w:val="0000" w:firstRow="0" w:lastRow="0" w:firstColumn="0" w:lastColumn="0" w:noHBand="0" w:noVBand="0"/>
      </w:tblPr>
      <w:tblGrid>
        <w:gridCol w:w="2976"/>
        <w:gridCol w:w="3469"/>
        <w:gridCol w:w="2334"/>
      </w:tblGrid>
      <w:tr w:rsidR="00C66C49" w:rsidRPr="0068236B" w14:paraId="12EAFC9E" w14:textId="77777777" w:rsidTr="00392BDE">
        <w:tc>
          <w:tcPr>
            <w:tcW w:w="2976"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6BA848D6" w14:textId="77777777" w:rsidR="007E29DC" w:rsidRPr="0068236B" w:rsidRDefault="007E29DC" w:rsidP="007E29DC">
            <w:pPr>
              <w:snapToGrid w:val="0"/>
              <w:spacing w:before="0" w:after="0" w:line="240" w:lineRule="auto"/>
              <w:jc w:val="left"/>
              <w:rPr>
                <w:rFonts w:cs="Tahoma"/>
                <w:sz w:val="20"/>
                <w:szCs w:val="20"/>
              </w:rPr>
            </w:pPr>
            <w:r w:rsidRPr="0068236B">
              <w:rPr>
                <w:rFonts w:cs="Tahoma"/>
                <w:sz w:val="20"/>
                <w:szCs w:val="20"/>
              </w:rPr>
              <w:t>Transmission line to be disma</w:t>
            </w:r>
            <w:r w:rsidRPr="0068236B">
              <w:rPr>
                <w:rFonts w:cs="Tahoma"/>
                <w:sz w:val="20"/>
                <w:szCs w:val="20"/>
              </w:rPr>
              <w:t>n</w:t>
            </w:r>
            <w:r w:rsidRPr="0068236B">
              <w:rPr>
                <w:rFonts w:cs="Tahoma"/>
                <w:sz w:val="20"/>
                <w:szCs w:val="20"/>
              </w:rPr>
              <w:t>tled</w:t>
            </w:r>
          </w:p>
        </w:tc>
        <w:tc>
          <w:tcPr>
            <w:tcW w:w="3469"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31FF1C46" w14:textId="77777777" w:rsidR="007E29DC" w:rsidRPr="0068236B" w:rsidRDefault="007E29DC" w:rsidP="007E29DC">
            <w:pPr>
              <w:snapToGrid w:val="0"/>
              <w:spacing w:before="0" w:after="0" w:line="240" w:lineRule="auto"/>
              <w:jc w:val="left"/>
              <w:rPr>
                <w:rFonts w:cs="Tahoma"/>
                <w:sz w:val="20"/>
                <w:szCs w:val="20"/>
              </w:rPr>
            </w:pPr>
            <w:r w:rsidRPr="0068236B">
              <w:rPr>
                <w:rFonts w:cs="Tahoma"/>
                <w:sz w:val="20"/>
                <w:szCs w:val="20"/>
              </w:rPr>
              <w:t>Waste element / material</w:t>
            </w:r>
          </w:p>
        </w:tc>
        <w:tc>
          <w:tcPr>
            <w:tcW w:w="2334"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22EC7DE0" w14:textId="5F2A58C9" w:rsidR="007E29DC" w:rsidRPr="0068236B" w:rsidRDefault="007E29DC" w:rsidP="007E29DC">
            <w:pPr>
              <w:snapToGrid w:val="0"/>
              <w:spacing w:before="0" w:after="0" w:line="240" w:lineRule="auto"/>
              <w:jc w:val="left"/>
              <w:rPr>
                <w:rFonts w:cs="Tahoma"/>
                <w:sz w:val="20"/>
                <w:szCs w:val="20"/>
                <w:lang w:val="mk-MK"/>
              </w:rPr>
            </w:pPr>
            <w:r w:rsidRPr="0068236B">
              <w:rPr>
                <w:rFonts w:cs="Tahoma"/>
                <w:sz w:val="20"/>
                <w:szCs w:val="20"/>
              </w:rPr>
              <w:t>Estimated amount of waste fraction</w:t>
            </w:r>
          </w:p>
        </w:tc>
      </w:tr>
      <w:tr w:rsidR="00C66C49" w:rsidRPr="0068236B" w14:paraId="369BD148" w14:textId="77777777" w:rsidTr="00392BDE">
        <w:trPr>
          <w:trHeight w:val="130"/>
        </w:trPr>
        <w:tc>
          <w:tcPr>
            <w:tcW w:w="2976" w:type="dxa"/>
            <w:vMerge w:val="restart"/>
            <w:tcBorders>
              <w:top w:val="double" w:sz="4" w:space="0" w:color="auto"/>
              <w:left w:val="double" w:sz="4" w:space="0" w:color="auto"/>
              <w:bottom w:val="single" w:sz="4" w:space="0" w:color="auto"/>
              <w:right w:val="single" w:sz="4" w:space="0" w:color="auto"/>
            </w:tcBorders>
            <w:shd w:val="clear" w:color="auto" w:fill="auto"/>
          </w:tcPr>
          <w:p w14:paraId="241EC6ED" w14:textId="06B0D3B8" w:rsidR="007E29DC" w:rsidRPr="0068236B" w:rsidRDefault="007E29DC" w:rsidP="007E29DC">
            <w:pPr>
              <w:snapToGrid w:val="0"/>
              <w:spacing w:before="0" w:after="0" w:line="240" w:lineRule="auto"/>
              <w:jc w:val="left"/>
              <w:rPr>
                <w:rFonts w:cs="Tahoma"/>
                <w:sz w:val="20"/>
                <w:szCs w:val="20"/>
                <w:shd w:val="clear" w:color="auto" w:fill="FFFFFF"/>
              </w:rPr>
            </w:pPr>
            <w:r w:rsidRPr="0068236B">
              <w:rPr>
                <w:rFonts w:cs="Tahoma"/>
                <w:sz w:val="20"/>
                <w:szCs w:val="20"/>
                <w:shd w:val="clear" w:color="auto" w:fill="FFFFFF"/>
              </w:rPr>
              <w:t>Existing 2x110 kV OHL Valan</w:t>
            </w:r>
            <w:r w:rsidRPr="0068236B">
              <w:rPr>
                <w:rFonts w:cs="Tahoma"/>
                <w:sz w:val="20"/>
                <w:szCs w:val="20"/>
                <w:shd w:val="clear" w:color="auto" w:fill="FFFFFF"/>
              </w:rPr>
              <w:t>d</w:t>
            </w:r>
            <w:r w:rsidRPr="0068236B">
              <w:rPr>
                <w:rFonts w:cs="Tahoma"/>
                <w:sz w:val="20"/>
                <w:szCs w:val="20"/>
                <w:shd w:val="clear" w:color="auto" w:fill="FFFFFF"/>
              </w:rPr>
              <w:t>ovo – ‘EVP’ SS Miletkovo</w:t>
            </w:r>
          </w:p>
          <w:p w14:paraId="4BC22559" w14:textId="77777777" w:rsidR="007E29DC" w:rsidRPr="0068236B" w:rsidRDefault="007E29DC" w:rsidP="007E29DC">
            <w:pPr>
              <w:snapToGrid w:val="0"/>
              <w:spacing w:before="0" w:after="0" w:line="240" w:lineRule="auto"/>
              <w:jc w:val="left"/>
              <w:rPr>
                <w:rFonts w:cs="Tahoma"/>
                <w:sz w:val="20"/>
                <w:szCs w:val="20"/>
                <w:shd w:val="clear" w:color="auto" w:fill="FFFFFF"/>
              </w:rPr>
            </w:pPr>
          </w:p>
          <w:p w14:paraId="721FAA76" w14:textId="442C1A84" w:rsidR="007E29DC" w:rsidRPr="0068236B" w:rsidRDefault="007E29DC" w:rsidP="007E29DC">
            <w:pPr>
              <w:snapToGrid w:val="0"/>
              <w:spacing w:before="0" w:after="0" w:line="240" w:lineRule="auto"/>
              <w:jc w:val="left"/>
              <w:rPr>
                <w:rFonts w:cs="Tahoma"/>
                <w:sz w:val="20"/>
                <w:szCs w:val="20"/>
                <w:shd w:val="clear" w:color="auto" w:fill="FFFFFF"/>
              </w:rPr>
            </w:pPr>
            <w:r w:rsidRPr="0068236B">
              <w:rPr>
                <w:rFonts w:cs="Tahoma"/>
                <w:sz w:val="20"/>
                <w:szCs w:val="20"/>
                <w:shd w:val="clear" w:color="auto" w:fill="FFFFFF"/>
              </w:rPr>
              <w:t xml:space="preserve">Towers </w:t>
            </w:r>
            <w:r w:rsidR="005E6643" w:rsidRPr="0068236B">
              <w:rPr>
                <w:rFonts w:cs="Tahoma"/>
                <w:sz w:val="20"/>
                <w:szCs w:val="20"/>
                <w:shd w:val="clear" w:color="auto" w:fill="FFFFFF"/>
              </w:rPr>
              <w:t>and</w:t>
            </w:r>
            <w:r w:rsidR="008A74D0" w:rsidRPr="0068236B">
              <w:rPr>
                <w:rFonts w:cs="Tahoma"/>
                <w:sz w:val="20"/>
                <w:szCs w:val="20"/>
                <w:shd w:val="clear" w:color="auto" w:fill="FFFFFF"/>
              </w:rPr>
              <w:t xml:space="preserve"> foundations </w:t>
            </w:r>
            <w:r w:rsidRPr="0068236B">
              <w:rPr>
                <w:rFonts w:cs="Tahoma"/>
                <w:sz w:val="20"/>
                <w:szCs w:val="20"/>
                <w:shd w:val="clear" w:color="auto" w:fill="FFFFFF"/>
              </w:rPr>
              <w:t>to be dismantled:</w:t>
            </w:r>
          </w:p>
          <w:p w14:paraId="43DB569F" w14:textId="77777777" w:rsidR="007E29DC" w:rsidRPr="0068236B" w:rsidRDefault="007E29DC" w:rsidP="00D24CEF">
            <w:pPr>
              <w:pStyle w:val="ListParagraph"/>
              <w:numPr>
                <w:ilvl w:val="0"/>
                <w:numId w:val="112"/>
              </w:numPr>
              <w:snapToGrid w:val="0"/>
              <w:spacing w:before="0" w:after="0" w:line="240" w:lineRule="auto"/>
              <w:ind w:left="293" w:hanging="142"/>
              <w:contextualSpacing w:val="0"/>
              <w:jc w:val="left"/>
              <w:rPr>
                <w:rFonts w:cs="Tahoma"/>
                <w:sz w:val="20"/>
                <w:szCs w:val="20"/>
                <w:shd w:val="clear" w:color="auto" w:fill="FFFFFF"/>
              </w:rPr>
            </w:pPr>
            <w:r w:rsidRPr="0068236B">
              <w:rPr>
                <w:rFonts w:cs="Tahoma"/>
                <w:sz w:val="20"/>
                <w:szCs w:val="20"/>
                <w:shd w:val="clear" w:color="auto" w:fill="FFFFFF"/>
              </w:rPr>
              <w:t>Angle towers: 1</w:t>
            </w:r>
          </w:p>
          <w:p w14:paraId="5096DF03" w14:textId="77777777" w:rsidR="007E29DC" w:rsidRPr="0068236B" w:rsidRDefault="007E29DC" w:rsidP="00D24CEF">
            <w:pPr>
              <w:pStyle w:val="ListParagraph"/>
              <w:numPr>
                <w:ilvl w:val="0"/>
                <w:numId w:val="112"/>
              </w:numPr>
              <w:snapToGrid w:val="0"/>
              <w:spacing w:before="0" w:after="0" w:line="240" w:lineRule="auto"/>
              <w:ind w:left="293" w:hanging="142"/>
              <w:contextualSpacing w:val="0"/>
              <w:jc w:val="left"/>
              <w:rPr>
                <w:rFonts w:cs="Tahoma"/>
                <w:sz w:val="20"/>
                <w:szCs w:val="20"/>
                <w:shd w:val="clear" w:color="auto" w:fill="FFFFFF"/>
              </w:rPr>
            </w:pPr>
            <w:r w:rsidRPr="0068236B">
              <w:rPr>
                <w:rFonts w:cs="Tahoma"/>
                <w:sz w:val="20"/>
                <w:szCs w:val="20"/>
                <w:shd w:val="clear" w:color="auto" w:fill="FFFFFF"/>
              </w:rPr>
              <w:lastRenderedPageBreak/>
              <w:t>Suspension towers: 1</w:t>
            </w:r>
          </w:p>
          <w:p w14:paraId="46F65A58" w14:textId="77777777" w:rsidR="007E29DC" w:rsidRPr="0068236B" w:rsidRDefault="007E29DC" w:rsidP="00D24CEF">
            <w:pPr>
              <w:pStyle w:val="ListParagraph"/>
              <w:numPr>
                <w:ilvl w:val="0"/>
                <w:numId w:val="112"/>
              </w:numPr>
              <w:snapToGrid w:val="0"/>
              <w:spacing w:before="0" w:after="0" w:line="240" w:lineRule="auto"/>
              <w:ind w:left="293" w:hanging="142"/>
              <w:contextualSpacing w:val="0"/>
              <w:jc w:val="left"/>
              <w:rPr>
                <w:rFonts w:cs="Tahoma"/>
                <w:sz w:val="20"/>
                <w:szCs w:val="20"/>
                <w:shd w:val="clear" w:color="auto" w:fill="FFFFFF"/>
              </w:rPr>
            </w:pPr>
            <w:r w:rsidRPr="0068236B">
              <w:rPr>
                <w:rFonts w:cs="Tahoma"/>
                <w:sz w:val="20"/>
                <w:szCs w:val="20"/>
                <w:shd w:val="clear" w:color="auto" w:fill="FFFFFF"/>
              </w:rPr>
              <w:t>Total: 2</w:t>
            </w:r>
          </w:p>
        </w:tc>
        <w:tc>
          <w:tcPr>
            <w:tcW w:w="3469" w:type="dxa"/>
            <w:tcBorders>
              <w:top w:val="double" w:sz="4" w:space="0" w:color="auto"/>
              <w:left w:val="single" w:sz="4" w:space="0" w:color="auto"/>
              <w:bottom w:val="single" w:sz="4" w:space="0" w:color="auto"/>
              <w:right w:val="single" w:sz="4" w:space="0" w:color="auto"/>
            </w:tcBorders>
            <w:shd w:val="clear" w:color="auto" w:fill="auto"/>
            <w:vAlign w:val="center"/>
          </w:tcPr>
          <w:p w14:paraId="73F4BD27" w14:textId="77777777" w:rsidR="007E29DC" w:rsidRPr="0068236B" w:rsidRDefault="007E29DC" w:rsidP="007E29DC">
            <w:pPr>
              <w:snapToGrid w:val="0"/>
              <w:spacing w:before="0" w:after="0" w:line="240" w:lineRule="auto"/>
              <w:jc w:val="left"/>
              <w:rPr>
                <w:rFonts w:cs="Tahoma"/>
                <w:sz w:val="20"/>
                <w:szCs w:val="20"/>
                <w:shd w:val="clear" w:color="auto" w:fill="FFFFFF"/>
              </w:rPr>
            </w:pPr>
            <w:r w:rsidRPr="0068236B">
              <w:rPr>
                <w:rFonts w:cs="Tahoma"/>
                <w:sz w:val="20"/>
                <w:szCs w:val="20"/>
                <w:shd w:val="clear" w:color="auto" w:fill="FFFFFF"/>
              </w:rPr>
              <w:lastRenderedPageBreak/>
              <w:t>Tower – steelwork</w:t>
            </w:r>
          </w:p>
        </w:tc>
        <w:tc>
          <w:tcPr>
            <w:tcW w:w="2334" w:type="dxa"/>
            <w:tcBorders>
              <w:top w:val="double" w:sz="4" w:space="0" w:color="auto"/>
              <w:left w:val="single" w:sz="4" w:space="0" w:color="auto"/>
              <w:bottom w:val="single" w:sz="4" w:space="0" w:color="auto"/>
              <w:right w:val="double" w:sz="4" w:space="0" w:color="auto"/>
            </w:tcBorders>
            <w:shd w:val="clear" w:color="auto" w:fill="auto"/>
            <w:vAlign w:val="center"/>
          </w:tcPr>
          <w:p w14:paraId="0F09838C" w14:textId="6254C66C" w:rsidR="007E29DC" w:rsidRPr="0068236B" w:rsidRDefault="007E29DC" w:rsidP="007E29DC">
            <w:pPr>
              <w:snapToGrid w:val="0"/>
              <w:spacing w:before="0" w:after="0" w:line="240" w:lineRule="auto"/>
              <w:jc w:val="right"/>
              <w:rPr>
                <w:rFonts w:cs="Tahoma"/>
                <w:sz w:val="20"/>
                <w:szCs w:val="20"/>
                <w:shd w:val="clear" w:color="auto" w:fill="FFFFFF"/>
              </w:rPr>
            </w:pPr>
            <w:r w:rsidRPr="0068236B">
              <w:rPr>
                <w:rFonts w:cs="Tahoma"/>
                <w:sz w:val="20"/>
                <w:szCs w:val="20"/>
                <w:shd w:val="clear" w:color="auto" w:fill="FFFFFF"/>
              </w:rPr>
              <w:t>7.44 tonnes</w:t>
            </w:r>
          </w:p>
        </w:tc>
      </w:tr>
      <w:tr w:rsidR="00C66C49" w:rsidRPr="0068236B" w14:paraId="4E65AF62" w14:textId="77777777" w:rsidTr="00392BDE">
        <w:tc>
          <w:tcPr>
            <w:tcW w:w="2976" w:type="dxa"/>
            <w:vMerge/>
            <w:tcBorders>
              <w:top w:val="single" w:sz="4" w:space="0" w:color="auto"/>
              <w:left w:val="double" w:sz="4" w:space="0" w:color="auto"/>
              <w:bottom w:val="single" w:sz="4" w:space="0" w:color="auto"/>
              <w:right w:val="single" w:sz="4" w:space="0" w:color="auto"/>
            </w:tcBorders>
            <w:shd w:val="clear" w:color="auto" w:fill="auto"/>
          </w:tcPr>
          <w:p w14:paraId="07A9424C" w14:textId="77777777" w:rsidR="007E29DC" w:rsidRPr="0068236B" w:rsidRDefault="007E29DC" w:rsidP="007E29DC">
            <w:pPr>
              <w:snapToGrid w:val="0"/>
              <w:spacing w:before="0" w:after="0" w:line="240" w:lineRule="auto"/>
              <w:jc w:val="left"/>
              <w:rPr>
                <w:sz w:val="20"/>
                <w:szCs w:val="20"/>
              </w:rPr>
            </w:pPr>
          </w:p>
        </w:tc>
        <w:tc>
          <w:tcPr>
            <w:tcW w:w="3469" w:type="dxa"/>
            <w:tcBorders>
              <w:top w:val="single" w:sz="4" w:space="0" w:color="auto"/>
              <w:left w:val="single" w:sz="4" w:space="0" w:color="auto"/>
              <w:bottom w:val="single" w:sz="4" w:space="0" w:color="auto"/>
              <w:right w:val="single" w:sz="4" w:space="0" w:color="auto"/>
            </w:tcBorders>
            <w:shd w:val="clear" w:color="auto" w:fill="auto"/>
            <w:vAlign w:val="center"/>
          </w:tcPr>
          <w:p w14:paraId="0361107D" w14:textId="77777777" w:rsidR="007E29DC" w:rsidRPr="0068236B" w:rsidRDefault="007E29DC" w:rsidP="007E29DC">
            <w:pPr>
              <w:snapToGrid w:val="0"/>
              <w:spacing w:before="0" w:after="0" w:line="240" w:lineRule="auto"/>
              <w:jc w:val="left"/>
              <w:rPr>
                <w:rFonts w:cs="Tahoma"/>
                <w:sz w:val="20"/>
                <w:szCs w:val="20"/>
                <w:shd w:val="clear" w:color="auto" w:fill="FFFFFF"/>
              </w:rPr>
            </w:pPr>
            <w:r w:rsidRPr="0068236B">
              <w:rPr>
                <w:rFonts w:cs="Tahoma"/>
                <w:sz w:val="20"/>
                <w:szCs w:val="20"/>
                <w:shd w:val="clear" w:color="auto" w:fill="FFFFFF"/>
              </w:rPr>
              <w:t xml:space="preserve">Foundations – </w:t>
            </w:r>
          </w:p>
          <w:p w14:paraId="3DC24BB3" w14:textId="77777777" w:rsidR="007E29DC" w:rsidRPr="0068236B" w:rsidRDefault="007E29DC" w:rsidP="007E29DC">
            <w:pPr>
              <w:spacing w:before="0" w:after="0" w:line="240" w:lineRule="auto"/>
              <w:jc w:val="left"/>
              <w:rPr>
                <w:rFonts w:cs="Tahoma"/>
                <w:sz w:val="20"/>
                <w:szCs w:val="20"/>
                <w:shd w:val="clear" w:color="auto" w:fill="FFFFFF"/>
              </w:rPr>
            </w:pPr>
            <w:r w:rsidRPr="0068236B">
              <w:rPr>
                <w:rFonts w:cs="Tahoma"/>
                <w:sz w:val="20"/>
                <w:szCs w:val="20"/>
                <w:shd w:val="clear" w:color="auto" w:fill="FFFFFF"/>
              </w:rPr>
              <w:t xml:space="preserve">reinforced concrete </w:t>
            </w:r>
          </w:p>
        </w:tc>
        <w:tc>
          <w:tcPr>
            <w:tcW w:w="2334" w:type="dxa"/>
            <w:tcBorders>
              <w:top w:val="single" w:sz="4" w:space="0" w:color="auto"/>
              <w:left w:val="single" w:sz="4" w:space="0" w:color="auto"/>
              <w:bottom w:val="single" w:sz="4" w:space="0" w:color="auto"/>
              <w:right w:val="double" w:sz="4" w:space="0" w:color="auto"/>
            </w:tcBorders>
            <w:shd w:val="clear" w:color="auto" w:fill="auto"/>
            <w:vAlign w:val="center"/>
          </w:tcPr>
          <w:p w14:paraId="61DEE605" w14:textId="77777777" w:rsidR="007E29DC" w:rsidRPr="0068236B" w:rsidRDefault="007E29DC" w:rsidP="007E29DC">
            <w:pPr>
              <w:shd w:val="clear" w:color="auto" w:fill="FFFFFF"/>
              <w:snapToGrid w:val="0"/>
              <w:spacing w:before="0" w:after="0" w:line="240" w:lineRule="auto"/>
              <w:jc w:val="right"/>
              <w:rPr>
                <w:rFonts w:cs="Tahoma"/>
                <w:sz w:val="20"/>
                <w:szCs w:val="20"/>
                <w:shd w:val="clear" w:color="auto" w:fill="FFFFFF"/>
                <w:vertAlign w:val="superscript"/>
              </w:rPr>
            </w:pPr>
            <w:r w:rsidRPr="0068236B">
              <w:rPr>
                <w:rFonts w:cs="Tahoma"/>
                <w:sz w:val="20"/>
                <w:szCs w:val="20"/>
                <w:shd w:val="clear" w:color="auto" w:fill="FFFFFF"/>
              </w:rPr>
              <w:t>16.7 m</w:t>
            </w:r>
            <w:r w:rsidRPr="0068236B">
              <w:rPr>
                <w:rFonts w:cs="Tahoma"/>
                <w:sz w:val="20"/>
                <w:szCs w:val="20"/>
                <w:shd w:val="clear" w:color="auto" w:fill="FFFFFF"/>
                <w:vertAlign w:val="superscript"/>
              </w:rPr>
              <w:t>3</w:t>
            </w:r>
          </w:p>
        </w:tc>
      </w:tr>
      <w:tr w:rsidR="00C66C49" w:rsidRPr="0068236B" w14:paraId="3ECDE692" w14:textId="77777777" w:rsidTr="00392BDE">
        <w:tc>
          <w:tcPr>
            <w:tcW w:w="2976" w:type="dxa"/>
            <w:vMerge/>
            <w:tcBorders>
              <w:top w:val="single" w:sz="4" w:space="0" w:color="auto"/>
              <w:left w:val="double" w:sz="4" w:space="0" w:color="auto"/>
              <w:bottom w:val="single" w:sz="4" w:space="0" w:color="auto"/>
              <w:right w:val="single" w:sz="4" w:space="0" w:color="auto"/>
            </w:tcBorders>
            <w:shd w:val="clear" w:color="auto" w:fill="auto"/>
          </w:tcPr>
          <w:p w14:paraId="792C60B4" w14:textId="77777777" w:rsidR="007E29DC" w:rsidRPr="0068236B" w:rsidRDefault="007E29DC" w:rsidP="007E29DC">
            <w:pPr>
              <w:snapToGrid w:val="0"/>
              <w:spacing w:before="0" w:after="0" w:line="240" w:lineRule="auto"/>
              <w:jc w:val="left"/>
              <w:rPr>
                <w:sz w:val="20"/>
                <w:szCs w:val="20"/>
              </w:rPr>
            </w:pPr>
          </w:p>
        </w:tc>
        <w:tc>
          <w:tcPr>
            <w:tcW w:w="3469" w:type="dxa"/>
            <w:tcBorders>
              <w:top w:val="single" w:sz="4" w:space="0" w:color="auto"/>
              <w:left w:val="single" w:sz="4" w:space="0" w:color="auto"/>
              <w:bottom w:val="single" w:sz="4" w:space="0" w:color="auto"/>
              <w:right w:val="single" w:sz="4" w:space="0" w:color="auto"/>
            </w:tcBorders>
            <w:shd w:val="clear" w:color="auto" w:fill="auto"/>
            <w:vAlign w:val="center"/>
          </w:tcPr>
          <w:p w14:paraId="6DF7924E" w14:textId="3EFC8AC7" w:rsidR="007E29DC" w:rsidRPr="0068236B" w:rsidRDefault="007E29DC" w:rsidP="008A74D0">
            <w:pPr>
              <w:snapToGrid w:val="0"/>
              <w:spacing w:before="0" w:after="0" w:line="240" w:lineRule="auto"/>
              <w:jc w:val="left"/>
              <w:rPr>
                <w:rFonts w:cs="Tahoma"/>
                <w:sz w:val="20"/>
                <w:szCs w:val="20"/>
                <w:shd w:val="clear" w:color="auto" w:fill="FFFFFF"/>
              </w:rPr>
            </w:pPr>
            <w:r w:rsidRPr="0068236B">
              <w:rPr>
                <w:rFonts w:cs="Tahoma"/>
                <w:sz w:val="20"/>
                <w:szCs w:val="20"/>
                <w:shd w:val="clear" w:color="auto" w:fill="FFFFFF"/>
              </w:rPr>
              <w:t>Conductor</w:t>
            </w:r>
            <w:r w:rsidR="008A74D0" w:rsidRPr="0068236B">
              <w:rPr>
                <w:rFonts w:cs="Tahoma"/>
                <w:sz w:val="20"/>
                <w:szCs w:val="20"/>
                <w:shd w:val="clear" w:color="auto" w:fill="FFFFFF"/>
              </w:rPr>
              <w:t xml:space="preserve"> </w:t>
            </w:r>
            <w:r w:rsidRPr="0068236B">
              <w:rPr>
                <w:rFonts w:cs="Tahoma"/>
                <w:sz w:val="20"/>
                <w:szCs w:val="20"/>
                <w:shd w:val="clear" w:color="auto" w:fill="FFFFFF"/>
              </w:rPr>
              <w:t>(ACSR 2x2x150/25 mm</w:t>
            </w:r>
            <w:r w:rsidRPr="0068236B">
              <w:rPr>
                <w:rFonts w:cs="Tahoma"/>
                <w:sz w:val="20"/>
                <w:szCs w:val="20"/>
                <w:shd w:val="clear" w:color="auto" w:fill="FFFFFF"/>
                <w:vertAlign w:val="superscript"/>
              </w:rPr>
              <w:t>2</w:t>
            </w:r>
            <w:r w:rsidRPr="0068236B">
              <w:rPr>
                <w:rFonts w:cs="Tahoma"/>
                <w:sz w:val="20"/>
                <w:szCs w:val="20"/>
                <w:shd w:val="clear" w:color="auto" w:fill="FFFFFF"/>
              </w:rPr>
              <w:t>)</w:t>
            </w:r>
          </w:p>
        </w:tc>
        <w:tc>
          <w:tcPr>
            <w:tcW w:w="2334" w:type="dxa"/>
            <w:tcBorders>
              <w:top w:val="single" w:sz="4" w:space="0" w:color="auto"/>
              <w:left w:val="single" w:sz="4" w:space="0" w:color="auto"/>
              <w:bottom w:val="single" w:sz="4" w:space="0" w:color="auto"/>
              <w:right w:val="double" w:sz="4" w:space="0" w:color="auto"/>
            </w:tcBorders>
            <w:shd w:val="clear" w:color="auto" w:fill="auto"/>
            <w:vAlign w:val="center"/>
          </w:tcPr>
          <w:p w14:paraId="4DB4B691" w14:textId="4E01E846" w:rsidR="007E29DC" w:rsidRPr="0068236B" w:rsidRDefault="007E29DC" w:rsidP="007E29DC">
            <w:pPr>
              <w:snapToGrid w:val="0"/>
              <w:spacing w:before="0" w:after="0" w:line="240" w:lineRule="auto"/>
              <w:jc w:val="right"/>
              <w:rPr>
                <w:rFonts w:cs="Tahoma"/>
                <w:sz w:val="20"/>
                <w:szCs w:val="20"/>
                <w:shd w:val="clear" w:color="auto" w:fill="FFFFFF"/>
              </w:rPr>
            </w:pPr>
            <w:r w:rsidRPr="0068236B">
              <w:rPr>
                <w:rFonts w:cs="Tahoma"/>
                <w:sz w:val="20"/>
                <w:szCs w:val="20"/>
                <w:shd w:val="clear" w:color="auto" w:fill="FFFFFF"/>
              </w:rPr>
              <w:t>16.9 tonnes</w:t>
            </w:r>
          </w:p>
        </w:tc>
      </w:tr>
      <w:tr w:rsidR="00C66C49" w:rsidRPr="0068236B" w14:paraId="0C977DA0" w14:textId="77777777" w:rsidTr="00392BDE">
        <w:tc>
          <w:tcPr>
            <w:tcW w:w="2976" w:type="dxa"/>
            <w:vMerge/>
            <w:tcBorders>
              <w:top w:val="single" w:sz="4" w:space="0" w:color="auto"/>
              <w:left w:val="double" w:sz="4" w:space="0" w:color="auto"/>
              <w:bottom w:val="single" w:sz="4" w:space="0" w:color="auto"/>
              <w:right w:val="single" w:sz="4" w:space="0" w:color="auto"/>
            </w:tcBorders>
            <w:shd w:val="clear" w:color="auto" w:fill="auto"/>
          </w:tcPr>
          <w:p w14:paraId="50DAB8C3" w14:textId="77777777" w:rsidR="007E29DC" w:rsidRPr="0068236B" w:rsidRDefault="007E29DC" w:rsidP="007E29DC">
            <w:pPr>
              <w:snapToGrid w:val="0"/>
              <w:spacing w:before="0" w:after="0" w:line="240" w:lineRule="auto"/>
              <w:jc w:val="left"/>
              <w:rPr>
                <w:sz w:val="20"/>
                <w:szCs w:val="20"/>
              </w:rPr>
            </w:pPr>
          </w:p>
        </w:tc>
        <w:tc>
          <w:tcPr>
            <w:tcW w:w="3469" w:type="dxa"/>
            <w:tcBorders>
              <w:top w:val="single" w:sz="4" w:space="0" w:color="auto"/>
              <w:left w:val="single" w:sz="4" w:space="0" w:color="auto"/>
              <w:bottom w:val="single" w:sz="4" w:space="0" w:color="auto"/>
              <w:right w:val="single" w:sz="4" w:space="0" w:color="auto"/>
            </w:tcBorders>
            <w:shd w:val="clear" w:color="auto" w:fill="auto"/>
            <w:vAlign w:val="center"/>
          </w:tcPr>
          <w:p w14:paraId="757A2935" w14:textId="2AC92596" w:rsidR="007E29DC" w:rsidRPr="0068236B" w:rsidRDefault="007E29DC" w:rsidP="008A74D0">
            <w:pPr>
              <w:snapToGrid w:val="0"/>
              <w:spacing w:before="0" w:after="0" w:line="240" w:lineRule="auto"/>
              <w:jc w:val="left"/>
              <w:rPr>
                <w:rFonts w:cs="Tahoma"/>
                <w:sz w:val="20"/>
                <w:szCs w:val="20"/>
                <w:shd w:val="clear" w:color="auto" w:fill="FFFFFF"/>
              </w:rPr>
            </w:pPr>
            <w:r w:rsidRPr="0068236B">
              <w:rPr>
                <w:rFonts w:cs="Tahoma"/>
                <w:sz w:val="20"/>
                <w:szCs w:val="20"/>
                <w:shd w:val="clear" w:color="auto" w:fill="FFFFFF"/>
              </w:rPr>
              <w:t>Protective wire</w:t>
            </w:r>
            <w:r w:rsidR="008A74D0" w:rsidRPr="0068236B">
              <w:rPr>
                <w:rFonts w:cs="Tahoma"/>
                <w:sz w:val="20"/>
                <w:szCs w:val="20"/>
                <w:shd w:val="clear" w:color="auto" w:fill="FFFFFF"/>
              </w:rPr>
              <w:t xml:space="preserve"> </w:t>
            </w:r>
            <w:r w:rsidRPr="0068236B">
              <w:rPr>
                <w:rFonts w:cs="Tahoma"/>
                <w:sz w:val="20"/>
                <w:szCs w:val="20"/>
                <w:shd w:val="clear" w:color="auto" w:fill="FFFFFF"/>
              </w:rPr>
              <w:t>(ACSR 95/55 mm</w:t>
            </w:r>
            <w:r w:rsidRPr="0068236B">
              <w:rPr>
                <w:rFonts w:cs="Tahoma"/>
                <w:sz w:val="20"/>
                <w:szCs w:val="20"/>
                <w:shd w:val="clear" w:color="auto" w:fill="FFFFFF"/>
                <w:vertAlign w:val="superscript"/>
              </w:rPr>
              <w:t>2</w:t>
            </w:r>
            <w:r w:rsidRPr="0068236B">
              <w:rPr>
                <w:rFonts w:cs="Tahoma"/>
                <w:sz w:val="20"/>
                <w:szCs w:val="20"/>
                <w:shd w:val="clear" w:color="auto" w:fill="FFFFFF"/>
              </w:rPr>
              <w:t>)</w:t>
            </w:r>
          </w:p>
        </w:tc>
        <w:tc>
          <w:tcPr>
            <w:tcW w:w="2334" w:type="dxa"/>
            <w:tcBorders>
              <w:top w:val="single" w:sz="4" w:space="0" w:color="auto"/>
              <w:left w:val="single" w:sz="4" w:space="0" w:color="auto"/>
              <w:bottom w:val="single" w:sz="4" w:space="0" w:color="auto"/>
              <w:right w:val="double" w:sz="4" w:space="0" w:color="auto"/>
            </w:tcBorders>
            <w:shd w:val="clear" w:color="auto" w:fill="auto"/>
            <w:vAlign w:val="center"/>
          </w:tcPr>
          <w:p w14:paraId="6A8BD375" w14:textId="77777777" w:rsidR="007E29DC" w:rsidRPr="0068236B" w:rsidRDefault="007E29DC" w:rsidP="007E29DC">
            <w:pPr>
              <w:snapToGrid w:val="0"/>
              <w:spacing w:before="0" w:after="0" w:line="240" w:lineRule="auto"/>
              <w:jc w:val="right"/>
              <w:rPr>
                <w:rFonts w:cs="Tahoma"/>
                <w:sz w:val="20"/>
                <w:szCs w:val="20"/>
                <w:shd w:val="clear" w:color="auto" w:fill="FFFFFF"/>
              </w:rPr>
            </w:pPr>
            <w:r w:rsidRPr="0068236B">
              <w:rPr>
                <w:rFonts w:cs="Tahoma"/>
                <w:sz w:val="20"/>
                <w:szCs w:val="20"/>
                <w:shd w:val="clear" w:color="auto" w:fill="FFFFFF"/>
              </w:rPr>
              <w:t>4.7 tonnes</w:t>
            </w:r>
          </w:p>
        </w:tc>
      </w:tr>
      <w:tr w:rsidR="00C66C49" w:rsidRPr="0068236B" w14:paraId="698F3EE3" w14:textId="77777777" w:rsidTr="00392BDE">
        <w:trPr>
          <w:trHeight w:val="201"/>
        </w:trPr>
        <w:tc>
          <w:tcPr>
            <w:tcW w:w="2976" w:type="dxa"/>
            <w:vMerge/>
            <w:tcBorders>
              <w:top w:val="single" w:sz="4" w:space="0" w:color="auto"/>
              <w:left w:val="double" w:sz="4" w:space="0" w:color="auto"/>
              <w:bottom w:val="single" w:sz="4" w:space="0" w:color="auto"/>
              <w:right w:val="single" w:sz="4" w:space="0" w:color="auto"/>
            </w:tcBorders>
            <w:shd w:val="clear" w:color="auto" w:fill="auto"/>
          </w:tcPr>
          <w:p w14:paraId="4A41A3FB" w14:textId="77777777" w:rsidR="007E29DC" w:rsidRPr="0068236B" w:rsidRDefault="007E29DC" w:rsidP="007E29DC">
            <w:pPr>
              <w:snapToGrid w:val="0"/>
              <w:spacing w:before="0" w:after="0" w:line="240" w:lineRule="auto"/>
              <w:jc w:val="left"/>
              <w:rPr>
                <w:sz w:val="20"/>
                <w:szCs w:val="20"/>
              </w:rPr>
            </w:pPr>
          </w:p>
        </w:tc>
        <w:tc>
          <w:tcPr>
            <w:tcW w:w="3469" w:type="dxa"/>
            <w:tcBorders>
              <w:top w:val="single" w:sz="4" w:space="0" w:color="auto"/>
              <w:left w:val="single" w:sz="4" w:space="0" w:color="auto"/>
              <w:bottom w:val="single" w:sz="4" w:space="0" w:color="auto"/>
              <w:right w:val="single" w:sz="4" w:space="0" w:color="auto"/>
            </w:tcBorders>
            <w:shd w:val="clear" w:color="auto" w:fill="auto"/>
            <w:vAlign w:val="center"/>
          </w:tcPr>
          <w:p w14:paraId="533CB5AA" w14:textId="77777777" w:rsidR="007E29DC" w:rsidRPr="0068236B" w:rsidRDefault="007E29DC" w:rsidP="007E29DC">
            <w:pPr>
              <w:snapToGrid w:val="0"/>
              <w:spacing w:before="0" w:after="0" w:line="240" w:lineRule="auto"/>
              <w:jc w:val="left"/>
              <w:rPr>
                <w:rFonts w:cs="Tahoma"/>
                <w:sz w:val="20"/>
                <w:szCs w:val="20"/>
                <w:shd w:val="clear" w:color="auto" w:fill="FFFFFF"/>
              </w:rPr>
            </w:pPr>
            <w:r w:rsidRPr="0068236B">
              <w:rPr>
                <w:rFonts w:cs="Tahoma"/>
                <w:sz w:val="20"/>
                <w:szCs w:val="20"/>
                <w:shd w:val="clear" w:color="auto" w:fill="FFFFFF"/>
              </w:rPr>
              <w:t xml:space="preserve">Insulator strings </w:t>
            </w:r>
          </w:p>
        </w:tc>
        <w:tc>
          <w:tcPr>
            <w:tcW w:w="2334" w:type="dxa"/>
            <w:tcBorders>
              <w:top w:val="single" w:sz="4" w:space="0" w:color="auto"/>
              <w:left w:val="single" w:sz="4" w:space="0" w:color="auto"/>
              <w:bottom w:val="single" w:sz="4" w:space="0" w:color="auto"/>
              <w:right w:val="double" w:sz="4" w:space="0" w:color="auto"/>
            </w:tcBorders>
            <w:shd w:val="clear" w:color="auto" w:fill="auto"/>
            <w:vAlign w:val="center"/>
          </w:tcPr>
          <w:p w14:paraId="5B1220A9" w14:textId="77777777" w:rsidR="007E29DC" w:rsidRPr="0068236B" w:rsidRDefault="007E29DC" w:rsidP="007E29DC">
            <w:pPr>
              <w:snapToGrid w:val="0"/>
              <w:spacing w:before="0" w:after="0" w:line="240" w:lineRule="auto"/>
              <w:jc w:val="right"/>
              <w:rPr>
                <w:rFonts w:cs="Tahoma"/>
                <w:sz w:val="20"/>
                <w:szCs w:val="20"/>
                <w:shd w:val="clear" w:color="auto" w:fill="FFFFFF"/>
              </w:rPr>
            </w:pPr>
            <w:r w:rsidRPr="0068236B">
              <w:rPr>
                <w:rFonts w:cs="Tahoma"/>
                <w:sz w:val="20"/>
                <w:szCs w:val="20"/>
                <w:shd w:val="clear" w:color="auto" w:fill="FFFFFF"/>
              </w:rPr>
              <w:t>120 strings</w:t>
            </w:r>
          </w:p>
        </w:tc>
      </w:tr>
      <w:tr w:rsidR="00C66C49" w:rsidRPr="0068236B" w14:paraId="5713F631" w14:textId="77777777" w:rsidTr="00392BDE">
        <w:trPr>
          <w:trHeight w:val="267"/>
        </w:trPr>
        <w:tc>
          <w:tcPr>
            <w:tcW w:w="2976" w:type="dxa"/>
            <w:vMerge/>
            <w:tcBorders>
              <w:top w:val="single" w:sz="4" w:space="0" w:color="auto"/>
              <w:left w:val="double" w:sz="4" w:space="0" w:color="auto"/>
              <w:bottom w:val="double" w:sz="4" w:space="0" w:color="auto"/>
              <w:right w:val="single" w:sz="4" w:space="0" w:color="auto"/>
            </w:tcBorders>
            <w:shd w:val="clear" w:color="auto" w:fill="auto"/>
          </w:tcPr>
          <w:p w14:paraId="65AB4666" w14:textId="77777777" w:rsidR="007E29DC" w:rsidRPr="0068236B" w:rsidRDefault="007E29DC" w:rsidP="007E29DC">
            <w:pPr>
              <w:snapToGrid w:val="0"/>
              <w:spacing w:before="0" w:after="0" w:line="240" w:lineRule="auto"/>
              <w:jc w:val="left"/>
              <w:rPr>
                <w:sz w:val="20"/>
                <w:szCs w:val="20"/>
              </w:rPr>
            </w:pPr>
          </w:p>
        </w:tc>
        <w:tc>
          <w:tcPr>
            <w:tcW w:w="3469" w:type="dxa"/>
            <w:tcBorders>
              <w:top w:val="single" w:sz="4" w:space="0" w:color="auto"/>
              <w:left w:val="single" w:sz="4" w:space="0" w:color="auto"/>
              <w:bottom w:val="double" w:sz="4" w:space="0" w:color="auto"/>
              <w:right w:val="single" w:sz="4" w:space="0" w:color="auto"/>
            </w:tcBorders>
            <w:shd w:val="clear" w:color="auto" w:fill="auto"/>
            <w:vAlign w:val="center"/>
          </w:tcPr>
          <w:p w14:paraId="76B89B3B" w14:textId="77777777" w:rsidR="007E29DC" w:rsidRPr="0068236B" w:rsidRDefault="007E29DC" w:rsidP="007E29DC">
            <w:pPr>
              <w:snapToGrid w:val="0"/>
              <w:spacing w:before="0" w:after="0" w:line="240" w:lineRule="auto"/>
              <w:jc w:val="left"/>
              <w:rPr>
                <w:rFonts w:cs="Tahoma"/>
                <w:sz w:val="20"/>
                <w:szCs w:val="20"/>
                <w:shd w:val="clear" w:color="auto" w:fill="FFFFFF"/>
              </w:rPr>
            </w:pPr>
            <w:r w:rsidRPr="0068236B">
              <w:rPr>
                <w:rFonts w:cs="Tahoma"/>
                <w:sz w:val="20"/>
                <w:szCs w:val="20"/>
                <w:shd w:val="clear" w:color="auto" w:fill="FFFFFF"/>
              </w:rPr>
              <w:t>Porcelain insulators</w:t>
            </w:r>
          </w:p>
        </w:tc>
        <w:tc>
          <w:tcPr>
            <w:tcW w:w="2334" w:type="dxa"/>
            <w:tcBorders>
              <w:top w:val="single" w:sz="4" w:space="0" w:color="auto"/>
              <w:left w:val="single" w:sz="4" w:space="0" w:color="auto"/>
              <w:bottom w:val="double" w:sz="4" w:space="0" w:color="auto"/>
              <w:right w:val="double" w:sz="4" w:space="0" w:color="auto"/>
            </w:tcBorders>
            <w:shd w:val="clear" w:color="auto" w:fill="auto"/>
            <w:vAlign w:val="center"/>
          </w:tcPr>
          <w:p w14:paraId="23282105" w14:textId="3A38A1F8" w:rsidR="007E29DC" w:rsidRPr="0068236B" w:rsidRDefault="007E29DC" w:rsidP="007E29DC">
            <w:pPr>
              <w:snapToGrid w:val="0"/>
              <w:spacing w:before="0" w:after="0" w:line="240" w:lineRule="auto"/>
              <w:jc w:val="right"/>
              <w:rPr>
                <w:rFonts w:cs="Tahoma"/>
                <w:sz w:val="20"/>
                <w:szCs w:val="20"/>
                <w:shd w:val="clear" w:color="auto" w:fill="FFFFFF"/>
              </w:rPr>
            </w:pPr>
            <w:r w:rsidRPr="0068236B">
              <w:rPr>
                <w:rFonts w:cs="Tahoma"/>
                <w:sz w:val="20"/>
                <w:szCs w:val="20"/>
                <w:shd w:val="clear" w:color="auto" w:fill="FFFFFF"/>
              </w:rPr>
              <w:t>1,080 pieces</w:t>
            </w:r>
          </w:p>
        </w:tc>
      </w:tr>
    </w:tbl>
    <w:p w14:paraId="09416F1E" w14:textId="4D057C84" w:rsidR="007E29DC" w:rsidRPr="0068236B" w:rsidRDefault="007E29DC" w:rsidP="007E29DC">
      <w:pPr>
        <w:pStyle w:val="Caption"/>
        <w:spacing w:after="240"/>
        <w:jc w:val="left"/>
        <w:rPr>
          <w:rFonts w:eastAsia="Calibri"/>
          <w:b w:val="0"/>
          <w:i/>
        </w:rPr>
      </w:pPr>
      <w:bookmarkStart w:id="518" w:name="_Toc113018237"/>
      <w:r w:rsidRPr="0068236B">
        <w:rPr>
          <w:b w:val="0"/>
        </w:rPr>
        <w:t xml:space="preserve">Table </w:t>
      </w:r>
      <w:r w:rsidRPr="0068236B">
        <w:rPr>
          <w:b w:val="0"/>
          <w:i/>
        </w:rPr>
        <w:fldChar w:fldCharType="begin"/>
      </w:r>
      <w:r w:rsidRPr="0068236B">
        <w:rPr>
          <w:b w:val="0"/>
        </w:rPr>
        <w:instrText xml:space="preserve"> STYLEREF 1 \s </w:instrText>
      </w:r>
      <w:r w:rsidRPr="0068236B">
        <w:rPr>
          <w:b w:val="0"/>
          <w:i/>
        </w:rPr>
        <w:fldChar w:fldCharType="separate"/>
      </w:r>
      <w:r w:rsidR="00FD57E6">
        <w:rPr>
          <w:b w:val="0"/>
          <w:noProof/>
        </w:rPr>
        <w:t>8</w:t>
      </w:r>
      <w:r w:rsidRPr="0068236B">
        <w:rPr>
          <w:b w:val="0"/>
          <w:i/>
        </w:rPr>
        <w:fldChar w:fldCharType="end"/>
      </w:r>
      <w:r w:rsidRPr="0068236B">
        <w:rPr>
          <w:b w:val="0"/>
        </w:rPr>
        <w:t>.</w:t>
      </w:r>
      <w:r w:rsidRPr="0068236B">
        <w:rPr>
          <w:b w:val="0"/>
          <w:i/>
        </w:rPr>
        <w:fldChar w:fldCharType="begin"/>
      </w:r>
      <w:r w:rsidRPr="0068236B">
        <w:rPr>
          <w:b w:val="0"/>
        </w:rPr>
        <w:instrText xml:space="preserve"> SEQ Table \* ARABIC \s 1 </w:instrText>
      </w:r>
      <w:r w:rsidRPr="0068236B">
        <w:rPr>
          <w:b w:val="0"/>
          <w:i/>
        </w:rPr>
        <w:fldChar w:fldCharType="separate"/>
      </w:r>
      <w:r w:rsidR="00FD57E6">
        <w:rPr>
          <w:b w:val="0"/>
          <w:noProof/>
        </w:rPr>
        <w:t>41</w:t>
      </w:r>
      <w:r w:rsidRPr="0068236B">
        <w:rPr>
          <w:b w:val="0"/>
          <w:i/>
        </w:rPr>
        <w:fldChar w:fldCharType="end"/>
      </w:r>
      <w:r w:rsidRPr="0068236B">
        <w:rPr>
          <w:rFonts w:eastAsia="Calibri"/>
          <w:b w:val="0"/>
        </w:rPr>
        <w:t xml:space="preserve">: </w:t>
      </w:r>
      <w:r w:rsidRPr="0068236B">
        <w:rPr>
          <w:rFonts w:eastAsia="Calibri" w:cs="Tahoma"/>
          <w:b w:val="0"/>
          <w:szCs w:val="20"/>
        </w:rPr>
        <w:t>Estimated waste quantities from demolition and dismantling works</w:t>
      </w:r>
      <w:bookmarkEnd w:id="518"/>
    </w:p>
    <w:p w14:paraId="381279DD" w14:textId="77777777" w:rsidR="003B46E3" w:rsidRPr="0068236B" w:rsidRDefault="003B46E3" w:rsidP="003B46E3">
      <w:pPr>
        <w:rPr>
          <w:rFonts w:cs="Arial"/>
          <w:sz w:val="20"/>
          <w:szCs w:val="20"/>
        </w:rPr>
      </w:pPr>
      <w:r w:rsidRPr="0068236B">
        <w:rPr>
          <w:rFonts w:cs="Arial"/>
          <w:sz w:val="20"/>
          <w:szCs w:val="20"/>
        </w:rPr>
        <w:t>Taking into consideration the fact that most of the total volume of construction activities will be of a prefa</w:t>
      </w:r>
      <w:r w:rsidRPr="0068236B">
        <w:rPr>
          <w:rFonts w:cs="Arial"/>
          <w:sz w:val="20"/>
          <w:szCs w:val="20"/>
        </w:rPr>
        <w:t>b</w:t>
      </w:r>
      <w:r w:rsidRPr="0068236B">
        <w:rPr>
          <w:rFonts w:cs="Arial"/>
          <w:sz w:val="20"/>
          <w:szCs w:val="20"/>
        </w:rPr>
        <w:t>ricated type, the amount of construction waste will not be significant. The fractions of waste that will be created as a result of construction activities are in relation to the types of materials and equipment to be used during the performance of the various construction stages (earth and concrete works, electro-mechanical works, installation works, etc.).</w:t>
      </w:r>
    </w:p>
    <w:p w14:paraId="37D9D6A6" w14:textId="77777777" w:rsidR="003B46E3" w:rsidRPr="0068236B" w:rsidRDefault="003B46E3" w:rsidP="008A74D0">
      <w:pPr>
        <w:widowControl w:val="0"/>
        <w:rPr>
          <w:rFonts w:cs="Arial"/>
          <w:sz w:val="20"/>
          <w:szCs w:val="20"/>
        </w:rPr>
      </w:pPr>
      <w:r w:rsidRPr="0068236B">
        <w:rPr>
          <w:rFonts w:cs="Arial"/>
          <w:sz w:val="20"/>
          <w:szCs w:val="20"/>
        </w:rPr>
        <w:t>Technical maintenance of construction machinery and other vehicles will not be conducted within the co</w:t>
      </w:r>
      <w:r w:rsidRPr="0068236B">
        <w:rPr>
          <w:rFonts w:cs="Arial"/>
          <w:sz w:val="20"/>
          <w:szCs w:val="20"/>
        </w:rPr>
        <w:t>n</w:t>
      </w:r>
      <w:r w:rsidRPr="0068236B">
        <w:rPr>
          <w:rFonts w:cs="Arial"/>
          <w:sz w:val="20"/>
          <w:szCs w:val="20"/>
        </w:rPr>
        <w:t>struction zones. For these reasons, creation of waste, characteristic for this type of activity (used tires, ba</w:t>
      </w:r>
      <w:r w:rsidRPr="0068236B">
        <w:rPr>
          <w:rFonts w:cs="Arial"/>
          <w:sz w:val="20"/>
          <w:szCs w:val="20"/>
        </w:rPr>
        <w:t>t</w:t>
      </w:r>
      <w:r w:rsidRPr="0068236B">
        <w:rPr>
          <w:rFonts w:cs="Arial"/>
          <w:sz w:val="20"/>
          <w:szCs w:val="20"/>
        </w:rPr>
        <w:t>teries, oils, etc. from vehicles) is not expected.</w:t>
      </w:r>
    </w:p>
    <w:p w14:paraId="3B0C5D18" w14:textId="77777777" w:rsidR="003B46E3" w:rsidRPr="0068236B" w:rsidRDefault="003B46E3" w:rsidP="003B46E3">
      <w:pPr>
        <w:autoSpaceDE w:val="0"/>
        <w:autoSpaceDN w:val="0"/>
        <w:adjustRightInd w:val="0"/>
        <w:rPr>
          <w:rFonts w:cs="Arial"/>
          <w:sz w:val="20"/>
          <w:szCs w:val="20"/>
        </w:rPr>
      </w:pPr>
      <w:r w:rsidRPr="0068236B">
        <w:rPr>
          <w:rFonts w:cs="Arial"/>
          <w:sz w:val="20"/>
          <w:szCs w:val="20"/>
        </w:rPr>
        <w:t xml:space="preserve">Fuel storage facilities will not be necessary and therefore will not be provided within any construction areas. </w:t>
      </w:r>
    </w:p>
    <w:p w14:paraId="645C43CC" w14:textId="77777777" w:rsidR="003B46E3" w:rsidRPr="0068236B" w:rsidRDefault="003B46E3" w:rsidP="003B46E3">
      <w:pPr>
        <w:widowControl w:val="0"/>
        <w:autoSpaceDE w:val="0"/>
        <w:autoSpaceDN w:val="0"/>
        <w:adjustRightInd w:val="0"/>
        <w:rPr>
          <w:rFonts w:cs="Arial"/>
          <w:sz w:val="20"/>
          <w:szCs w:val="20"/>
        </w:rPr>
      </w:pPr>
      <w:r w:rsidRPr="0068236B">
        <w:rPr>
          <w:rFonts w:cs="Arial"/>
          <w:sz w:val="20"/>
          <w:szCs w:val="20"/>
        </w:rPr>
        <w:t>Solid and sanitary wastes will be produced by the workers during their stay on construction sites. The solid waste is commercial waste and according to its composition is similar to the waste from the households.</w:t>
      </w:r>
    </w:p>
    <w:p w14:paraId="42A1E065" w14:textId="490F4768" w:rsidR="003B46E3" w:rsidRPr="0068236B" w:rsidRDefault="003B46E3" w:rsidP="003B46E3">
      <w:pPr>
        <w:rPr>
          <w:rFonts w:cs="Arial"/>
          <w:sz w:val="20"/>
          <w:szCs w:val="20"/>
        </w:rPr>
      </w:pPr>
      <w:r w:rsidRPr="0068236B">
        <w:rPr>
          <w:rFonts w:cs="Arial"/>
          <w:sz w:val="20"/>
          <w:szCs w:val="20"/>
        </w:rPr>
        <w:t xml:space="preserve">Wood and vegetation clearance </w:t>
      </w:r>
      <w:r w:rsidR="006F1369" w:rsidRPr="0068236B">
        <w:rPr>
          <w:rFonts w:cs="Arial"/>
          <w:sz w:val="20"/>
          <w:szCs w:val="20"/>
        </w:rPr>
        <w:t xml:space="preserve">at the construction sites </w:t>
      </w:r>
      <w:r w:rsidRPr="0068236B">
        <w:rPr>
          <w:rFonts w:cs="Arial"/>
          <w:sz w:val="20"/>
          <w:szCs w:val="20"/>
        </w:rPr>
        <w:t>will generate wood and other organic wastes. These wastes will normally be composed of branches, tops of trees and small dead trees unacceptable for timber processing. They will be retained and redistributed on the site which will allow production of nutrient capital and facilitate natural regeneration. Depending on the site conditions this waste may serve for matting pu</w:t>
      </w:r>
      <w:r w:rsidRPr="0068236B">
        <w:rPr>
          <w:rFonts w:cs="Arial"/>
          <w:sz w:val="20"/>
          <w:szCs w:val="20"/>
        </w:rPr>
        <w:t>r</w:t>
      </w:r>
      <w:r w:rsidRPr="0068236B">
        <w:rPr>
          <w:rFonts w:cs="Arial"/>
          <w:sz w:val="20"/>
          <w:szCs w:val="20"/>
        </w:rPr>
        <w:t xml:space="preserve">poses for access roads which will provide protection to the ground. </w:t>
      </w:r>
    </w:p>
    <w:p w14:paraId="572A631F" w14:textId="77777777" w:rsidR="003B46E3" w:rsidRPr="0068236B" w:rsidRDefault="003B46E3" w:rsidP="003B46E3">
      <w:pPr>
        <w:rPr>
          <w:rFonts w:cs="Arial"/>
          <w:sz w:val="20"/>
          <w:szCs w:val="20"/>
        </w:rPr>
      </w:pPr>
      <w:r w:rsidRPr="0068236B">
        <w:rPr>
          <w:rFonts w:cs="Arial"/>
          <w:sz w:val="20"/>
          <w:szCs w:val="20"/>
        </w:rPr>
        <w:t xml:space="preserve">The Table below gives an indicative overview of the expected types of waste during the construction of the Project, systematized according to the classification in the European Waste Catalogue (EWC).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tblBorders>
        <w:tblCellMar>
          <w:left w:w="28" w:type="dxa"/>
          <w:right w:w="28" w:type="dxa"/>
        </w:tblCellMar>
        <w:tblLook w:val="01E0" w:firstRow="1" w:lastRow="1" w:firstColumn="1" w:lastColumn="1" w:noHBand="0" w:noVBand="0"/>
      </w:tblPr>
      <w:tblGrid>
        <w:gridCol w:w="1134"/>
        <w:gridCol w:w="8425"/>
      </w:tblGrid>
      <w:tr w:rsidR="003B46E3" w:rsidRPr="0068236B" w14:paraId="26140209" w14:textId="77777777" w:rsidTr="003B46E3">
        <w:trPr>
          <w:trHeight w:val="170"/>
        </w:trPr>
        <w:tc>
          <w:tcPr>
            <w:tcW w:w="9559" w:type="dxa"/>
            <w:gridSpan w:val="2"/>
            <w:shd w:val="clear" w:color="auto" w:fill="D9D9D9"/>
          </w:tcPr>
          <w:p w14:paraId="102993B3" w14:textId="77777777" w:rsidR="003B46E3" w:rsidRPr="0068236B" w:rsidRDefault="003B46E3" w:rsidP="003B46E3">
            <w:pPr>
              <w:spacing w:before="0" w:after="0" w:line="240" w:lineRule="auto"/>
              <w:ind w:left="1026" w:hanging="1026"/>
              <w:rPr>
                <w:rFonts w:cs="Arial"/>
                <w:sz w:val="20"/>
                <w:szCs w:val="20"/>
              </w:rPr>
            </w:pPr>
            <w:r w:rsidRPr="0068236B">
              <w:rPr>
                <w:rFonts w:cs="Arial"/>
                <w:sz w:val="20"/>
                <w:szCs w:val="20"/>
              </w:rPr>
              <w:t>Group 02 – Wastes from agriculture, horticulture, aquaculture, forestry, hunting and fishing, food prepar</w:t>
            </w:r>
            <w:r w:rsidRPr="0068236B">
              <w:rPr>
                <w:rFonts w:cs="Arial"/>
                <w:sz w:val="20"/>
                <w:szCs w:val="20"/>
              </w:rPr>
              <w:t>a</w:t>
            </w:r>
            <w:r w:rsidRPr="0068236B">
              <w:rPr>
                <w:rFonts w:cs="Arial"/>
                <w:sz w:val="20"/>
                <w:szCs w:val="20"/>
              </w:rPr>
              <w:t>tion and processing</w:t>
            </w:r>
          </w:p>
        </w:tc>
      </w:tr>
      <w:tr w:rsidR="003B46E3" w:rsidRPr="0068236B" w14:paraId="7B1E7EAD" w14:textId="77777777" w:rsidTr="003B46E3">
        <w:trPr>
          <w:trHeight w:val="170"/>
        </w:trPr>
        <w:tc>
          <w:tcPr>
            <w:tcW w:w="1134" w:type="dxa"/>
            <w:tcBorders>
              <w:right w:val="single" w:sz="4" w:space="0" w:color="auto"/>
            </w:tcBorders>
          </w:tcPr>
          <w:p w14:paraId="689EDC19" w14:textId="77777777" w:rsidR="003B46E3" w:rsidRPr="0068236B" w:rsidRDefault="003B46E3" w:rsidP="003B46E3">
            <w:pPr>
              <w:spacing w:before="0" w:after="0" w:line="240" w:lineRule="auto"/>
              <w:rPr>
                <w:rFonts w:cs="Arial"/>
                <w:sz w:val="20"/>
                <w:szCs w:val="20"/>
              </w:rPr>
            </w:pPr>
            <w:r w:rsidRPr="0068236B">
              <w:rPr>
                <w:rFonts w:cs="Arial"/>
                <w:sz w:val="20"/>
                <w:szCs w:val="20"/>
              </w:rPr>
              <w:t>02 01 07</w:t>
            </w:r>
          </w:p>
        </w:tc>
        <w:tc>
          <w:tcPr>
            <w:tcW w:w="8425" w:type="dxa"/>
            <w:tcBorders>
              <w:left w:val="single" w:sz="4" w:space="0" w:color="auto"/>
            </w:tcBorders>
          </w:tcPr>
          <w:p w14:paraId="316E9A34" w14:textId="77777777" w:rsidR="003B46E3" w:rsidRPr="0068236B" w:rsidRDefault="003B46E3" w:rsidP="003B46E3">
            <w:pPr>
              <w:spacing w:before="0" w:after="0" w:line="240" w:lineRule="auto"/>
              <w:rPr>
                <w:rFonts w:cs="Arial"/>
                <w:sz w:val="20"/>
                <w:szCs w:val="20"/>
              </w:rPr>
            </w:pPr>
            <w:r w:rsidRPr="0068236B">
              <w:rPr>
                <w:rFonts w:cs="Arial"/>
                <w:sz w:val="20"/>
                <w:szCs w:val="20"/>
              </w:rPr>
              <w:t>Waste from forestry</w:t>
            </w:r>
          </w:p>
        </w:tc>
      </w:tr>
      <w:tr w:rsidR="006F1369" w:rsidRPr="0068236B" w14:paraId="6F3DA3D5" w14:textId="77777777" w:rsidTr="006F1369">
        <w:trPr>
          <w:trHeight w:val="170"/>
        </w:trPr>
        <w:tc>
          <w:tcPr>
            <w:tcW w:w="9559" w:type="dxa"/>
            <w:gridSpan w:val="2"/>
            <w:shd w:val="clear" w:color="auto" w:fill="D9D9D9"/>
          </w:tcPr>
          <w:p w14:paraId="6B7128F8" w14:textId="77777777" w:rsidR="006F1369" w:rsidRPr="0068236B" w:rsidRDefault="006F1369" w:rsidP="006F1369">
            <w:pPr>
              <w:spacing w:before="0" w:after="0" w:line="240" w:lineRule="auto"/>
              <w:rPr>
                <w:rFonts w:cs="Arial"/>
                <w:sz w:val="20"/>
                <w:szCs w:val="20"/>
              </w:rPr>
            </w:pPr>
            <w:r w:rsidRPr="0068236B">
              <w:rPr>
                <w:rFonts w:cs="Arial"/>
                <w:sz w:val="20"/>
                <w:szCs w:val="20"/>
              </w:rPr>
              <w:t>group 15 – Packaging waste</w:t>
            </w:r>
          </w:p>
        </w:tc>
      </w:tr>
      <w:tr w:rsidR="006F1369" w:rsidRPr="0068236B" w14:paraId="3DCB7FD2" w14:textId="77777777" w:rsidTr="006F1369">
        <w:trPr>
          <w:trHeight w:val="170"/>
        </w:trPr>
        <w:tc>
          <w:tcPr>
            <w:tcW w:w="1134" w:type="dxa"/>
            <w:tcBorders>
              <w:right w:val="single" w:sz="4" w:space="0" w:color="auto"/>
            </w:tcBorders>
          </w:tcPr>
          <w:p w14:paraId="2AC3183E" w14:textId="77777777" w:rsidR="006F1369" w:rsidRPr="0068236B" w:rsidRDefault="006F1369" w:rsidP="006F1369">
            <w:pPr>
              <w:spacing w:before="0" w:after="0" w:line="240" w:lineRule="auto"/>
              <w:rPr>
                <w:rFonts w:cs="Arial"/>
                <w:sz w:val="20"/>
                <w:szCs w:val="20"/>
              </w:rPr>
            </w:pPr>
            <w:r w:rsidRPr="0068236B">
              <w:rPr>
                <w:rFonts w:cs="Arial"/>
                <w:sz w:val="20"/>
                <w:szCs w:val="20"/>
              </w:rPr>
              <w:t>15 01</w:t>
            </w:r>
          </w:p>
        </w:tc>
        <w:tc>
          <w:tcPr>
            <w:tcW w:w="8425" w:type="dxa"/>
            <w:tcBorders>
              <w:left w:val="single" w:sz="4" w:space="0" w:color="auto"/>
            </w:tcBorders>
          </w:tcPr>
          <w:p w14:paraId="1985D1BA" w14:textId="77777777" w:rsidR="006F1369" w:rsidRPr="0068236B" w:rsidRDefault="006F1369" w:rsidP="006F1369">
            <w:pPr>
              <w:spacing w:before="0" w:after="0" w:line="240" w:lineRule="auto"/>
              <w:rPr>
                <w:rFonts w:cs="Arial"/>
                <w:sz w:val="20"/>
                <w:szCs w:val="20"/>
              </w:rPr>
            </w:pPr>
            <w:r w:rsidRPr="0068236B">
              <w:rPr>
                <w:rFonts w:cs="Arial"/>
                <w:sz w:val="20"/>
                <w:szCs w:val="20"/>
              </w:rPr>
              <w:t>Packaging waste, paper / cardboard, plastics, wood, metal, composite packaging, glass…</w:t>
            </w:r>
          </w:p>
        </w:tc>
      </w:tr>
      <w:tr w:rsidR="003B46E3" w:rsidRPr="0068236B" w14:paraId="6C5B2DDE" w14:textId="77777777" w:rsidTr="003B46E3">
        <w:trPr>
          <w:trHeight w:val="170"/>
        </w:trPr>
        <w:tc>
          <w:tcPr>
            <w:tcW w:w="9559" w:type="dxa"/>
            <w:gridSpan w:val="2"/>
            <w:shd w:val="clear" w:color="auto" w:fill="D9D9D9"/>
          </w:tcPr>
          <w:p w14:paraId="5BEE9F1E" w14:textId="17D5281A" w:rsidR="003B46E3" w:rsidRPr="0068236B" w:rsidRDefault="00234EBE" w:rsidP="00234EBE">
            <w:pPr>
              <w:spacing w:before="0" w:after="0" w:line="240" w:lineRule="auto"/>
              <w:rPr>
                <w:rFonts w:cs="Constantia"/>
                <w:sz w:val="24"/>
                <w:szCs w:val="20"/>
              </w:rPr>
            </w:pPr>
            <w:r w:rsidRPr="0068236B">
              <w:rPr>
                <w:rFonts w:cs="Arial"/>
                <w:sz w:val="20"/>
                <w:szCs w:val="20"/>
              </w:rPr>
              <w:t>group 16 – Waste not otherwise specified in the EU Catalogue</w:t>
            </w:r>
          </w:p>
        </w:tc>
      </w:tr>
      <w:tr w:rsidR="003B46E3" w:rsidRPr="0068236B" w14:paraId="788B3F5C" w14:textId="77777777" w:rsidTr="003B46E3">
        <w:trPr>
          <w:trHeight w:val="170"/>
        </w:trPr>
        <w:tc>
          <w:tcPr>
            <w:tcW w:w="1134" w:type="dxa"/>
            <w:tcBorders>
              <w:right w:val="single" w:sz="4" w:space="0" w:color="auto"/>
            </w:tcBorders>
          </w:tcPr>
          <w:p w14:paraId="00FB940A" w14:textId="195E1C3A" w:rsidR="003B46E3" w:rsidRPr="0068236B" w:rsidRDefault="006F1369" w:rsidP="006F1369">
            <w:pPr>
              <w:spacing w:before="0" w:after="0" w:line="240" w:lineRule="auto"/>
              <w:rPr>
                <w:rFonts w:cs="Tahoma"/>
                <w:sz w:val="20"/>
                <w:szCs w:val="20"/>
              </w:rPr>
            </w:pPr>
            <w:r w:rsidRPr="0068236B">
              <w:rPr>
                <w:rFonts w:cs="Tahoma"/>
                <w:sz w:val="20"/>
                <w:szCs w:val="20"/>
              </w:rPr>
              <w:t>16 02</w:t>
            </w:r>
          </w:p>
        </w:tc>
        <w:tc>
          <w:tcPr>
            <w:tcW w:w="8425" w:type="dxa"/>
            <w:tcBorders>
              <w:left w:val="single" w:sz="4" w:space="0" w:color="auto"/>
            </w:tcBorders>
          </w:tcPr>
          <w:p w14:paraId="4E6AF6CF" w14:textId="3D7AB283" w:rsidR="003B46E3" w:rsidRPr="0068236B" w:rsidRDefault="006F1369" w:rsidP="006F1369">
            <w:pPr>
              <w:pStyle w:val="Default"/>
              <w:jc w:val="both"/>
              <w:rPr>
                <w:rFonts w:ascii="Tahoma" w:hAnsi="Tahoma" w:cs="Tahoma"/>
                <w:sz w:val="20"/>
                <w:szCs w:val="20"/>
              </w:rPr>
            </w:pPr>
            <w:r w:rsidRPr="0068236B">
              <w:rPr>
                <w:rFonts w:ascii="Tahoma" w:hAnsi="Tahoma" w:cs="Tahoma"/>
                <w:bCs/>
                <w:sz w:val="20"/>
                <w:szCs w:val="20"/>
              </w:rPr>
              <w:t xml:space="preserve">Wastes from electrical and electronic equipment </w:t>
            </w:r>
            <w:r w:rsidR="00234EBE" w:rsidRPr="0068236B">
              <w:rPr>
                <w:rFonts w:ascii="Tahoma" w:hAnsi="Tahoma" w:cs="Tahoma"/>
                <w:bCs/>
                <w:sz w:val="20"/>
                <w:szCs w:val="20"/>
              </w:rPr>
              <w:t>(discarded equipment)</w:t>
            </w:r>
          </w:p>
        </w:tc>
      </w:tr>
      <w:tr w:rsidR="003B46E3" w:rsidRPr="0068236B" w14:paraId="5FEC7A8C" w14:textId="77777777" w:rsidTr="003B46E3">
        <w:trPr>
          <w:trHeight w:val="170"/>
        </w:trPr>
        <w:tc>
          <w:tcPr>
            <w:tcW w:w="9559" w:type="dxa"/>
            <w:gridSpan w:val="2"/>
            <w:shd w:val="clear" w:color="auto" w:fill="D9D9D9"/>
          </w:tcPr>
          <w:p w14:paraId="110AA1C3" w14:textId="77777777" w:rsidR="003B46E3" w:rsidRPr="0068236B" w:rsidRDefault="003B46E3" w:rsidP="003B46E3">
            <w:pPr>
              <w:spacing w:before="0" w:after="0" w:line="240" w:lineRule="auto"/>
              <w:rPr>
                <w:rFonts w:cs="Arial"/>
                <w:sz w:val="20"/>
                <w:szCs w:val="20"/>
              </w:rPr>
            </w:pPr>
            <w:r w:rsidRPr="0068236B">
              <w:rPr>
                <w:rFonts w:cs="Arial"/>
                <w:sz w:val="20"/>
                <w:szCs w:val="20"/>
              </w:rPr>
              <w:t>group 17 – Construction and demolition waste</w:t>
            </w:r>
          </w:p>
        </w:tc>
      </w:tr>
      <w:tr w:rsidR="003B46E3" w:rsidRPr="0068236B" w14:paraId="7865A0D1" w14:textId="77777777" w:rsidTr="003B46E3">
        <w:trPr>
          <w:trHeight w:val="170"/>
        </w:trPr>
        <w:tc>
          <w:tcPr>
            <w:tcW w:w="1134" w:type="dxa"/>
            <w:tcBorders>
              <w:right w:val="single" w:sz="4" w:space="0" w:color="auto"/>
            </w:tcBorders>
          </w:tcPr>
          <w:p w14:paraId="0E263C5B" w14:textId="77777777" w:rsidR="003B46E3" w:rsidRPr="0068236B" w:rsidRDefault="003B46E3" w:rsidP="003B46E3">
            <w:pPr>
              <w:spacing w:before="0" w:after="0" w:line="240" w:lineRule="auto"/>
              <w:rPr>
                <w:rFonts w:cs="Arial"/>
                <w:sz w:val="20"/>
                <w:szCs w:val="20"/>
              </w:rPr>
            </w:pPr>
            <w:r w:rsidRPr="0068236B">
              <w:rPr>
                <w:rFonts w:cs="Arial"/>
                <w:sz w:val="20"/>
                <w:szCs w:val="20"/>
              </w:rPr>
              <w:t>17 04</w:t>
            </w:r>
          </w:p>
        </w:tc>
        <w:tc>
          <w:tcPr>
            <w:tcW w:w="8425" w:type="dxa"/>
            <w:tcBorders>
              <w:left w:val="single" w:sz="4" w:space="0" w:color="auto"/>
            </w:tcBorders>
          </w:tcPr>
          <w:p w14:paraId="6BE62D52" w14:textId="77777777" w:rsidR="003B46E3" w:rsidRPr="0068236B" w:rsidRDefault="003B46E3" w:rsidP="003B46E3">
            <w:pPr>
              <w:spacing w:before="0" w:after="0" w:line="240" w:lineRule="auto"/>
              <w:rPr>
                <w:rFonts w:cs="Arial"/>
                <w:sz w:val="20"/>
                <w:szCs w:val="20"/>
              </w:rPr>
            </w:pPr>
            <w:r w:rsidRPr="0068236B">
              <w:rPr>
                <w:rFonts w:cs="Arial"/>
                <w:sz w:val="20"/>
                <w:szCs w:val="20"/>
              </w:rPr>
              <w:t>Waste from metals</w:t>
            </w:r>
          </w:p>
        </w:tc>
      </w:tr>
      <w:tr w:rsidR="003B46E3" w:rsidRPr="0068236B" w14:paraId="7737A4A0" w14:textId="77777777" w:rsidTr="003B46E3">
        <w:trPr>
          <w:trHeight w:val="170"/>
        </w:trPr>
        <w:tc>
          <w:tcPr>
            <w:tcW w:w="1134" w:type="dxa"/>
            <w:tcBorders>
              <w:right w:val="single" w:sz="4" w:space="0" w:color="auto"/>
            </w:tcBorders>
          </w:tcPr>
          <w:p w14:paraId="6DD75FB1" w14:textId="77777777" w:rsidR="003B46E3" w:rsidRPr="0068236B" w:rsidRDefault="003B46E3" w:rsidP="003B46E3">
            <w:pPr>
              <w:spacing w:before="0" w:after="0" w:line="240" w:lineRule="auto"/>
              <w:rPr>
                <w:rFonts w:cs="Arial"/>
                <w:sz w:val="20"/>
                <w:szCs w:val="20"/>
              </w:rPr>
            </w:pPr>
            <w:r w:rsidRPr="0068236B">
              <w:rPr>
                <w:rFonts w:cs="Arial"/>
                <w:sz w:val="20"/>
                <w:szCs w:val="20"/>
              </w:rPr>
              <w:t>17 05 04</w:t>
            </w:r>
          </w:p>
        </w:tc>
        <w:tc>
          <w:tcPr>
            <w:tcW w:w="8425" w:type="dxa"/>
            <w:tcBorders>
              <w:left w:val="single" w:sz="4" w:space="0" w:color="auto"/>
            </w:tcBorders>
          </w:tcPr>
          <w:p w14:paraId="7A7F0D8C" w14:textId="77777777" w:rsidR="003B46E3" w:rsidRPr="0068236B" w:rsidRDefault="003B46E3" w:rsidP="003B46E3">
            <w:pPr>
              <w:spacing w:before="0" w:after="0" w:line="240" w:lineRule="auto"/>
              <w:rPr>
                <w:rFonts w:cs="Arial"/>
                <w:sz w:val="20"/>
                <w:szCs w:val="20"/>
              </w:rPr>
            </w:pPr>
            <w:r w:rsidRPr="0068236B">
              <w:rPr>
                <w:rFonts w:cs="Arial"/>
                <w:sz w:val="20"/>
                <w:szCs w:val="20"/>
              </w:rPr>
              <w:t>Waste from land excavation</w:t>
            </w:r>
          </w:p>
        </w:tc>
      </w:tr>
      <w:tr w:rsidR="003B46E3" w:rsidRPr="0068236B" w14:paraId="1F00FFE8" w14:textId="77777777" w:rsidTr="003B46E3">
        <w:trPr>
          <w:trHeight w:val="170"/>
        </w:trPr>
        <w:tc>
          <w:tcPr>
            <w:tcW w:w="1134" w:type="dxa"/>
            <w:tcBorders>
              <w:right w:val="single" w:sz="4" w:space="0" w:color="auto"/>
            </w:tcBorders>
          </w:tcPr>
          <w:p w14:paraId="2CB37634" w14:textId="77777777" w:rsidR="003B46E3" w:rsidRPr="0068236B" w:rsidRDefault="003B46E3" w:rsidP="003B46E3">
            <w:pPr>
              <w:spacing w:before="0" w:after="0" w:line="240" w:lineRule="auto"/>
              <w:rPr>
                <w:rFonts w:cs="Arial"/>
                <w:sz w:val="20"/>
                <w:szCs w:val="20"/>
              </w:rPr>
            </w:pPr>
            <w:r w:rsidRPr="0068236B">
              <w:rPr>
                <w:rFonts w:cs="Arial"/>
                <w:sz w:val="20"/>
                <w:szCs w:val="20"/>
              </w:rPr>
              <w:t>17 06 04</w:t>
            </w:r>
          </w:p>
        </w:tc>
        <w:tc>
          <w:tcPr>
            <w:tcW w:w="8425" w:type="dxa"/>
            <w:tcBorders>
              <w:left w:val="single" w:sz="4" w:space="0" w:color="auto"/>
            </w:tcBorders>
          </w:tcPr>
          <w:p w14:paraId="7BCA67E7" w14:textId="77777777" w:rsidR="003B46E3" w:rsidRPr="0068236B" w:rsidRDefault="003B46E3" w:rsidP="003B46E3">
            <w:pPr>
              <w:spacing w:before="0" w:after="0" w:line="240" w:lineRule="auto"/>
              <w:rPr>
                <w:rFonts w:cs="Arial"/>
                <w:sz w:val="20"/>
                <w:szCs w:val="20"/>
              </w:rPr>
            </w:pPr>
            <w:r w:rsidRPr="0068236B">
              <w:rPr>
                <w:rFonts w:cs="Arial"/>
                <w:sz w:val="20"/>
                <w:szCs w:val="20"/>
              </w:rPr>
              <w:t>Isolation materials (that don’t contain asbestos or dangerous substances)</w:t>
            </w:r>
          </w:p>
        </w:tc>
      </w:tr>
      <w:tr w:rsidR="003B46E3" w:rsidRPr="0068236B" w14:paraId="23351844" w14:textId="77777777" w:rsidTr="003B46E3">
        <w:trPr>
          <w:trHeight w:val="170"/>
        </w:trPr>
        <w:tc>
          <w:tcPr>
            <w:tcW w:w="1134" w:type="dxa"/>
            <w:tcBorders>
              <w:right w:val="single" w:sz="4" w:space="0" w:color="auto"/>
            </w:tcBorders>
          </w:tcPr>
          <w:p w14:paraId="04662BD8" w14:textId="77777777" w:rsidR="003B46E3" w:rsidRPr="0068236B" w:rsidRDefault="003B46E3" w:rsidP="003B46E3">
            <w:pPr>
              <w:spacing w:before="0" w:after="0" w:line="240" w:lineRule="auto"/>
              <w:rPr>
                <w:rFonts w:cs="Arial"/>
                <w:sz w:val="20"/>
                <w:szCs w:val="20"/>
              </w:rPr>
            </w:pPr>
            <w:r w:rsidRPr="0068236B">
              <w:rPr>
                <w:rFonts w:cs="Arial"/>
                <w:sz w:val="20"/>
                <w:szCs w:val="20"/>
              </w:rPr>
              <w:t>17 09 04</w:t>
            </w:r>
          </w:p>
        </w:tc>
        <w:tc>
          <w:tcPr>
            <w:tcW w:w="8425" w:type="dxa"/>
            <w:tcBorders>
              <w:left w:val="single" w:sz="4" w:space="0" w:color="auto"/>
            </w:tcBorders>
          </w:tcPr>
          <w:p w14:paraId="5EACB8A9" w14:textId="77777777" w:rsidR="003B46E3" w:rsidRPr="0068236B" w:rsidRDefault="003B46E3" w:rsidP="003B46E3">
            <w:pPr>
              <w:spacing w:before="0" w:after="0" w:line="240" w:lineRule="auto"/>
              <w:rPr>
                <w:rFonts w:cs="Arial"/>
                <w:sz w:val="20"/>
                <w:szCs w:val="20"/>
              </w:rPr>
            </w:pPr>
            <w:r w:rsidRPr="0068236B">
              <w:rPr>
                <w:rFonts w:cs="Arial"/>
                <w:sz w:val="20"/>
                <w:szCs w:val="20"/>
              </w:rPr>
              <w:t>Other construction waste (mixed waste)</w:t>
            </w:r>
          </w:p>
        </w:tc>
      </w:tr>
      <w:tr w:rsidR="003B46E3" w:rsidRPr="0068236B" w14:paraId="1CF40537" w14:textId="77777777" w:rsidTr="003B46E3">
        <w:trPr>
          <w:trHeight w:val="170"/>
        </w:trPr>
        <w:tc>
          <w:tcPr>
            <w:tcW w:w="9559" w:type="dxa"/>
            <w:gridSpan w:val="2"/>
            <w:shd w:val="clear" w:color="auto" w:fill="D9D9D9"/>
          </w:tcPr>
          <w:p w14:paraId="46F0BF9F" w14:textId="77777777" w:rsidR="003B46E3" w:rsidRPr="0068236B" w:rsidRDefault="003B46E3" w:rsidP="003B46E3">
            <w:pPr>
              <w:spacing w:before="0" w:after="0" w:line="240" w:lineRule="auto"/>
              <w:ind w:left="1026" w:hanging="1026"/>
              <w:rPr>
                <w:rFonts w:cs="Arial"/>
                <w:sz w:val="20"/>
                <w:szCs w:val="20"/>
              </w:rPr>
            </w:pPr>
            <w:r w:rsidRPr="0068236B">
              <w:rPr>
                <w:rFonts w:cs="Arial"/>
                <w:sz w:val="20"/>
                <w:szCs w:val="20"/>
              </w:rPr>
              <w:t>group 20 – Municipal waste (+ similar waste from the industry), including fractions of selected waste</w:t>
            </w:r>
          </w:p>
        </w:tc>
      </w:tr>
      <w:tr w:rsidR="003B46E3" w:rsidRPr="0068236B" w14:paraId="05883FCB" w14:textId="77777777" w:rsidTr="003B46E3">
        <w:trPr>
          <w:trHeight w:val="170"/>
        </w:trPr>
        <w:tc>
          <w:tcPr>
            <w:tcW w:w="1134" w:type="dxa"/>
            <w:tcBorders>
              <w:right w:val="single" w:sz="4" w:space="0" w:color="auto"/>
            </w:tcBorders>
          </w:tcPr>
          <w:p w14:paraId="5878C946" w14:textId="77777777" w:rsidR="003B46E3" w:rsidRPr="0068236B" w:rsidRDefault="003B46E3" w:rsidP="003B46E3">
            <w:pPr>
              <w:spacing w:before="0" w:after="0" w:line="240" w:lineRule="auto"/>
              <w:rPr>
                <w:rFonts w:cs="Arial"/>
                <w:sz w:val="20"/>
                <w:szCs w:val="20"/>
              </w:rPr>
            </w:pPr>
            <w:r w:rsidRPr="0068236B">
              <w:rPr>
                <w:rFonts w:cs="Arial"/>
                <w:sz w:val="20"/>
                <w:szCs w:val="20"/>
              </w:rPr>
              <w:t>20 03 01</w:t>
            </w:r>
          </w:p>
        </w:tc>
        <w:tc>
          <w:tcPr>
            <w:tcW w:w="8425" w:type="dxa"/>
            <w:tcBorders>
              <w:left w:val="single" w:sz="4" w:space="0" w:color="auto"/>
            </w:tcBorders>
          </w:tcPr>
          <w:p w14:paraId="2CCE6869" w14:textId="77777777" w:rsidR="003B46E3" w:rsidRPr="0068236B" w:rsidRDefault="003B46E3" w:rsidP="003B46E3">
            <w:pPr>
              <w:spacing w:before="0" w:after="0" w:line="240" w:lineRule="auto"/>
              <w:rPr>
                <w:rFonts w:cs="Arial"/>
                <w:sz w:val="20"/>
                <w:szCs w:val="20"/>
              </w:rPr>
            </w:pPr>
            <w:r w:rsidRPr="0068236B">
              <w:rPr>
                <w:rFonts w:cs="Arial"/>
                <w:sz w:val="20"/>
                <w:szCs w:val="20"/>
              </w:rPr>
              <w:t>Mixed municipal waste</w:t>
            </w:r>
          </w:p>
        </w:tc>
      </w:tr>
      <w:tr w:rsidR="003B46E3" w:rsidRPr="0068236B" w14:paraId="10D5AFCF" w14:textId="77777777" w:rsidTr="003B46E3">
        <w:trPr>
          <w:trHeight w:val="170"/>
        </w:trPr>
        <w:tc>
          <w:tcPr>
            <w:tcW w:w="1134" w:type="dxa"/>
            <w:tcBorders>
              <w:right w:val="single" w:sz="4" w:space="0" w:color="auto"/>
            </w:tcBorders>
          </w:tcPr>
          <w:p w14:paraId="5703F256" w14:textId="77777777" w:rsidR="003B46E3" w:rsidRPr="0068236B" w:rsidRDefault="003B46E3" w:rsidP="003B46E3">
            <w:pPr>
              <w:spacing w:before="0" w:after="0" w:line="240" w:lineRule="auto"/>
              <w:rPr>
                <w:rFonts w:cs="Arial"/>
                <w:sz w:val="20"/>
                <w:szCs w:val="20"/>
              </w:rPr>
            </w:pPr>
            <w:r w:rsidRPr="0068236B">
              <w:rPr>
                <w:rFonts w:cs="Arial"/>
                <w:sz w:val="20"/>
                <w:szCs w:val="20"/>
              </w:rPr>
              <w:t>20 03 07</w:t>
            </w:r>
          </w:p>
        </w:tc>
        <w:tc>
          <w:tcPr>
            <w:tcW w:w="8425" w:type="dxa"/>
            <w:tcBorders>
              <w:left w:val="single" w:sz="4" w:space="0" w:color="auto"/>
            </w:tcBorders>
          </w:tcPr>
          <w:p w14:paraId="4D74B1CC" w14:textId="77777777" w:rsidR="003B46E3" w:rsidRPr="0068236B" w:rsidRDefault="003B46E3" w:rsidP="003B46E3">
            <w:pPr>
              <w:spacing w:before="0" w:after="0" w:line="240" w:lineRule="auto"/>
              <w:rPr>
                <w:rFonts w:cs="Arial"/>
                <w:sz w:val="20"/>
                <w:szCs w:val="20"/>
              </w:rPr>
            </w:pPr>
            <w:r w:rsidRPr="0068236B">
              <w:rPr>
                <w:rFonts w:cs="Arial"/>
                <w:sz w:val="20"/>
                <w:szCs w:val="20"/>
              </w:rPr>
              <w:t>Bulky waste</w:t>
            </w:r>
          </w:p>
        </w:tc>
      </w:tr>
    </w:tbl>
    <w:p w14:paraId="70C663B9" w14:textId="3D1722B4" w:rsidR="003B46E3" w:rsidRPr="0068236B" w:rsidRDefault="003B46E3" w:rsidP="003B46E3">
      <w:pPr>
        <w:pStyle w:val="Caption"/>
        <w:keepNext w:val="0"/>
        <w:spacing w:after="240"/>
        <w:jc w:val="left"/>
        <w:rPr>
          <w:rFonts w:eastAsia="Calibri"/>
          <w:b w:val="0"/>
          <w:i/>
          <w:szCs w:val="20"/>
        </w:rPr>
      </w:pPr>
      <w:bookmarkStart w:id="519" w:name="_Toc481953726"/>
      <w:bookmarkStart w:id="520" w:name="_Toc65936985"/>
      <w:bookmarkStart w:id="521" w:name="_Toc80181284"/>
      <w:bookmarkStart w:id="522" w:name="_Toc113018238"/>
      <w:r w:rsidRPr="0068236B">
        <w:rPr>
          <w:b w:val="0"/>
          <w:szCs w:val="20"/>
        </w:rPr>
        <w:t xml:space="preserve">Table </w:t>
      </w:r>
      <w:r w:rsidRPr="0068236B">
        <w:rPr>
          <w:b w:val="0"/>
          <w:i/>
          <w:szCs w:val="20"/>
        </w:rPr>
        <w:fldChar w:fldCharType="begin"/>
      </w:r>
      <w:r w:rsidRPr="0068236B">
        <w:rPr>
          <w:b w:val="0"/>
          <w:szCs w:val="20"/>
        </w:rPr>
        <w:instrText xml:space="preserve"> STYLEREF 1 \s </w:instrText>
      </w:r>
      <w:r w:rsidRPr="0068236B">
        <w:rPr>
          <w:b w:val="0"/>
          <w:i/>
          <w:szCs w:val="20"/>
        </w:rPr>
        <w:fldChar w:fldCharType="separate"/>
      </w:r>
      <w:r w:rsidR="00FD57E6">
        <w:rPr>
          <w:b w:val="0"/>
          <w:noProof/>
          <w:szCs w:val="20"/>
        </w:rPr>
        <w:t>8</w:t>
      </w:r>
      <w:r w:rsidRPr="0068236B">
        <w:rPr>
          <w:b w:val="0"/>
          <w:i/>
          <w:szCs w:val="20"/>
        </w:rPr>
        <w:fldChar w:fldCharType="end"/>
      </w:r>
      <w:r w:rsidRPr="0068236B">
        <w:rPr>
          <w:b w:val="0"/>
          <w:szCs w:val="20"/>
        </w:rPr>
        <w:t>.</w:t>
      </w:r>
      <w:r w:rsidRPr="0068236B">
        <w:rPr>
          <w:b w:val="0"/>
          <w:i/>
          <w:szCs w:val="20"/>
        </w:rPr>
        <w:fldChar w:fldCharType="begin"/>
      </w:r>
      <w:r w:rsidRPr="0068236B">
        <w:rPr>
          <w:b w:val="0"/>
          <w:szCs w:val="20"/>
        </w:rPr>
        <w:instrText xml:space="preserve"> SEQ Table \* ARABIC \s 1 </w:instrText>
      </w:r>
      <w:r w:rsidRPr="0068236B">
        <w:rPr>
          <w:b w:val="0"/>
          <w:i/>
          <w:szCs w:val="20"/>
        </w:rPr>
        <w:fldChar w:fldCharType="separate"/>
      </w:r>
      <w:r w:rsidR="00FD57E6">
        <w:rPr>
          <w:b w:val="0"/>
          <w:noProof/>
          <w:szCs w:val="20"/>
        </w:rPr>
        <w:t>42</w:t>
      </w:r>
      <w:r w:rsidRPr="0068236B">
        <w:rPr>
          <w:b w:val="0"/>
          <w:i/>
          <w:szCs w:val="20"/>
        </w:rPr>
        <w:fldChar w:fldCharType="end"/>
      </w:r>
      <w:r w:rsidR="00E7643A" w:rsidRPr="0068236B">
        <w:rPr>
          <w:rFonts w:eastAsia="Calibri"/>
          <w:b w:val="0"/>
          <w:szCs w:val="20"/>
        </w:rPr>
        <w:t xml:space="preserve">: </w:t>
      </w:r>
      <w:r w:rsidRPr="0068236B">
        <w:rPr>
          <w:b w:val="0"/>
          <w:szCs w:val="20"/>
        </w:rPr>
        <w:t>Expected waste types during construction</w:t>
      </w:r>
      <w:bookmarkEnd w:id="519"/>
      <w:r w:rsidRPr="0068236B">
        <w:rPr>
          <w:b w:val="0"/>
          <w:szCs w:val="20"/>
        </w:rPr>
        <w:t xml:space="preserve"> classified according to the European Waste Catalogue</w:t>
      </w:r>
      <w:bookmarkEnd w:id="520"/>
      <w:bookmarkEnd w:id="521"/>
      <w:bookmarkEnd w:id="522"/>
    </w:p>
    <w:p w14:paraId="67A5A3D7" w14:textId="403852E6" w:rsidR="00234EBE" w:rsidRPr="0068236B" w:rsidRDefault="00234EBE" w:rsidP="00234EBE">
      <w:pPr>
        <w:pStyle w:val="Heading3"/>
        <w:tabs>
          <w:tab w:val="left" w:pos="1134"/>
        </w:tabs>
        <w:ind w:left="720" w:hanging="720"/>
        <w:rPr>
          <w:rFonts w:cs="Arial"/>
        </w:rPr>
      </w:pPr>
      <w:bookmarkStart w:id="523" w:name="_Toc112852296"/>
      <w:bookmarkStart w:id="524" w:name="_Toc80181182"/>
      <w:r w:rsidRPr="0068236B">
        <w:rPr>
          <w:rFonts w:cs="Arial"/>
        </w:rPr>
        <w:t>Operational Waste</w:t>
      </w:r>
      <w:bookmarkEnd w:id="523"/>
    </w:p>
    <w:p w14:paraId="09782B86" w14:textId="5B0D2419" w:rsidR="00234EBE" w:rsidRPr="0068236B" w:rsidRDefault="00234EBE" w:rsidP="00234EBE">
      <w:pPr>
        <w:tabs>
          <w:tab w:val="left" w:pos="284"/>
        </w:tabs>
        <w:rPr>
          <w:rFonts w:cs="Arial"/>
          <w:sz w:val="20"/>
          <w:szCs w:val="20"/>
        </w:rPr>
      </w:pPr>
      <w:r w:rsidRPr="0068236B">
        <w:rPr>
          <w:rFonts w:cs="Arial"/>
          <w:sz w:val="20"/>
          <w:szCs w:val="20"/>
        </w:rPr>
        <w:t>During its operation, the Project will create waste that will result from the activities of MEPSO regarding the routine maintenance and control of the infrastructure.</w:t>
      </w:r>
    </w:p>
    <w:p w14:paraId="622A5DDD" w14:textId="465041D4" w:rsidR="00234EBE" w:rsidRPr="0068236B" w:rsidRDefault="00234EBE" w:rsidP="00234EBE">
      <w:pPr>
        <w:rPr>
          <w:rFonts w:cs="Tahoma"/>
          <w:sz w:val="20"/>
          <w:szCs w:val="20"/>
        </w:rPr>
      </w:pPr>
      <w:r w:rsidRPr="0068236B">
        <w:rPr>
          <w:rFonts w:cs="Arial"/>
          <w:sz w:val="20"/>
          <w:szCs w:val="20"/>
        </w:rPr>
        <w:t xml:space="preserve">Common types of waste that will be created in the operational phase of the Project include </w:t>
      </w:r>
      <w:r w:rsidR="009D37F0" w:rsidRPr="0068236B">
        <w:rPr>
          <w:rFonts w:cs="Arial"/>
          <w:sz w:val="20"/>
          <w:szCs w:val="20"/>
        </w:rPr>
        <w:t>waste from fo</w:t>
      </w:r>
      <w:r w:rsidR="009D37F0" w:rsidRPr="0068236B">
        <w:rPr>
          <w:rFonts w:cs="Arial"/>
          <w:sz w:val="20"/>
          <w:szCs w:val="20"/>
        </w:rPr>
        <w:t>r</w:t>
      </w:r>
      <w:r w:rsidR="009D37F0" w:rsidRPr="0068236B">
        <w:rPr>
          <w:rFonts w:cs="Arial"/>
          <w:sz w:val="20"/>
          <w:szCs w:val="20"/>
        </w:rPr>
        <w:t xml:space="preserve">estry due to maintenance of the safety corridors along the transmission lines and </w:t>
      </w:r>
      <w:r w:rsidRPr="0068236B">
        <w:rPr>
          <w:rFonts w:cs="Arial"/>
          <w:sz w:val="20"/>
          <w:szCs w:val="20"/>
        </w:rPr>
        <w:t>electrical waste (consum</w:t>
      </w:r>
      <w:r w:rsidRPr="0068236B">
        <w:rPr>
          <w:rFonts w:cs="Arial"/>
          <w:sz w:val="20"/>
          <w:szCs w:val="20"/>
        </w:rPr>
        <w:t>a</w:t>
      </w:r>
      <w:r w:rsidRPr="0068236B">
        <w:rPr>
          <w:rFonts w:cs="Arial"/>
          <w:sz w:val="20"/>
          <w:szCs w:val="20"/>
        </w:rPr>
        <w:t>bles, spare</w:t>
      </w:r>
      <w:r w:rsidRPr="0068236B">
        <w:rPr>
          <w:rFonts w:cs="Tahoma"/>
          <w:sz w:val="20"/>
          <w:szCs w:val="20"/>
        </w:rPr>
        <w:t xml:space="preserve"> parts and obsolete equipment), as well as packaging waste and waste from use of tower coating – paint. </w:t>
      </w:r>
    </w:p>
    <w:p w14:paraId="0E5FCB3E" w14:textId="262D92F6" w:rsidR="00234EBE" w:rsidRPr="0068236B" w:rsidRDefault="00234EBE" w:rsidP="00234EBE">
      <w:pPr>
        <w:rPr>
          <w:rFonts w:cs="Arial"/>
          <w:sz w:val="20"/>
          <w:szCs w:val="20"/>
        </w:rPr>
      </w:pPr>
      <w:r w:rsidRPr="0068236B">
        <w:rPr>
          <w:rFonts w:cs="Tahoma"/>
          <w:sz w:val="20"/>
          <w:szCs w:val="20"/>
        </w:rPr>
        <w:lastRenderedPageBreak/>
        <w:t xml:space="preserve">The Tables below </w:t>
      </w:r>
      <w:r w:rsidRPr="0068236B">
        <w:rPr>
          <w:rFonts w:cs="Arial"/>
          <w:sz w:val="20"/>
          <w:szCs w:val="20"/>
        </w:rPr>
        <w:t>give an indicative overview of the expected types of waste during the operation, system</w:t>
      </w:r>
      <w:r w:rsidRPr="0068236B">
        <w:rPr>
          <w:rFonts w:cs="Arial"/>
          <w:sz w:val="20"/>
          <w:szCs w:val="20"/>
        </w:rPr>
        <w:t>a</w:t>
      </w:r>
      <w:r w:rsidRPr="0068236B">
        <w:rPr>
          <w:rFonts w:cs="Arial"/>
          <w:sz w:val="20"/>
          <w:szCs w:val="20"/>
        </w:rPr>
        <w:t xml:space="preserve">tized according to the classification in the European Waste Catalogue.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tblBorders>
        <w:tblCellMar>
          <w:left w:w="28" w:type="dxa"/>
          <w:right w:w="28" w:type="dxa"/>
        </w:tblCellMar>
        <w:tblLook w:val="01E0" w:firstRow="1" w:lastRow="1" w:firstColumn="1" w:lastColumn="1" w:noHBand="0" w:noVBand="0"/>
      </w:tblPr>
      <w:tblGrid>
        <w:gridCol w:w="1054"/>
        <w:gridCol w:w="8505"/>
      </w:tblGrid>
      <w:tr w:rsidR="00234EBE" w:rsidRPr="0068236B" w14:paraId="578B4C99" w14:textId="77777777" w:rsidTr="00234EBE">
        <w:tc>
          <w:tcPr>
            <w:tcW w:w="9559" w:type="dxa"/>
            <w:gridSpan w:val="2"/>
            <w:tcBorders>
              <w:top w:val="single" w:sz="4" w:space="0" w:color="auto"/>
              <w:left w:val="single" w:sz="4" w:space="0" w:color="auto"/>
              <w:bottom w:val="single" w:sz="4" w:space="0" w:color="auto"/>
              <w:right w:val="single" w:sz="4" w:space="0" w:color="auto"/>
            </w:tcBorders>
            <w:shd w:val="clear" w:color="auto" w:fill="D9D9D9"/>
          </w:tcPr>
          <w:p w14:paraId="2E99A63D" w14:textId="77777777" w:rsidR="00234EBE" w:rsidRPr="0068236B" w:rsidRDefault="00234EBE" w:rsidP="00234EBE">
            <w:pPr>
              <w:spacing w:before="0" w:after="0"/>
              <w:rPr>
                <w:rFonts w:cs="Arial"/>
                <w:sz w:val="20"/>
                <w:szCs w:val="20"/>
              </w:rPr>
            </w:pPr>
            <w:r w:rsidRPr="0068236B">
              <w:rPr>
                <w:rFonts w:cs="Arial"/>
                <w:sz w:val="20"/>
                <w:szCs w:val="20"/>
              </w:rPr>
              <w:t>Group 02 – Wastes from agriculture, horticulture, aquaculture, forestry, hunting and fishing, food prepar</w:t>
            </w:r>
            <w:r w:rsidRPr="0068236B">
              <w:rPr>
                <w:rFonts w:cs="Arial"/>
                <w:sz w:val="20"/>
                <w:szCs w:val="20"/>
              </w:rPr>
              <w:t>a</w:t>
            </w:r>
            <w:r w:rsidRPr="0068236B">
              <w:rPr>
                <w:rFonts w:cs="Arial"/>
                <w:sz w:val="20"/>
                <w:szCs w:val="20"/>
              </w:rPr>
              <w:t>tion and processing</w:t>
            </w:r>
          </w:p>
        </w:tc>
      </w:tr>
      <w:tr w:rsidR="00234EBE" w:rsidRPr="0068236B" w14:paraId="1DA8393A" w14:textId="77777777" w:rsidTr="00234EBE">
        <w:tc>
          <w:tcPr>
            <w:tcW w:w="1054" w:type="dxa"/>
            <w:tcBorders>
              <w:right w:val="single" w:sz="4" w:space="0" w:color="auto"/>
            </w:tcBorders>
          </w:tcPr>
          <w:p w14:paraId="16066CA4" w14:textId="77777777" w:rsidR="00234EBE" w:rsidRPr="0068236B" w:rsidRDefault="00234EBE" w:rsidP="00234EBE">
            <w:pPr>
              <w:spacing w:before="0" w:after="0"/>
              <w:rPr>
                <w:rFonts w:cs="Arial"/>
                <w:sz w:val="20"/>
                <w:szCs w:val="20"/>
              </w:rPr>
            </w:pPr>
            <w:r w:rsidRPr="0068236B">
              <w:rPr>
                <w:rFonts w:cs="Arial"/>
                <w:sz w:val="20"/>
                <w:szCs w:val="20"/>
              </w:rPr>
              <w:t>02 01 07</w:t>
            </w:r>
          </w:p>
        </w:tc>
        <w:tc>
          <w:tcPr>
            <w:tcW w:w="8505" w:type="dxa"/>
            <w:tcBorders>
              <w:left w:val="single" w:sz="4" w:space="0" w:color="auto"/>
            </w:tcBorders>
          </w:tcPr>
          <w:p w14:paraId="0F828801" w14:textId="77777777" w:rsidR="00234EBE" w:rsidRPr="0068236B" w:rsidRDefault="00234EBE" w:rsidP="00234EBE">
            <w:pPr>
              <w:spacing w:before="0" w:after="0"/>
              <w:rPr>
                <w:rFonts w:cs="Arial"/>
                <w:sz w:val="20"/>
                <w:szCs w:val="20"/>
              </w:rPr>
            </w:pPr>
            <w:r w:rsidRPr="0068236B">
              <w:rPr>
                <w:rFonts w:cs="Arial"/>
                <w:sz w:val="20"/>
                <w:szCs w:val="20"/>
              </w:rPr>
              <w:t>Waste from forestry</w:t>
            </w:r>
          </w:p>
        </w:tc>
      </w:tr>
      <w:tr w:rsidR="00234EBE" w:rsidRPr="0068236B" w14:paraId="20536842" w14:textId="77777777" w:rsidTr="00234EBE">
        <w:tc>
          <w:tcPr>
            <w:tcW w:w="9559" w:type="dxa"/>
            <w:gridSpan w:val="2"/>
            <w:shd w:val="clear" w:color="auto" w:fill="D9D9D9"/>
          </w:tcPr>
          <w:p w14:paraId="59A815A6" w14:textId="2E79C56A" w:rsidR="00234EBE" w:rsidRPr="0068236B" w:rsidRDefault="00234EBE" w:rsidP="00234EBE">
            <w:pPr>
              <w:spacing w:before="0" w:after="0"/>
              <w:rPr>
                <w:rFonts w:cs="Arial"/>
                <w:sz w:val="20"/>
                <w:szCs w:val="20"/>
              </w:rPr>
            </w:pPr>
            <w:r w:rsidRPr="0068236B">
              <w:rPr>
                <w:rFonts w:cs="Arial"/>
                <w:sz w:val="20"/>
                <w:szCs w:val="20"/>
              </w:rPr>
              <w:t xml:space="preserve">Group 08 – Waste from use of coatings (paints, varnishes, </w:t>
            </w:r>
            <w:r w:rsidR="005E6643" w:rsidRPr="0068236B">
              <w:rPr>
                <w:rFonts w:cs="Arial"/>
                <w:sz w:val="20"/>
                <w:szCs w:val="20"/>
              </w:rPr>
              <w:t>etc.</w:t>
            </w:r>
            <w:r w:rsidRPr="0068236B">
              <w:rPr>
                <w:rFonts w:cs="Arial"/>
                <w:sz w:val="20"/>
                <w:szCs w:val="20"/>
              </w:rPr>
              <w:t>)</w:t>
            </w:r>
          </w:p>
        </w:tc>
      </w:tr>
      <w:tr w:rsidR="00234EBE" w:rsidRPr="0068236B" w14:paraId="33ACBECF" w14:textId="77777777" w:rsidTr="00234EBE">
        <w:tc>
          <w:tcPr>
            <w:tcW w:w="1054" w:type="dxa"/>
            <w:tcBorders>
              <w:right w:val="single" w:sz="4" w:space="0" w:color="auto"/>
            </w:tcBorders>
          </w:tcPr>
          <w:p w14:paraId="3AD3757B" w14:textId="77777777" w:rsidR="00234EBE" w:rsidRPr="0068236B" w:rsidRDefault="00234EBE" w:rsidP="00234EBE">
            <w:pPr>
              <w:spacing w:before="0" w:after="0"/>
              <w:rPr>
                <w:rFonts w:cs="Arial"/>
                <w:sz w:val="20"/>
                <w:szCs w:val="20"/>
              </w:rPr>
            </w:pPr>
            <w:r w:rsidRPr="0068236B">
              <w:rPr>
                <w:rFonts w:cs="Arial"/>
                <w:sz w:val="20"/>
                <w:szCs w:val="20"/>
              </w:rPr>
              <w:t xml:space="preserve">08 01 </w:t>
            </w:r>
          </w:p>
        </w:tc>
        <w:tc>
          <w:tcPr>
            <w:tcW w:w="8505" w:type="dxa"/>
            <w:tcBorders>
              <w:left w:val="single" w:sz="4" w:space="0" w:color="auto"/>
            </w:tcBorders>
          </w:tcPr>
          <w:p w14:paraId="5D4ED0CA" w14:textId="77777777" w:rsidR="00234EBE" w:rsidRPr="0068236B" w:rsidRDefault="00234EBE" w:rsidP="00234EBE">
            <w:pPr>
              <w:autoSpaceDE w:val="0"/>
              <w:autoSpaceDN w:val="0"/>
              <w:adjustRightInd w:val="0"/>
              <w:spacing w:before="0" w:after="0"/>
              <w:rPr>
                <w:rFonts w:cs="Arial"/>
                <w:sz w:val="20"/>
                <w:szCs w:val="20"/>
              </w:rPr>
            </w:pPr>
            <w:r w:rsidRPr="0068236B">
              <w:rPr>
                <w:rFonts w:cs="Arial"/>
                <w:sz w:val="20"/>
                <w:szCs w:val="20"/>
              </w:rPr>
              <w:t>Wastes from use and removal of paint and varnish</w:t>
            </w:r>
          </w:p>
        </w:tc>
      </w:tr>
      <w:tr w:rsidR="00234EBE" w:rsidRPr="0068236B" w14:paraId="57843EE2" w14:textId="77777777" w:rsidTr="00234EBE">
        <w:tc>
          <w:tcPr>
            <w:tcW w:w="9559" w:type="dxa"/>
            <w:gridSpan w:val="2"/>
            <w:shd w:val="clear" w:color="auto" w:fill="D9D9D9"/>
          </w:tcPr>
          <w:p w14:paraId="0520D47C" w14:textId="77777777" w:rsidR="00234EBE" w:rsidRPr="0068236B" w:rsidRDefault="00234EBE" w:rsidP="00234EBE">
            <w:pPr>
              <w:spacing w:before="0" w:after="0"/>
              <w:rPr>
                <w:rFonts w:cs="Arial"/>
                <w:sz w:val="20"/>
                <w:szCs w:val="20"/>
              </w:rPr>
            </w:pPr>
            <w:r w:rsidRPr="0068236B">
              <w:rPr>
                <w:rFonts w:cs="Arial"/>
                <w:sz w:val="20"/>
                <w:szCs w:val="20"/>
              </w:rPr>
              <w:t>group 15 – Packaging waste</w:t>
            </w:r>
          </w:p>
        </w:tc>
      </w:tr>
      <w:tr w:rsidR="00234EBE" w:rsidRPr="0068236B" w14:paraId="69BC6550" w14:textId="77777777" w:rsidTr="00234EBE">
        <w:tc>
          <w:tcPr>
            <w:tcW w:w="1054" w:type="dxa"/>
            <w:tcBorders>
              <w:right w:val="single" w:sz="4" w:space="0" w:color="auto"/>
            </w:tcBorders>
          </w:tcPr>
          <w:p w14:paraId="076D59E5" w14:textId="77777777" w:rsidR="00234EBE" w:rsidRPr="0068236B" w:rsidRDefault="00234EBE" w:rsidP="00234EBE">
            <w:pPr>
              <w:spacing w:before="0" w:after="0"/>
              <w:rPr>
                <w:rFonts w:cs="Arial"/>
                <w:sz w:val="20"/>
                <w:szCs w:val="20"/>
              </w:rPr>
            </w:pPr>
            <w:r w:rsidRPr="0068236B">
              <w:rPr>
                <w:rFonts w:cs="Arial"/>
                <w:sz w:val="20"/>
                <w:szCs w:val="20"/>
              </w:rPr>
              <w:t>15 01</w:t>
            </w:r>
          </w:p>
        </w:tc>
        <w:tc>
          <w:tcPr>
            <w:tcW w:w="8505" w:type="dxa"/>
            <w:tcBorders>
              <w:left w:val="single" w:sz="4" w:space="0" w:color="auto"/>
            </w:tcBorders>
          </w:tcPr>
          <w:p w14:paraId="091E47FD" w14:textId="77777777" w:rsidR="00234EBE" w:rsidRPr="0068236B" w:rsidRDefault="00234EBE" w:rsidP="00234EBE">
            <w:pPr>
              <w:spacing w:before="0" w:after="0"/>
              <w:rPr>
                <w:rFonts w:cs="Arial"/>
                <w:sz w:val="20"/>
                <w:szCs w:val="20"/>
              </w:rPr>
            </w:pPr>
            <w:r w:rsidRPr="0068236B">
              <w:rPr>
                <w:rFonts w:cs="Arial"/>
                <w:sz w:val="20"/>
                <w:szCs w:val="20"/>
              </w:rPr>
              <w:t>Packaging waste, paper / cardboard, plastics, wood, metal, composite packaging, glass...</w:t>
            </w:r>
          </w:p>
        </w:tc>
      </w:tr>
      <w:tr w:rsidR="00234EBE" w:rsidRPr="0068236B" w14:paraId="1B69A417" w14:textId="77777777" w:rsidTr="00234EBE">
        <w:tc>
          <w:tcPr>
            <w:tcW w:w="9559" w:type="dxa"/>
            <w:gridSpan w:val="2"/>
            <w:shd w:val="clear" w:color="auto" w:fill="D9D9D9"/>
          </w:tcPr>
          <w:p w14:paraId="7B8794F0" w14:textId="77777777" w:rsidR="00234EBE" w:rsidRPr="0068236B" w:rsidRDefault="00234EBE" w:rsidP="00234EBE">
            <w:pPr>
              <w:autoSpaceDE w:val="0"/>
              <w:autoSpaceDN w:val="0"/>
              <w:adjustRightInd w:val="0"/>
              <w:spacing w:before="0" w:after="0"/>
              <w:rPr>
                <w:rFonts w:cs="Arial"/>
                <w:sz w:val="20"/>
                <w:szCs w:val="20"/>
              </w:rPr>
            </w:pPr>
            <w:r w:rsidRPr="0068236B">
              <w:rPr>
                <w:rFonts w:cs="Arial"/>
                <w:sz w:val="20"/>
                <w:szCs w:val="20"/>
              </w:rPr>
              <w:t>group 16 – Waste not otherwise specified in the EU Catalogue</w:t>
            </w:r>
          </w:p>
        </w:tc>
      </w:tr>
      <w:tr w:rsidR="00234EBE" w:rsidRPr="0068236B" w14:paraId="1B5A957F" w14:textId="77777777" w:rsidTr="00234EBE">
        <w:tc>
          <w:tcPr>
            <w:tcW w:w="1054" w:type="dxa"/>
            <w:tcBorders>
              <w:right w:val="single" w:sz="4" w:space="0" w:color="auto"/>
            </w:tcBorders>
          </w:tcPr>
          <w:p w14:paraId="3EC8C539" w14:textId="77777777" w:rsidR="00234EBE" w:rsidRPr="0068236B" w:rsidRDefault="00234EBE" w:rsidP="00234EBE">
            <w:pPr>
              <w:spacing w:before="0" w:after="0"/>
              <w:rPr>
                <w:rFonts w:cs="Arial"/>
                <w:sz w:val="20"/>
                <w:szCs w:val="20"/>
              </w:rPr>
            </w:pPr>
            <w:r w:rsidRPr="0068236B">
              <w:rPr>
                <w:rFonts w:cs="Arial"/>
                <w:sz w:val="20"/>
                <w:szCs w:val="20"/>
              </w:rPr>
              <w:t>16 02</w:t>
            </w:r>
          </w:p>
        </w:tc>
        <w:tc>
          <w:tcPr>
            <w:tcW w:w="8505" w:type="dxa"/>
            <w:tcBorders>
              <w:left w:val="single" w:sz="4" w:space="0" w:color="auto"/>
            </w:tcBorders>
          </w:tcPr>
          <w:p w14:paraId="3742DE65" w14:textId="500ED212" w:rsidR="00234EBE" w:rsidRPr="0068236B" w:rsidRDefault="00234EBE" w:rsidP="00234EBE">
            <w:pPr>
              <w:autoSpaceDE w:val="0"/>
              <w:autoSpaceDN w:val="0"/>
              <w:adjustRightInd w:val="0"/>
              <w:spacing w:before="0" w:after="0"/>
              <w:rPr>
                <w:rFonts w:cs="Arial"/>
                <w:sz w:val="20"/>
                <w:szCs w:val="20"/>
              </w:rPr>
            </w:pPr>
            <w:r w:rsidRPr="0068236B">
              <w:rPr>
                <w:rFonts w:cs="Arial"/>
                <w:sz w:val="20"/>
                <w:szCs w:val="20"/>
              </w:rPr>
              <w:t xml:space="preserve">Wastes from electrical and electronic equipment </w:t>
            </w:r>
            <w:r w:rsidRPr="0068236B">
              <w:rPr>
                <w:rFonts w:cs="Tahoma"/>
                <w:bCs/>
                <w:sz w:val="20"/>
                <w:szCs w:val="20"/>
              </w:rPr>
              <w:t>(discarded equipment)</w:t>
            </w:r>
          </w:p>
        </w:tc>
      </w:tr>
    </w:tbl>
    <w:p w14:paraId="4F5F104C" w14:textId="6C844D3F" w:rsidR="00234EBE" w:rsidRPr="0068236B" w:rsidRDefault="00234EBE" w:rsidP="00234EBE">
      <w:pPr>
        <w:autoSpaceDE w:val="0"/>
        <w:autoSpaceDN w:val="0"/>
        <w:adjustRightInd w:val="0"/>
        <w:spacing w:before="60" w:after="240"/>
        <w:rPr>
          <w:rFonts w:cs="Tahoma"/>
          <w:sz w:val="18"/>
          <w:szCs w:val="18"/>
        </w:rPr>
      </w:pPr>
      <w:bookmarkStart w:id="525" w:name="_Toc93086136"/>
      <w:bookmarkStart w:id="526" w:name="_Toc113018239"/>
      <w:r w:rsidRPr="0068236B">
        <w:rPr>
          <w:sz w:val="18"/>
          <w:szCs w:val="18"/>
        </w:rPr>
        <w:t xml:space="preserve">Table </w:t>
      </w:r>
      <w:r w:rsidRPr="0068236B">
        <w:rPr>
          <w:i/>
          <w:sz w:val="18"/>
          <w:szCs w:val="18"/>
        </w:rPr>
        <w:fldChar w:fldCharType="begin"/>
      </w:r>
      <w:r w:rsidRPr="0068236B">
        <w:rPr>
          <w:sz w:val="18"/>
          <w:szCs w:val="18"/>
        </w:rPr>
        <w:instrText xml:space="preserve"> STYLEREF 1 \s </w:instrText>
      </w:r>
      <w:r w:rsidRPr="0068236B">
        <w:rPr>
          <w:i/>
          <w:sz w:val="18"/>
          <w:szCs w:val="18"/>
        </w:rPr>
        <w:fldChar w:fldCharType="separate"/>
      </w:r>
      <w:r w:rsidR="00FD57E6">
        <w:rPr>
          <w:noProof/>
          <w:sz w:val="18"/>
          <w:szCs w:val="18"/>
        </w:rPr>
        <w:t>8</w:t>
      </w:r>
      <w:r w:rsidRPr="0068236B">
        <w:rPr>
          <w:i/>
          <w:sz w:val="18"/>
          <w:szCs w:val="18"/>
        </w:rPr>
        <w:fldChar w:fldCharType="end"/>
      </w:r>
      <w:r w:rsidRPr="0068236B">
        <w:rPr>
          <w:sz w:val="18"/>
          <w:szCs w:val="18"/>
        </w:rPr>
        <w:t>.</w:t>
      </w:r>
      <w:r w:rsidRPr="0068236B">
        <w:rPr>
          <w:i/>
          <w:sz w:val="18"/>
          <w:szCs w:val="18"/>
        </w:rPr>
        <w:fldChar w:fldCharType="begin"/>
      </w:r>
      <w:r w:rsidRPr="0068236B">
        <w:rPr>
          <w:sz w:val="18"/>
          <w:szCs w:val="18"/>
        </w:rPr>
        <w:instrText xml:space="preserve"> SEQ Table \* ARABIC \s 1 </w:instrText>
      </w:r>
      <w:r w:rsidRPr="0068236B">
        <w:rPr>
          <w:i/>
          <w:sz w:val="18"/>
          <w:szCs w:val="18"/>
        </w:rPr>
        <w:fldChar w:fldCharType="separate"/>
      </w:r>
      <w:r w:rsidR="00FD57E6">
        <w:rPr>
          <w:noProof/>
          <w:sz w:val="18"/>
          <w:szCs w:val="18"/>
        </w:rPr>
        <w:t>43</w:t>
      </w:r>
      <w:r w:rsidRPr="0068236B">
        <w:rPr>
          <w:i/>
          <w:sz w:val="18"/>
          <w:szCs w:val="18"/>
        </w:rPr>
        <w:fldChar w:fldCharType="end"/>
      </w:r>
      <w:r w:rsidRPr="0068236B">
        <w:rPr>
          <w:rFonts w:eastAsia="Calibri"/>
          <w:sz w:val="18"/>
          <w:szCs w:val="18"/>
        </w:rPr>
        <w:t xml:space="preserve">: </w:t>
      </w:r>
      <w:r w:rsidRPr="0068236B">
        <w:rPr>
          <w:sz w:val="18"/>
          <w:szCs w:val="18"/>
        </w:rPr>
        <w:t>Expected waste types during operation classified according to the European Waste Catalogue</w:t>
      </w:r>
      <w:bookmarkEnd w:id="525"/>
      <w:bookmarkEnd w:id="526"/>
    </w:p>
    <w:p w14:paraId="08A5ACD7" w14:textId="56E47884" w:rsidR="009D37F0" w:rsidRPr="0068236B" w:rsidRDefault="009D37F0" w:rsidP="003B46E3">
      <w:pPr>
        <w:pStyle w:val="Heading3"/>
        <w:tabs>
          <w:tab w:val="left" w:pos="1134"/>
        </w:tabs>
        <w:ind w:left="720" w:hanging="720"/>
        <w:rPr>
          <w:rFonts w:cs="Arial"/>
        </w:rPr>
      </w:pPr>
      <w:bookmarkStart w:id="527" w:name="_Toc112852297"/>
      <w:r w:rsidRPr="0068236B">
        <w:rPr>
          <w:rFonts w:cs="Arial"/>
        </w:rPr>
        <w:t>Mitigation</w:t>
      </w:r>
      <w:bookmarkEnd w:id="527"/>
    </w:p>
    <w:p w14:paraId="05ECB403" w14:textId="6A799B5B" w:rsidR="003B46E3" w:rsidRPr="0068236B" w:rsidRDefault="009D37F0" w:rsidP="009D37F0">
      <w:pPr>
        <w:pStyle w:val="Heading4"/>
      </w:pPr>
      <w:r w:rsidRPr="0068236B">
        <w:t>Construction</w:t>
      </w:r>
      <w:bookmarkEnd w:id="524"/>
    </w:p>
    <w:p w14:paraId="64C277AF" w14:textId="7397F9C6" w:rsidR="003B46E3" w:rsidRPr="0068236B" w:rsidRDefault="009D37F0" w:rsidP="003B46E3">
      <w:pPr>
        <w:rPr>
          <w:rFonts w:eastAsia="Calibri" w:cs="Arial"/>
          <w:sz w:val="20"/>
          <w:szCs w:val="20"/>
        </w:rPr>
      </w:pPr>
      <w:r w:rsidRPr="0068236B">
        <w:rPr>
          <w:sz w:val="20"/>
          <w:szCs w:val="20"/>
        </w:rPr>
        <w:t xml:space="preserve">The Contractor, once appointed, will be responsible for identifying, collecting, segregating, transporting, disposing and treating all non-hazardous and hazardous waste produced during the construction phase. </w:t>
      </w:r>
      <w:r w:rsidR="003B46E3" w:rsidRPr="0068236B">
        <w:rPr>
          <w:rFonts w:eastAsia="Calibri" w:cs="Arial"/>
          <w:sz w:val="20"/>
          <w:szCs w:val="20"/>
        </w:rPr>
        <w:t xml:space="preserve">A Waste Management Plan would be developed and implemented as part of the Project’s CESMP to ensure all waste is properly managed. </w:t>
      </w:r>
    </w:p>
    <w:p w14:paraId="13764EF1" w14:textId="176433A9" w:rsidR="003B46E3" w:rsidRPr="0068236B" w:rsidRDefault="003B46E3" w:rsidP="003B46E3">
      <w:pPr>
        <w:rPr>
          <w:rFonts w:cs="Arial"/>
          <w:sz w:val="20"/>
          <w:szCs w:val="20"/>
        </w:rPr>
      </w:pPr>
      <w:r w:rsidRPr="0068236B">
        <w:rPr>
          <w:sz w:val="20"/>
        </w:rPr>
        <w:t xml:space="preserve">This plan would detail all site-specific measures to be implemented during the works to identify, collect, transport and treat all waste produced. The Plan must be in line with the relevant </w:t>
      </w:r>
      <w:r w:rsidR="006F1369" w:rsidRPr="0068236B">
        <w:rPr>
          <w:sz w:val="20"/>
        </w:rPr>
        <w:t>Macedonian</w:t>
      </w:r>
      <w:r w:rsidRPr="0068236B">
        <w:rPr>
          <w:sz w:val="20"/>
        </w:rPr>
        <w:t xml:space="preserve"> regulations and adapted to the level of danger for human health or the natural environment, </w:t>
      </w:r>
      <w:r w:rsidRPr="0068236B">
        <w:rPr>
          <w:rFonts w:cs="Arial"/>
          <w:sz w:val="20"/>
          <w:szCs w:val="20"/>
        </w:rPr>
        <w:t>based on the following principles:</w:t>
      </w:r>
    </w:p>
    <w:p w14:paraId="3CBF2946" w14:textId="77777777" w:rsidR="003B46E3" w:rsidRPr="0068236B" w:rsidRDefault="003B46E3" w:rsidP="00D24CEF">
      <w:pPr>
        <w:pStyle w:val="ListBullet"/>
        <w:numPr>
          <w:ilvl w:val="0"/>
          <w:numId w:val="97"/>
        </w:numPr>
        <w:spacing w:line="240" w:lineRule="auto"/>
        <w:jc w:val="left"/>
        <w:rPr>
          <w:sz w:val="20"/>
        </w:rPr>
      </w:pPr>
      <w:r w:rsidRPr="0068236B">
        <w:rPr>
          <w:rFonts w:cs="Arial"/>
          <w:sz w:val="20"/>
          <w:szCs w:val="20"/>
        </w:rPr>
        <w:t>Sound procedures how each type of waste will be managed.</w:t>
      </w:r>
    </w:p>
    <w:p w14:paraId="0C9F4557" w14:textId="77777777" w:rsidR="003B46E3" w:rsidRPr="0068236B" w:rsidRDefault="003B46E3" w:rsidP="00D24CEF">
      <w:pPr>
        <w:pStyle w:val="ListBullet"/>
        <w:numPr>
          <w:ilvl w:val="0"/>
          <w:numId w:val="97"/>
        </w:numPr>
        <w:spacing w:line="240" w:lineRule="auto"/>
        <w:jc w:val="left"/>
        <w:rPr>
          <w:sz w:val="20"/>
        </w:rPr>
      </w:pPr>
      <w:r w:rsidRPr="0068236B">
        <w:rPr>
          <w:rFonts w:cs="Arial"/>
          <w:sz w:val="20"/>
          <w:szCs w:val="20"/>
        </w:rPr>
        <w:t xml:space="preserve">Firm requirements to use licensed and authorized companies to remove waste and dispose of it properly. </w:t>
      </w:r>
    </w:p>
    <w:p w14:paraId="5533C517" w14:textId="058932A5" w:rsidR="003B46E3" w:rsidRPr="0068236B" w:rsidRDefault="003B46E3" w:rsidP="00D24CEF">
      <w:pPr>
        <w:pStyle w:val="ListBullet"/>
        <w:numPr>
          <w:ilvl w:val="0"/>
          <w:numId w:val="97"/>
        </w:numPr>
        <w:spacing w:line="240" w:lineRule="auto"/>
        <w:jc w:val="left"/>
        <w:rPr>
          <w:sz w:val="20"/>
        </w:rPr>
      </w:pPr>
      <w:r w:rsidRPr="0068236B">
        <w:rPr>
          <w:rFonts w:cs="Arial"/>
          <w:sz w:val="20"/>
          <w:szCs w:val="20"/>
        </w:rPr>
        <w:t>Waste would be minimized wherever practicable by reusing</w:t>
      </w:r>
      <w:r w:rsidR="00003501" w:rsidRPr="0068236B">
        <w:rPr>
          <w:rFonts w:cs="Arial"/>
          <w:sz w:val="20"/>
          <w:szCs w:val="20"/>
        </w:rPr>
        <w:t xml:space="preserve">, including the </w:t>
      </w:r>
      <w:r w:rsidR="00003501" w:rsidRPr="0068236B">
        <w:rPr>
          <w:rFonts w:cs="Tahoma"/>
          <w:sz w:val="20"/>
          <w:szCs w:val="20"/>
          <w:lang w:eastAsia="en-US"/>
        </w:rPr>
        <w:t>surplus excavated material,</w:t>
      </w:r>
      <w:r w:rsidR="00003501" w:rsidRPr="0068236B">
        <w:rPr>
          <w:rFonts w:cs="Arial"/>
          <w:sz w:val="20"/>
          <w:szCs w:val="20"/>
        </w:rPr>
        <w:t xml:space="preserve"> </w:t>
      </w:r>
      <w:r w:rsidRPr="0068236B">
        <w:rPr>
          <w:rFonts w:cs="Arial"/>
          <w:sz w:val="20"/>
          <w:szCs w:val="20"/>
        </w:rPr>
        <w:t>and recycling any materials</w:t>
      </w:r>
      <w:r w:rsidR="00003501" w:rsidRPr="0068236B">
        <w:rPr>
          <w:rFonts w:eastAsia="46xmh"/>
          <w:sz w:val="20"/>
        </w:rPr>
        <w:t>, including the equipment and material from dismantling works</w:t>
      </w:r>
      <w:r w:rsidRPr="0068236B">
        <w:rPr>
          <w:rFonts w:eastAsia="46xmh"/>
          <w:sz w:val="20"/>
        </w:rPr>
        <w:t>.</w:t>
      </w:r>
    </w:p>
    <w:p w14:paraId="3E1CDCD2" w14:textId="77777777" w:rsidR="003B46E3" w:rsidRPr="0068236B" w:rsidRDefault="003B46E3" w:rsidP="00D24CEF">
      <w:pPr>
        <w:pStyle w:val="ListBullet"/>
        <w:numPr>
          <w:ilvl w:val="0"/>
          <w:numId w:val="97"/>
        </w:numPr>
        <w:spacing w:line="240" w:lineRule="auto"/>
        <w:jc w:val="left"/>
        <w:rPr>
          <w:sz w:val="20"/>
        </w:rPr>
      </w:pPr>
      <w:r w:rsidRPr="0068236B">
        <w:rPr>
          <w:sz w:val="20"/>
        </w:rPr>
        <w:t>All wastes would be identified, classified, quantified and, where practicable, appropriately se</w:t>
      </w:r>
      <w:r w:rsidRPr="0068236B">
        <w:rPr>
          <w:sz w:val="20"/>
        </w:rPr>
        <w:t>g</w:t>
      </w:r>
      <w:r w:rsidRPr="0068236B">
        <w:rPr>
          <w:sz w:val="20"/>
        </w:rPr>
        <w:t xml:space="preserve">regated. </w:t>
      </w:r>
    </w:p>
    <w:p w14:paraId="7450397B" w14:textId="77777777" w:rsidR="003B46E3" w:rsidRPr="0068236B" w:rsidRDefault="003B46E3" w:rsidP="00D24CEF">
      <w:pPr>
        <w:pStyle w:val="ListBullet"/>
        <w:numPr>
          <w:ilvl w:val="0"/>
          <w:numId w:val="97"/>
        </w:numPr>
        <w:spacing w:line="240" w:lineRule="auto"/>
        <w:jc w:val="left"/>
        <w:rPr>
          <w:sz w:val="20"/>
        </w:rPr>
      </w:pPr>
      <w:r w:rsidRPr="0068236B">
        <w:rPr>
          <w:sz w:val="20"/>
        </w:rPr>
        <w:t>All waste materials removed from construction sites would be in accordance with relevant n</w:t>
      </w:r>
      <w:r w:rsidRPr="0068236B">
        <w:rPr>
          <w:sz w:val="20"/>
        </w:rPr>
        <w:t>a</w:t>
      </w:r>
      <w:r w:rsidRPr="0068236B">
        <w:rPr>
          <w:sz w:val="20"/>
        </w:rPr>
        <w:t xml:space="preserve">tional waste and environmental regulations. </w:t>
      </w:r>
    </w:p>
    <w:p w14:paraId="44BA11AE" w14:textId="77777777" w:rsidR="003B46E3" w:rsidRPr="0068236B" w:rsidRDefault="003B46E3" w:rsidP="00D24CEF">
      <w:pPr>
        <w:pStyle w:val="ListBullet"/>
        <w:numPr>
          <w:ilvl w:val="0"/>
          <w:numId w:val="97"/>
        </w:numPr>
        <w:spacing w:line="240" w:lineRule="auto"/>
        <w:jc w:val="left"/>
        <w:rPr>
          <w:sz w:val="20"/>
        </w:rPr>
      </w:pPr>
      <w:r w:rsidRPr="0068236B">
        <w:rPr>
          <w:sz w:val="20"/>
        </w:rPr>
        <w:t>Waste would be transferred using registered waste transporters to a licensed waste disposal site or waste processing installation.</w:t>
      </w:r>
    </w:p>
    <w:p w14:paraId="07C654C1" w14:textId="0FECC75D" w:rsidR="009D37F0" w:rsidRPr="0068236B" w:rsidRDefault="009D37F0" w:rsidP="009D37F0">
      <w:pPr>
        <w:pStyle w:val="Heading4"/>
      </w:pPr>
      <w:bookmarkStart w:id="528" w:name="_Toc65936798"/>
      <w:bookmarkStart w:id="529" w:name="_Toc80181183"/>
      <w:r w:rsidRPr="0068236B">
        <w:t>Operation</w:t>
      </w:r>
    </w:p>
    <w:p w14:paraId="698BCD6C" w14:textId="1B35B0AF" w:rsidR="009D37F0" w:rsidRPr="0068236B" w:rsidRDefault="009D37F0" w:rsidP="009D37F0">
      <w:pPr>
        <w:autoSpaceDE w:val="0"/>
        <w:autoSpaceDN w:val="0"/>
        <w:adjustRightInd w:val="0"/>
        <w:rPr>
          <w:rFonts w:cs="Tahoma"/>
          <w:sz w:val="20"/>
          <w:szCs w:val="20"/>
          <w:lang w:eastAsia="en-US"/>
        </w:rPr>
      </w:pPr>
      <w:r w:rsidRPr="0068236B">
        <w:rPr>
          <w:rFonts w:cs="Tahoma"/>
          <w:sz w:val="20"/>
          <w:szCs w:val="20"/>
        </w:rPr>
        <w:t>Waste</w:t>
      </w:r>
      <w:r w:rsidRPr="0068236B">
        <w:rPr>
          <w:rFonts w:cs="Tahoma"/>
          <w:sz w:val="20"/>
          <w:szCs w:val="20"/>
          <w:lang w:eastAsia="en-US"/>
        </w:rPr>
        <w:t xml:space="preserve"> generation is expected to be very small during operation of the Project. These wastes would be ma</w:t>
      </w:r>
      <w:r w:rsidRPr="0068236B">
        <w:rPr>
          <w:rFonts w:cs="Tahoma"/>
          <w:sz w:val="20"/>
          <w:szCs w:val="20"/>
          <w:lang w:eastAsia="en-US"/>
        </w:rPr>
        <w:t>n</w:t>
      </w:r>
      <w:r w:rsidRPr="0068236B">
        <w:rPr>
          <w:rFonts w:cs="Tahoma"/>
          <w:sz w:val="20"/>
          <w:szCs w:val="20"/>
          <w:lang w:eastAsia="en-US"/>
        </w:rPr>
        <w:t xml:space="preserve">aged by MEPSO using the procedures established in their </w:t>
      </w:r>
      <w:r w:rsidRPr="0068236B">
        <w:rPr>
          <w:rFonts w:cs="Tahoma"/>
          <w:sz w:val="20"/>
          <w:szCs w:val="20"/>
        </w:rPr>
        <w:t>Integrated Management System</w:t>
      </w:r>
      <w:r w:rsidR="00E84B0E" w:rsidRPr="0068236B">
        <w:rPr>
          <w:rStyle w:val="FootnoteReference"/>
          <w:rFonts w:cs="Tahoma"/>
          <w:color w:val="000000"/>
          <w:sz w:val="20"/>
          <w:szCs w:val="20"/>
          <w:shd w:val="clear" w:color="auto" w:fill="FFFFFF"/>
        </w:rPr>
        <w:footnoteReference w:id="139"/>
      </w:r>
      <w:r w:rsidRPr="0068236B">
        <w:rPr>
          <w:rFonts w:cs="Tahoma"/>
          <w:sz w:val="20"/>
          <w:szCs w:val="20"/>
        </w:rPr>
        <w:t xml:space="preserve"> which, inter alia, includes a certified environmental </w:t>
      </w:r>
      <w:r w:rsidRPr="0068236B">
        <w:rPr>
          <w:rFonts w:cs="Tahoma"/>
          <w:color w:val="000000"/>
          <w:sz w:val="20"/>
          <w:szCs w:val="20"/>
          <w:shd w:val="clear" w:color="auto" w:fill="FFFFFF"/>
        </w:rPr>
        <w:t>management system.</w:t>
      </w:r>
    </w:p>
    <w:p w14:paraId="31450C90" w14:textId="77777777" w:rsidR="003B46E3" w:rsidRPr="0068236B" w:rsidRDefault="003B46E3" w:rsidP="003B46E3">
      <w:pPr>
        <w:pStyle w:val="Heading3"/>
        <w:ind w:left="709" w:hanging="709"/>
      </w:pPr>
      <w:bookmarkStart w:id="530" w:name="_Toc112852298"/>
      <w:r w:rsidRPr="0068236B">
        <w:lastRenderedPageBreak/>
        <w:t>Residual Impact</w:t>
      </w:r>
      <w:bookmarkEnd w:id="528"/>
      <w:bookmarkEnd w:id="529"/>
      <w:bookmarkEnd w:id="530"/>
    </w:p>
    <w:p w14:paraId="5090C8A8" w14:textId="23168D66" w:rsidR="0029505F" w:rsidRPr="0068236B" w:rsidRDefault="003B46E3" w:rsidP="0029505F">
      <w:pPr>
        <w:rPr>
          <w:rFonts w:cs="Arial"/>
          <w:sz w:val="20"/>
          <w:szCs w:val="20"/>
        </w:rPr>
      </w:pPr>
      <w:r w:rsidRPr="0068236B">
        <w:rPr>
          <w:rFonts w:cs="Arial"/>
          <w:sz w:val="20"/>
          <w:szCs w:val="20"/>
        </w:rPr>
        <w:t>Provided that the mitigation set out in the Waste Management Plan</w:t>
      </w:r>
      <w:r w:rsidR="009D37F0" w:rsidRPr="0068236B">
        <w:rPr>
          <w:rFonts w:cs="Arial"/>
          <w:sz w:val="20"/>
          <w:szCs w:val="20"/>
        </w:rPr>
        <w:t xml:space="preserve"> during the construction </w:t>
      </w:r>
      <w:r w:rsidRPr="0068236B">
        <w:rPr>
          <w:rFonts w:cs="Arial"/>
          <w:sz w:val="20"/>
          <w:szCs w:val="20"/>
        </w:rPr>
        <w:t>is implemented the waste generated during Project’s construction would not be permanent or residual.</w:t>
      </w:r>
      <w:bookmarkStart w:id="531" w:name="_Toc80181184"/>
      <w:r w:rsidR="0029505F" w:rsidRPr="0068236B">
        <w:br w:type="page"/>
      </w:r>
    </w:p>
    <w:p w14:paraId="32971700" w14:textId="6B164638" w:rsidR="003B46E3" w:rsidRPr="0068236B" w:rsidRDefault="003B46E3" w:rsidP="00E44ED8">
      <w:pPr>
        <w:pStyle w:val="Heading1"/>
      </w:pPr>
      <w:bookmarkStart w:id="532" w:name="_Toc112852299"/>
      <w:r w:rsidRPr="0068236B">
        <w:lastRenderedPageBreak/>
        <w:t>Social Impacts and Mitigation</w:t>
      </w:r>
      <w:bookmarkEnd w:id="531"/>
      <w:bookmarkEnd w:id="532"/>
    </w:p>
    <w:p w14:paraId="695A1F49" w14:textId="77777777" w:rsidR="003B46E3" w:rsidRPr="0068236B" w:rsidRDefault="003B46E3" w:rsidP="003B46E3">
      <w:pPr>
        <w:pStyle w:val="Heading2"/>
        <w:spacing w:before="480" w:after="240"/>
        <w:ind w:left="576" w:hanging="576"/>
        <w:rPr>
          <w:rFonts w:cs="Tahoma"/>
          <w:szCs w:val="20"/>
        </w:rPr>
      </w:pPr>
      <w:bookmarkStart w:id="533" w:name="_Toc80181185"/>
      <w:bookmarkStart w:id="534" w:name="_Toc112852300"/>
      <w:r w:rsidRPr="0068236B">
        <w:rPr>
          <w:rFonts w:cs="Tahoma"/>
          <w:szCs w:val="20"/>
        </w:rPr>
        <w:t>Information Disclosure and Stakeholder Engagement</w:t>
      </w:r>
      <w:bookmarkEnd w:id="533"/>
      <w:bookmarkEnd w:id="534"/>
    </w:p>
    <w:p w14:paraId="416F327C" w14:textId="77777777" w:rsidR="003B46E3" w:rsidRPr="0068236B" w:rsidRDefault="003B46E3" w:rsidP="003B46E3">
      <w:pPr>
        <w:pStyle w:val="NumberedParagraph"/>
        <w:rPr>
          <w:sz w:val="20"/>
        </w:rPr>
      </w:pPr>
      <w:r w:rsidRPr="0068236B">
        <w:rPr>
          <w:sz w:val="20"/>
        </w:rPr>
        <w:t>The purpose of stakeholder engagement, including disclosure arrangements, is to enable stakeholders to engage with the decision-making process of the Project, express their views and influence mitigation and technical solutions. In addition, the aim of the stakeholder engagement is to build a trusting relationship with the affected communities and other interested stakeholders based on a transparent and timely supply of information and open dialogue.</w:t>
      </w:r>
    </w:p>
    <w:p w14:paraId="61F0A40C" w14:textId="77777777" w:rsidR="003B46E3" w:rsidRPr="0068236B" w:rsidRDefault="003B46E3" w:rsidP="003B46E3">
      <w:pPr>
        <w:pStyle w:val="NumberedParagraph"/>
        <w:rPr>
          <w:sz w:val="20"/>
        </w:rPr>
      </w:pPr>
      <w:r w:rsidRPr="0068236B">
        <w:rPr>
          <w:sz w:val="20"/>
        </w:rPr>
        <w:t>Although it is not expected any significant issues to occur with this Project, it is necessary to perform rel</w:t>
      </w:r>
      <w:r w:rsidRPr="0068236B">
        <w:rPr>
          <w:sz w:val="20"/>
        </w:rPr>
        <w:t>e</w:t>
      </w:r>
      <w:r w:rsidRPr="0068236B">
        <w:rPr>
          <w:sz w:val="20"/>
        </w:rPr>
        <w:t>vant information disclosure and stakeholder engagement activities, so to keep all relevant stakeholders u</w:t>
      </w:r>
      <w:r w:rsidRPr="0068236B">
        <w:rPr>
          <w:sz w:val="20"/>
        </w:rPr>
        <w:t>p</w:t>
      </w:r>
      <w:r w:rsidRPr="0068236B">
        <w:rPr>
          <w:sz w:val="20"/>
        </w:rPr>
        <w:t>date on project activities, at any stage.</w:t>
      </w:r>
    </w:p>
    <w:p w14:paraId="67D25ADD" w14:textId="77777777" w:rsidR="003B46E3" w:rsidRPr="0068236B" w:rsidRDefault="003B46E3" w:rsidP="003B46E3">
      <w:pPr>
        <w:pStyle w:val="NumberedParagraph"/>
        <w:rPr>
          <w:rFonts w:cs="Tahoma"/>
          <w:sz w:val="20"/>
          <w:szCs w:val="20"/>
          <w:lang w:eastAsia="en-US"/>
        </w:rPr>
      </w:pPr>
      <w:r w:rsidRPr="0068236B">
        <w:rPr>
          <w:rFonts w:cs="Tahoma"/>
          <w:sz w:val="20"/>
          <w:szCs w:val="20"/>
          <w:lang w:eastAsia="en-US"/>
        </w:rPr>
        <w:t>Ignored and partially consulted stakeholders might pose the biggest obstacle for complete realization of the planned Project activities. During the construction, the result of insufficient stakeholder engagement activ</w:t>
      </w:r>
      <w:r w:rsidRPr="0068236B">
        <w:rPr>
          <w:rFonts w:cs="Tahoma"/>
          <w:sz w:val="20"/>
          <w:szCs w:val="20"/>
          <w:lang w:eastAsia="en-US"/>
        </w:rPr>
        <w:t>i</w:t>
      </w:r>
      <w:r w:rsidRPr="0068236B">
        <w:rPr>
          <w:rFonts w:cs="Tahoma"/>
          <w:sz w:val="20"/>
          <w:szCs w:val="20"/>
          <w:lang w:eastAsia="en-US"/>
        </w:rPr>
        <w:t>ties can cause delays in the Project realization if the local population, or other key stakeholder, remain out of the stakeholder engagement process and demand introduction of changes into the further (more advanced) Project phases (e.g. detailed design, construction). These demands usually are very costly due to failure to deliver Project as planned, introduction of new unplanned mitigation measures and changes in the Project design that require additional financing.</w:t>
      </w:r>
    </w:p>
    <w:p w14:paraId="7B793AB8" w14:textId="094CFC02" w:rsidR="005D48D9" w:rsidRPr="0068236B" w:rsidRDefault="00381854" w:rsidP="005D48D9">
      <w:pPr>
        <w:rPr>
          <w:rFonts w:cs="Tahoma"/>
          <w:sz w:val="20"/>
          <w:szCs w:val="20"/>
        </w:rPr>
      </w:pPr>
      <w:r w:rsidRPr="0068236B">
        <w:rPr>
          <w:sz w:val="20"/>
        </w:rPr>
        <w:t>A Stakeholder Engagement Plan (SEP) for the Project was developed and is to be fully implemented by MEPSO. The SEP is prepared in compliance with the EBRD</w:t>
      </w:r>
      <w:r w:rsidR="006E27E7" w:rsidRPr="0068236B">
        <w:rPr>
          <w:sz w:val="20"/>
        </w:rPr>
        <w:t xml:space="preserve"> PR10</w:t>
      </w:r>
      <w:r w:rsidRPr="0068236B">
        <w:rPr>
          <w:sz w:val="20"/>
        </w:rPr>
        <w:t xml:space="preserve"> regarding stakeholder en</w:t>
      </w:r>
      <w:r w:rsidR="00470CAC" w:rsidRPr="0068236B">
        <w:rPr>
          <w:sz w:val="20"/>
        </w:rPr>
        <w:t xml:space="preserve">gagement and relevant national </w:t>
      </w:r>
      <w:r w:rsidRPr="0068236B">
        <w:rPr>
          <w:sz w:val="20"/>
        </w:rPr>
        <w:t xml:space="preserve">legislation and be operational during the whole life-cycle of the Project. </w:t>
      </w:r>
      <w:r w:rsidR="006922BA" w:rsidRPr="0068236B">
        <w:rPr>
          <w:rFonts w:cs="Tahoma"/>
          <w:sz w:val="20"/>
          <w:szCs w:val="20"/>
        </w:rPr>
        <w:t>Th</w:t>
      </w:r>
      <w:r w:rsidR="006922BA" w:rsidRPr="0068236B">
        <w:rPr>
          <w:rFonts w:cs="Tahoma"/>
          <w:sz w:val="20"/>
          <w:szCs w:val="20"/>
          <w:lang w:val="mk-MK"/>
        </w:rPr>
        <w:t>е</w:t>
      </w:r>
      <w:r w:rsidR="006922BA" w:rsidRPr="0068236B">
        <w:rPr>
          <w:rFonts w:cs="Tahoma"/>
          <w:sz w:val="20"/>
          <w:szCs w:val="20"/>
        </w:rPr>
        <w:t xml:space="preserve"> SEP will be updated as necessary.</w:t>
      </w:r>
      <w:r w:rsidR="006922BA" w:rsidRPr="0068236B">
        <w:rPr>
          <w:rFonts w:cs="Tahoma"/>
          <w:sz w:val="20"/>
          <w:szCs w:val="20"/>
          <w:lang w:val="mk-MK"/>
        </w:rPr>
        <w:t xml:space="preserve"> </w:t>
      </w:r>
      <w:r w:rsidR="005D48D9" w:rsidRPr="0068236B">
        <w:rPr>
          <w:sz w:val="20"/>
          <w:szCs w:val="20"/>
        </w:rPr>
        <w:t xml:space="preserve">A Grievance Mechanism is part of the SEP, </w:t>
      </w:r>
      <w:r w:rsidR="005D48D9" w:rsidRPr="0068236B">
        <w:rPr>
          <w:rFonts w:cs="Tahoma"/>
          <w:sz w:val="20"/>
          <w:szCs w:val="20"/>
        </w:rPr>
        <w:t>so that stakeholders and the public can raise any concerns, provide feedback and comments about the Project.</w:t>
      </w:r>
    </w:p>
    <w:p w14:paraId="49D53E3F" w14:textId="59E14BB9" w:rsidR="003B46E3" w:rsidRPr="0068236B" w:rsidRDefault="006922BA" w:rsidP="003B46E3">
      <w:pPr>
        <w:pStyle w:val="Heading2"/>
        <w:spacing w:before="480" w:after="240"/>
        <w:ind w:left="576" w:hanging="576"/>
        <w:rPr>
          <w:rFonts w:cs="Tahoma"/>
          <w:szCs w:val="20"/>
        </w:rPr>
      </w:pPr>
      <w:bookmarkStart w:id="535" w:name="_Toc80181186"/>
      <w:bookmarkStart w:id="536" w:name="_Toc112852301"/>
      <w:r w:rsidRPr="0068236B">
        <w:rPr>
          <w:rFonts w:cs="Tahoma"/>
          <w:szCs w:val="20"/>
          <w:lang w:val="en-US"/>
        </w:rPr>
        <w:t>Beneficial</w:t>
      </w:r>
      <w:r w:rsidR="003B46E3" w:rsidRPr="0068236B">
        <w:rPr>
          <w:rFonts w:cs="Tahoma"/>
          <w:szCs w:val="20"/>
        </w:rPr>
        <w:t xml:space="preserve"> Social Impacts</w:t>
      </w:r>
      <w:bookmarkEnd w:id="535"/>
      <w:bookmarkEnd w:id="536"/>
    </w:p>
    <w:p w14:paraId="14C1CF01" w14:textId="1FE817BE" w:rsidR="003B46E3" w:rsidRPr="0068236B" w:rsidRDefault="006922BA" w:rsidP="003B46E3">
      <w:pPr>
        <w:ind w:left="720" w:firstLine="720"/>
        <w:rPr>
          <w:rFonts w:cs="Tahoma"/>
          <w:sz w:val="20"/>
          <w:szCs w:val="20"/>
          <w:u w:val="single"/>
        </w:rPr>
      </w:pPr>
      <w:r w:rsidRPr="0068236B">
        <w:rPr>
          <w:rFonts w:cs="Tahoma"/>
          <w:sz w:val="20"/>
          <w:szCs w:val="20"/>
          <w:u w:val="single"/>
        </w:rPr>
        <w:t>Beneficial</w:t>
      </w:r>
      <w:r w:rsidR="003B46E3" w:rsidRPr="0068236B">
        <w:rPr>
          <w:rFonts w:cs="Tahoma"/>
          <w:sz w:val="20"/>
          <w:szCs w:val="20"/>
          <w:u w:val="single"/>
        </w:rPr>
        <w:t xml:space="preserve"> Impacts</w:t>
      </w:r>
    </w:p>
    <w:p w14:paraId="6A2F2437" w14:textId="77777777" w:rsidR="003B46E3" w:rsidRPr="0068236B" w:rsidRDefault="003B46E3" w:rsidP="00D24CEF">
      <w:pPr>
        <w:pStyle w:val="ListBullet"/>
        <w:numPr>
          <w:ilvl w:val="0"/>
          <w:numId w:val="97"/>
        </w:numPr>
        <w:jc w:val="left"/>
        <w:rPr>
          <w:sz w:val="20"/>
        </w:rPr>
      </w:pPr>
      <w:bookmarkStart w:id="537" w:name="_Toc65936802"/>
      <w:r w:rsidRPr="0068236B">
        <w:rPr>
          <w:sz w:val="20"/>
        </w:rPr>
        <w:t>Employment Opportunities</w:t>
      </w:r>
      <w:bookmarkEnd w:id="537"/>
      <w:r w:rsidRPr="0068236B">
        <w:rPr>
          <w:sz w:val="20"/>
        </w:rPr>
        <w:t xml:space="preserve"> during Construction</w:t>
      </w:r>
    </w:p>
    <w:p w14:paraId="2D8D3D6E" w14:textId="4CC8BD85" w:rsidR="003B46E3" w:rsidRPr="0068236B" w:rsidRDefault="003B46E3" w:rsidP="003B46E3">
      <w:pPr>
        <w:rPr>
          <w:rFonts w:cs="Tahoma"/>
          <w:sz w:val="20"/>
          <w:szCs w:val="20"/>
        </w:rPr>
      </w:pPr>
      <w:r w:rsidRPr="0068236B">
        <w:rPr>
          <w:rFonts w:cs="Tahoma"/>
          <w:sz w:val="20"/>
          <w:szCs w:val="20"/>
        </w:rPr>
        <w:t xml:space="preserve">During the construction, the Project will generate temporary employment opportunities, whether skilled, semi-skilled or as unskilled jobs. One of the key social positive impacts would be the provision of an income source for workers and their families contributing to their wellbeing and enhancing their quality of life. </w:t>
      </w:r>
    </w:p>
    <w:p w14:paraId="1E7A6A92" w14:textId="77777777" w:rsidR="003B46E3" w:rsidRPr="0068236B" w:rsidRDefault="003B46E3" w:rsidP="00D24CEF">
      <w:pPr>
        <w:pStyle w:val="ListBullet"/>
        <w:numPr>
          <w:ilvl w:val="0"/>
          <w:numId w:val="97"/>
        </w:numPr>
        <w:jc w:val="left"/>
        <w:rPr>
          <w:sz w:val="20"/>
        </w:rPr>
      </w:pPr>
      <w:bookmarkStart w:id="538" w:name="_Toc65936803"/>
      <w:r w:rsidRPr="0068236B">
        <w:rPr>
          <w:sz w:val="20"/>
        </w:rPr>
        <w:t>Local Economy and Supply Chain Opportunities</w:t>
      </w:r>
      <w:bookmarkEnd w:id="538"/>
    </w:p>
    <w:p w14:paraId="59573310" w14:textId="4C1B6EFB" w:rsidR="003B46E3" w:rsidRPr="0068236B" w:rsidRDefault="003B46E3" w:rsidP="003B46E3">
      <w:pPr>
        <w:rPr>
          <w:sz w:val="20"/>
        </w:rPr>
      </w:pPr>
      <w:r w:rsidRPr="0068236B">
        <w:rPr>
          <w:sz w:val="20"/>
        </w:rPr>
        <w:t>The Project construction would provide opportunities for companies at the national, and possibly regional, level to supply goods and services. Local purchases of goods and services directly by the Project and wor</w:t>
      </w:r>
      <w:r w:rsidRPr="0068236B">
        <w:rPr>
          <w:sz w:val="20"/>
        </w:rPr>
        <w:t>k</w:t>
      </w:r>
      <w:r w:rsidRPr="0068236B">
        <w:rPr>
          <w:sz w:val="20"/>
        </w:rPr>
        <w:t xml:space="preserve">ers during construction would foster the local economy. </w:t>
      </w:r>
    </w:p>
    <w:p w14:paraId="014EC65B" w14:textId="77777777" w:rsidR="003B46E3" w:rsidRPr="0068236B" w:rsidRDefault="003B46E3" w:rsidP="00D24CEF">
      <w:pPr>
        <w:pStyle w:val="ListBullet"/>
        <w:numPr>
          <w:ilvl w:val="0"/>
          <w:numId w:val="97"/>
        </w:numPr>
        <w:jc w:val="left"/>
        <w:rPr>
          <w:sz w:val="20"/>
        </w:rPr>
      </w:pPr>
      <w:r w:rsidRPr="0068236B">
        <w:rPr>
          <w:sz w:val="20"/>
        </w:rPr>
        <w:t xml:space="preserve">Improvement of the </w:t>
      </w:r>
      <w:bookmarkStart w:id="539" w:name="_Toc65936805"/>
      <w:r w:rsidRPr="0068236B">
        <w:rPr>
          <w:rFonts w:cs="Tahoma"/>
          <w:sz w:val="20"/>
          <w:szCs w:val="20"/>
        </w:rPr>
        <w:t>National Power System</w:t>
      </w:r>
      <w:bookmarkEnd w:id="539"/>
    </w:p>
    <w:p w14:paraId="45D7296F" w14:textId="537D80F4" w:rsidR="003B46E3" w:rsidRPr="0068236B" w:rsidRDefault="003B46E3" w:rsidP="003B46E3">
      <w:pPr>
        <w:rPr>
          <w:rFonts w:cs="Tahoma"/>
          <w:sz w:val="20"/>
          <w:szCs w:val="20"/>
        </w:rPr>
      </w:pPr>
      <w:r w:rsidRPr="0068236B">
        <w:rPr>
          <w:rFonts w:cs="Tahoma"/>
          <w:sz w:val="20"/>
          <w:szCs w:val="20"/>
        </w:rPr>
        <w:t xml:space="preserve">The Project is part of a wider strategic programme being implemented over a number of years period by </w:t>
      </w:r>
      <w:r w:rsidR="00DC0268" w:rsidRPr="0068236B">
        <w:rPr>
          <w:rFonts w:cs="Tahoma"/>
          <w:sz w:val="20"/>
          <w:szCs w:val="20"/>
        </w:rPr>
        <w:t>MEPSO</w:t>
      </w:r>
      <w:r w:rsidRPr="0068236B">
        <w:rPr>
          <w:rFonts w:cs="Tahoma"/>
          <w:sz w:val="20"/>
          <w:szCs w:val="20"/>
        </w:rPr>
        <w:t xml:space="preserve"> to strengthen the power transmission grid in </w:t>
      </w:r>
      <w:r w:rsidR="00DC0268" w:rsidRPr="0068236B">
        <w:rPr>
          <w:rFonts w:cs="Tahoma"/>
          <w:sz w:val="20"/>
          <w:szCs w:val="20"/>
        </w:rPr>
        <w:t>Macedonia</w:t>
      </w:r>
      <w:r w:rsidRPr="0068236B">
        <w:rPr>
          <w:rFonts w:cs="Tahoma"/>
          <w:sz w:val="20"/>
          <w:szCs w:val="20"/>
        </w:rPr>
        <w:t xml:space="preserve">, in order to </w:t>
      </w:r>
      <w:r w:rsidR="00DC0268" w:rsidRPr="0068236B">
        <w:rPr>
          <w:rFonts w:cs="Tahoma"/>
          <w:sz w:val="20"/>
          <w:szCs w:val="20"/>
        </w:rPr>
        <w:t xml:space="preserve">connect existing and planned power projects - principally the growth of renewable energy sources, to </w:t>
      </w:r>
      <w:r w:rsidRPr="0068236B">
        <w:rPr>
          <w:rFonts w:cs="Tahoma"/>
          <w:sz w:val="20"/>
          <w:szCs w:val="20"/>
        </w:rPr>
        <w:t>improve electricity trade opportun</w:t>
      </w:r>
      <w:r w:rsidRPr="0068236B">
        <w:rPr>
          <w:rFonts w:cs="Tahoma"/>
          <w:sz w:val="20"/>
          <w:szCs w:val="20"/>
        </w:rPr>
        <w:t>i</w:t>
      </w:r>
      <w:r w:rsidR="00DC0268" w:rsidRPr="0068236B">
        <w:rPr>
          <w:rFonts w:cs="Tahoma"/>
          <w:sz w:val="20"/>
          <w:szCs w:val="20"/>
        </w:rPr>
        <w:t>ties and</w:t>
      </w:r>
      <w:r w:rsidRPr="0068236B">
        <w:rPr>
          <w:rFonts w:cs="Tahoma"/>
          <w:sz w:val="20"/>
          <w:szCs w:val="20"/>
        </w:rPr>
        <w:t xml:space="preserve"> to mee</w:t>
      </w:r>
      <w:r w:rsidR="00DC0268" w:rsidRPr="0068236B">
        <w:rPr>
          <w:rFonts w:cs="Tahoma"/>
          <w:sz w:val="20"/>
          <w:szCs w:val="20"/>
        </w:rPr>
        <w:t>t increased power demands.</w:t>
      </w:r>
      <w:r w:rsidR="00711E88" w:rsidRPr="0068236B">
        <w:rPr>
          <w:rFonts w:cs="Tahoma"/>
          <w:sz w:val="20"/>
          <w:szCs w:val="20"/>
        </w:rPr>
        <w:t xml:space="preserve"> </w:t>
      </w:r>
      <w:r w:rsidRPr="0068236B">
        <w:rPr>
          <w:rFonts w:cs="Tahoma"/>
          <w:sz w:val="20"/>
          <w:szCs w:val="20"/>
        </w:rPr>
        <w:t>More specifically, the Project will:</w:t>
      </w:r>
    </w:p>
    <w:p w14:paraId="0D74E0F4" w14:textId="085C9D70" w:rsidR="00711E88" w:rsidRPr="0068236B" w:rsidRDefault="00711E88" w:rsidP="00D24CEF">
      <w:pPr>
        <w:pStyle w:val="ListBullet2"/>
        <w:numPr>
          <w:ilvl w:val="1"/>
          <w:numId w:val="97"/>
        </w:numPr>
        <w:rPr>
          <w:sz w:val="20"/>
          <w:szCs w:val="20"/>
        </w:rPr>
      </w:pPr>
      <w:r w:rsidRPr="0068236B">
        <w:rPr>
          <w:sz w:val="20"/>
          <w:szCs w:val="20"/>
        </w:rPr>
        <w:t xml:space="preserve">Increase security of supply, and </w:t>
      </w:r>
    </w:p>
    <w:p w14:paraId="6613202A" w14:textId="282D343E" w:rsidR="00711E88" w:rsidRPr="0068236B" w:rsidRDefault="00711E88" w:rsidP="00D24CEF">
      <w:pPr>
        <w:pStyle w:val="ListBullet2"/>
        <w:numPr>
          <w:ilvl w:val="1"/>
          <w:numId w:val="97"/>
        </w:numPr>
        <w:rPr>
          <w:rFonts w:cs="Tahoma"/>
          <w:sz w:val="20"/>
          <w:szCs w:val="20"/>
        </w:rPr>
      </w:pPr>
      <w:r w:rsidRPr="0068236B">
        <w:rPr>
          <w:sz w:val="20"/>
          <w:szCs w:val="20"/>
        </w:rPr>
        <w:t xml:space="preserve">Improve reliability of the existing network in </w:t>
      </w:r>
      <w:r w:rsidRPr="0068236B">
        <w:rPr>
          <w:rFonts w:cs="Tahoma"/>
          <w:sz w:val="20"/>
          <w:szCs w:val="20"/>
        </w:rPr>
        <w:t>the southeast region of the country</w:t>
      </w:r>
      <w:r w:rsidRPr="0068236B">
        <w:rPr>
          <w:sz w:val="20"/>
          <w:szCs w:val="20"/>
        </w:rPr>
        <w:t xml:space="preserve"> by i</w:t>
      </w:r>
      <w:r w:rsidRPr="0068236B">
        <w:rPr>
          <w:sz w:val="20"/>
          <w:szCs w:val="20"/>
        </w:rPr>
        <w:t>n</w:t>
      </w:r>
      <w:r w:rsidRPr="0068236B">
        <w:rPr>
          <w:sz w:val="20"/>
          <w:szCs w:val="20"/>
        </w:rPr>
        <w:t>creasing transfer capacity</w:t>
      </w:r>
    </w:p>
    <w:p w14:paraId="57E69E32" w14:textId="77777777" w:rsidR="00711E88" w:rsidRPr="0068236B" w:rsidRDefault="00711E88" w:rsidP="00D24CEF">
      <w:pPr>
        <w:pStyle w:val="ListBullet2"/>
        <w:numPr>
          <w:ilvl w:val="1"/>
          <w:numId w:val="97"/>
        </w:numPr>
        <w:rPr>
          <w:sz w:val="20"/>
          <w:szCs w:val="20"/>
        </w:rPr>
      </w:pPr>
      <w:r w:rsidRPr="0068236B">
        <w:rPr>
          <w:sz w:val="20"/>
          <w:szCs w:val="20"/>
        </w:rPr>
        <w:lastRenderedPageBreak/>
        <w:t>Secure and reliable integration of planned RES in the southeast region of the country, which consequently contribute towards reduction in CO</w:t>
      </w:r>
      <w:r w:rsidRPr="0068236B">
        <w:rPr>
          <w:sz w:val="20"/>
          <w:szCs w:val="20"/>
          <w:vertAlign w:val="subscript"/>
        </w:rPr>
        <w:t>2</w:t>
      </w:r>
      <w:r w:rsidRPr="0068236B">
        <w:rPr>
          <w:sz w:val="20"/>
          <w:szCs w:val="20"/>
        </w:rPr>
        <w:t xml:space="preserve"> emissions.</w:t>
      </w:r>
    </w:p>
    <w:p w14:paraId="454FCEC9" w14:textId="77777777" w:rsidR="00711E88" w:rsidRPr="0068236B" w:rsidRDefault="00711E88" w:rsidP="00D24CEF">
      <w:pPr>
        <w:pStyle w:val="ListBullet2"/>
        <w:numPr>
          <w:ilvl w:val="1"/>
          <w:numId w:val="97"/>
        </w:numPr>
        <w:rPr>
          <w:sz w:val="20"/>
          <w:szCs w:val="20"/>
        </w:rPr>
      </w:pPr>
      <w:r w:rsidRPr="0068236B">
        <w:rPr>
          <w:sz w:val="20"/>
          <w:szCs w:val="20"/>
        </w:rPr>
        <w:t>Increased efficiency and capacity of the transmission grid with smart grid solutions (D</w:t>
      </w:r>
      <w:r w:rsidRPr="0068236B">
        <w:rPr>
          <w:sz w:val="20"/>
          <w:szCs w:val="20"/>
        </w:rPr>
        <w:t>y</w:t>
      </w:r>
      <w:r w:rsidRPr="0068236B">
        <w:rPr>
          <w:sz w:val="20"/>
          <w:szCs w:val="20"/>
        </w:rPr>
        <w:t>namic Line Rate (DLR) &amp; asset management).</w:t>
      </w:r>
    </w:p>
    <w:p w14:paraId="4CED21F3" w14:textId="4F676634" w:rsidR="003B46E3" w:rsidRPr="0068236B" w:rsidRDefault="003B46E3" w:rsidP="003B46E3">
      <w:pPr>
        <w:pStyle w:val="Heading2"/>
        <w:spacing w:before="480" w:after="240"/>
        <w:ind w:left="576" w:hanging="576"/>
        <w:rPr>
          <w:rFonts w:cs="Tahoma"/>
          <w:szCs w:val="20"/>
        </w:rPr>
      </w:pPr>
      <w:bookmarkStart w:id="540" w:name="_Toc80181187"/>
      <w:bookmarkStart w:id="541" w:name="_Toc112852302"/>
      <w:r w:rsidRPr="0068236B">
        <w:rPr>
          <w:rFonts w:cs="Tahoma"/>
          <w:szCs w:val="20"/>
        </w:rPr>
        <w:t>Labour and Working Conditions</w:t>
      </w:r>
      <w:bookmarkEnd w:id="540"/>
      <w:bookmarkEnd w:id="541"/>
    </w:p>
    <w:p w14:paraId="403C3F8B" w14:textId="77777777" w:rsidR="003B46E3" w:rsidRPr="0068236B" w:rsidRDefault="003B46E3" w:rsidP="003B46E3">
      <w:pPr>
        <w:rPr>
          <w:rFonts w:cs="Tahoma"/>
          <w:sz w:val="20"/>
          <w:szCs w:val="20"/>
        </w:rPr>
      </w:pPr>
      <w:r w:rsidRPr="0068236B">
        <w:rPr>
          <w:rFonts w:cs="Tahoma"/>
          <w:sz w:val="20"/>
          <w:szCs w:val="20"/>
          <w:lang w:eastAsia="en-US"/>
        </w:rPr>
        <w:t>Labour and working conditions are a cross-disciplinary area concerned with protecting the safety, health and welfare of people engaged in work or employment.</w:t>
      </w:r>
    </w:p>
    <w:p w14:paraId="625E9049" w14:textId="77777777" w:rsidR="003B46E3" w:rsidRPr="0068236B" w:rsidRDefault="003B46E3" w:rsidP="003B46E3">
      <w:pPr>
        <w:rPr>
          <w:rFonts w:cs="Tahoma"/>
          <w:sz w:val="20"/>
          <w:szCs w:val="20"/>
        </w:rPr>
      </w:pPr>
      <w:r w:rsidRPr="0068236B">
        <w:rPr>
          <w:rFonts w:cs="Tahoma"/>
          <w:sz w:val="20"/>
          <w:szCs w:val="20"/>
        </w:rPr>
        <w:t>Construction activities pose potential risks to the wellbeing of construction workers, if not managed properly. There is the risk of adverse occupational health and safety (OHS) impacts related to personal accident or injury on any construction site of the Project, including exposure to physical hazards from use of heavy equipment, machinery and cranes; exposure to electrical hazards from the use of tools and machinery; trip and fall hazards, including working on height; exposure to construction noise; falling objects.</w:t>
      </w:r>
    </w:p>
    <w:p w14:paraId="60D223B9" w14:textId="77777777" w:rsidR="003B46E3" w:rsidRPr="0068236B" w:rsidRDefault="003B46E3" w:rsidP="003B46E3">
      <w:pPr>
        <w:rPr>
          <w:rFonts w:cs="Tahoma"/>
          <w:sz w:val="20"/>
          <w:szCs w:val="20"/>
        </w:rPr>
      </w:pPr>
      <w:r w:rsidRPr="0068236B">
        <w:rPr>
          <w:rFonts w:cs="Tahoma"/>
          <w:sz w:val="20"/>
          <w:szCs w:val="20"/>
        </w:rPr>
        <w:t>The key OHS hazards specific to construction of transmission projects primarily include:</w:t>
      </w:r>
    </w:p>
    <w:p w14:paraId="78B15CED" w14:textId="77777777" w:rsidR="003B46E3" w:rsidRPr="0068236B" w:rsidRDefault="003B46E3" w:rsidP="00D24CEF">
      <w:pPr>
        <w:pStyle w:val="ListBullet"/>
        <w:numPr>
          <w:ilvl w:val="0"/>
          <w:numId w:val="97"/>
        </w:numPr>
        <w:spacing w:before="120"/>
        <w:jc w:val="left"/>
        <w:rPr>
          <w:rFonts w:cs="Tahoma"/>
          <w:sz w:val="20"/>
          <w:szCs w:val="20"/>
        </w:rPr>
      </w:pPr>
      <w:r w:rsidRPr="0068236B">
        <w:rPr>
          <w:rFonts w:cs="Tahoma"/>
          <w:sz w:val="20"/>
          <w:szCs w:val="20"/>
        </w:rPr>
        <w:t>Working at height: Workers may be exposed to occupational hazards when working at elevation during construction of the towers and the conductor stringing operations.</w:t>
      </w:r>
    </w:p>
    <w:p w14:paraId="4746DF71" w14:textId="77777777" w:rsidR="003B46E3" w:rsidRPr="0068236B" w:rsidRDefault="003B46E3" w:rsidP="00D24CEF">
      <w:pPr>
        <w:pStyle w:val="ListBullet"/>
        <w:numPr>
          <w:ilvl w:val="0"/>
          <w:numId w:val="97"/>
        </w:numPr>
        <w:spacing w:before="120"/>
        <w:jc w:val="left"/>
        <w:rPr>
          <w:rFonts w:cs="Tahoma"/>
          <w:sz w:val="20"/>
          <w:szCs w:val="20"/>
        </w:rPr>
      </w:pPr>
      <w:r w:rsidRPr="0068236B">
        <w:rPr>
          <w:rFonts w:cs="Tahoma"/>
          <w:sz w:val="20"/>
          <w:szCs w:val="20"/>
        </w:rPr>
        <w:t>Electrocution: Workers may be exposed to occupational hazards from contact with live tran</w:t>
      </w:r>
      <w:r w:rsidRPr="0068236B">
        <w:rPr>
          <w:rFonts w:cs="Tahoma"/>
          <w:sz w:val="20"/>
          <w:szCs w:val="20"/>
        </w:rPr>
        <w:t>s</w:t>
      </w:r>
      <w:r w:rsidRPr="0068236B">
        <w:rPr>
          <w:rFonts w:cs="Tahoma"/>
          <w:sz w:val="20"/>
          <w:szCs w:val="20"/>
        </w:rPr>
        <w:t>mission line during commissioning works when the line is being electrified and tested.</w:t>
      </w:r>
    </w:p>
    <w:p w14:paraId="04F6C8BF" w14:textId="77777777" w:rsidR="003B46E3" w:rsidRPr="0068236B" w:rsidRDefault="003B46E3" w:rsidP="003B46E3">
      <w:pPr>
        <w:rPr>
          <w:rFonts w:cs="Tahoma"/>
          <w:sz w:val="20"/>
          <w:szCs w:val="20"/>
        </w:rPr>
      </w:pPr>
      <w:r w:rsidRPr="0068236B">
        <w:rPr>
          <w:rFonts w:cs="Tahoma"/>
          <w:sz w:val="20"/>
          <w:szCs w:val="20"/>
        </w:rPr>
        <w:t xml:space="preserve">OHS risks during operation are similar to those in the construction phase, limited to the operational and maintenance activities for the transmission line, which will be occasional and/or involve a limited number of workers. The most significant risk would be related to the possible electrocution from the energised OHL conductors. </w:t>
      </w:r>
    </w:p>
    <w:p w14:paraId="0A8000EF" w14:textId="7E26CC6E" w:rsidR="003B46E3" w:rsidRPr="0068236B" w:rsidRDefault="003B46E3" w:rsidP="003B46E3">
      <w:pPr>
        <w:rPr>
          <w:rFonts w:cs="Tahoma"/>
          <w:sz w:val="20"/>
          <w:szCs w:val="20"/>
        </w:rPr>
      </w:pPr>
      <w:r w:rsidRPr="0068236B">
        <w:rPr>
          <w:rFonts w:eastAsia="Calibri" w:cs="Arial"/>
          <w:sz w:val="20"/>
        </w:rPr>
        <w:t xml:space="preserve">Working conditions and workers accommodation facilities will be set in compliance with relevant </w:t>
      </w:r>
      <w:r w:rsidR="005517D9" w:rsidRPr="0068236B">
        <w:rPr>
          <w:rFonts w:eastAsia="Calibri" w:cs="Arial"/>
          <w:sz w:val="20"/>
        </w:rPr>
        <w:t>Macedonian</w:t>
      </w:r>
      <w:r w:rsidRPr="0068236B">
        <w:rPr>
          <w:rFonts w:eastAsia="Calibri" w:cs="Arial"/>
          <w:sz w:val="20"/>
        </w:rPr>
        <w:t xml:space="preserve"> labour legislation, which is aligned with the ILO and EU standards. </w:t>
      </w:r>
      <w:r w:rsidRPr="0068236B">
        <w:rPr>
          <w:rFonts w:cs="Tahoma"/>
          <w:sz w:val="20"/>
          <w:szCs w:val="20"/>
        </w:rPr>
        <w:t xml:space="preserve">Principle mitigation measures during the construction of the Project would include creation of a number of thematic plans as part of the Project’s CESMP for overall social management, </w:t>
      </w:r>
      <w:r w:rsidRPr="0068236B">
        <w:rPr>
          <w:rFonts w:cs="Tahoma"/>
          <w:sz w:val="20"/>
          <w:szCs w:val="20"/>
          <w:lang w:eastAsia="en-US"/>
        </w:rPr>
        <w:t>such are</w:t>
      </w:r>
      <w:r w:rsidRPr="0068236B">
        <w:rPr>
          <w:rFonts w:cs="Tahoma"/>
          <w:sz w:val="20"/>
          <w:szCs w:val="20"/>
        </w:rPr>
        <w:t xml:space="preserve"> the following (at a minimum):</w:t>
      </w:r>
    </w:p>
    <w:p w14:paraId="6BB0977B" w14:textId="5D9F8523" w:rsidR="003B46E3" w:rsidRPr="0068236B" w:rsidRDefault="003B46E3" w:rsidP="00D24CEF">
      <w:pPr>
        <w:pStyle w:val="ListBullet"/>
        <w:numPr>
          <w:ilvl w:val="0"/>
          <w:numId w:val="97"/>
        </w:numPr>
        <w:jc w:val="left"/>
        <w:rPr>
          <w:sz w:val="20"/>
        </w:rPr>
      </w:pPr>
      <w:r w:rsidRPr="0068236B">
        <w:rPr>
          <w:sz w:val="20"/>
        </w:rPr>
        <w:t>Occupational Health and Safety Plan</w:t>
      </w:r>
    </w:p>
    <w:p w14:paraId="70B02E89" w14:textId="77777777" w:rsidR="003B46E3" w:rsidRPr="0068236B" w:rsidRDefault="003B46E3" w:rsidP="00D24CEF">
      <w:pPr>
        <w:pStyle w:val="ListBullet"/>
        <w:numPr>
          <w:ilvl w:val="0"/>
          <w:numId w:val="97"/>
        </w:numPr>
        <w:jc w:val="left"/>
        <w:rPr>
          <w:sz w:val="20"/>
        </w:rPr>
      </w:pPr>
      <w:r w:rsidRPr="0068236B">
        <w:rPr>
          <w:sz w:val="20"/>
        </w:rPr>
        <w:t>Grievance Mechanism for Workers</w:t>
      </w:r>
    </w:p>
    <w:p w14:paraId="4BC32D16" w14:textId="77777777" w:rsidR="003B46E3" w:rsidRPr="0068236B" w:rsidRDefault="003B46E3" w:rsidP="00D24CEF">
      <w:pPr>
        <w:pStyle w:val="ListBullet"/>
        <w:numPr>
          <w:ilvl w:val="0"/>
          <w:numId w:val="97"/>
        </w:numPr>
        <w:rPr>
          <w:sz w:val="20"/>
        </w:rPr>
      </w:pPr>
      <w:r w:rsidRPr="0068236B">
        <w:rPr>
          <w:sz w:val="20"/>
        </w:rPr>
        <w:t>Emergency Preparedness and Response Plan</w:t>
      </w:r>
    </w:p>
    <w:p w14:paraId="19A58AE6" w14:textId="77777777" w:rsidR="003B46E3" w:rsidRPr="0068236B" w:rsidRDefault="003B46E3" w:rsidP="003B46E3">
      <w:pPr>
        <w:autoSpaceDE w:val="0"/>
        <w:autoSpaceDN w:val="0"/>
        <w:adjustRightInd w:val="0"/>
        <w:rPr>
          <w:rFonts w:cs="Tahoma"/>
          <w:sz w:val="20"/>
          <w:szCs w:val="20"/>
        </w:rPr>
      </w:pPr>
      <w:r w:rsidRPr="0068236B">
        <w:rPr>
          <w:rFonts w:cs="Tahoma"/>
          <w:sz w:val="20"/>
          <w:szCs w:val="20"/>
        </w:rPr>
        <w:t>These documents would set out the mitigation requirements and would contain measures to ensure compl</w:t>
      </w:r>
      <w:r w:rsidRPr="0068236B">
        <w:rPr>
          <w:rFonts w:cs="Tahoma"/>
          <w:sz w:val="20"/>
          <w:szCs w:val="20"/>
        </w:rPr>
        <w:t>i</w:t>
      </w:r>
      <w:r w:rsidRPr="0068236B">
        <w:rPr>
          <w:rFonts w:cs="Tahoma"/>
          <w:sz w:val="20"/>
          <w:szCs w:val="20"/>
        </w:rPr>
        <w:t>ance of the Project construction with the relevant standards and legislation in the labour and working cond</w:t>
      </w:r>
      <w:r w:rsidRPr="0068236B">
        <w:rPr>
          <w:rFonts w:cs="Tahoma"/>
          <w:sz w:val="20"/>
          <w:szCs w:val="20"/>
        </w:rPr>
        <w:t>i</w:t>
      </w:r>
      <w:r w:rsidRPr="0068236B">
        <w:rPr>
          <w:rFonts w:cs="Tahoma"/>
          <w:sz w:val="20"/>
          <w:szCs w:val="20"/>
        </w:rPr>
        <w:t>tions domain.</w:t>
      </w:r>
    </w:p>
    <w:p w14:paraId="7ECE4E3A" w14:textId="3A3C3DDE" w:rsidR="003B46E3" w:rsidRPr="0068236B" w:rsidRDefault="003B46E3" w:rsidP="003B46E3">
      <w:pPr>
        <w:autoSpaceDE w:val="0"/>
        <w:autoSpaceDN w:val="0"/>
        <w:adjustRightInd w:val="0"/>
        <w:rPr>
          <w:rFonts w:cs="Tahoma"/>
          <w:sz w:val="20"/>
          <w:szCs w:val="20"/>
        </w:rPr>
      </w:pPr>
      <w:r w:rsidRPr="0068236B">
        <w:rPr>
          <w:rFonts w:cs="Tahoma"/>
          <w:sz w:val="20"/>
          <w:szCs w:val="20"/>
        </w:rPr>
        <w:t>The occupational health and safety performance during operation of the Project will comply with the r</w:t>
      </w:r>
      <w:r w:rsidRPr="0068236B">
        <w:rPr>
          <w:rFonts w:cs="Tahoma"/>
          <w:sz w:val="20"/>
          <w:szCs w:val="20"/>
        </w:rPr>
        <w:t>e</w:t>
      </w:r>
      <w:r w:rsidRPr="0068236B">
        <w:rPr>
          <w:rFonts w:cs="Tahoma"/>
          <w:sz w:val="20"/>
          <w:szCs w:val="20"/>
        </w:rPr>
        <w:t xml:space="preserve">quirements of </w:t>
      </w:r>
      <w:r w:rsidR="005517D9" w:rsidRPr="0068236B">
        <w:rPr>
          <w:rFonts w:cs="Tahoma"/>
          <w:sz w:val="20"/>
          <w:szCs w:val="20"/>
        </w:rPr>
        <w:t>Macedonian</w:t>
      </w:r>
      <w:r w:rsidRPr="0068236B">
        <w:rPr>
          <w:rFonts w:cs="Tahoma"/>
          <w:sz w:val="20"/>
          <w:szCs w:val="20"/>
        </w:rPr>
        <w:t xml:space="preserve"> legislation and the Integrated Management System (IMS)</w:t>
      </w:r>
      <w:r w:rsidR="005517D9" w:rsidRPr="0068236B">
        <w:rPr>
          <w:rStyle w:val="FootnoteReference"/>
          <w:rFonts w:cs="Tahoma"/>
          <w:color w:val="000000"/>
          <w:sz w:val="20"/>
          <w:szCs w:val="20"/>
          <w:shd w:val="clear" w:color="auto" w:fill="FFFFFF"/>
        </w:rPr>
        <w:footnoteReference w:id="140"/>
      </w:r>
      <w:r w:rsidRPr="0068236B">
        <w:rPr>
          <w:rFonts w:cs="Tahoma"/>
          <w:sz w:val="20"/>
          <w:szCs w:val="20"/>
        </w:rPr>
        <w:t xml:space="preserve"> of </w:t>
      </w:r>
      <w:r w:rsidR="005517D9" w:rsidRPr="0068236B">
        <w:rPr>
          <w:rFonts w:cs="Tahoma"/>
          <w:sz w:val="20"/>
          <w:szCs w:val="20"/>
        </w:rPr>
        <w:t>MEPSO</w:t>
      </w:r>
      <w:r w:rsidRPr="0068236B">
        <w:rPr>
          <w:rFonts w:cs="Tahoma"/>
          <w:color w:val="000000"/>
          <w:sz w:val="20"/>
          <w:szCs w:val="20"/>
          <w:shd w:val="clear" w:color="auto" w:fill="FFFFFF"/>
        </w:rPr>
        <w:t>.</w:t>
      </w:r>
    </w:p>
    <w:p w14:paraId="4B9BFB82" w14:textId="77777777" w:rsidR="003B46E3" w:rsidRPr="0068236B" w:rsidRDefault="003B46E3" w:rsidP="003B46E3">
      <w:pPr>
        <w:pStyle w:val="Heading2"/>
        <w:spacing w:before="480" w:after="240"/>
        <w:ind w:left="576" w:hanging="576"/>
        <w:rPr>
          <w:rFonts w:cs="Tahoma"/>
          <w:szCs w:val="20"/>
        </w:rPr>
      </w:pPr>
      <w:bookmarkStart w:id="542" w:name="_Toc80181188"/>
      <w:bookmarkStart w:id="543" w:name="_Toc112852303"/>
      <w:r w:rsidRPr="0068236B">
        <w:rPr>
          <w:rFonts w:cs="Tahoma"/>
          <w:szCs w:val="20"/>
        </w:rPr>
        <w:lastRenderedPageBreak/>
        <w:t>Community Health and Safety</w:t>
      </w:r>
      <w:bookmarkEnd w:id="542"/>
      <w:bookmarkEnd w:id="543"/>
    </w:p>
    <w:p w14:paraId="3A0C8E68" w14:textId="6285A6B9" w:rsidR="003B46E3" w:rsidRPr="0068236B" w:rsidRDefault="003B46E3" w:rsidP="003B46E3">
      <w:pPr>
        <w:pStyle w:val="Heading3"/>
        <w:tabs>
          <w:tab w:val="left" w:pos="1134"/>
        </w:tabs>
        <w:ind w:left="993" w:hanging="993"/>
      </w:pPr>
      <w:bookmarkStart w:id="544" w:name="_Toc80181189"/>
      <w:bookmarkStart w:id="545" w:name="_Toc112852304"/>
      <w:r w:rsidRPr="0068236B">
        <w:t>Construction Traffic</w:t>
      </w:r>
      <w:bookmarkEnd w:id="544"/>
      <w:bookmarkEnd w:id="545"/>
    </w:p>
    <w:p w14:paraId="0EC00001" w14:textId="77777777" w:rsidR="003B46E3" w:rsidRPr="0068236B" w:rsidRDefault="003B46E3" w:rsidP="003B46E3">
      <w:pPr>
        <w:pStyle w:val="Heading4"/>
        <w:spacing w:line="240" w:lineRule="auto"/>
        <w:ind w:left="1843" w:hanging="1123"/>
        <w:rPr>
          <w:sz w:val="20"/>
        </w:rPr>
      </w:pPr>
      <w:r w:rsidRPr="0068236B">
        <w:rPr>
          <w:sz w:val="20"/>
        </w:rPr>
        <w:t>Potential Impacts</w:t>
      </w:r>
    </w:p>
    <w:p w14:paraId="76CCE021" w14:textId="77777777" w:rsidR="003B46E3" w:rsidRPr="0068236B" w:rsidRDefault="003B46E3" w:rsidP="003B46E3">
      <w:pPr>
        <w:autoSpaceDE w:val="0"/>
        <w:autoSpaceDN w:val="0"/>
        <w:adjustRightInd w:val="0"/>
        <w:rPr>
          <w:rFonts w:eastAsia="Calibri" w:cs="Arial"/>
          <w:sz w:val="20"/>
          <w:szCs w:val="20"/>
        </w:rPr>
      </w:pPr>
      <w:r w:rsidRPr="0068236B">
        <w:rPr>
          <w:rFonts w:eastAsia="Calibri" w:cs="Arial"/>
          <w:color w:val="000000"/>
          <w:sz w:val="20"/>
          <w:szCs w:val="20"/>
        </w:rPr>
        <w:t xml:space="preserve">Construction works, heavy machinery and large transport vehicles and increased intensity and volume of the traffic will affect the normal road traffic regime in the Project area. </w:t>
      </w:r>
      <w:r w:rsidRPr="0068236B">
        <w:rPr>
          <w:rFonts w:eastAsia="Calibri" w:cs="Arial"/>
          <w:sz w:val="20"/>
          <w:szCs w:val="20"/>
        </w:rPr>
        <w:t>It is expected that the principle means of transport proposed to service project construction will be by road due to the fairly developed road network in the Project area, and the flexibility required in delivering machinery and materials to locations across the corridor.</w:t>
      </w:r>
    </w:p>
    <w:p w14:paraId="2CBF53EA" w14:textId="77777777" w:rsidR="003B46E3" w:rsidRPr="0068236B" w:rsidRDefault="003B46E3" w:rsidP="003B46E3">
      <w:pPr>
        <w:autoSpaceDE w:val="0"/>
        <w:autoSpaceDN w:val="0"/>
        <w:adjustRightInd w:val="0"/>
        <w:rPr>
          <w:rFonts w:eastAsia="Calibri" w:cs="Arial"/>
          <w:color w:val="000000"/>
          <w:sz w:val="20"/>
          <w:szCs w:val="20"/>
        </w:rPr>
      </w:pPr>
      <w:r w:rsidRPr="0068236B">
        <w:rPr>
          <w:rFonts w:eastAsia="Calibri" w:cs="Tahoma"/>
          <w:sz w:val="20"/>
          <w:szCs w:val="20"/>
        </w:rPr>
        <w:t xml:space="preserve">Based on information available from other transmission developments of similar </w:t>
      </w:r>
      <w:r w:rsidRPr="0068236B">
        <w:rPr>
          <w:rFonts w:eastAsia="Calibri" w:cs="Arial"/>
          <w:color w:val="000000"/>
          <w:sz w:val="20"/>
          <w:szCs w:val="20"/>
        </w:rPr>
        <w:t>size, the Table below pr</w:t>
      </w:r>
      <w:r w:rsidRPr="0068236B">
        <w:rPr>
          <w:rFonts w:eastAsia="Calibri" w:cs="Arial"/>
          <w:color w:val="000000"/>
          <w:sz w:val="20"/>
          <w:szCs w:val="20"/>
        </w:rPr>
        <w:t>e</w:t>
      </w:r>
      <w:r w:rsidRPr="0068236B">
        <w:rPr>
          <w:rFonts w:eastAsia="Calibri" w:cs="Arial"/>
          <w:color w:val="000000"/>
          <w:sz w:val="20"/>
          <w:szCs w:val="20"/>
        </w:rPr>
        <w:t>sents information on the assumed types of light and heavy vehicles which will be used to satisfy construction transportation requirements.</w:t>
      </w:r>
    </w:p>
    <w:tbl>
      <w:tblPr>
        <w:tblW w:w="7655"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3119"/>
        <w:gridCol w:w="4536"/>
      </w:tblGrid>
      <w:tr w:rsidR="003B46E3" w:rsidRPr="0068236B" w14:paraId="31AB7931" w14:textId="77777777" w:rsidTr="003B46E3">
        <w:trPr>
          <w:trHeight w:val="283"/>
        </w:trPr>
        <w:tc>
          <w:tcPr>
            <w:tcW w:w="3119" w:type="dxa"/>
            <w:tcBorders>
              <w:top w:val="double" w:sz="4" w:space="0" w:color="auto"/>
              <w:bottom w:val="double" w:sz="4" w:space="0" w:color="auto"/>
              <w:right w:val="double" w:sz="4" w:space="0" w:color="auto"/>
            </w:tcBorders>
            <w:shd w:val="clear" w:color="auto" w:fill="B4C6E7" w:themeFill="accent1" w:themeFillTint="66"/>
          </w:tcPr>
          <w:p w14:paraId="679CC5D4" w14:textId="77777777" w:rsidR="003B46E3" w:rsidRPr="0068236B" w:rsidRDefault="003B46E3" w:rsidP="003B46E3">
            <w:pPr>
              <w:autoSpaceDE w:val="0"/>
              <w:autoSpaceDN w:val="0"/>
              <w:adjustRightInd w:val="0"/>
              <w:spacing w:before="0" w:after="0" w:line="240" w:lineRule="auto"/>
              <w:rPr>
                <w:rFonts w:cs="Arial"/>
                <w:sz w:val="20"/>
                <w:szCs w:val="20"/>
              </w:rPr>
            </w:pPr>
            <w:r w:rsidRPr="0068236B">
              <w:rPr>
                <w:rFonts w:cs="Arial"/>
                <w:sz w:val="20"/>
                <w:szCs w:val="20"/>
              </w:rPr>
              <w:t>Light vehicles</w:t>
            </w:r>
          </w:p>
        </w:tc>
        <w:tc>
          <w:tcPr>
            <w:tcW w:w="4536" w:type="dxa"/>
            <w:tcBorders>
              <w:top w:val="double" w:sz="4" w:space="0" w:color="auto"/>
              <w:left w:val="double" w:sz="4" w:space="0" w:color="auto"/>
              <w:bottom w:val="double" w:sz="4" w:space="0" w:color="auto"/>
            </w:tcBorders>
            <w:shd w:val="clear" w:color="auto" w:fill="B4C6E7" w:themeFill="accent1" w:themeFillTint="66"/>
          </w:tcPr>
          <w:p w14:paraId="045E533A" w14:textId="77777777" w:rsidR="003B46E3" w:rsidRPr="0068236B" w:rsidRDefault="003B46E3" w:rsidP="003B46E3">
            <w:pPr>
              <w:autoSpaceDE w:val="0"/>
              <w:autoSpaceDN w:val="0"/>
              <w:adjustRightInd w:val="0"/>
              <w:spacing w:before="0" w:after="0" w:line="240" w:lineRule="auto"/>
              <w:rPr>
                <w:rFonts w:cs="Arial"/>
                <w:sz w:val="20"/>
                <w:szCs w:val="20"/>
              </w:rPr>
            </w:pPr>
            <w:r w:rsidRPr="0068236B">
              <w:rPr>
                <w:rFonts w:cs="Arial"/>
                <w:sz w:val="20"/>
                <w:szCs w:val="20"/>
              </w:rPr>
              <w:t>Heavy vehicles</w:t>
            </w:r>
          </w:p>
        </w:tc>
      </w:tr>
      <w:tr w:rsidR="003B46E3" w:rsidRPr="0068236B" w14:paraId="3FE793A8" w14:textId="77777777" w:rsidTr="003B46E3">
        <w:trPr>
          <w:trHeight w:val="283"/>
        </w:trPr>
        <w:tc>
          <w:tcPr>
            <w:tcW w:w="3119" w:type="dxa"/>
            <w:tcBorders>
              <w:top w:val="double" w:sz="4" w:space="0" w:color="auto"/>
            </w:tcBorders>
          </w:tcPr>
          <w:p w14:paraId="1A550B38" w14:textId="77777777" w:rsidR="003B46E3" w:rsidRPr="0068236B" w:rsidRDefault="003B46E3" w:rsidP="003B46E3">
            <w:pPr>
              <w:autoSpaceDE w:val="0"/>
              <w:autoSpaceDN w:val="0"/>
              <w:adjustRightInd w:val="0"/>
              <w:spacing w:before="0" w:after="0" w:line="240" w:lineRule="auto"/>
              <w:rPr>
                <w:rFonts w:cs="Arial"/>
                <w:sz w:val="20"/>
                <w:szCs w:val="20"/>
              </w:rPr>
            </w:pPr>
            <w:r w:rsidRPr="0068236B">
              <w:rPr>
                <w:rFonts w:cs="Arial"/>
                <w:sz w:val="20"/>
                <w:szCs w:val="20"/>
              </w:rPr>
              <w:t>Cars</w:t>
            </w:r>
          </w:p>
        </w:tc>
        <w:tc>
          <w:tcPr>
            <w:tcW w:w="4536" w:type="dxa"/>
            <w:tcBorders>
              <w:top w:val="double" w:sz="4" w:space="0" w:color="auto"/>
            </w:tcBorders>
          </w:tcPr>
          <w:p w14:paraId="4B9C2295" w14:textId="77777777" w:rsidR="003B46E3" w:rsidRPr="0068236B" w:rsidRDefault="003B46E3" w:rsidP="003B46E3">
            <w:pPr>
              <w:autoSpaceDE w:val="0"/>
              <w:autoSpaceDN w:val="0"/>
              <w:adjustRightInd w:val="0"/>
              <w:spacing w:before="0" w:after="0" w:line="240" w:lineRule="auto"/>
              <w:rPr>
                <w:rFonts w:cs="Arial"/>
                <w:sz w:val="20"/>
                <w:szCs w:val="20"/>
              </w:rPr>
            </w:pPr>
            <w:r w:rsidRPr="0068236B">
              <w:rPr>
                <w:rFonts w:cs="Arial"/>
                <w:sz w:val="20"/>
                <w:szCs w:val="20"/>
              </w:rPr>
              <w:t>Truck for ready mix concrete</w:t>
            </w:r>
          </w:p>
        </w:tc>
      </w:tr>
      <w:tr w:rsidR="003B46E3" w:rsidRPr="0068236B" w14:paraId="2BD58314" w14:textId="77777777" w:rsidTr="003B46E3">
        <w:trPr>
          <w:trHeight w:val="283"/>
        </w:trPr>
        <w:tc>
          <w:tcPr>
            <w:tcW w:w="3119" w:type="dxa"/>
          </w:tcPr>
          <w:p w14:paraId="32187298" w14:textId="77777777" w:rsidR="003B46E3" w:rsidRPr="0068236B" w:rsidRDefault="003B46E3" w:rsidP="003B46E3">
            <w:pPr>
              <w:autoSpaceDE w:val="0"/>
              <w:autoSpaceDN w:val="0"/>
              <w:adjustRightInd w:val="0"/>
              <w:spacing w:before="0" w:after="0" w:line="240" w:lineRule="auto"/>
              <w:rPr>
                <w:rFonts w:cs="Arial"/>
                <w:sz w:val="20"/>
                <w:szCs w:val="20"/>
              </w:rPr>
            </w:pPr>
            <w:r w:rsidRPr="0068236B">
              <w:rPr>
                <w:rFonts w:cs="Arial"/>
                <w:sz w:val="20"/>
                <w:szCs w:val="20"/>
              </w:rPr>
              <w:t>Vans</w:t>
            </w:r>
          </w:p>
        </w:tc>
        <w:tc>
          <w:tcPr>
            <w:tcW w:w="4536" w:type="dxa"/>
          </w:tcPr>
          <w:p w14:paraId="6EF0ED89" w14:textId="77777777" w:rsidR="003B46E3" w:rsidRPr="0068236B" w:rsidRDefault="003B46E3" w:rsidP="003B46E3">
            <w:pPr>
              <w:autoSpaceDE w:val="0"/>
              <w:autoSpaceDN w:val="0"/>
              <w:adjustRightInd w:val="0"/>
              <w:spacing w:before="0" w:after="0" w:line="240" w:lineRule="auto"/>
              <w:rPr>
                <w:rFonts w:cs="Arial"/>
                <w:sz w:val="20"/>
                <w:szCs w:val="20"/>
              </w:rPr>
            </w:pPr>
            <w:r w:rsidRPr="0068236B">
              <w:rPr>
                <w:rFonts w:cs="Arial"/>
                <w:sz w:val="20"/>
                <w:szCs w:val="20"/>
              </w:rPr>
              <w:t>Trucks</w:t>
            </w:r>
          </w:p>
        </w:tc>
      </w:tr>
      <w:tr w:rsidR="003B46E3" w:rsidRPr="0068236B" w14:paraId="4C65E78F" w14:textId="77777777" w:rsidTr="003B46E3">
        <w:trPr>
          <w:trHeight w:val="283"/>
        </w:trPr>
        <w:tc>
          <w:tcPr>
            <w:tcW w:w="3119" w:type="dxa"/>
          </w:tcPr>
          <w:p w14:paraId="391255BB" w14:textId="77777777" w:rsidR="003B46E3" w:rsidRPr="0068236B" w:rsidRDefault="003B46E3" w:rsidP="003B46E3">
            <w:pPr>
              <w:autoSpaceDE w:val="0"/>
              <w:autoSpaceDN w:val="0"/>
              <w:adjustRightInd w:val="0"/>
              <w:spacing w:before="0" w:after="0" w:line="240" w:lineRule="auto"/>
              <w:rPr>
                <w:rFonts w:cs="Arial"/>
                <w:sz w:val="20"/>
                <w:szCs w:val="20"/>
              </w:rPr>
            </w:pPr>
            <w:r w:rsidRPr="0068236B">
              <w:rPr>
                <w:rFonts w:cs="Arial"/>
                <w:sz w:val="20"/>
                <w:szCs w:val="20"/>
              </w:rPr>
              <w:t>Light tractors</w:t>
            </w:r>
          </w:p>
        </w:tc>
        <w:tc>
          <w:tcPr>
            <w:tcW w:w="4536" w:type="dxa"/>
          </w:tcPr>
          <w:p w14:paraId="0F6FBB02" w14:textId="77777777" w:rsidR="003B46E3" w:rsidRPr="0068236B" w:rsidRDefault="003B46E3" w:rsidP="003B46E3">
            <w:pPr>
              <w:autoSpaceDE w:val="0"/>
              <w:autoSpaceDN w:val="0"/>
              <w:adjustRightInd w:val="0"/>
              <w:spacing w:before="0" w:after="0" w:line="240" w:lineRule="auto"/>
              <w:rPr>
                <w:rFonts w:cs="Arial"/>
                <w:sz w:val="20"/>
                <w:szCs w:val="20"/>
              </w:rPr>
            </w:pPr>
            <w:r w:rsidRPr="0068236B">
              <w:rPr>
                <w:rFonts w:cs="Arial"/>
                <w:sz w:val="20"/>
                <w:szCs w:val="20"/>
              </w:rPr>
              <w:t>Cranes</w:t>
            </w:r>
          </w:p>
        </w:tc>
      </w:tr>
      <w:tr w:rsidR="003B46E3" w:rsidRPr="0068236B" w14:paraId="3E7F9302" w14:textId="77777777" w:rsidTr="003B46E3">
        <w:trPr>
          <w:trHeight w:val="283"/>
        </w:trPr>
        <w:tc>
          <w:tcPr>
            <w:tcW w:w="3119" w:type="dxa"/>
          </w:tcPr>
          <w:p w14:paraId="7C713CC0" w14:textId="77777777" w:rsidR="003B46E3" w:rsidRPr="0068236B" w:rsidRDefault="003B46E3" w:rsidP="003B46E3">
            <w:pPr>
              <w:autoSpaceDE w:val="0"/>
              <w:autoSpaceDN w:val="0"/>
              <w:adjustRightInd w:val="0"/>
              <w:spacing w:before="0" w:after="0" w:line="240" w:lineRule="auto"/>
              <w:rPr>
                <w:rFonts w:cs="Arial"/>
                <w:sz w:val="20"/>
                <w:szCs w:val="20"/>
              </w:rPr>
            </w:pPr>
            <w:r w:rsidRPr="0068236B">
              <w:rPr>
                <w:rFonts w:cs="Arial"/>
                <w:sz w:val="20"/>
                <w:szCs w:val="20"/>
              </w:rPr>
              <w:t>4-wheel drive (4WD) vehicles</w:t>
            </w:r>
          </w:p>
        </w:tc>
        <w:tc>
          <w:tcPr>
            <w:tcW w:w="4536" w:type="dxa"/>
          </w:tcPr>
          <w:p w14:paraId="1F348FDB" w14:textId="77777777" w:rsidR="003B46E3" w:rsidRPr="0068236B" w:rsidRDefault="003B46E3" w:rsidP="003B46E3">
            <w:pPr>
              <w:autoSpaceDE w:val="0"/>
              <w:autoSpaceDN w:val="0"/>
              <w:adjustRightInd w:val="0"/>
              <w:spacing w:before="0" w:after="0" w:line="240" w:lineRule="auto"/>
              <w:rPr>
                <w:rFonts w:cs="Arial"/>
                <w:sz w:val="20"/>
                <w:szCs w:val="20"/>
              </w:rPr>
            </w:pPr>
            <w:r w:rsidRPr="0068236B">
              <w:rPr>
                <w:rFonts w:cs="Arial"/>
                <w:sz w:val="20"/>
                <w:szCs w:val="20"/>
              </w:rPr>
              <w:t>Heavy tractors</w:t>
            </w:r>
          </w:p>
        </w:tc>
      </w:tr>
      <w:tr w:rsidR="003B46E3" w:rsidRPr="0068236B" w14:paraId="232D64C6" w14:textId="77777777" w:rsidTr="003B46E3">
        <w:trPr>
          <w:trHeight w:val="283"/>
        </w:trPr>
        <w:tc>
          <w:tcPr>
            <w:tcW w:w="3119" w:type="dxa"/>
          </w:tcPr>
          <w:p w14:paraId="3F379462" w14:textId="77777777" w:rsidR="003B46E3" w:rsidRPr="0068236B" w:rsidRDefault="003B46E3" w:rsidP="003B46E3">
            <w:pPr>
              <w:autoSpaceDE w:val="0"/>
              <w:autoSpaceDN w:val="0"/>
              <w:adjustRightInd w:val="0"/>
              <w:spacing w:before="0" w:after="0" w:line="240" w:lineRule="auto"/>
              <w:rPr>
                <w:rFonts w:cs="Arial"/>
                <w:sz w:val="20"/>
                <w:szCs w:val="20"/>
              </w:rPr>
            </w:pPr>
          </w:p>
        </w:tc>
        <w:tc>
          <w:tcPr>
            <w:tcW w:w="4536" w:type="dxa"/>
          </w:tcPr>
          <w:p w14:paraId="52445994" w14:textId="77777777" w:rsidR="003B46E3" w:rsidRPr="0068236B" w:rsidRDefault="003B46E3" w:rsidP="003B46E3">
            <w:pPr>
              <w:autoSpaceDE w:val="0"/>
              <w:autoSpaceDN w:val="0"/>
              <w:adjustRightInd w:val="0"/>
              <w:spacing w:before="0" w:after="0" w:line="240" w:lineRule="auto"/>
              <w:rPr>
                <w:rFonts w:cs="Arial"/>
                <w:sz w:val="20"/>
                <w:szCs w:val="20"/>
              </w:rPr>
            </w:pPr>
            <w:r w:rsidRPr="0068236B">
              <w:rPr>
                <w:rFonts w:cs="Arial"/>
                <w:sz w:val="20"/>
                <w:szCs w:val="20"/>
              </w:rPr>
              <w:t>Trucks with drums for conductors</w:t>
            </w:r>
          </w:p>
        </w:tc>
      </w:tr>
    </w:tbl>
    <w:p w14:paraId="1F7FC9E3" w14:textId="46D95454" w:rsidR="003B46E3" w:rsidRPr="0068236B" w:rsidRDefault="003B46E3" w:rsidP="003B46E3">
      <w:pPr>
        <w:overflowPunct w:val="0"/>
        <w:autoSpaceDE w:val="0"/>
        <w:autoSpaceDN w:val="0"/>
        <w:adjustRightInd w:val="0"/>
        <w:spacing w:before="60" w:after="240"/>
        <w:textAlignment w:val="baseline"/>
        <w:rPr>
          <w:rFonts w:cs="Arial"/>
          <w:sz w:val="18"/>
          <w:szCs w:val="20"/>
        </w:rPr>
      </w:pPr>
      <w:bookmarkStart w:id="546" w:name="_Toc446278297"/>
      <w:bookmarkStart w:id="547" w:name="_Toc481953739"/>
      <w:bookmarkStart w:id="548" w:name="_Toc65936995"/>
      <w:bookmarkStart w:id="549" w:name="_Toc80181285"/>
      <w:bookmarkStart w:id="550" w:name="_Toc113018240"/>
      <w:r w:rsidRPr="0068236B">
        <w:rPr>
          <w:rFonts w:cs="Arial"/>
          <w:bCs/>
          <w:sz w:val="18"/>
          <w:szCs w:val="20"/>
        </w:rPr>
        <w:t xml:space="preserve">Table </w:t>
      </w:r>
      <w:r w:rsidRPr="0068236B">
        <w:rPr>
          <w:rFonts w:cs="Arial"/>
          <w:bCs/>
          <w:sz w:val="18"/>
          <w:szCs w:val="20"/>
        </w:rPr>
        <w:fldChar w:fldCharType="begin"/>
      </w:r>
      <w:r w:rsidRPr="0068236B">
        <w:rPr>
          <w:rFonts w:cs="Arial"/>
          <w:bCs/>
          <w:sz w:val="18"/>
          <w:szCs w:val="20"/>
        </w:rPr>
        <w:instrText xml:space="preserve"> STYLEREF 1 \s </w:instrText>
      </w:r>
      <w:r w:rsidRPr="0068236B">
        <w:rPr>
          <w:rFonts w:cs="Arial"/>
          <w:bCs/>
          <w:sz w:val="18"/>
          <w:szCs w:val="20"/>
        </w:rPr>
        <w:fldChar w:fldCharType="separate"/>
      </w:r>
      <w:r w:rsidR="00FD57E6">
        <w:rPr>
          <w:rFonts w:cs="Arial"/>
          <w:bCs/>
          <w:noProof/>
          <w:sz w:val="18"/>
          <w:szCs w:val="20"/>
        </w:rPr>
        <w:t>9</w:t>
      </w:r>
      <w:r w:rsidRPr="0068236B">
        <w:rPr>
          <w:rFonts w:cs="Arial"/>
          <w:bCs/>
          <w:sz w:val="18"/>
          <w:szCs w:val="20"/>
        </w:rPr>
        <w:fldChar w:fldCharType="end"/>
      </w:r>
      <w:r w:rsidRPr="0068236B">
        <w:rPr>
          <w:rFonts w:cs="Arial"/>
          <w:bCs/>
          <w:sz w:val="18"/>
          <w:szCs w:val="20"/>
        </w:rPr>
        <w:t>.</w:t>
      </w:r>
      <w:r w:rsidRPr="0068236B">
        <w:rPr>
          <w:rFonts w:cs="Arial"/>
          <w:bCs/>
          <w:sz w:val="18"/>
          <w:szCs w:val="20"/>
        </w:rPr>
        <w:fldChar w:fldCharType="begin"/>
      </w:r>
      <w:r w:rsidRPr="0068236B">
        <w:rPr>
          <w:rFonts w:cs="Arial"/>
          <w:bCs/>
          <w:sz w:val="18"/>
          <w:szCs w:val="20"/>
        </w:rPr>
        <w:instrText xml:space="preserve"> SEQ Table \* ARABIC \s 1 </w:instrText>
      </w:r>
      <w:r w:rsidRPr="0068236B">
        <w:rPr>
          <w:rFonts w:cs="Arial"/>
          <w:bCs/>
          <w:sz w:val="18"/>
          <w:szCs w:val="20"/>
        </w:rPr>
        <w:fldChar w:fldCharType="separate"/>
      </w:r>
      <w:r w:rsidR="00FD57E6">
        <w:rPr>
          <w:rFonts w:cs="Arial"/>
          <w:bCs/>
          <w:noProof/>
          <w:sz w:val="18"/>
          <w:szCs w:val="20"/>
        </w:rPr>
        <w:t>1</w:t>
      </w:r>
      <w:r w:rsidRPr="0068236B">
        <w:rPr>
          <w:rFonts w:cs="Arial"/>
          <w:bCs/>
          <w:sz w:val="18"/>
          <w:szCs w:val="20"/>
        </w:rPr>
        <w:fldChar w:fldCharType="end"/>
      </w:r>
      <w:r w:rsidR="00E7643A" w:rsidRPr="0068236B">
        <w:rPr>
          <w:rFonts w:cs="Arial"/>
          <w:bCs/>
          <w:sz w:val="18"/>
          <w:szCs w:val="20"/>
        </w:rPr>
        <w:t xml:space="preserve">: </w:t>
      </w:r>
      <w:r w:rsidRPr="0068236B">
        <w:rPr>
          <w:rFonts w:eastAsia="Calibri" w:cs="Arial"/>
          <w:color w:val="000000"/>
          <w:sz w:val="18"/>
          <w:szCs w:val="20"/>
        </w:rPr>
        <w:t>Assumed construction traffic inventory</w:t>
      </w:r>
      <w:bookmarkEnd w:id="546"/>
      <w:bookmarkEnd w:id="547"/>
      <w:bookmarkEnd w:id="548"/>
      <w:bookmarkEnd w:id="549"/>
      <w:bookmarkEnd w:id="550"/>
    </w:p>
    <w:p w14:paraId="0470C7A9" w14:textId="3707FE3F" w:rsidR="003B46E3" w:rsidRPr="0068236B" w:rsidRDefault="003B46E3" w:rsidP="003B46E3">
      <w:pPr>
        <w:autoSpaceDE w:val="0"/>
        <w:autoSpaceDN w:val="0"/>
        <w:adjustRightInd w:val="0"/>
        <w:rPr>
          <w:rFonts w:eastAsia="Calibri" w:cs="Arial"/>
          <w:sz w:val="20"/>
          <w:szCs w:val="20"/>
        </w:rPr>
      </w:pPr>
      <w:r w:rsidRPr="0068236B">
        <w:rPr>
          <w:rFonts w:cs="Tahoma"/>
          <w:sz w:val="20"/>
          <w:szCs w:val="20"/>
        </w:rPr>
        <w:t xml:space="preserve">No other potential means of transport (i.e. helicopters or waterborne transport) are assumed </w:t>
      </w:r>
      <w:r w:rsidR="00711E88" w:rsidRPr="0068236B">
        <w:rPr>
          <w:rFonts w:cs="Tahoma"/>
          <w:sz w:val="20"/>
          <w:szCs w:val="20"/>
        </w:rPr>
        <w:t>for constru</w:t>
      </w:r>
      <w:r w:rsidR="00711E88" w:rsidRPr="0068236B">
        <w:rPr>
          <w:rFonts w:cs="Tahoma"/>
          <w:sz w:val="20"/>
          <w:szCs w:val="20"/>
        </w:rPr>
        <w:t>c</w:t>
      </w:r>
      <w:r w:rsidR="00711E88" w:rsidRPr="0068236B">
        <w:rPr>
          <w:rFonts w:cs="Tahoma"/>
          <w:sz w:val="20"/>
          <w:szCs w:val="20"/>
        </w:rPr>
        <w:t xml:space="preserve">tion purposes of the </w:t>
      </w:r>
      <w:r w:rsidRPr="0068236B">
        <w:rPr>
          <w:rFonts w:cs="Tahoma"/>
          <w:sz w:val="20"/>
          <w:szCs w:val="20"/>
        </w:rPr>
        <w:t>Project.</w:t>
      </w:r>
    </w:p>
    <w:p w14:paraId="75A848BA" w14:textId="77777777" w:rsidR="003B46E3" w:rsidRPr="0068236B" w:rsidRDefault="003B46E3" w:rsidP="003B46E3">
      <w:pPr>
        <w:autoSpaceDE w:val="0"/>
        <w:autoSpaceDN w:val="0"/>
        <w:adjustRightInd w:val="0"/>
        <w:rPr>
          <w:rFonts w:cs="Tahoma"/>
          <w:sz w:val="20"/>
          <w:szCs w:val="20"/>
        </w:rPr>
      </w:pPr>
      <w:r w:rsidRPr="0068236B">
        <w:rPr>
          <w:rFonts w:eastAsia="Calibri" w:cs="Arial"/>
          <w:sz w:val="20"/>
          <w:szCs w:val="20"/>
        </w:rPr>
        <w:t>It is clear that construction traffic will increase traffic flows on some roads, particularly the local road ne</w:t>
      </w:r>
      <w:r w:rsidRPr="0068236B">
        <w:rPr>
          <w:rFonts w:eastAsia="Calibri" w:cs="Arial"/>
          <w:sz w:val="20"/>
          <w:szCs w:val="20"/>
        </w:rPr>
        <w:t>t</w:t>
      </w:r>
      <w:r w:rsidRPr="0068236B">
        <w:rPr>
          <w:rFonts w:eastAsia="Calibri" w:cs="Arial"/>
          <w:sz w:val="20"/>
          <w:szCs w:val="20"/>
        </w:rPr>
        <w:t xml:space="preserve">work and on unclassified roads, where traffic levels are typically low. </w:t>
      </w:r>
      <w:r w:rsidRPr="0068236B">
        <w:rPr>
          <w:rFonts w:cs="Tahoma"/>
          <w:sz w:val="20"/>
          <w:szCs w:val="20"/>
        </w:rPr>
        <w:t>These effects may be predicted during the busiest phases of Project construction primarily on narrow rural roads which currently carry low flows of traffic and which are often unsuitable for large numbers large vehicles. Conflicts with the construction veh</w:t>
      </w:r>
      <w:r w:rsidRPr="0068236B">
        <w:rPr>
          <w:rFonts w:cs="Tahoma"/>
          <w:sz w:val="20"/>
          <w:szCs w:val="20"/>
        </w:rPr>
        <w:t>i</w:t>
      </w:r>
      <w:r w:rsidRPr="0068236B">
        <w:rPr>
          <w:rFonts w:cs="Tahoma"/>
          <w:sz w:val="20"/>
          <w:szCs w:val="20"/>
        </w:rPr>
        <w:t>cles listed above would occur more often during main agricultural seasons when local traffic is more inte</w:t>
      </w:r>
      <w:r w:rsidRPr="0068236B">
        <w:rPr>
          <w:rFonts w:cs="Tahoma"/>
          <w:sz w:val="20"/>
          <w:szCs w:val="20"/>
        </w:rPr>
        <w:t>n</w:t>
      </w:r>
      <w:r w:rsidRPr="0068236B">
        <w:rPr>
          <w:rFonts w:cs="Tahoma"/>
          <w:sz w:val="20"/>
          <w:szCs w:val="20"/>
        </w:rPr>
        <w:t>sive and at the start and end of the school day, particularly on those roads where there is limited space for large vehicles to pass oncoming traffic.</w:t>
      </w:r>
    </w:p>
    <w:p w14:paraId="53FAF976" w14:textId="1CFC9A1B" w:rsidR="003B46E3" w:rsidRPr="0068236B" w:rsidRDefault="003B46E3" w:rsidP="003B46E3">
      <w:pPr>
        <w:autoSpaceDE w:val="0"/>
        <w:autoSpaceDN w:val="0"/>
        <w:adjustRightInd w:val="0"/>
        <w:rPr>
          <w:rFonts w:eastAsia="Calibri" w:cs="Arial"/>
          <w:sz w:val="20"/>
          <w:szCs w:val="20"/>
        </w:rPr>
      </w:pPr>
      <w:r w:rsidRPr="0068236B">
        <w:rPr>
          <w:rFonts w:eastAsia="Calibri" w:cs="Tahoma"/>
          <w:color w:val="000000"/>
          <w:sz w:val="20"/>
          <w:szCs w:val="20"/>
        </w:rPr>
        <w:t>The effects of construction traffic on such roads will cause increa</w:t>
      </w:r>
      <w:r w:rsidR="00C93EB4" w:rsidRPr="0068236B">
        <w:rPr>
          <w:rFonts w:eastAsia="Calibri" w:cs="Tahoma"/>
          <w:color w:val="000000"/>
          <w:sz w:val="20"/>
          <w:szCs w:val="20"/>
        </w:rPr>
        <w:t xml:space="preserve">ses over baseline traffic flows leading to </w:t>
      </w:r>
      <w:r w:rsidR="00C93EB4" w:rsidRPr="0068236B">
        <w:rPr>
          <w:sz w:val="20"/>
          <w:szCs w:val="20"/>
        </w:rPr>
        <w:t>increased potential for incidents and accidents involving pedestrians, other vehicles, and the potential for damage to the local roads, decreasing their safety.</w:t>
      </w:r>
      <w:r w:rsidRPr="0068236B">
        <w:rPr>
          <w:rFonts w:eastAsia="Calibri" w:cs="Tahoma"/>
          <w:color w:val="000000"/>
          <w:sz w:val="20"/>
          <w:szCs w:val="20"/>
        </w:rPr>
        <w:t xml:space="preserve"> </w:t>
      </w:r>
      <w:r w:rsidR="00C93EB4" w:rsidRPr="0068236B">
        <w:rPr>
          <w:rFonts w:eastAsia="Calibri" w:cs="Tahoma"/>
          <w:color w:val="000000"/>
          <w:sz w:val="20"/>
          <w:szCs w:val="20"/>
        </w:rPr>
        <w:t>H</w:t>
      </w:r>
      <w:r w:rsidRPr="0068236B">
        <w:rPr>
          <w:rFonts w:eastAsia="Calibri" w:cs="Tahoma"/>
          <w:color w:val="000000"/>
          <w:sz w:val="20"/>
          <w:szCs w:val="20"/>
        </w:rPr>
        <w:t>owever these effects will be short term, limited to the duration of the works in each location, an</w:t>
      </w:r>
      <w:r w:rsidRPr="0068236B">
        <w:rPr>
          <w:rFonts w:eastAsia="Calibri" w:cs="Arial"/>
          <w:color w:val="000000"/>
          <w:sz w:val="20"/>
          <w:szCs w:val="20"/>
        </w:rPr>
        <w:t xml:space="preserve">d will be controlled through traffic management measures where appropriate. An exception is the construction at the substation site which is expected to last around </w:t>
      </w:r>
      <w:r w:rsidR="004B1CA5" w:rsidRPr="0068236B">
        <w:rPr>
          <w:rFonts w:eastAsia="Calibri" w:cs="Arial"/>
          <w:color w:val="000000"/>
          <w:sz w:val="20"/>
          <w:szCs w:val="20"/>
        </w:rPr>
        <w:t>two</w:t>
      </w:r>
      <w:r w:rsidR="00C93EB4" w:rsidRPr="0068236B">
        <w:rPr>
          <w:rFonts w:eastAsia="Calibri" w:cs="Arial"/>
          <w:color w:val="000000"/>
          <w:sz w:val="20"/>
          <w:szCs w:val="20"/>
        </w:rPr>
        <w:t xml:space="preserve"> years, where </w:t>
      </w:r>
      <w:r w:rsidR="00C93EB4" w:rsidRPr="0068236B">
        <w:rPr>
          <w:sz w:val="20"/>
          <w:szCs w:val="20"/>
        </w:rPr>
        <w:t>there will be increased traffic movements (both on-site and off-site), particularly by heavy v</w:t>
      </w:r>
      <w:r w:rsidR="00C93EB4" w:rsidRPr="0068236B">
        <w:rPr>
          <w:sz w:val="20"/>
          <w:szCs w:val="20"/>
        </w:rPr>
        <w:t>e</w:t>
      </w:r>
      <w:r w:rsidR="00C93EB4" w:rsidRPr="0068236B">
        <w:rPr>
          <w:sz w:val="20"/>
          <w:szCs w:val="20"/>
        </w:rPr>
        <w:t xml:space="preserve">hicles. </w:t>
      </w:r>
      <w:r w:rsidRPr="0068236B">
        <w:rPr>
          <w:rFonts w:eastAsia="Calibri" w:cs="Arial"/>
          <w:color w:val="000000"/>
          <w:sz w:val="20"/>
          <w:szCs w:val="20"/>
        </w:rPr>
        <w:t xml:space="preserve">Therefore the magnitude of the effects on the current traffic in the Project region would be very low to low along the OHL corridor and </w:t>
      </w:r>
      <w:r w:rsidR="00E84B0E" w:rsidRPr="0068236B">
        <w:rPr>
          <w:rFonts w:eastAsia="Calibri" w:cs="Arial"/>
          <w:color w:val="000000"/>
          <w:sz w:val="20"/>
          <w:szCs w:val="20"/>
        </w:rPr>
        <w:t xml:space="preserve">low to </w:t>
      </w:r>
      <w:r w:rsidRPr="0068236B">
        <w:rPr>
          <w:rFonts w:eastAsia="Calibri" w:cs="Arial"/>
          <w:color w:val="000000"/>
          <w:sz w:val="20"/>
          <w:szCs w:val="20"/>
        </w:rPr>
        <w:t>medium around the SS site, and the significance of the im</w:t>
      </w:r>
      <w:r w:rsidR="00E84B0E" w:rsidRPr="0068236B">
        <w:rPr>
          <w:rFonts w:eastAsia="Calibri" w:cs="Arial"/>
          <w:color w:val="000000"/>
          <w:sz w:val="20"/>
          <w:szCs w:val="20"/>
        </w:rPr>
        <w:t xml:space="preserve">pact is assessed as of minor </w:t>
      </w:r>
      <w:r w:rsidRPr="0068236B">
        <w:rPr>
          <w:rFonts w:eastAsia="Calibri" w:cs="Arial"/>
          <w:color w:val="000000"/>
          <w:sz w:val="20"/>
          <w:szCs w:val="20"/>
        </w:rPr>
        <w:t xml:space="preserve">significance at some locations (e.g. around the substation site). </w:t>
      </w:r>
    </w:p>
    <w:p w14:paraId="5E41014D" w14:textId="77777777" w:rsidR="003B46E3" w:rsidRPr="0068236B" w:rsidRDefault="003B46E3" w:rsidP="003B46E3">
      <w:pPr>
        <w:pStyle w:val="Heading4"/>
        <w:rPr>
          <w:sz w:val="20"/>
        </w:rPr>
      </w:pPr>
      <w:r w:rsidRPr="0068236B">
        <w:rPr>
          <w:sz w:val="20"/>
        </w:rPr>
        <w:t>Mitigation</w:t>
      </w:r>
    </w:p>
    <w:p w14:paraId="7EDBD437" w14:textId="77777777" w:rsidR="003B46E3" w:rsidRPr="0068236B" w:rsidRDefault="003B46E3" w:rsidP="003B46E3">
      <w:pPr>
        <w:autoSpaceDE w:val="0"/>
        <w:autoSpaceDN w:val="0"/>
        <w:adjustRightInd w:val="0"/>
        <w:rPr>
          <w:rFonts w:cs="Arial"/>
          <w:bCs/>
          <w:sz w:val="20"/>
          <w:szCs w:val="20"/>
        </w:rPr>
      </w:pPr>
      <w:r w:rsidRPr="0068236B">
        <w:rPr>
          <w:rFonts w:cs="Arial"/>
          <w:bCs/>
          <w:sz w:val="20"/>
          <w:szCs w:val="20"/>
        </w:rPr>
        <w:t>In order to minimise impacts on residential areas from traffic during the construction works, a set of mitig</w:t>
      </w:r>
      <w:r w:rsidRPr="0068236B">
        <w:rPr>
          <w:rFonts w:cs="Arial"/>
          <w:bCs/>
          <w:sz w:val="20"/>
          <w:szCs w:val="20"/>
        </w:rPr>
        <w:t>a</w:t>
      </w:r>
      <w:r w:rsidRPr="0068236B">
        <w:rPr>
          <w:rFonts w:cs="Arial"/>
          <w:bCs/>
          <w:sz w:val="20"/>
          <w:szCs w:val="20"/>
        </w:rPr>
        <w:t xml:space="preserve">tion measures needs to be proposed and </w:t>
      </w:r>
      <w:r w:rsidRPr="0068236B">
        <w:rPr>
          <w:sz w:val="20"/>
        </w:rPr>
        <w:t>detailed Traffic Management Plan to be developed as a part of the Project’s CESMP</w:t>
      </w:r>
      <w:r w:rsidRPr="0068236B">
        <w:rPr>
          <w:rFonts w:cs="Arial"/>
          <w:bCs/>
          <w:sz w:val="20"/>
          <w:szCs w:val="20"/>
        </w:rPr>
        <w:t xml:space="preserve">. </w:t>
      </w:r>
    </w:p>
    <w:p w14:paraId="52693BBD" w14:textId="56F3AA84" w:rsidR="003B46E3" w:rsidRPr="0068236B" w:rsidRDefault="003B46E3" w:rsidP="003B46E3">
      <w:pPr>
        <w:pStyle w:val="ListBullet"/>
        <w:numPr>
          <w:ilvl w:val="0"/>
          <w:numId w:val="0"/>
        </w:numPr>
        <w:spacing w:before="120" w:after="120"/>
        <w:rPr>
          <w:sz w:val="20"/>
          <w:szCs w:val="20"/>
        </w:rPr>
      </w:pPr>
      <w:r w:rsidRPr="0068236B">
        <w:rPr>
          <w:sz w:val="20"/>
          <w:lang w:eastAsia="en-US"/>
        </w:rPr>
        <w:t xml:space="preserve">The potential impacts from the construction traffic would be mitigated by undertaking of construction works and associated transport in accordance with a CESMP which will include a Traffic Management Plan, which </w:t>
      </w:r>
      <w:r w:rsidRPr="0068236B">
        <w:rPr>
          <w:sz w:val="20"/>
        </w:rPr>
        <w:lastRenderedPageBreak/>
        <w:t xml:space="preserve">will (i) define the characteristics of the construction fleet of vehicles and site machinery, (ii) describe the expected Project’s traffic (frequency of trips, working hours, convoys) and (iii) detail all site-specific measures that would be implemented during the construction period to minimise the nuisances to </w:t>
      </w:r>
      <w:r w:rsidRPr="0068236B">
        <w:rPr>
          <w:sz w:val="20"/>
          <w:szCs w:val="20"/>
        </w:rPr>
        <w:t>neig</w:t>
      </w:r>
      <w:r w:rsidRPr="0068236B">
        <w:rPr>
          <w:sz w:val="20"/>
          <w:szCs w:val="20"/>
        </w:rPr>
        <w:t>h</w:t>
      </w:r>
      <w:r w:rsidRPr="0068236B">
        <w:rPr>
          <w:sz w:val="20"/>
          <w:szCs w:val="20"/>
        </w:rPr>
        <w:t>bourhoods generated by its fleet and to reduce the risk of accidents. In addition, this plan will set out how transport movements will be managed on the local network, routes for larger vehicles, and details and ti</w:t>
      </w:r>
      <w:r w:rsidRPr="0068236B">
        <w:rPr>
          <w:sz w:val="20"/>
          <w:szCs w:val="20"/>
        </w:rPr>
        <w:t>m</w:t>
      </w:r>
      <w:r w:rsidRPr="0068236B">
        <w:rPr>
          <w:sz w:val="20"/>
          <w:szCs w:val="20"/>
        </w:rPr>
        <w:t>ings of any necessary road closures.</w:t>
      </w:r>
      <w:r w:rsidR="007277D8" w:rsidRPr="0068236B">
        <w:rPr>
          <w:sz w:val="20"/>
          <w:szCs w:val="20"/>
        </w:rPr>
        <w:t xml:space="preserve"> </w:t>
      </w:r>
    </w:p>
    <w:p w14:paraId="6FBF1179" w14:textId="3ED206C9" w:rsidR="007277D8" w:rsidRPr="0068236B" w:rsidRDefault="007277D8" w:rsidP="003B46E3">
      <w:pPr>
        <w:pStyle w:val="ListBullet"/>
        <w:numPr>
          <w:ilvl w:val="0"/>
          <w:numId w:val="0"/>
        </w:numPr>
        <w:spacing w:before="120" w:after="120"/>
        <w:rPr>
          <w:rFonts w:cs="Arial"/>
          <w:bCs/>
          <w:sz w:val="20"/>
          <w:szCs w:val="20"/>
        </w:rPr>
      </w:pPr>
      <w:r w:rsidRPr="0068236B">
        <w:rPr>
          <w:sz w:val="20"/>
          <w:szCs w:val="20"/>
        </w:rPr>
        <w:t xml:space="preserve">This plan would </w:t>
      </w:r>
      <w:r w:rsidRPr="0068236B">
        <w:rPr>
          <w:rFonts w:cs="Tahoma"/>
          <w:sz w:val="20"/>
          <w:szCs w:val="20"/>
        </w:rPr>
        <w:t>include measures of GIP that are typically adopted on construction projects, which are d</w:t>
      </w:r>
      <w:r w:rsidRPr="0068236B">
        <w:rPr>
          <w:rFonts w:cs="Tahoma"/>
          <w:sz w:val="20"/>
          <w:szCs w:val="20"/>
        </w:rPr>
        <w:t>e</w:t>
      </w:r>
      <w:r w:rsidRPr="0068236B">
        <w:rPr>
          <w:rFonts w:cs="Tahoma"/>
          <w:sz w:val="20"/>
          <w:szCs w:val="20"/>
        </w:rPr>
        <w:t>signed to prevent the occurrence of significant impacts</w:t>
      </w:r>
      <w:r w:rsidRPr="0068236B">
        <w:rPr>
          <w:rFonts w:cs="Arial"/>
          <w:bCs/>
          <w:sz w:val="20"/>
          <w:szCs w:val="20"/>
        </w:rPr>
        <w:t xml:space="preserve"> and will include (in minimum) the following requir</w:t>
      </w:r>
      <w:r w:rsidRPr="0068236B">
        <w:rPr>
          <w:rFonts w:cs="Arial"/>
          <w:bCs/>
          <w:sz w:val="20"/>
          <w:szCs w:val="20"/>
        </w:rPr>
        <w:t>e</w:t>
      </w:r>
      <w:r w:rsidRPr="0068236B">
        <w:rPr>
          <w:rFonts w:cs="Arial"/>
          <w:bCs/>
          <w:sz w:val="20"/>
          <w:szCs w:val="20"/>
        </w:rPr>
        <w:t>ments for the Contractor:</w:t>
      </w:r>
    </w:p>
    <w:p w14:paraId="24EA1498" w14:textId="7048416D" w:rsidR="007277D8" w:rsidRPr="0068236B" w:rsidRDefault="007277D8" w:rsidP="00D24CEF">
      <w:pPr>
        <w:pStyle w:val="ListBullet"/>
        <w:numPr>
          <w:ilvl w:val="0"/>
          <w:numId w:val="97"/>
        </w:numPr>
        <w:jc w:val="left"/>
        <w:rPr>
          <w:sz w:val="20"/>
          <w:szCs w:val="20"/>
        </w:rPr>
      </w:pPr>
      <w:r w:rsidRPr="0068236B">
        <w:rPr>
          <w:rFonts w:cs="Arial"/>
          <w:bCs/>
          <w:sz w:val="20"/>
          <w:szCs w:val="20"/>
        </w:rPr>
        <w:t xml:space="preserve">To identify potential </w:t>
      </w:r>
      <w:r w:rsidRPr="0068236B">
        <w:rPr>
          <w:rFonts w:cs="Arial"/>
          <w:sz w:val="20"/>
          <w:szCs w:val="20"/>
        </w:rPr>
        <w:t>requirements for</w:t>
      </w:r>
      <w:r w:rsidRPr="0068236B">
        <w:rPr>
          <w:rFonts w:cs="Arial"/>
          <w:bCs/>
          <w:sz w:val="20"/>
          <w:szCs w:val="20"/>
        </w:rPr>
        <w:t xml:space="preserve"> necessary </w:t>
      </w:r>
      <w:r w:rsidRPr="0068236B">
        <w:rPr>
          <w:rFonts w:cs="Arial"/>
          <w:sz w:val="20"/>
          <w:szCs w:val="20"/>
        </w:rPr>
        <w:t>improvements to the public road system which would be required to allow for movement of</w:t>
      </w:r>
      <w:r w:rsidRPr="0068236B">
        <w:rPr>
          <w:rFonts w:cs="Arial"/>
          <w:bCs/>
          <w:sz w:val="20"/>
          <w:szCs w:val="20"/>
        </w:rPr>
        <w:t xml:space="preserve"> heavy vehicles</w:t>
      </w:r>
      <w:r w:rsidRPr="0068236B">
        <w:rPr>
          <w:rFonts w:cs="Arial"/>
          <w:sz w:val="20"/>
          <w:szCs w:val="20"/>
        </w:rPr>
        <w:t xml:space="preserve"> between the main road system and the construction sites</w:t>
      </w:r>
      <w:r w:rsidRPr="0068236B">
        <w:rPr>
          <w:rFonts w:eastAsia="46xmh"/>
          <w:sz w:val="20"/>
          <w:szCs w:val="20"/>
        </w:rPr>
        <w:t>.</w:t>
      </w:r>
    </w:p>
    <w:p w14:paraId="4324C271" w14:textId="77777777" w:rsidR="007277D8" w:rsidRPr="0068236B" w:rsidRDefault="007277D8" w:rsidP="00D24CEF">
      <w:pPr>
        <w:pStyle w:val="ListBullet"/>
        <w:numPr>
          <w:ilvl w:val="0"/>
          <w:numId w:val="97"/>
        </w:numPr>
        <w:jc w:val="left"/>
        <w:rPr>
          <w:sz w:val="20"/>
          <w:szCs w:val="20"/>
        </w:rPr>
      </w:pPr>
      <w:r w:rsidRPr="0068236B">
        <w:rPr>
          <w:sz w:val="20"/>
          <w:szCs w:val="20"/>
        </w:rPr>
        <w:t>To develop a procedure to avoid obstruction of local traffic due to the construction traffic, i</w:t>
      </w:r>
      <w:r w:rsidRPr="0068236B">
        <w:rPr>
          <w:sz w:val="20"/>
          <w:szCs w:val="20"/>
        </w:rPr>
        <w:t>n</w:t>
      </w:r>
      <w:r w:rsidRPr="0068236B">
        <w:rPr>
          <w:sz w:val="20"/>
          <w:szCs w:val="20"/>
        </w:rPr>
        <w:t>cluding the cases of accident or heavy vehicle breakdown.</w:t>
      </w:r>
    </w:p>
    <w:p w14:paraId="74443DDE" w14:textId="77777777" w:rsidR="007277D8" w:rsidRPr="0068236B" w:rsidRDefault="007277D8" w:rsidP="00D24CEF">
      <w:pPr>
        <w:pStyle w:val="ListBullet"/>
        <w:numPr>
          <w:ilvl w:val="0"/>
          <w:numId w:val="97"/>
        </w:numPr>
        <w:jc w:val="left"/>
        <w:rPr>
          <w:sz w:val="20"/>
          <w:szCs w:val="20"/>
        </w:rPr>
      </w:pPr>
      <w:r w:rsidRPr="0068236B">
        <w:rPr>
          <w:sz w:val="20"/>
          <w:szCs w:val="20"/>
        </w:rPr>
        <w:t xml:space="preserve">To consult with traffic authorities before construction in any location to determine the need for public notice, warning signs and flags, visibility mirrors and other measures. </w:t>
      </w:r>
    </w:p>
    <w:p w14:paraId="79065F29" w14:textId="77777777" w:rsidR="007277D8" w:rsidRPr="0068236B" w:rsidRDefault="007277D8" w:rsidP="00D24CEF">
      <w:pPr>
        <w:pStyle w:val="ListBullet"/>
        <w:numPr>
          <w:ilvl w:val="0"/>
          <w:numId w:val="97"/>
        </w:numPr>
        <w:jc w:val="left"/>
        <w:rPr>
          <w:sz w:val="20"/>
          <w:szCs w:val="20"/>
        </w:rPr>
      </w:pPr>
      <w:r w:rsidRPr="0068236B">
        <w:rPr>
          <w:sz w:val="20"/>
          <w:szCs w:val="20"/>
        </w:rPr>
        <w:t>To determine the number and positioning of flagmen.</w:t>
      </w:r>
    </w:p>
    <w:p w14:paraId="5E50EA49" w14:textId="77777777" w:rsidR="00FE3CE6" w:rsidRPr="0068236B" w:rsidRDefault="007277D8" w:rsidP="00D24CEF">
      <w:pPr>
        <w:pStyle w:val="ListBullet"/>
        <w:numPr>
          <w:ilvl w:val="0"/>
          <w:numId w:val="97"/>
        </w:numPr>
        <w:jc w:val="left"/>
        <w:rPr>
          <w:sz w:val="20"/>
          <w:szCs w:val="20"/>
        </w:rPr>
      </w:pPr>
      <w:r w:rsidRPr="0068236B">
        <w:rPr>
          <w:sz w:val="20"/>
          <w:szCs w:val="20"/>
        </w:rPr>
        <w:t>To develop specific routes for traffic if needed to avoid schools, community facilities or other sensitive areas. In addition, specific traffic safety measures are defined, implemented and do</w:t>
      </w:r>
      <w:r w:rsidRPr="0068236B">
        <w:rPr>
          <w:sz w:val="20"/>
          <w:szCs w:val="20"/>
        </w:rPr>
        <w:t>c</w:t>
      </w:r>
      <w:r w:rsidRPr="0068236B">
        <w:rPr>
          <w:sz w:val="20"/>
          <w:szCs w:val="20"/>
        </w:rPr>
        <w:t>umented in sensitive areas (e.g. close to schools).</w:t>
      </w:r>
      <w:r w:rsidR="00FE3CE6" w:rsidRPr="0068236B">
        <w:rPr>
          <w:sz w:val="20"/>
          <w:szCs w:val="20"/>
        </w:rPr>
        <w:t xml:space="preserve"> </w:t>
      </w:r>
    </w:p>
    <w:p w14:paraId="64BA8C69" w14:textId="696C8F59" w:rsidR="007277D8" w:rsidRPr="0068236B" w:rsidRDefault="00FE3CE6" w:rsidP="00D24CEF">
      <w:pPr>
        <w:pStyle w:val="ListBullet"/>
        <w:numPr>
          <w:ilvl w:val="0"/>
          <w:numId w:val="97"/>
        </w:numPr>
        <w:jc w:val="left"/>
        <w:rPr>
          <w:sz w:val="20"/>
          <w:szCs w:val="20"/>
        </w:rPr>
      </w:pPr>
      <w:r w:rsidRPr="0068236B">
        <w:rPr>
          <w:sz w:val="20"/>
          <w:szCs w:val="20"/>
        </w:rPr>
        <w:t>To ensure that no traffic is allowed within the identified legally protected cultural heritage sites in proximity to the Project (see Section 7.4, Table 7.13) or in their vicinity.</w:t>
      </w:r>
      <w:r w:rsidR="007277D8" w:rsidRPr="0068236B">
        <w:rPr>
          <w:sz w:val="20"/>
          <w:szCs w:val="20"/>
        </w:rPr>
        <w:t>To ensure that all drivers have the appropriate permits for driving vehicles.</w:t>
      </w:r>
    </w:p>
    <w:p w14:paraId="63A992E0" w14:textId="77777777" w:rsidR="007277D8" w:rsidRPr="0068236B" w:rsidRDefault="007277D8" w:rsidP="00D24CEF">
      <w:pPr>
        <w:pStyle w:val="ListBullet"/>
        <w:numPr>
          <w:ilvl w:val="0"/>
          <w:numId w:val="97"/>
        </w:numPr>
        <w:jc w:val="left"/>
        <w:rPr>
          <w:sz w:val="20"/>
          <w:szCs w:val="20"/>
        </w:rPr>
      </w:pPr>
      <w:r w:rsidRPr="0068236B">
        <w:rPr>
          <w:sz w:val="20"/>
          <w:szCs w:val="20"/>
        </w:rPr>
        <w:t>To conduct road-safety training for all drivers and equipment operators, including rules to avoid and control the risk of drink-driving. To minimize use of off-road areas and maximize use of e</w:t>
      </w:r>
      <w:r w:rsidRPr="0068236B">
        <w:rPr>
          <w:sz w:val="20"/>
          <w:szCs w:val="20"/>
        </w:rPr>
        <w:t>x</w:t>
      </w:r>
      <w:r w:rsidRPr="0068236B">
        <w:rPr>
          <w:sz w:val="20"/>
          <w:szCs w:val="20"/>
        </w:rPr>
        <w:t>isting roads and tracks.</w:t>
      </w:r>
    </w:p>
    <w:p w14:paraId="7B748971" w14:textId="77777777" w:rsidR="007277D8" w:rsidRPr="0068236B" w:rsidRDefault="007277D8" w:rsidP="00D24CEF">
      <w:pPr>
        <w:pStyle w:val="ListBullet"/>
        <w:numPr>
          <w:ilvl w:val="0"/>
          <w:numId w:val="97"/>
        </w:numPr>
        <w:jc w:val="left"/>
        <w:rPr>
          <w:sz w:val="20"/>
          <w:szCs w:val="20"/>
        </w:rPr>
      </w:pPr>
      <w:r w:rsidRPr="0068236B">
        <w:rPr>
          <w:sz w:val="20"/>
          <w:szCs w:val="20"/>
        </w:rPr>
        <w:t xml:space="preserve">To determine strict speed limits for all different locations and conditions. </w:t>
      </w:r>
    </w:p>
    <w:p w14:paraId="40C9ADBC" w14:textId="77777777" w:rsidR="007277D8" w:rsidRPr="0068236B" w:rsidRDefault="007277D8" w:rsidP="00D24CEF">
      <w:pPr>
        <w:pStyle w:val="ListBullet"/>
        <w:numPr>
          <w:ilvl w:val="0"/>
          <w:numId w:val="97"/>
        </w:numPr>
        <w:jc w:val="left"/>
        <w:rPr>
          <w:sz w:val="20"/>
          <w:szCs w:val="20"/>
        </w:rPr>
      </w:pPr>
      <w:r w:rsidRPr="0068236B">
        <w:rPr>
          <w:sz w:val="20"/>
          <w:szCs w:val="20"/>
        </w:rPr>
        <w:t>To mark the routes acceptable for vehicles and equipment in off-road areas (to minimize di</w:t>
      </w:r>
      <w:r w:rsidRPr="0068236B">
        <w:rPr>
          <w:sz w:val="20"/>
          <w:szCs w:val="20"/>
        </w:rPr>
        <w:t>s</w:t>
      </w:r>
      <w:r w:rsidRPr="0068236B">
        <w:rPr>
          <w:sz w:val="20"/>
          <w:szCs w:val="20"/>
        </w:rPr>
        <w:t>turbance to off-road areas).</w:t>
      </w:r>
    </w:p>
    <w:p w14:paraId="141ADE8A" w14:textId="77777777" w:rsidR="007277D8" w:rsidRPr="0068236B" w:rsidRDefault="007277D8" w:rsidP="00D24CEF">
      <w:pPr>
        <w:pStyle w:val="ListBullet"/>
        <w:numPr>
          <w:ilvl w:val="0"/>
          <w:numId w:val="97"/>
        </w:numPr>
        <w:jc w:val="left"/>
        <w:rPr>
          <w:bCs/>
          <w:sz w:val="20"/>
          <w:szCs w:val="20"/>
        </w:rPr>
      </w:pPr>
      <w:r w:rsidRPr="0068236B">
        <w:rPr>
          <w:sz w:val="20"/>
          <w:szCs w:val="20"/>
        </w:rPr>
        <w:t>To undertake regular inspections to ensure roads are clear from mud and other debris.</w:t>
      </w:r>
    </w:p>
    <w:p w14:paraId="65D8146B" w14:textId="77777777" w:rsidR="007277D8" w:rsidRPr="0068236B" w:rsidRDefault="007277D8" w:rsidP="00D24CEF">
      <w:pPr>
        <w:pStyle w:val="ListBullet"/>
        <w:numPr>
          <w:ilvl w:val="0"/>
          <w:numId w:val="97"/>
        </w:numPr>
        <w:jc w:val="left"/>
        <w:rPr>
          <w:bCs/>
          <w:sz w:val="20"/>
          <w:szCs w:val="20"/>
        </w:rPr>
      </w:pPr>
      <w:r w:rsidRPr="0068236B">
        <w:rPr>
          <w:sz w:val="20"/>
          <w:szCs w:val="20"/>
        </w:rPr>
        <w:t xml:space="preserve">To prohibit transport people, live animals, equipment or products other than those required for the construction purposes and the management of construction sites. </w:t>
      </w:r>
    </w:p>
    <w:p w14:paraId="16694662" w14:textId="7F922CB1" w:rsidR="000D66C4" w:rsidRPr="0068236B" w:rsidRDefault="000D66C4" w:rsidP="000D66C4">
      <w:pPr>
        <w:autoSpaceDE w:val="0"/>
        <w:autoSpaceDN w:val="0"/>
        <w:adjustRightInd w:val="0"/>
        <w:rPr>
          <w:rFonts w:eastAsia="Calibri" w:cs="Arial"/>
          <w:color w:val="000000"/>
          <w:sz w:val="20"/>
          <w:szCs w:val="20"/>
        </w:rPr>
      </w:pPr>
      <w:r w:rsidRPr="0068236B">
        <w:rPr>
          <w:rFonts w:cs="Arial"/>
          <w:bCs/>
          <w:sz w:val="20"/>
          <w:szCs w:val="20"/>
        </w:rPr>
        <w:t>An important measure will be the implementation of information programme to introduce the local popul</w:t>
      </w:r>
      <w:r w:rsidRPr="0068236B">
        <w:rPr>
          <w:rFonts w:cs="Arial"/>
          <w:bCs/>
          <w:sz w:val="20"/>
          <w:szCs w:val="20"/>
        </w:rPr>
        <w:t>a</w:t>
      </w:r>
      <w:r w:rsidRPr="0068236B">
        <w:rPr>
          <w:rFonts w:cs="Arial"/>
          <w:bCs/>
          <w:sz w:val="20"/>
          <w:szCs w:val="20"/>
        </w:rPr>
        <w:t xml:space="preserve">tion the construction activities, with particular accent on the traffic on the unclassified roads to the locations of the Project. The local population will be informed in a timely manner for all potential necessary changes in the regime of the traffic. </w:t>
      </w:r>
      <w:r w:rsidRPr="0068236B">
        <w:rPr>
          <w:rFonts w:eastAsia="Calibri" w:cs="Arial"/>
          <w:color w:val="000000"/>
          <w:sz w:val="20"/>
          <w:szCs w:val="20"/>
        </w:rPr>
        <w:t>In consultation with MEPSO, the Contractor will be requested to disseminate co</w:t>
      </w:r>
      <w:r w:rsidRPr="0068236B">
        <w:rPr>
          <w:rFonts w:eastAsia="Calibri" w:cs="Arial"/>
          <w:color w:val="000000"/>
          <w:sz w:val="20"/>
          <w:szCs w:val="20"/>
        </w:rPr>
        <w:t>n</w:t>
      </w:r>
      <w:r w:rsidRPr="0068236B">
        <w:rPr>
          <w:rFonts w:eastAsia="Calibri" w:cs="Arial"/>
          <w:color w:val="000000"/>
          <w:sz w:val="20"/>
          <w:szCs w:val="20"/>
        </w:rPr>
        <w:t>struction traffic movement information to the public, particularly in advance of the busiest phases of activity or in advance of movements of special loads such as substation transformers.</w:t>
      </w:r>
    </w:p>
    <w:p w14:paraId="2D94473B" w14:textId="77777777" w:rsidR="007277D8" w:rsidRPr="0068236B" w:rsidRDefault="007277D8" w:rsidP="007277D8">
      <w:pPr>
        <w:pStyle w:val="Heading4"/>
        <w:ind w:left="864" w:hanging="864"/>
        <w:rPr>
          <w:szCs w:val="20"/>
        </w:rPr>
      </w:pPr>
      <w:r w:rsidRPr="0068236B">
        <w:t>Residual Impacts</w:t>
      </w:r>
    </w:p>
    <w:p w14:paraId="4C7D5300" w14:textId="181D11C9" w:rsidR="007277D8" w:rsidRPr="0068236B" w:rsidRDefault="000D66C4" w:rsidP="007277D8">
      <w:pPr>
        <w:rPr>
          <w:rFonts w:cs="Arial"/>
          <w:sz w:val="20"/>
          <w:szCs w:val="20"/>
        </w:rPr>
      </w:pPr>
      <w:r w:rsidRPr="0068236B">
        <w:rPr>
          <w:sz w:val="20"/>
          <w:szCs w:val="20"/>
        </w:rPr>
        <w:t>With the mitigation measures in place</w:t>
      </w:r>
      <w:r w:rsidRPr="0068236B">
        <w:rPr>
          <w:rFonts w:cs="Arial"/>
          <w:sz w:val="20"/>
          <w:szCs w:val="20"/>
        </w:rPr>
        <w:t xml:space="preserve"> and p</w:t>
      </w:r>
      <w:r w:rsidR="007277D8" w:rsidRPr="0068236B">
        <w:rPr>
          <w:rFonts w:cs="Arial"/>
          <w:sz w:val="20"/>
          <w:szCs w:val="20"/>
        </w:rPr>
        <w:t>rovided that the mitigation set out in the Traffic Manage</w:t>
      </w:r>
      <w:r w:rsidRPr="0068236B">
        <w:rPr>
          <w:rFonts w:cs="Arial"/>
          <w:sz w:val="20"/>
          <w:szCs w:val="20"/>
        </w:rPr>
        <w:t xml:space="preserve">ment Plan is implemented, it is anticipated that effects associated with the construction traffic </w:t>
      </w:r>
      <w:r w:rsidR="007277D8" w:rsidRPr="0068236B">
        <w:rPr>
          <w:rFonts w:cs="Arial"/>
          <w:sz w:val="20"/>
          <w:szCs w:val="20"/>
        </w:rPr>
        <w:t>would not be pe</w:t>
      </w:r>
      <w:r w:rsidR="007277D8" w:rsidRPr="0068236B">
        <w:rPr>
          <w:rFonts w:cs="Arial"/>
          <w:sz w:val="20"/>
          <w:szCs w:val="20"/>
        </w:rPr>
        <w:t>r</w:t>
      </w:r>
      <w:r w:rsidR="007277D8" w:rsidRPr="0068236B">
        <w:rPr>
          <w:rFonts w:cs="Arial"/>
          <w:sz w:val="20"/>
          <w:szCs w:val="20"/>
        </w:rPr>
        <w:t>manent or residual.</w:t>
      </w:r>
    </w:p>
    <w:p w14:paraId="2A25A1F2" w14:textId="47BAC244" w:rsidR="003B46E3" w:rsidRPr="0068236B" w:rsidRDefault="003B46E3" w:rsidP="003B46E3">
      <w:pPr>
        <w:pStyle w:val="Heading3"/>
        <w:tabs>
          <w:tab w:val="left" w:pos="1134"/>
        </w:tabs>
        <w:ind w:left="993" w:hanging="993"/>
      </w:pPr>
      <w:bookmarkStart w:id="551" w:name="_Toc80181190"/>
      <w:bookmarkStart w:id="552" w:name="_Toc112852305"/>
      <w:r w:rsidRPr="0068236B">
        <w:lastRenderedPageBreak/>
        <w:t>Public Exposure to Electro-Magnetic Radiation</w:t>
      </w:r>
      <w:bookmarkEnd w:id="551"/>
      <w:bookmarkEnd w:id="552"/>
    </w:p>
    <w:p w14:paraId="00C2840E" w14:textId="77777777" w:rsidR="003B46E3" w:rsidRPr="0068236B" w:rsidRDefault="003B46E3" w:rsidP="003B46E3">
      <w:pPr>
        <w:pStyle w:val="Heading4"/>
        <w:spacing w:line="240" w:lineRule="auto"/>
        <w:ind w:left="1843" w:hanging="1417"/>
        <w:rPr>
          <w:sz w:val="20"/>
        </w:rPr>
      </w:pPr>
      <w:r w:rsidRPr="0068236B">
        <w:rPr>
          <w:sz w:val="20"/>
        </w:rPr>
        <w:t>Introduction</w:t>
      </w:r>
    </w:p>
    <w:p w14:paraId="4150B6F9" w14:textId="74F3371D" w:rsidR="003B46E3" w:rsidRPr="0068236B" w:rsidRDefault="003B46E3" w:rsidP="003B46E3">
      <w:pPr>
        <w:rPr>
          <w:rFonts w:cs="Arial"/>
          <w:sz w:val="20"/>
          <w:szCs w:val="20"/>
        </w:rPr>
      </w:pPr>
      <w:r w:rsidRPr="0068236B">
        <w:rPr>
          <w:rFonts w:cs="Tahoma"/>
          <w:sz w:val="20"/>
          <w:szCs w:val="20"/>
        </w:rPr>
        <w:t>Once operational, the transmission line</w:t>
      </w:r>
      <w:r w:rsidR="00796915" w:rsidRPr="0068236B">
        <w:rPr>
          <w:rFonts w:cs="Tahoma"/>
          <w:sz w:val="20"/>
          <w:szCs w:val="20"/>
        </w:rPr>
        <w:t>(s)</w:t>
      </w:r>
      <w:r w:rsidRPr="0068236B">
        <w:rPr>
          <w:rFonts w:cs="Tahoma"/>
          <w:sz w:val="20"/>
          <w:szCs w:val="20"/>
        </w:rPr>
        <w:t xml:space="preserve"> and substation elements will be source of </w:t>
      </w:r>
      <w:r w:rsidR="00A56F4D" w:rsidRPr="0068236B">
        <w:rPr>
          <w:rFonts w:cs="Tahoma"/>
          <w:sz w:val="20"/>
          <w:szCs w:val="20"/>
        </w:rPr>
        <w:t xml:space="preserve">non-ionizing radiation - </w:t>
      </w:r>
      <w:r w:rsidRPr="0068236B">
        <w:rPr>
          <w:rFonts w:cs="Tahoma"/>
          <w:sz w:val="20"/>
          <w:szCs w:val="20"/>
        </w:rPr>
        <w:t xml:space="preserve">electro-magnetic radiation - electric field, which depends on the </w:t>
      </w:r>
      <w:r w:rsidRPr="0068236B">
        <w:rPr>
          <w:rFonts w:cs="Arial"/>
          <w:sz w:val="20"/>
          <w:szCs w:val="20"/>
        </w:rPr>
        <w:t xml:space="preserve">voltage of the OHL equipment, and remains more or less constant as long as the line is under operation, and </w:t>
      </w:r>
      <w:r w:rsidRPr="0068236B">
        <w:rPr>
          <w:rFonts w:cs="Tahoma"/>
          <w:sz w:val="20"/>
          <w:szCs w:val="20"/>
        </w:rPr>
        <w:t xml:space="preserve">magnetic field, which depends on the </w:t>
      </w:r>
      <w:r w:rsidRPr="0068236B">
        <w:rPr>
          <w:rFonts w:cs="Arial"/>
          <w:sz w:val="20"/>
          <w:szCs w:val="20"/>
        </w:rPr>
        <w:t>ele</w:t>
      </w:r>
      <w:r w:rsidRPr="0068236B">
        <w:rPr>
          <w:rFonts w:cs="Arial"/>
          <w:sz w:val="20"/>
          <w:szCs w:val="20"/>
        </w:rPr>
        <w:t>c</w:t>
      </w:r>
      <w:r w:rsidRPr="0068236B">
        <w:rPr>
          <w:rFonts w:cs="Arial"/>
          <w:sz w:val="20"/>
          <w:szCs w:val="20"/>
        </w:rPr>
        <w:t>trical current (the load) carried by the OHL equipment and varies according to the demand for power at any given time. Electric fields are measured in volts per metre (V/m) or kilovolts per metre (kV/m). Magnetic fields are measured in microteslas (µT) or nanoteslas (nT).</w:t>
      </w:r>
    </w:p>
    <w:p w14:paraId="76423DD3" w14:textId="54DD510A" w:rsidR="00796915" w:rsidRPr="0068236B" w:rsidRDefault="00F84AA9" w:rsidP="00D24CEF">
      <w:pPr>
        <w:pStyle w:val="Heading4"/>
        <w:numPr>
          <w:ilvl w:val="3"/>
          <w:numId w:val="118"/>
        </w:numPr>
        <w:spacing w:line="240" w:lineRule="auto"/>
        <w:rPr>
          <w:sz w:val="20"/>
        </w:rPr>
      </w:pPr>
      <w:r w:rsidRPr="0068236B">
        <w:rPr>
          <w:sz w:val="20"/>
          <w:szCs w:val="20"/>
        </w:rPr>
        <w:t>Public Exposure Limit Standards</w:t>
      </w:r>
    </w:p>
    <w:p w14:paraId="7A5F82AA" w14:textId="49DE8E2A" w:rsidR="00796915" w:rsidRPr="0068236B" w:rsidRDefault="00796915" w:rsidP="00D24CEF">
      <w:pPr>
        <w:pStyle w:val="ListBullet"/>
        <w:numPr>
          <w:ilvl w:val="0"/>
          <w:numId w:val="97"/>
        </w:numPr>
        <w:jc w:val="left"/>
        <w:rPr>
          <w:rFonts w:cs="Arial"/>
          <w:sz w:val="20"/>
          <w:szCs w:val="20"/>
        </w:rPr>
      </w:pPr>
      <w:r w:rsidRPr="0068236B">
        <w:rPr>
          <w:sz w:val="20"/>
        </w:rPr>
        <w:t>Macedonian National Standards</w:t>
      </w:r>
    </w:p>
    <w:p w14:paraId="69BB024C" w14:textId="288998CD" w:rsidR="00796915" w:rsidRPr="0068236B" w:rsidRDefault="00796915" w:rsidP="00796915">
      <w:pPr>
        <w:rPr>
          <w:rFonts w:cs="Tahoma"/>
          <w:sz w:val="20"/>
          <w:szCs w:val="20"/>
        </w:rPr>
      </w:pPr>
      <w:r w:rsidRPr="0068236B">
        <w:rPr>
          <w:rFonts w:cs="Tahoma"/>
          <w:sz w:val="20"/>
          <w:szCs w:val="20"/>
        </w:rPr>
        <w:t>There is no legislation in Macedonia related to the non-ionizing radiation which refers to the exposure limits of the electro-magnetic fields (EMF).</w:t>
      </w:r>
    </w:p>
    <w:p w14:paraId="4DD02611" w14:textId="53A0B47A" w:rsidR="00796915" w:rsidRPr="0068236B" w:rsidRDefault="007D1E8B" w:rsidP="00D24CEF">
      <w:pPr>
        <w:pStyle w:val="ListBullet"/>
        <w:numPr>
          <w:ilvl w:val="0"/>
          <w:numId w:val="97"/>
        </w:numPr>
        <w:jc w:val="left"/>
        <w:rPr>
          <w:rFonts w:cs="Arial"/>
          <w:sz w:val="20"/>
          <w:szCs w:val="20"/>
        </w:rPr>
      </w:pPr>
      <w:r w:rsidRPr="0068236B">
        <w:rPr>
          <w:sz w:val="20"/>
        </w:rPr>
        <w:t>International</w:t>
      </w:r>
      <w:r w:rsidR="00796915" w:rsidRPr="0068236B">
        <w:rPr>
          <w:sz w:val="20"/>
        </w:rPr>
        <w:t xml:space="preserve"> Standards</w:t>
      </w:r>
      <w:r w:rsidR="0098133F" w:rsidRPr="0068236B">
        <w:rPr>
          <w:sz w:val="20"/>
        </w:rPr>
        <w:t xml:space="preserve"> / Good International Practice</w:t>
      </w:r>
    </w:p>
    <w:p w14:paraId="0BF158A3" w14:textId="5DB985C7" w:rsidR="007D1E8B" w:rsidRPr="0068236B" w:rsidRDefault="007D1E8B" w:rsidP="007D1E8B">
      <w:pPr>
        <w:autoSpaceDE w:val="0"/>
        <w:autoSpaceDN w:val="0"/>
        <w:adjustRightInd w:val="0"/>
        <w:rPr>
          <w:rFonts w:cs="Arial"/>
          <w:sz w:val="20"/>
          <w:szCs w:val="20"/>
        </w:rPr>
      </w:pPr>
      <w:r w:rsidRPr="0068236B">
        <w:rPr>
          <w:rFonts w:cs="Arial"/>
          <w:sz w:val="20"/>
          <w:szCs w:val="20"/>
        </w:rPr>
        <w:t>In 1998, the International Commission on Non-Ionizing Radiation Protection (ICNIRP) issued recommend</w:t>
      </w:r>
      <w:r w:rsidRPr="0068236B">
        <w:rPr>
          <w:rFonts w:cs="Arial"/>
          <w:sz w:val="20"/>
          <w:szCs w:val="20"/>
        </w:rPr>
        <w:t>a</w:t>
      </w:r>
      <w:r w:rsidRPr="0068236B">
        <w:rPr>
          <w:rFonts w:cs="Arial"/>
          <w:sz w:val="20"/>
          <w:szCs w:val="20"/>
        </w:rPr>
        <w:t>tions for low-frequency fields</w:t>
      </w:r>
      <w:r w:rsidR="0098133F" w:rsidRPr="0068236B">
        <w:rPr>
          <w:rStyle w:val="FootnoteReference"/>
          <w:rFonts w:cs="Arial"/>
          <w:sz w:val="20"/>
          <w:szCs w:val="20"/>
        </w:rPr>
        <w:footnoteReference w:id="141"/>
      </w:r>
      <w:r w:rsidRPr="0068236B">
        <w:rPr>
          <w:rFonts w:cs="Arial"/>
          <w:sz w:val="20"/>
          <w:szCs w:val="20"/>
        </w:rPr>
        <w:t xml:space="preserve"> exposure limits, listed in the "</w:t>
      </w:r>
      <w:r w:rsidR="0098133F" w:rsidRPr="0068236B">
        <w:rPr>
          <w:rFonts w:cs="Arial"/>
          <w:sz w:val="20"/>
          <w:szCs w:val="20"/>
        </w:rPr>
        <w:t xml:space="preserve">ICNIRP </w:t>
      </w:r>
      <w:r w:rsidRPr="0068236B">
        <w:rPr>
          <w:rFonts w:cs="Arial"/>
          <w:sz w:val="20"/>
          <w:szCs w:val="20"/>
        </w:rPr>
        <w:t>Guidelines for Limiting Exposure to Time-Varying Electric, Magnetic, and Electromagnetic Fields (up to 300 GHz)"</w:t>
      </w:r>
      <w:r w:rsidRPr="0068236B">
        <w:rPr>
          <w:rStyle w:val="FootnoteReference"/>
          <w:rFonts w:cs="Arial"/>
          <w:sz w:val="20"/>
          <w:szCs w:val="20"/>
        </w:rPr>
        <w:footnoteReference w:id="142"/>
      </w:r>
      <w:r w:rsidRPr="0068236B">
        <w:rPr>
          <w:rFonts w:cs="Arial"/>
          <w:sz w:val="20"/>
          <w:szCs w:val="20"/>
        </w:rPr>
        <w:t>. ICNIRP recommendations are applicable both to the long-term exposure of the general public and the short-term exposure at the i</w:t>
      </w:r>
      <w:r w:rsidRPr="0068236B">
        <w:rPr>
          <w:rFonts w:cs="Arial"/>
          <w:sz w:val="20"/>
          <w:szCs w:val="20"/>
        </w:rPr>
        <w:t>n</w:t>
      </w:r>
      <w:r w:rsidRPr="0068236B">
        <w:rPr>
          <w:rFonts w:cs="Arial"/>
          <w:sz w:val="20"/>
          <w:szCs w:val="20"/>
        </w:rPr>
        <w:t>dustrial sites. The exposure limits established in the</w:t>
      </w:r>
      <w:r w:rsidR="0098133F" w:rsidRPr="0068236B">
        <w:rPr>
          <w:rFonts w:cs="Arial"/>
          <w:sz w:val="20"/>
          <w:szCs w:val="20"/>
        </w:rPr>
        <w:t xml:space="preserve">se guidelines </w:t>
      </w:r>
      <w:r w:rsidRPr="0068236B">
        <w:rPr>
          <w:rFonts w:cs="Arial"/>
          <w:sz w:val="20"/>
          <w:szCs w:val="20"/>
        </w:rPr>
        <w:t>are presented in the Table below.</w:t>
      </w:r>
    </w:p>
    <w:tbl>
      <w:tblPr>
        <w:tblW w:w="0" w:type="auto"/>
        <w:tblInd w:w="108" w:type="dxa"/>
        <w:tblLook w:val="01E0" w:firstRow="1" w:lastRow="1" w:firstColumn="1" w:lastColumn="1" w:noHBand="0" w:noVBand="0"/>
      </w:tblPr>
      <w:tblGrid>
        <w:gridCol w:w="1875"/>
        <w:gridCol w:w="1917"/>
        <w:gridCol w:w="1877"/>
        <w:gridCol w:w="1917"/>
      </w:tblGrid>
      <w:tr w:rsidR="007D1E8B" w:rsidRPr="0068236B" w14:paraId="3E480322" w14:textId="77777777" w:rsidTr="007D1E8B">
        <w:tc>
          <w:tcPr>
            <w:tcW w:w="3792" w:type="dxa"/>
            <w:gridSpan w:val="2"/>
            <w:tcBorders>
              <w:top w:val="double" w:sz="4" w:space="0" w:color="auto"/>
              <w:left w:val="double" w:sz="4" w:space="0" w:color="auto"/>
              <w:bottom w:val="double" w:sz="4" w:space="0" w:color="auto"/>
              <w:right w:val="single" w:sz="4" w:space="0" w:color="auto"/>
            </w:tcBorders>
            <w:shd w:val="clear" w:color="auto" w:fill="B4C6E7" w:themeFill="accent1" w:themeFillTint="66"/>
          </w:tcPr>
          <w:p w14:paraId="31F6A32C" w14:textId="77777777" w:rsidR="007D1E8B" w:rsidRPr="0068236B" w:rsidRDefault="007D1E8B" w:rsidP="007D1E8B">
            <w:pPr>
              <w:autoSpaceDE w:val="0"/>
              <w:autoSpaceDN w:val="0"/>
              <w:adjustRightInd w:val="0"/>
              <w:spacing w:before="0" w:after="0"/>
              <w:jc w:val="center"/>
              <w:rPr>
                <w:rFonts w:cs="Arial"/>
                <w:sz w:val="20"/>
                <w:szCs w:val="20"/>
              </w:rPr>
            </w:pPr>
            <w:r w:rsidRPr="0068236B">
              <w:rPr>
                <w:rFonts w:cs="Arial"/>
                <w:sz w:val="20"/>
                <w:szCs w:val="20"/>
              </w:rPr>
              <w:t>Exposure of public</w:t>
            </w:r>
          </w:p>
        </w:tc>
        <w:tc>
          <w:tcPr>
            <w:tcW w:w="3794" w:type="dxa"/>
            <w:gridSpan w:val="2"/>
            <w:tcBorders>
              <w:top w:val="double" w:sz="4" w:space="0" w:color="auto"/>
              <w:left w:val="single" w:sz="4" w:space="0" w:color="auto"/>
              <w:bottom w:val="double" w:sz="4" w:space="0" w:color="auto"/>
              <w:right w:val="double" w:sz="4" w:space="0" w:color="auto"/>
            </w:tcBorders>
            <w:shd w:val="clear" w:color="auto" w:fill="B4C6E7" w:themeFill="accent1" w:themeFillTint="66"/>
          </w:tcPr>
          <w:p w14:paraId="5DDE9005" w14:textId="77777777" w:rsidR="007D1E8B" w:rsidRPr="0068236B" w:rsidRDefault="007D1E8B" w:rsidP="007D1E8B">
            <w:pPr>
              <w:autoSpaceDE w:val="0"/>
              <w:autoSpaceDN w:val="0"/>
              <w:adjustRightInd w:val="0"/>
              <w:spacing w:before="0" w:after="0"/>
              <w:jc w:val="center"/>
              <w:rPr>
                <w:rFonts w:cs="Arial"/>
                <w:sz w:val="20"/>
                <w:szCs w:val="20"/>
              </w:rPr>
            </w:pPr>
            <w:r w:rsidRPr="0068236B">
              <w:rPr>
                <w:rFonts w:cs="Arial"/>
                <w:sz w:val="20"/>
                <w:szCs w:val="20"/>
              </w:rPr>
              <w:t>Occupational exposure</w:t>
            </w:r>
          </w:p>
        </w:tc>
      </w:tr>
      <w:tr w:rsidR="007D1E8B" w:rsidRPr="0068236B" w14:paraId="63CDEB9D" w14:textId="77777777" w:rsidTr="007D1E8B">
        <w:tc>
          <w:tcPr>
            <w:tcW w:w="1875" w:type="dxa"/>
            <w:tcBorders>
              <w:top w:val="double" w:sz="4" w:space="0" w:color="auto"/>
              <w:left w:val="double" w:sz="4" w:space="0" w:color="auto"/>
              <w:bottom w:val="single" w:sz="4" w:space="0" w:color="auto"/>
              <w:right w:val="single" w:sz="4" w:space="0" w:color="auto"/>
            </w:tcBorders>
          </w:tcPr>
          <w:p w14:paraId="6BACF7BB" w14:textId="77777777" w:rsidR="007D1E8B" w:rsidRPr="0068236B" w:rsidRDefault="007D1E8B" w:rsidP="007D1E8B">
            <w:pPr>
              <w:autoSpaceDE w:val="0"/>
              <w:autoSpaceDN w:val="0"/>
              <w:adjustRightInd w:val="0"/>
              <w:spacing w:before="0" w:after="0"/>
              <w:jc w:val="center"/>
              <w:rPr>
                <w:rFonts w:cs="Arial"/>
                <w:sz w:val="20"/>
                <w:szCs w:val="20"/>
              </w:rPr>
            </w:pPr>
            <w:r w:rsidRPr="0068236B">
              <w:rPr>
                <w:rFonts w:cs="Arial"/>
                <w:sz w:val="20"/>
                <w:szCs w:val="20"/>
              </w:rPr>
              <w:t>Electric field</w:t>
            </w:r>
          </w:p>
        </w:tc>
        <w:tc>
          <w:tcPr>
            <w:tcW w:w="1917" w:type="dxa"/>
            <w:tcBorders>
              <w:top w:val="double" w:sz="4" w:space="0" w:color="auto"/>
              <w:left w:val="single" w:sz="4" w:space="0" w:color="auto"/>
              <w:bottom w:val="single" w:sz="4" w:space="0" w:color="auto"/>
              <w:right w:val="single" w:sz="4" w:space="0" w:color="auto"/>
            </w:tcBorders>
          </w:tcPr>
          <w:p w14:paraId="65A8AC9B" w14:textId="77777777" w:rsidR="007D1E8B" w:rsidRPr="0068236B" w:rsidRDefault="007D1E8B" w:rsidP="007D1E8B">
            <w:pPr>
              <w:autoSpaceDE w:val="0"/>
              <w:autoSpaceDN w:val="0"/>
              <w:adjustRightInd w:val="0"/>
              <w:spacing w:before="0" w:after="0"/>
              <w:jc w:val="center"/>
              <w:rPr>
                <w:rFonts w:cs="Arial"/>
                <w:sz w:val="20"/>
                <w:szCs w:val="20"/>
              </w:rPr>
            </w:pPr>
            <w:r w:rsidRPr="0068236B">
              <w:rPr>
                <w:rFonts w:cs="Arial"/>
                <w:sz w:val="20"/>
                <w:szCs w:val="20"/>
              </w:rPr>
              <w:t>Magnetic field</w:t>
            </w:r>
          </w:p>
        </w:tc>
        <w:tc>
          <w:tcPr>
            <w:tcW w:w="1877" w:type="dxa"/>
            <w:tcBorders>
              <w:top w:val="double" w:sz="4" w:space="0" w:color="auto"/>
              <w:left w:val="single" w:sz="4" w:space="0" w:color="auto"/>
              <w:bottom w:val="single" w:sz="4" w:space="0" w:color="auto"/>
              <w:right w:val="single" w:sz="4" w:space="0" w:color="auto"/>
            </w:tcBorders>
          </w:tcPr>
          <w:p w14:paraId="12F290E6" w14:textId="77777777" w:rsidR="007D1E8B" w:rsidRPr="0068236B" w:rsidRDefault="007D1E8B" w:rsidP="007D1E8B">
            <w:pPr>
              <w:autoSpaceDE w:val="0"/>
              <w:autoSpaceDN w:val="0"/>
              <w:adjustRightInd w:val="0"/>
              <w:spacing w:before="0" w:after="0"/>
              <w:jc w:val="center"/>
              <w:rPr>
                <w:rFonts w:cs="Arial"/>
                <w:sz w:val="20"/>
                <w:szCs w:val="20"/>
              </w:rPr>
            </w:pPr>
            <w:r w:rsidRPr="0068236B">
              <w:rPr>
                <w:rFonts w:cs="Arial"/>
                <w:sz w:val="20"/>
                <w:szCs w:val="20"/>
              </w:rPr>
              <w:t>Electric field</w:t>
            </w:r>
          </w:p>
        </w:tc>
        <w:tc>
          <w:tcPr>
            <w:tcW w:w="1917" w:type="dxa"/>
            <w:tcBorders>
              <w:top w:val="double" w:sz="4" w:space="0" w:color="auto"/>
              <w:left w:val="single" w:sz="4" w:space="0" w:color="auto"/>
              <w:bottom w:val="single" w:sz="4" w:space="0" w:color="auto"/>
              <w:right w:val="double" w:sz="4" w:space="0" w:color="auto"/>
            </w:tcBorders>
          </w:tcPr>
          <w:p w14:paraId="7EAD922E" w14:textId="77777777" w:rsidR="007D1E8B" w:rsidRPr="0068236B" w:rsidRDefault="007D1E8B" w:rsidP="007D1E8B">
            <w:pPr>
              <w:autoSpaceDE w:val="0"/>
              <w:autoSpaceDN w:val="0"/>
              <w:adjustRightInd w:val="0"/>
              <w:spacing w:before="0" w:after="0"/>
              <w:jc w:val="center"/>
              <w:rPr>
                <w:rFonts w:cs="Arial"/>
                <w:sz w:val="20"/>
                <w:szCs w:val="20"/>
              </w:rPr>
            </w:pPr>
            <w:r w:rsidRPr="0068236B">
              <w:rPr>
                <w:rFonts w:cs="Arial"/>
                <w:sz w:val="20"/>
                <w:szCs w:val="20"/>
              </w:rPr>
              <w:t>Magnetic field</w:t>
            </w:r>
          </w:p>
        </w:tc>
      </w:tr>
      <w:tr w:rsidR="007D1E8B" w:rsidRPr="0068236B" w14:paraId="608F531F" w14:textId="77777777" w:rsidTr="007D1E8B">
        <w:tc>
          <w:tcPr>
            <w:tcW w:w="1875" w:type="dxa"/>
            <w:tcBorders>
              <w:top w:val="single" w:sz="4" w:space="0" w:color="auto"/>
              <w:left w:val="double" w:sz="4" w:space="0" w:color="auto"/>
              <w:bottom w:val="double" w:sz="4" w:space="0" w:color="auto"/>
              <w:right w:val="single" w:sz="4" w:space="0" w:color="auto"/>
            </w:tcBorders>
          </w:tcPr>
          <w:p w14:paraId="6DD4DE71" w14:textId="77777777" w:rsidR="007D1E8B" w:rsidRPr="0068236B" w:rsidRDefault="007D1E8B" w:rsidP="007D1E8B">
            <w:pPr>
              <w:autoSpaceDE w:val="0"/>
              <w:autoSpaceDN w:val="0"/>
              <w:adjustRightInd w:val="0"/>
              <w:spacing w:before="0" w:after="0"/>
              <w:jc w:val="center"/>
              <w:rPr>
                <w:rFonts w:cs="Arial"/>
                <w:sz w:val="20"/>
                <w:szCs w:val="20"/>
              </w:rPr>
            </w:pPr>
            <w:r w:rsidRPr="0068236B">
              <w:rPr>
                <w:rFonts w:cs="Arial"/>
                <w:sz w:val="20"/>
                <w:szCs w:val="20"/>
              </w:rPr>
              <w:t>5 kV/m</w:t>
            </w:r>
          </w:p>
        </w:tc>
        <w:tc>
          <w:tcPr>
            <w:tcW w:w="1917" w:type="dxa"/>
            <w:tcBorders>
              <w:top w:val="single" w:sz="4" w:space="0" w:color="auto"/>
              <w:left w:val="single" w:sz="4" w:space="0" w:color="auto"/>
              <w:bottom w:val="double" w:sz="4" w:space="0" w:color="auto"/>
              <w:right w:val="single" w:sz="4" w:space="0" w:color="auto"/>
            </w:tcBorders>
          </w:tcPr>
          <w:p w14:paraId="1A669149" w14:textId="77777777" w:rsidR="007D1E8B" w:rsidRPr="0068236B" w:rsidRDefault="007D1E8B" w:rsidP="007D1E8B">
            <w:pPr>
              <w:autoSpaceDE w:val="0"/>
              <w:autoSpaceDN w:val="0"/>
              <w:adjustRightInd w:val="0"/>
              <w:spacing w:before="0" w:after="0"/>
              <w:jc w:val="center"/>
              <w:rPr>
                <w:rFonts w:cs="Arial"/>
                <w:sz w:val="20"/>
                <w:szCs w:val="20"/>
              </w:rPr>
            </w:pPr>
            <w:r w:rsidRPr="0068236B">
              <w:rPr>
                <w:rFonts w:cs="Arial"/>
                <w:sz w:val="20"/>
                <w:szCs w:val="20"/>
              </w:rPr>
              <w:t>100 µT</w:t>
            </w:r>
          </w:p>
        </w:tc>
        <w:tc>
          <w:tcPr>
            <w:tcW w:w="1877" w:type="dxa"/>
            <w:tcBorders>
              <w:top w:val="single" w:sz="4" w:space="0" w:color="auto"/>
              <w:left w:val="single" w:sz="4" w:space="0" w:color="auto"/>
              <w:bottom w:val="double" w:sz="4" w:space="0" w:color="auto"/>
              <w:right w:val="single" w:sz="4" w:space="0" w:color="auto"/>
            </w:tcBorders>
          </w:tcPr>
          <w:p w14:paraId="6BE05723" w14:textId="05ED8F74" w:rsidR="007D1E8B" w:rsidRPr="0068236B" w:rsidRDefault="007D1E8B" w:rsidP="007D1E8B">
            <w:pPr>
              <w:autoSpaceDE w:val="0"/>
              <w:autoSpaceDN w:val="0"/>
              <w:adjustRightInd w:val="0"/>
              <w:spacing w:before="0" w:after="0"/>
              <w:jc w:val="center"/>
              <w:rPr>
                <w:rFonts w:cs="Arial"/>
                <w:sz w:val="20"/>
                <w:szCs w:val="20"/>
              </w:rPr>
            </w:pPr>
            <w:r w:rsidRPr="0068236B">
              <w:rPr>
                <w:rFonts w:cs="Arial"/>
                <w:sz w:val="20"/>
                <w:szCs w:val="20"/>
              </w:rPr>
              <w:t>10 kV/m</w:t>
            </w:r>
          </w:p>
        </w:tc>
        <w:tc>
          <w:tcPr>
            <w:tcW w:w="1917" w:type="dxa"/>
            <w:tcBorders>
              <w:top w:val="single" w:sz="4" w:space="0" w:color="auto"/>
              <w:left w:val="single" w:sz="4" w:space="0" w:color="auto"/>
              <w:bottom w:val="double" w:sz="4" w:space="0" w:color="auto"/>
              <w:right w:val="double" w:sz="4" w:space="0" w:color="auto"/>
            </w:tcBorders>
          </w:tcPr>
          <w:p w14:paraId="187BCDB5" w14:textId="77777777" w:rsidR="007D1E8B" w:rsidRPr="0068236B" w:rsidRDefault="007D1E8B" w:rsidP="007D1E8B">
            <w:pPr>
              <w:autoSpaceDE w:val="0"/>
              <w:autoSpaceDN w:val="0"/>
              <w:adjustRightInd w:val="0"/>
              <w:spacing w:before="0" w:after="0"/>
              <w:ind w:left="-8"/>
              <w:jc w:val="center"/>
              <w:rPr>
                <w:rFonts w:cs="Arial"/>
                <w:sz w:val="20"/>
                <w:szCs w:val="20"/>
              </w:rPr>
            </w:pPr>
            <w:r w:rsidRPr="0068236B">
              <w:rPr>
                <w:rFonts w:cs="Arial"/>
                <w:sz w:val="20"/>
                <w:szCs w:val="20"/>
              </w:rPr>
              <w:t>500 µT</w:t>
            </w:r>
          </w:p>
        </w:tc>
      </w:tr>
    </w:tbl>
    <w:p w14:paraId="7F2608C3" w14:textId="190CAD35" w:rsidR="007D1E8B" w:rsidRPr="0068236B" w:rsidRDefault="007D1E8B" w:rsidP="007D1E8B">
      <w:pPr>
        <w:autoSpaceDE w:val="0"/>
        <w:autoSpaceDN w:val="0"/>
        <w:adjustRightInd w:val="0"/>
        <w:spacing w:before="60" w:after="240"/>
        <w:rPr>
          <w:rFonts w:cs="Arial"/>
          <w:sz w:val="18"/>
          <w:szCs w:val="18"/>
        </w:rPr>
      </w:pPr>
      <w:bookmarkStart w:id="553" w:name="_Toc459621042"/>
      <w:bookmarkStart w:id="554" w:name="_Toc481953730"/>
      <w:bookmarkStart w:id="555" w:name="_Toc93086141"/>
      <w:bookmarkStart w:id="556" w:name="_Toc113018241"/>
      <w:r w:rsidRPr="0068236B">
        <w:rPr>
          <w:sz w:val="18"/>
          <w:szCs w:val="18"/>
        </w:rPr>
        <w:t xml:space="preserve">Table </w:t>
      </w:r>
      <w:r w:rsidRPr="0068236B">
        <w:rPr>
          <w:sz w:val="18"/>
          <w:szCs w:val="18"/>
        </w:rPr>
        <w:fldChar w:fldCharType="begin"/>
      </w:r>
      <w:r w:rsidRPr="0068236B">
        <w:rPr>
          <w:sz w:val="18"/>
          <w:szCs w:val="18"/>
        </w:rPr>
        <w:instrText xml:space="preserve"> STYLEREF 1 \s </w:instrText>
      </w:r>
      <w:r w:rsidRPr="0068236B">
        <w:rPr>
          <w:sz w:val="18"/>
          <w:szCs w:val="18"/>
        </w:rPr>
        <w:fldChar w:fldCharType="separate"/>
      </w:r>
      <w:r w:rsidR="00FD57E6">
        <w:rPr>
          <w:noProof/>
          <w:sz w:val="18"/>
          <w:szCs w:val="18"/>
        </w:rPr>
        <w:t>9</w:t>
      </w:r>
      <w:r w:rsidRPr="0068236B">
        <w:rPr>
          <w:sz w:val="18"/>
          <w:szCs w:val="18"/>
        </w:rPr>
        <w:fldChar w:fldCharType="end"/>
      </w:r>
      <w:r w:rsidR="003466B8" w:rsidRPr="0068236B">
        <w:rPr>
          <w:sz w:val="18"/>
          <w:szCs w:val="18"/>
        </w:rPr>
        <w:t>.</w:t>
      </w:r>
      <w:r w:rsidRPr="0068236B">
        <w:rPr>
          <w:sz w:val="18"/>
          <w:szCs w:val="18"/>
        </w:rPr>
        <w:fldChar w:fldCharType="begin"/>
      </w:r>
      <w:r w:rsidRPr="0068236B">
        <w:rPr>
          <w:sz w:val="18"/>
          <w:szCs w:val="18"/>
        </w:rPr>
        <w:instrText xml:space="preserve"> SEQ Table \* ARABIC \s 1 </w:instrText>
      </w:r>
      <w:r w:rsidRPr="0068236B">
        <w:rPr>
          <w:sz w:val="18"/>
          <w:szCs w:val="18"/>
        </w:rPr>
        <w:fldChar w:fldCharType="separate"/>
      </w:r>
      <w:r w:rsidR="00FD57E6">
        <w:rPr>
          <w:noProof/>
          <w:sz w:val="18"/>
          <w:szCs w:val="18"/>
        </w:rPr>
        <w:t>2</w:t>
      </w:r>
      <w:r w:rsidRPr="0068236B">
        <w:rPr>
          <w:sz w:val="18"/>
          <w:szCs w:val="18"/>
        </w:rPr>
        <w:fldChar w:fldCharType="end"/>
      </w:r>
      <w:r w:rsidR="00E7643A" w:rsidRPr="0068236B">
        <w:rPr>
          <w:rFonts w:eastAsia="Calibri"/>
          <w:color w:val="000000"/>
          <w:sz w:val="18"/>
          <w:szCs w:val="18"/>
        </w:rPr>
        <w:t>:</w:t>
      </w:r>
      <w:r w:rsidRPr="0068236B">
        <w:rPr>
          <w:rFonts w:eastAsia="Calibri"/>
          <w:color w:val="000000"/>
          <w:sz w:val="18"/>
          <w:szCs w:val="18"/>
        </w:rPr>
        <w:t xml:space="preserve"> </w:t>
      </w:r>
      <w:r w:rsidRPr="0068236B">
        <w:rPr>
          <w:rFonts w:cs="Arial"/>
          <w:sz w:val="18"/>
          <w:szCs w:val="18"/>
        </w:rPr>
        <w:t>Limit values for exposure to electric and magnetic fields (ICN</w:t>
      </w:r>
      <w:r w:rsidR="003466B8" w:rsidRPr="0068236B">
        <w:rPr>
          <w:rFonts w:cs="Arial"/>
          <w:sz w:val="18"/>
          <w:szCs w:val="18"/>
        </w:rPr>
        <w:t>I</w:t>
      </w:r>
      <w:r w:rsidRPr="0068236B">
        <w:rPr>
          <w:rFonts w:cs="Arial"/>
          <w:sz w:val="18"/>
          <w:szCs w:val="18"/>
        </w:rPr>
        <w:t>PR</w:t>
      </w:r>
      <w:bookmarkEnd w:id="553"/>
      <w:bookmarkEnd w:id="554"/>
      <w:r w:rsidR="003466B8" w:rsidRPr="0068236B">
        <w:rPr>
          <w:rFonts w:cs="Arial"/>
          <w:sz w:val="18"/>
          <w:szCs w:val="18"/>
        </w:rPr>
        <w:t>, 1998</w:t>
      </w:r>
      <w:r w:rsidRPr="0068236B">
        <w:rPr>
          <w:rFonts w:cs="Arial"/>
          <w:sz w:val="18"/>
          <w:szCs w:val="18"/>
        </w:rPr>
        <w:t>)</w:t>
      </w:r>
      <w:bookmarkEnd w:id="555"/>
      <w:bookmarkEnd w:id="556"/>
    </w:p>
    <w:p w14:paraId="2BAD8DB0" w14:textId="0BD82A99" w:rsidR="007D1E8B" w:rsidRPr="0068236B" w:rsidRDefault="007D1E8B" w:rsidP="007D1E8B">
      <w:pPr>
        <w:rPr>
          <w:rFonts w:cs="Arial"/>
          <w:sz w:val="20"/>
          <w:szCs w:val="20"/>
        </w:rPr>
      </w:pPr>
      <w:r w:rsidRPr="0068236B">
        <w:rPr>
          <w:rFonts w:cs="Arial"/>
          <w:sz w:val="20"/>
          <w:szCs w:val="20"/>
        </w:rPr>
        <w:t>In 2010, the IC</w:t>
      </w:r>
      <w:r w:rsidR="0098133F" w:rsidRPr="0068236B">
        <w:rPr>
          <w:rFonts w:cs="Arial"/>
          <w:sz w:val="20"/>
          <w:szCs w:val="20"/>
        </w:rPr>
        <w:t xml:space="preserve">NIRP issued a new guideline – “ICNIRP Guidelines for </w:t>
      </w:r>
      <w:r w:rsidRPr="0068236B">
        <w:rPr>
          <w:rFonts w:cs="Arial"/>
          <w:sz w:val="20"/>
          <w:szCs w:val="20"/>
        </w:rPr>
        <w:t>Limiting Exposure to Time-Varying Electric and Magnetic Fields (from 1 to 100 KHz)</w:t>
      </w:r>
      <w:r w:rsidR="0098133F" w:rsidRPr="0068236B">
        <w:rPr>
          <w:rFonts w:cs="Arial"/>
          <w:sz w:val="20"/>
          <w:szCs w:val="20"/>
        </w:rPr>
        <w:t>”</w:t>
      </w:r>
      <w:r w:rsidRPr="0068236B">
        <w:rPr>
          <w:rStyle w:val="FootnoteReference"/>
          <w:rFonts w:cs="Arial"/>
          <w:sz w:val="20"/>
          <w:szCs w:val="20"/>
        </w:rPr>
        <w:footnoteReference w:id="143"/>
      </w:r>
      <w:r w:rsidRPr="0068236B">
        <w:rPr>
          <w:rFonts w:cs="Arial"/>
          <w:sz w:val="20"/>
          <w:szCs w:val="20"/>
        </w:rPr>
        <w:t xml:space="preserve">. The reference exposure levels of </w:t>
      </w:r>
      <w:r w:rsidR="0098133F" w:rsidRPr="0068236B">
        <w:rPr>
          <w:rFonts w:cs="Arial"/>
          <w:sz w:val="20"/>
          <w:szCs w:val="20"/>
        </w:rPr>
        <w:t>these guidelines</w:t>
      </w:r>
      <w:r w:rsidRPr="0068236B">
        <w:rPr>
          <w:rFonts w:cs="Arial"/>
          <w:sz w:val="20"/>
          <w:szCs w:val="20"/>
        </w:rPr>
        <w:t xml:space="preserve"> are given in the Table below.</w:t>
      </w:r>
    </w:p>
    <w:tbl>
      <w:tblPr>
        <w:tblW w:w="0" w:type="auto"/>
        <w:tblInd w:w="108" w:type="dxa"/>
        <w:tblLook w:val="01E0" w:firstRow="1" w:lastRow="1" w:firstColumn="1" w:lastColumn="1" w:noHBand="0" w:noVBand="0"/>
      </w:tblPr>
      <w:tblGrid>
        <w:gridCol w:w="1875"/>
        <w:gridCol w:w="1917"/>
        <w:gridCol w:w="1877"/>
        <w:gridCol w:w="1917"/>
      </w:tblGrid>
      <w:tr w:rsidR="007D1E8B" w:rsidRPr="0068236B" w14:paraId="3FC755D6" w14:textId="77777777" w:rsidTr="007D1E8B">
        <w:tc>
          <w:tcPr>
            <w:tcW w:w="3792" w:type="dxa"/>
            <w:gridSpan w:val="2"/>
            <w:tcBorders>
              <w:top w:val="double" w:sz="4" w:space="0" w:color="auto"/>
              <w:left w:val="double" w:sz="4" w:space="0" w:color="auto"/>
              <w:bottom w:val="double" w:sz="4" w:space="0" w:color="auto"/>
              <w:right w:val="single" w:sz="4" w:space="0" w:color="auto"/>
            </w:tcBorders>
            <w:shd w:val="clear" w:color="auto" w:fill="B4C6E7" w:themeFill="accent1" w:themeFillTint="66"/>
          </w:tcPr>
          <w:p w14:paraId="6529C86B" w14:textId="77777777" w:rsidR="007D1E8B" w:rsidRPr="0068236B" w:rsidRDefault="007D1E8B" w:rsidP="007D1E8B">
            <w:pPr>
              <w:autoSpaceDE w:val="0"/>
              <w:autoSpaceDN w:val="0"/>
              <w:adjustRightInd w:val="0"/>
              <w:spacing w:before="0" w:after="0"/>
              <w:jc w:val="center"/>
              <w:rPr>
                <w:rFonts w:cs="Arial"/>
                <w:sz w:val="20"/>
                <w:szCs w:val="20"/>
              </w:rPr>
            </w:pPr>
            <w:r w:rsidRPr="0068236B">
              <w:rPr>
                <w:rFonts w:cs="Arial"/>
                <w:sz w:val="20"/>
                <w:szCs w:val="20"/>
              </w:rPr>
              <w:t>Exposure of public</w:t>
            </w:r>
          </w:p>
        </w:tc>
        <w:tc>
          <w:tcPr>
            <w:tcW w:w="3794" w:type="dxa"/>
            <w:gridSpan w:val="2"/>
            <w:tcBorders>
              <w:top w:val="double" w:sz="4" w:space="0" w:color="auto"/>
              <w:left w:val="single" w:sz="4" w:space="0" w:color="auto"/>
              <w:bottom w:val="double" w:sz="4" w:space="0" w:color="auto"/>
              <w:right w:val="double" w:sz="4" w:space="0" w:color="auto"/>
            </w:tcBorders>
            <w:shd w:val="clear" w:color="auto" w:fill="B4C6E7" w:themeFill="accent1" w:themeFillTint="66"/>
          </w:tcPr>
          <w:p w14:paraId="0EFA9F8B" w14:textId="77777777" w:rsidR="007D1E8B" w:rsidRPr="0068236B" w:rsidRDefault="007D1E8B" w:rsidP="007D1E8B">
            <w:pPr>
              <w:autoSpaceDE w:val="0"/>
              <w:autoSpaceDN w:val="0"/>
              <w:adjustRightInd w:val="0"/>
              <w:spacing w:before="0" w:after="0"/>
              <w:jc w:val="center"/>
              <w:rPr>
                <w:rFonts w:cs="Arial"/>
                <w:sz w:val="20"/>
                <w:szCs w:val="20"/>
              </w:rPr>
            </w:pPr>
            <w:r w:rsidRPr="0068236B">
              <w:rPr>
                <w:rFonts w:cs="Arial"/>
                <w:sz w:val="20"/>
                <w:szCs w:val="20"/>
              </w:rPr>
              <w:t>Occupational exposure</w:t>
            </w:r>
          </w:p>
        </w:tc>
      </w:tr>
      <w:tr w:rsidR="007D1E8B" w:rsidRPr="0068236B" w14:paraId="74151EF5" w14:textId="77777777" w:rsidTr="007D1E8B">
        <w:tc>
          <w:tcPr>
            <w:tcW w:w="1875" w:type="dxa"/>
            <w:tcBorders>
              <w:top w:val="double" w:sz="4" w:space="0" w:color="auto"/>
              <w:left w:val="double" w:sz="4" w:space="0" w:color="auto"/>
              <w:bottom w:val="single" w:sz="4" w:space="0" w:color="auto"/>
              <w:right w:val="single" w:sz="4" w:space="0" w:color="auto"/>
            </w:tcBorders>
          </w:tcPr>
          <w:p w14:paraId="5D34D160" w14:textId="77777777" w:rsidR="007D1E8B" w:rsidRPr="0068236B" w:rsidRDefault="007D1E8B" w:rsidP="007D1E8B">
            <w:pPr>
              <w:autoSpaceDE w:val="0"/>
              <w:autoSpaceDN w:val="0"/>
              <w:adjustRightInd w:val="0"/>
              <w:spacing w:before="0" w:after="0"/>
              <w:jc w:val="center"/>
              <w:rPr>
                <w:rFonts w:cs="Arial"/>
                <w:sz w:val="20"/>
                <w:szCs w:val="20"/>
              </w:rPr>
            </w:pPr>
            <w:r w:rsidRPr="0068236B">
              <w:rPr>
                <w:rFonts w:cs="Arial"/>
                <w:sz w:val="20"/>
                <w:szCs w:val="20"/>
              </w:rPr>
              <w:t>Electric field</w:t>
            </w:r>
          </w:p>
        </w:tc>
        <w:tc>
          <w:tcPr>
            <w:tcW w:w="1917" w:type="dxa"/>
            <w:tcBorders>
              <w:top w:val="double" w:sz="4" w:space="0" w:color="auto"/>
              <w:left w:val="single" w:sz="4" w:space="0" w:color="auto"/>
              <w:bottom w:val="single" w:sz="4" w:space="0" w:color="auto"/>
              <w:right w:val="single" w:sz="4" w:space="0" w:color="auto"/>
            </w:tcBorders>
          </w:tcPr>
          <w:p w14:paraId="4E513986" w14:textId="77777777" w:rsidR="007D1E8B" w:rsidRPr="0068236B" w:rsidRDefault="007D1E8B" w:rsidP="007D1E8B">
            <w:pPr>
              <w:autoSpaceDE w:val="0"/>
              <w:autoSpaceDN w:val="0"/>
              <w:adjustRightInd w:val="0"/>
              <w:spacing w:before="0" w:after="0"/>
              <w:jc w:val="center"/>
              <w:rPr>
                <w:rFonts w:cs="Arial"/>
                <w:sz w:val="20"/>
                <w:szCs w:val="20"/>
              </w:rPr>
            </w:pPr>
            <w:r w:rsidRPr="0068236B">
              <w:rPr>
                <w:rFonts w:cs="Arial"/>
                <w:sz w:val="20"/>
                <w:szCs w:val="20"/>
              </w:rPr>
              <w:t>Magnetic field</w:t>
            </w:r>
          </w:p>
        </w:tc>
        <w:tc>
          <w:tcPr>
            <w:tcW w:w="1877" w:type="dxa"/>
            <w:tcBorders>
              <w:top w:val="double" w:sz="4" w:space="0" w:color="auto"/>
              <w:left w:val="single" w:sz="4" w:space="0" w:color="auto"/>
              <w:bottom w:val="single" w:sz="4" w:space="0" w:color="auto"/>
              <w:right w:val="single" w:sz="4" w:space="0" w:color="auto"/>
            </w:tcBorders>
          </w:tcPr>
          <w:p w14:paraId="1D18A7DE" w14:textId="77777777" w:rsidR="007D1E8B" w:rsidRPr="0068236B" w:rsidRDefault="007D1E8B" w:rsidP="007D1E8B">
            <w:pPr>
              <w:autoSpaceDE w:val="0"/>
              <w:autoSpaceDN w:val="0"/>
              <w:adjustRightInd w:val="0"/>
              <w:spacing w:before="0" w:after="0"/>
              <w:jc w:val="center"/>
              <w:rPr>
                <w:rFonts w:cs="Arial"/>
                <w:sz w:val="20"/>
                <w:szCs w:val="20"/>
              </w:rPr>
            </w:pPr>
            <w:r w:rsidRPr="0068236B">
              <w:rPr>
                <w:rFonts w:cs="Arial"/>
                <w:sz w:val="20"/>
                <w:szCs w:val="20"/>
              </w:rPr>
              <w:t>Electric field</w:t>
            </w:r>
          </w:p>
        </w:tc>
        <w:tc>
          <w:tcPr>
            <w:tcW w:w="1917" w:type="dxa"/>
            <w:tcBorders>
              <w:top w:val="double" w:sz="4" w:space="0" w:color="auto"/>
              <w:left w:val="single" w:sz="4" w:space="0" w:color="auto"/>
              <w:bottom w:val="single" w:sz="4" w:space="0" w:color="auto"/>
              <w:right w:val="double" w:sz="4" w:space="0" w:color="auto"/>
            </w:tcBorders>
          </w:tcPr>
          <w:p w14:paraId="55ECAF7D" w14:textId="77777777" w:rsidR="007D1E8B" w:rsidRPr="0068236B" w:rsidRDefault="007D1E8B" w:rsidP="007D1E8B">
            <w:pPr>
              <w:autoSpaceDE w:val="0"/>
              <w:autoSpaceDN w:val="0"/>
              <w:adjustRightInd w:val="0"/>
              <w:spacing w:before="0" w:after="0"/>
              <w:jc w:val="center"/>
              <w:rPr>
                <w:rFonts w:cs="Arial"/>
                <w:sz w:val="20"/>
                <w:szCs w:val="20"/>
              </w:rPr>
            </w:pPr>
            <w:r w:rsidRPr="0068236B">
              <w:rPr>
                <w:rFonts w:cs="Arial"/>
                <w:sz w:val="20"/>
                <w:szCs w:val="20"/>
              </w:rPr>
              <w:t>Magnetic field</w:t>
            </w:r>
          </w:p>
        </w:tc>
      </w:tr>
      <w:tr w:rsidR="007D1E8B" w:rsidRPr="0068236B" w14:paraId="6878CFDB" w14:textId="77777777" w:rsidTr="007D1E8B">
        <w:tc>
          <w:tcPr>
            <w:tcW w:w="1875" w:type="dxa"/>
            <w:tcBorders>
              <w:top w:val="single" w:sz="4" w:space="0" w:color="auto"/>
              <w:left w:val="double" w:sz="4" w:space="0" w:color="auto"/>
              <w:bottom w:val="double" w:sz="4" w:space="0" w:color="auto"/>
              <w:right w:val="single" w:sz="4" w:space="0" w:color="auto"/>
            </w:tcBorders>
          </w:tcPr>
          <w:p w14:paraId="695180F5" w14:textId="77777777" w:rsidR="007D1E8B" w:rsidRPr="0068236B" w:rsidRDefault="007D1E8B" w:rsidP="007D1E8B">
            <w:pPr>
              <w:autoSpaceDE w:val="0"/>
              <w:autoSpaceDN w:val="0"/>
              <w:adjustRightInd w:val="0"/>
              <w:spacing w:before="0" w:after="0"/>
              <w:jc w:val="center"/>
              <w:rPr>
                <w:rFonts w:cs="Arial"/>
                <w:sz w:val="20"/>
                <w:szCs w:val="20"/>
              </w:rPr>
            </w:pPr>
            <w:r w:rsidRPr="0068236B">
              <w:rPr>
                <w:rFonts w:cs="Arial"/>
                <w:sz w:val="20"/>
                <w:szCs w:val="20"/>
              </w:rPr>
              <w:t>5 kV/m</w:t>
            </w:r>
          </w:p>
        </w:tc>
        <w:tc>
          <w:tcPr>
            <w:tcW w:w="1917" w:type="dxa"/>
            <w:tcBorders>
              <w:top w:val="single" w:sz="4" w:space="0" w:color="auto"/>
              <w:left w:val="single" w:sz="4" w:space="0" w:color="auto"/>
              <w:bottom w:val="double" w:sz="4" w:space="0" w:color="auto"/>
              <w:right w:val="single" w:sz="4" w:space="0" w:color="auto"/>
            </w:tcBorders>
          </w:tcPr>
          <w:p w14:paraId="76CD1CAE" w14:textId="77777777" w:rsidR="007D1E8B" w:rsidRPr="0068236B" w:rsidRDefault="007D1E8B" w:rsidP="007D1E8B">
            <w:pPr>
              <w:autoSpaceDE w:val="0"/>
              <w:autoSpaceDN w:val="0"/>
              <w:adjustRightInd w:val="0"/>
              <w:spacing w:before="0" w:after="0"/>
              <w:jc w:val="center"/>
              <w:rPr>
                <w:rFonts w:cs="Arial"/>
                <w:sz w:val="20"/>
                <w:szCs w:val="20"/>
              </w:rPr>
            </w:pPr>
            <w:r w:rsidRPr="0068236B">
              <w:rPr>
                <w:rFonts w:cs="Arial"/>
                <w:sz w:val="20"/>
                <w:szCs w:val="20"/>
              </w:rPr>
              <w:t>200 µT</w:t>
            </w:r>
          </w:p>
        </w:tc>
        <w:tc>
          <w:tcPr>
            <w:tcW w:w="1877" w:type="dxa"/>
            <w:tcBorders>
              <w:top w:val="single" w:sz="4" w:space="0" w:color="auto"/>
              <w:left w:val="single" w:sz="4" w:space="0" w:color="auto"/>
              <w:bottom w:val="double" w:sz="4" w:space="0" w:color="auto"/>
              <w:right w:val="single" w:sz="4" w:space="0" w:color="auto"/>
            </w:tcBorders>
          </w:tcPr>
          <w:p w14:paraId="35D22BB5" w14:textId="05A4F750" w:rsidR="007D1E8B" w:rsidRPr="0068236B" w:rsidRDefault="007D1E8B" w:rsidP="007D1E8B">
            <w:pPr>
              <w:autoSpaceDE w:val="0"/>
              <w:autoSpaceDN w:val="0"/>
              <w:adjustRightInd w:val="0"/>
              <w:spacing w:before="0" w:after="0"/>
              <w:jc w:val="center"/>
              <w:rPr>
                <w:rFonts w:cs="Arial"/>
                <w:sz w:val="20"/>
                <w:szCs w:val="20"/>
              </w:rPr>
            </w:pPr>
            <w:r w:rsidRPr="0068236B">
              <w:rPr>
                <w:rFonts w:cs="Arial"/>
                <w:sz w:val="20"/>
                <w:szCs w:val="20"/>
              </w:rPr>
              <w:t>10 kV/m</w:t>
            </w:r>
          </w:p>
        </w:tc>
        <w:tc>
          <w:tcPr>
            <w:tcW w:w="1917" w:type="dxa"/>
            <w:tcBorders>
              <w:top w:val="single" w:sz="4" w:space="0" w:color="auto"/>
              <w:left w:val="single" w:sz="4" w:space="0" w:color="auto"/>
              <w:bottom w:val="double" w:sz="4" w:space="0" w:color="auto"/>
              <w:right w:val="double" w:sz="4" w:space="0" w:color="auto"/>
            </w:tcBorders>
          </w:tcPr>
          <w:p w14:paraId="5AE39931" w14:textId="77777777" w:rsidR="007D1E8B" w:rsidRPr="0068236B" w:rsidRDefault="007D1E8B" w:rsidP="007D1E8B">
            <w:pPr>
              <w:autoSpaceDE w:val="0"/>
              <w:autoSpaceDN w:val="0"/>
              <w:adjustRightInd w:val="0"/>
              <w:spacing w:before="0" w:after="0"/>
              <w:ind w:left="-8"/>
              <w:jc w:val="center"/>
              <w:rPr>
                <w:rFonts w:cs="Arial"/>
                <w:sz w:val="20"/>
                <w:szCs w:val="20"/>
              </w:rPr>
            </w:pPr>
            <w:r w:rsidRPr="0068236B">
              <w:rPr>
                <w:rFonts w:cs="Arial"/>
                <w:sz w:val="20"/>
                <w:szCs w:val="20"/>
              </w:rPr>
              <w:t>1000 µT</w:t>
            </w:r>
          </w:p>
        </w:tc>
      </w:tr>
    </w:tbl>
    <w:p w14:paraId="24B064F2" w14:textId="3B9556FC" w:rsidR="007D1E8B" w:rsidRPr="0068236B" w:rsidRDefault="007D1E8B" w:rsidP="007D1E8B">
      <w:pPr>
        <w:spacing w:before="60"/>
        <w:jc w:val="left"/>
        <w:rPr>
          <w:rFonts w:cs="Arial"/>
          <w:sz w:val="18"/>
          <w:szCs w:val="18"/>
        </w:rPr>
      </w:pPr>
      <w:bookmarkStart w:id="557" w:name="_Toc93086142"/>
      <w:bookmarkStart w:id="558" w:name="_Toc113018242"/>
      <w:r w:rsidRPr="0068236B">
        <w:rPr>
          <w:sz w:val="18"/>
          <w:szCs w:val="18"/>
        </w:rPr>
        <w:t xml:space="preserve">Table </w:t>
      </w:r>
      <w:r w:rsidRPr="0068236B">
        <w:rPr>
          <w:sz w:val="18"/>
          <w:szCs w:val="18"/>
        </w:rPr>
        <w:fldChar w:fldCharType="begin"/>
      </w:r>
      <w:r w:rsidRPr="0068236B">
        <w:rPr>
          <w:sz w:val="18"/>
          <w:szCs w:val="18"/>
        </w:rPr>
        <w:instrText xml:space="preserve"> STYLEREF 1 \s </w:instrText>
      </w:r>
      <w:r w:rsidRPr="0068236B">
        <w:rPr>
          <w:sz w:val="18"/>
          <w:szCs w:val="18"/>
        </w:rPr>
        <w:fldChar w:fldCharType="separate"/>
      </w:r>
      <w:r w:rsidR="00FD57E6">
        <w:rPr>
          <w:noProof/>
          <w:sz w:val="18"/>
          <w:szCs w:val="18"/>
        </w:rPr>
        <w:t>9</w:t>
      </w:r>
      <w:r w:rsidRPr="0068236B">
        <w:rPr>
          <w:sz w:val="18"/>
          <w:szCs w:val="18"/>
        </w:rPr>
        <w:fldChar w:fldCharType="end"/>
      </w:r>
      <w:r w:rsidR="003466B8" w:rsidRPr="0068236B">
        <w:rPr>
          <w:sz w:val="18"/>
          <w:szCs w:val="18"/>
        </w:rPr>
        <w:t>.</w:t>
      </w:r>
      <w:r w:rsidRPr="0068236B">
        <w:rPr>
          <w:sz w:val="18"/>
          <w:szCs w:val="18"/>
        </w:rPr>
        <w:fldChar w:fldCharType="begin"/>
      </w:r>
      <w:r w:rsidRPr="0068236B">
        <w:rPr>
          <w:sz w:val="18"/>
          <w:szCs w:val="18"/>
        </w:rPr>
        <w:instrText xml:space="preserve"> SEQ Table \* ARABIC \s 1 </w:instrText>
      </w:r>
      <w:r w:rsidRPr="0068236B">
        <w:rPr>
          <w:sz w:val="18"/>
          <w:szCs w:val="18"/>
        </w:rPr>
        <w:fldChar w:fldCharType="separate"/>
      </w:r>
      <w:r w:rsidR="00FD57E6">
        <w:rPr>
          <w:noProof/>
          <w:sz w:val="18"/>
          <w:szCs w:val="18"/>
        </w:rPr>
        <w:t>3</w:t>
      </w:r>
      <w:r w:rsidRPr="0068236B">
        <w:rPr>
          <w:sz w:val="18"/>
          <w:szCs w:val="18"/>
        </w:rPr>
        <w:fldChar w:fldCharType="end"/>
      </w:r>
      <w:r w:rsidR="00E7643A" w:rsidRPr="0068236B">
        <w:rPr>
          <w:rFonts w:eastAsia="Calibri"/>
          <w:color w:val="000000"/>
          <w:sz w:val="18"/>
          <w:szCs w:val="18"/>
        </w:rPr>
        <w:t xml:space="preserve">: </w:t>
      </w:r>
      <w:r w:rsidRPr="0068236B">
        <w:rPr>
          <w:rFonts w:cs="Arial"/>
          <w:sz w:val="18"/>
          <w:szCs w:val="18"/>
        </w:rPr>
        <w:t>Limit values for exposure to electric</w:t>
      </w:r>
      <w:r w:rsidR="003466B8" w:rsidRPr="0068236B">
        <w:rPr>
          <w:rFonts w:cs="Arial"/>
          <w:sz w:val="18"/>
          <w:szCs w:val="18"/>
        </w:rPr>
        <w:t xml:space="preserve"> and magnetic fields (ICNIPR</w:t>
      </w:r>
      <w:r w:rsidRPr="0068236B">
        <w:rPr>
          <w:rFonts w:cs="Arial"/>
          <w:sz w:val="18"/>
          <w:szCs w:val="18"/>
        </w:rPr>
        <w:t>, 2010)</w:t>
      </w:r>
      <w:bookmarkEnd w:id="557"/>
      <w:bookmarkEnd w:id="558"/>
    </w:p>
    <w:p w14:paraId="6038EF5E" w14:textId="2393AC32" w:rsidR="003466B8" w:rsidRPr="0068236B" w:rsidRDefault="003466B8" w:rsidP="00D24CEF">
      <w:pPr>
        <w:pStyle w:val="ListBullet"/>
        <w:numPr>
          <w:ilvl w:val="0"/>
          <w:numId w:val="97"/>
        </w:numPr>
        <w:jc w:val="left"/>
        <w:rPr>
          <w:rFonts w:cs="Arial"/>
          <w:sz w:val="20"/>
          <w:szCs w:val="20"/>
        </w:rPr>
      </w:pPr>
      <w:r w:rsidRPr="0068236B">
        <w:rPr>
          <w:sz w:val="20"/>
        </w:rPr>
        <w:t>Summary</w:t>
      </w:r>
    </w:p>
    <w:p w14:paraId="5088368A" w14:textId="551536EF" w:rsidR="003B46E3" w:rsidRPr="0068236B" w:rsidRDefault="003466B8" w:rsidP="003B46E3">
      <w:pPr>
        <w:rPr>
          <w:rFonts w:cs="Arial"/>
          <w:sz w:val="20"/>
          <w:szCs w:val="20"/>
        </w:rPr>
      </w:pPr>
      <w:r w:rsidRPr="0068236B">
        <w:rPr>
          <w:rFonts w:cs="Arial"/>
          <w:sz w:val="20"/>
          <w:szCs w:val="20"/>
        </w:rPr>
        <w:t xml:space="preserve">In absence of national legally determined standards, the EMF public </w:t>
      </w:r>
      <w:r w:rsidR="003B46E3" w:rsidRPr="0068236B">
        <w:rPr>
          <w:rFonts w:cs="Arial"/>
          <w:sz w:val="20"/>
          <w:szCs w:val="20"/>
        </w:rPr>
        <w:t xml:space="preserve">exposure levels from the Project need to be in compliance with exposure limits for general public as determined in the relevant </w:t>
      </w:r>
      <w:r w:rsidRPr="0068236B">
        <w:rPr>
          <w:rFonts w:cs="Arial"/>
          <w:sz w:val="20"/>
          <w:szCs w:val="20"/>
        </w:rPr>
        <w:t>international stan</w:t>
      </w:r>
      <w:r w:rsidRPr="0068236B">
        <w:rPr>
          <w:rFonts w:cs="Arial"/>
          <w:sz w:val="20"/>
          <w:szCs w:val="20"/>
        </w:rPr>
        <w:t>d</w:t>
      </w:r>
      <w:r w:rsidRPr="0068236B">
        <w:rPr>
          <w:rFonts w:cs="Arial"/>
          <w:sz w:val="20"/>
          <w:szCs w:val="20"/>
        </w:rPr>
        <w:t xml:space="preserve">ards as recommended </w:t>
      </w:r>
      <w:r w:rsidR="003B46E3" w:rsidRPr="0068236B">
        <w:rPr>
          <w:rFonts w:cs="Arial"/>
          <w:sz w:val="20"/>
          <w:szCs w:val="20"/>
        </w:rPr>
        <w:t>by the International Commission on Non-Ionizing Radiation Protection.</w:t>
      </w:r>
    </w:p>
    <w:p w14:paraId="254EEA10" w14:textId="77777777" w:rsidR="00EB5EEF" w:rsidRPr="0068236B" w:rsidRDefault="00EB5EEF">
      <w:pPr>
        <w:spacing w:before="0" w:after="0" w:line="240" w:lineRule="auto"/>
        <w:jc w:val="left"/>
        <w:rPr>
          <w:b/>
          <w:bCs/>
          <w:iCs/>
          <w:color w:val="44697D"/>
          <w:sz w:val="20"/>
          <w:szCs w:val="24"/>
        </w:rPr>
      </w:pPr>
      <w:r w:rsidRPr="0068236B">
        <w:rPr>
          <w:sz w:val="20"/>
        </w:rPr>
        <w:br w:type="page"/>
      </w:r>
    </w:p>
    <w:p w14:paraId="6BE94A3C" w14:textId="4C0635E8" w:rsidR="00C3061A" w:rsidRPr="0068236B" w:rsidRDefault="00C3061A" w:rsidP="003B46E3">
      <w:pPr>
        <w:pStyle w:val="Heading4"/>
        <w:spacing w:line="240" w:lineRule="auto"/>
        <w:ind w:left="1843" w:hanging="1417"/>
        <w:rPr>
          <w:sz w:val="20"/>
        </w:rPr>
      </w:pPr>
      <w:r w:rsidRPr="0068236B">
        <w:rPr>
          <w:sz w:val="20"/>
        </w:rPr>
        <w:lastRenderedPageBreak/>
        <w:t>Expected Level of Electro-Magnetic Fields</w:t>
      </w:r>
    </w:p>
    <w:p w14:paraId="0D98097E" w14:textId="0DD10C9B" w:rsidR="00A420D6" w:rsidRPr="0068236B" w:rsidRDefault="00A420D6" w:rsidP="00D24CEF">
      <w:pPr>
        <w:pStyle w:val="ListBullet"/>
        <w:numPr>
          <w:ilvl w:val="0"/>
          <w:numId w:val="97"/>
        </w:numPr>
        <w:spacing w:before="120" w:after="120"/>
        <w:jc w:val="left"/>
        <w:rPr>
          <w:rFonts w:cs="Arial"/>
          <w:sz w:val="20"/>
          <w:szCs w:val="20"/>
        </w:rPr>
      </w:pPr>
      <w:r w:rsidRPr="0068236B">
        <w:rPr>
          <w:sz w:val="20"/>
          <w:szCs w:val="20"/>
        </w:rPr>
        <w:t xml:space="preserve">Operational 110 kV </w:t>
      </w:r>
      <w:r w:rsidR="00DB3859" w:rsidRPr="0068236B">
        <w:rPr>
          <w:sz w:val="20"/>
          <w:szCs w:val="20"/>
        </w:rPr>
        <w:t xml:space="preserve">overhead </w:t>
      </w:r>
      <w:r w:rsidRPr="0068236B">
        <w:rPr>
          <w:sz w:val="20"/>
          <w:szCs w:val="20"/>
        </w:rPr>
        <w:t>line</w:t>
      </w:r>
    </w:p>
    <w:p w14:paraId="1A28B27B" w14:textId="406C3D5D" w:rsidR="00A420D6" w:rsidRPr="0068236B" w:rsidRDefault="00AE5647" w:rsidP="001216CE">
      <w:pPr>
        <w:autoSpaceDE w:val="0"/>
        <w:autoSpaceDN w:val="0"/>
        <w:adjustRightInd w:val="0"/>
        <w:rPr>
          <w:sz w:val="20"/>
          <w:szCs w:val="20"/>
        </w:rPr>
      </w:pPr>
      <w:r w:rsidRPr="0068236B">
        <w:rPr>
          <w:noProof/>
          <w:lang w:val="mk-MK" w:eastAsia="mk-MK"/>
        </w:rPr>
        <mc:AlternateContent>
          <mc:Choice Requires="wpg">
            <w:drawing>
              <wp:anchor distT="0" distB="0" distL="114300" distR="114300" simplePos="0" relativeHeight="251679753" behindDoc="0" locked="0" layoutInCell="1" allowOverlap="1" wp14:anchorId="7E8C1220" wp14:editId="25EB1D18">
                <wp:simplePos x="0" y="0"/>
                <wp:positionH relativeFrom="column">
                  <wp:posOffset>-133350</wp:posOffset>
                </wp:positionH>
                <wp:positionV relativeFrom="paragraph">
                  <wp:posOffset>1043940</wp:posOffset>
                </wp:positionV>
                <wp:extent cx="6242685" cy="2642235"/>
                <wp:effectExtent l="0" t="0" r="5715" b="5715"/>
                <wp:wrapTopAndBottom/>
                <wp:docPr id="7" name="Group 7"/>
                <wp:cNvGraphicFramePr/>
                <a:graphic xmlns:a="http://schemas.openxmlformats.org/drawingml/2006/main">
                  <a:graphicData uri="http://schemas.microsoft.com/office/word/2010/wordprocessingGroup">
                    <wpg:wgp>
                      <wpg:cNvGrpSpPr/>
                      <wpg:grpSpPr>
                        <a:xfrm>
                          <a:off x="0" y="0"/>
                          <a:ext cx="6242685" cy="2642235"/>
                          <a:chOff x="28575" y="233340"/>
                          <a:chExt cx="6243255" cy="2642727"/>
                        </a:xfrm>
                      </wpg:grpSpPr>
                      <pic:pic xmlns:pic="http://schemas.openxmlformats.org/drawingml/2006/picture">
                        <pic:nvPicPr>
                          <pic:cNvPr id="10" name="Picture 10"/>
                          <pic:cNvPicPr preferRelativeResize="0">
                            <a:picLocks noChangeAspect="1"/>
                          </pic:cNvPicPr>
                        </pic:nvPicPr>
                        <pic:blipFill>
                          <a:blip r:embed="rId140" cstate="print">
                            <a:extLst>
                              <a:ext uri="{28A0092B-C50C-407E-A947-70E740481C1C}">
                                <a14:useLocalDpi xmlns:a14="http://schemas.microsoft.com/office/drawing/2010/main" val="0"/>
                              </a:ext>
                            </a:extLst>
                          </a:blip>
                          <a:srcRect l="11640"/>
                          <a:stretch>
                            <a:fillRect/>
                          </a:stretch>
                        </pic:blipFill>
                        <pic:spPr bwMode="auto">
                          <a:xfrm>
                            <a:off x="28575" y="233340"/>
                            <a:ext cx="3060000" cy="2642727"/>
                          </a:xfrm>
                          <a:prstGeom prst="rect">
                            <a:avLst/>
                          </a:prstGeom>
                          <a:noFill/>
                          <a:ln>
                            <a:noFill/>
                          </a:ln>
                        </pic:spPr>
                      </pic:pic>
                      <pic:pic xmlns:pic="http://schemas.openxmlformats.org/drawingml/2006/picture">
                        <pic:nvPicPr>
                          <pic:cNvPr id="11" name="Picture 11"/>
                          <pic:cNvPicPr preferRelativeResize="0">
                            <a:picLocks noChangeAspect="1"/>
                          </pic:cNvPicPr>
                        </pic:nvPicPr>
                        <pic:blipFill>
                          <a:blip r:embed="rId141" cstate="print">
                            <a:extLst>
                              <a:ext uri="{28A0092B-C50C-407E-A947-70E740481C1C}">
                                <a14:useLocalDpi xmlns:a14="http://schemas.microsoft.com/office/drawing/2010/main" val="0"/>
                              </a:ext>
                            </a:extLst>
                          </a:blip>
                          <a:srcRect l="10582"/>
                          <a:stretch>
                            <a:fillRect/>
                          </a:stretch>
                        </pic:blipFill>
                        <pic:spPr bwMode="auto">
                          <a:xfrm>
                            <a:off x="3211830" y="233340"/>
                            <a:ext cx="3060000" cy="2642727"/>
                          </a:xfrm>
                          <a:prstGeom prst="rect">
                            <a:avLst/>
                          </a:prstGeom>
                          <a:noFill/>
                          <a:ln>
                            <a:noFill/>
                          </a:ln>
                        </pic:spPr>
                      </pic:pic>
                    </wpg:wgp>
                  </a:graphicData>
                </a:graphic>
              </wp:anchor>
            </w:drawing>
          </mc:Choice>
          <mc:Fallback>
            <w:pict>
              <v:group id="Group 7" o:spid="_x0000_s1026" style="position:absolute;margin-left:-10.5pt;margin-top:82.2pt;width:491.55pt;height:208.05pt;z-index:251679753" coordorigin="285,2333" coordsize="62432,264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">
                <v:shape id="Picture 10" o:spid="_x0000_s1027" type="#_x0000_t75" style="position:absolute;left:285;top:2333;width:30600;height:26427;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TvILFAAAA2wAAAA8AAABkcnMvZG93bnJldi54bWxEj0FrwkAQhe9C/8MyhV6kbmxBQuoqRRBL&#10;L9bYHzDNjkkwO5vurjH++86h4G2G9+a9b5br0XVqoBBbzwbmswwUceVty7WB7+P2OQcVE7LFzjMZ&#10;uFGE9ephssTC+isfaChTrSSEY4EGmpT6QutYNeQwznxPLNrJB4dJ1lBrG/Aq4a7TL1m20A5bloYG&#10;e9o0VJ3LizMQjtvNNKfP/f5rvPxMu9vrkP/ujHl6HN/fQCUa0938f/1hBV/o5RcZQK/+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k7yCxQAAANsAAAAPAAAAAAAAAAAAAAAA&#10;AJ8CAABkcnMvZG93bnJldi54bWxQSwUGAAAAAAQABAD3AAAAkQMAAAAA&#10;">
                  <v:imagedata r:id="rId143" o:title="" cropleft="7628f"/>
                  <v:path arrowok="t"/>
                </v:shape>
                <v:shape id="Picture 11" o:spid="_x0000_s1028" type="#_x0000_t75" style="position:absolute;left:32118;top:2333;width:30600;height:26427;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vlHk3DAAAA2wAAAA8AAABkcnMvZG93bnJldi54bWxEj81qwzAQhO+FvIPYQG+1rEJNcKOE0qTQ&#10;Qi75ufS2WGvLxFoZSU3ct68Kgdx2mdn5ZpfryQ3iQiH2njWoogRB3HjTc6fhdPx4WoCICdng4Jk0&#10;/FKE9Wr2sMTa+Cvv6XJIncghHGvUYFMaayljY8lhLPxInLXWB4cpr6GTJuA1h7tBPpdlJR32nAkW&#10;R3q31JwPPy5zfcWtVerbtotm8xK+ztVObbV+nE9vryASTeluvl1/mlxfwf8veQC5+g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UeTcMAAADbAAAADwAAAAAAAAAAAAAAAACf&#10;AgAAZHJzL2Rvd25yZXYueG1sUEsFBgAAAAAEAAQA9wAAAI8DAAAAAA==&#10;">
                  <v:imagedata r:id="rId144" o:title="" cropleft="6935f"/>
                  <v:path arrowok="t"/>
                </v:shape>
                <w10:wrap type="topAndBottom"/>
              </v:group>
            </w:pict>
          </mc:Fallback>
        </mc:AlternateContent>
      </w:r>
      <w:r w:rsidR="00A420D6" w:rsidRPr="0068236B">
        <w:rPr>
          <w:rFonts w:eastAsia="Calibri" w:cs="Tahoma"/>
          <w:color w:val="000000"/>
          <w:sz w:val="20"/>
          <w:szCs w:val="20"/>
        </w:rPr>
        <w:t xml:space="preserve">According to the available information from </w:t>
      </w:r>
      <w:r w:rsidR="00914B66" w:rsidRPr="0068236B">
        <w:rPr>
          <w:rFonts w:eastAsia="Calibri" w:cs="Tahoma"/>
          <w:color w:val="000000"/>
          <w:sz w:val="20"/>
          <w:szCs w:val="20"/>
        </w:rPr>
        <w:t xml:space="preserve">similar </w:t>
      </w:r>
      <w:r w:rsidR="00A420D6" w:rsidRPr="0068236B">
        <w:rPr>
          <w:rFonts w:eastAsia="Calibri" w:cs="Tahoma"/>
          <w:color w:val="000000"/>
          <w:sz w:val="20"/>
          <w:szCs w:val="20"/>
        </w:rPr>
        <w:t>projects</w:t>
      </w:r>
      <w:r w:rsidR="00914B66" w:rsidRPr="0068236B">
        <w:rPr>
          <w:rFonts w:eastAsia="Calibri" w:cs="Tahoma"/>
          <w:color w:val="000000"/>
          <w:sz w:val="20"/>
          <w:szCs w:val="20"/>
        </w:rPr>
        <w:t>, p</w:t>
      </w:r>
      <w:r w:rsidR="003B46E3" w:rsidRPr="0068236B">
        <w:rPr>
          <w:rFonts w:eastAsia="Calibri" w:cs="Tahoma"/>
          <w:color w:val="000000"/>
          <w:sz w:val="20"/>
          <w:szCs w:val="20"/>
        </w:rPr>
        <w:t>rovided that the minimum OHL conductor</w:t>
      </w:r>
      <w:r w:rsidR="00A420D6" w:rsidRPr="0068236B">
        <w:rPr>
          <w:rFonts w:eastAsia="Calibri" w:cs="Tahoma"/>
          <w:color w:val="000000"/>
          <w:sz w:val="20"/>
          <w:szCs w:val="20"/>
        </w:rPr>
        <w:t xml:space="preserve"> ve</w:t>
      </w:r>
      <w:r w:rsidR="00A420D6" w:rsidRPr="0068236B">
        <w:rPr>
          <w:rFonts w:eastAsia="Calibri" w:cs="Tahoma"/>
          <w:color w:val="000000"/>
          <w:sz w:val="20"/>
          <w:szCs w:val="20"/>
        </w:rPr>
        <w:t>r</w:t>
      </w:r>
      <w:r w:rsidR="00A420D6" w:rsidRPr="0068236B">
        <w:rPr>
          <w:rFonts w:eastAsia="Calibri" w:cs="Tahoma"/>
          <w:color w:val="000000"/>
          <w:sz w:val="20"/>
          <w:szCs w:val="20"/>
        </w:rPr>
        <w:t>tical</w:t>
      </w:r>
      <w:r w:rsidR="003B46E3" w:rsidRPr="0068236B">
        <w:rPr>
          <w:rFonts w:eastAsia="Calibri" w:cs="Tahoma"/>
          <w:color w:val="000000"/>
          <w:sz w:val="20"/>
          <w:szCs w:val="20"/>
        </w:rPr>
        <w:t xml:space="preserve"> clearance</w:t>
      </w:r>
      <w:r w:rsidR="00A420D6" w:rsidRPr="0068236B">
        <w:rPr>
          <w:rStyle w:val="FootnoteReference"/>
          <w:rFonts w:eastAsia="Calibri" w:cs="Tahoma"/>
          <w:color w:val="000000"/>
          <w:sz w:val="20"/>
          <w:szCs w:val="20"/>
        </w:rPr>
        <w:footnoteReference w:id="144"/>
      </w:r>
      <w:r w:rsidR="003B46E3" w:rsidRPr="0068236B">
        <w:rPr>
          <w:rFonts w:eastAsia="Calibri" w:cs="Tahoma"/>
          <w:color w:val="000000"/>
          <w:sz w:val="20"/>
          <w:szCs w:val="20"/>
        </w:rPr>
        <w:t xml:space="preserve"> </w:t>
      </w:r>
      <w:r w:rsidR="00A420D6" w:rsidRPr="0068236B">
        <w:rPr>
          <w:rFonts w:eastAsia="Calibri" w:cs="Tahoma"/>
          <w:color w:val="000000"/>
          <w:sz w:val="20"/>
          <w:szCs w:val="20"/>
        </w:rPr>
        <w:t xml:space="preserve">is </w:t>
      </w:r>
      <w:r w:rsidR="003466B8" w:rsidRPr="0068236B">
        <w:rPr>
          <w:rFonts w:eastAsia="Calibri" w:cs="Tahoma"/>
          <w:color w:val="000000"/>
          <w:sz w:val="20"/>
          <w:szCs w:val="20"/>
        </w:rPr>
        <w:t>e</w:t>
      </w:r>
      <w:r w:rsidR="003B46E3" w:rsidRPr="0068236B">
        <w:rPr>
          <w:rFonts w:eastAsia="Calibri" w:cs="Tahoma"/>
          <w:color w:val="000000"/>
          <w:sz w:val="20"/>
          <w:szCs w:val="20"/>
        </w:rPr>
        <w:t xml:space="preserve"> provided and due to the rapid attenuation of the EMF intensity over distance from the transmission equipment, </w:t>
      </w:r>
      <w:r w:rsidR="003B46E3" w:rsidRPr="0068236B">
        <w:rPr>
          <w:sz w:val="20"/>
        </w:rPr>
        <w:t xml:space="preserve">the exposure to EMF is likely to be experienced directly under the transmission line and at approx. </w:t>
      </w:r>
      <w:r w:rsidR="000B6536" w:rsidRPr="0068236B">
        <w:rPr>
          <w:sz w:val="20"/>
        </w:rPr>
        <w:t>5</w:t>
      </w:r>
      <w:r w:rsidR="00803C45" w:rsidRPr="0068236B">
        <w:rPr>
          <w:sz w:val="20"/>
        </w:rPr>
        <w:t xml:space="preserve"> metres </w:t>
      </w:r>
      <w:r w:rsidR="003B46E3" w:rsidRPr="0068236B">
        <w:rPr>
          <w:sz w:val="20"/>
        </w:rPr>
        <w:t xml:space="preserve">from the line the level of the EM radiation will be </w:t>
      </w:r>
      <w:r w:rsidR="00B90C1B" w:rsidRPr="0068236B">
        <w:rPr>
          <w:sz w:val="20"/>
        </w:rPr>
        <w:t xml:space="preserve">well </w:t>
      </w:r>
      <w:r w:rsidR="003B46E3" w:rsidRPr="0068236B">
        <w:rPr>
          <w:sz w:val="20"/>
        </w:rPr>
        <w:t xml:space="preserve">below </w:t>
      </w:r>
      <w:r w:rsidR="00A420D6" w:rsidRPr="0068236B">
        <w:rPr>
          <w:sz w:val="20"/>
        </w:rPr>
        <w:t xml:space="preserve">the public exposure limit </w:t>
      </w:r>
      <w:r w:rsidR="00A420D6" w:rsidRPr="0068236B">
        <w:rPr>
          <w:sz w:val="20"/>
          <w:szCs w:val="20"/>
        </w:rPr>
        <w:t>value</w:t>
      </w:r>
      <w:r w:rsidR="00914B66" w:rsidRPr="0068236B">
        <w:rPr>
          <w:sz w:val="20"/>
          <w:szCs w:val="20"/>
        </w:rPr>
        <w:t xml:space="preserve"> (Figure below)</w:t>
      </w:r>
      <w:r w:rsidR="003B46E3" w:rsidRPr="0068236B">
        <w:rPr>
          <w:sz w:val="20"/>
          <w:szCs w:val="20"/>
        </w:rPr>
        <w:t xml:space="preserve">. </w:t>
      </w:r>
    </w:p>
    <w:p w14:paraId="242F4398" w14:textId="77777777" w:rsidR="00AE5647" w:rsidRPr="0068236B" w:rsidRDefault="00AE5647" w:rsidP="00AE5647">
      <w:pPr>
        <w:spacing w:after="60"/>
        <w:jc w:val="left"/>
        <w:rPr>
          <w:rFonts w:cs="Arial"/>
          <w:sz w:val="18"/>
          <w:szCs w:val="18"/>
        </w:rPr>
      </w:pPr>
      <w:bookmarkStart w:id="559" w:name="_Toc112928898"/>
      <w:r w:rsidRPr="0068236B">
        <w:rPr>
          <w:sz w:val="18"/>
          <w:szCs w:val="18"/>
        </w:rPr>
        <w:t xml:space="preserve">Figure </w:t>
      </w:r>
      <w:r w:rsidRPr="0068236B">
        <w:rPr>
          <w:sz w:val="18"/>
          <w:szCs w:val="18"/>
        </w:rPr>
        <w:fldChar w:fldCharType="begin"/>
      </w:r>
      <w:r w:rsidRPr="0068236B">
        <w:rPr>
          <w:sz w:val="18"/>
          <w:szCs w:val="18"/>
        </w:rPr>
        <w:instrText xml:space="preserve"> STYLEREF 1 \s </w:instrText>
      </w:r>
      <w:r w:rsidRPr="0068236B">
        <w:rPr>
          <w:sz w:val="18"/>
          <w:szCs w:val="18"/>
        </w:rPr>
        <w:fldChar w:fldCharType="separate"/>
      </w:r>
      <w:r w:rsidR="00FD57E6">
        <w:rPr>
          <w:noProof/>
          <w:sz w:val="18"/>
          <w:szCs w:val="18"/>
        </w:rPr>
        <w:t>9</w:t>
      </w:r>
      <w:r w:rsidRPr="0068236B">
        <w:rPr>
          <w:sz w:val="18"/>
          <w:szCs w:val="18"/>
        </w:rPr>
        <w:fldChar w:fldCharType="end"/>
      </w:r>
      <w:r w:rsidRPr="0068236B">
        <w:rPr>
          <w:sz w:val="18"/>
          <w:szCs w:val="18"/>
        </w:rPr>
        <w:t>.</w:t>
      </w:r>
      <w:r w:rsidRPr="0068236B">
        <w:rPr>
          <w:sz w:val="18"/>
          <w:szCs w:val="18"/>
        </w:rPr>
        <w:fldChar w:fldCharType="begin"/>
      </w:r>
      <w:r w:rsidRPr="0068236B">
        <w:rPr>
          <w:sz w:val="18"/>
          <w:szCs w:val="18"/>
        </w:rPr>
        <w:instrText xml:space="preserve"> SEQ Figure \* ARABIC \s 1 </w:instrText>
      </w:r>
      <w:r w:rsidRPr="0068236B">
        <w:rPr>
          <w:sz w:val="18"/>
          <w:szCs w:val="18"/>
        </w:rPr>
        <w:fldChar w:fldCharType="separate"/>
      </w:r>
      <w:r w:rsidR="00FD57E6">
        <w:rPr>
          <w:noProof/>
          <w:sz w:val="18"/>
          <w:szCs w:val="18"/>
        </w:rPr>
        <w:t>1</w:t>
      </w:r>
      <w:r w:rsidRPr="0068236B">
        <w:rPr>
          <w:sz w:val="18"/>
          <w:szCs w:val="18"/>
        </w:rPr>
        <w:fldChar w:fldCharType="end"/>
      </w:r>
      <w:r w:rsidRPr="0068236B">
        <w:rPr>
          <w:sz w:val="18"/>
          <w:szCs w:val="18"/>
        </w:rPr>
        <w:t>:</w:t>
      </w:r>
      <w:r w:rsidRPr="0068236B">
        <w:rPr>
          <w:rFonts w:cs="Tahoma"/>
          <w:sz w:val="18"/>
          <w:szCs w:val="18"/>
        </w:rPr>
        <w:t xml:space="preserve"> Typical d</w:t>
      </w:r>
      <w:r w:rsidRPr="0068236B">
        <w:rPr>
          <w:rFonts w:cs="Arial"/>
          <w:sz w:val="18"/>
          <w:szCs w:val="18"/>
        </w:rPr>
        <w:t>iagrams of calculated values of electric and magnetic fields for an operational 110 kV transmission line at middle of the span</w:t>
      </w:r>
      <w:bookmarkEnd w:id="559"/>
    </w:p>
    <w:p w14:paraId="4440DB23" w14:textId="77777777" w:rsidR="00AE5647" w:rsidRPr="0068236B" w:rsidRDefault="00AE5647" w:rsidP="00AE5647">
      <w:pPr>
        <w:spacing w:before="0" w:after="0"/>
        <w:jc w:val="left"/>
        <w:rPr>
          <w:rFonts w:eastAsia="Calibri" w:cs="Arial"/>
          <w:bCs/>
          <w:sz w:val="16"/>
          <w:szCs w:val="16"/>
        </w:rPr>
      </w:pPr>
      <w:r w:rsidRPr="0068236B">
        <w:rPr>
          <w:rFonts w:eastAsia="Calibri" w:cs="Arial"/>
          <w:bCs/>
          <w:sz w:val="16"/>
          <w:szCs w:val="16"/>
        </w:rPr>
        <w:t>Note:</w:t>
      </w:r>
    </w:p>
    <w:p w14:paraId="07239B0B" w14:textId="77777777" w:rsidR="00AE5647" w:rsidRPr="0068236B" w:rsidRDefault="00AE5647" w:rsidP="00AE5647">
      <w:pPr>
        <w:spacing w:before="0" w:after="0"/>
        <w:jc w:val="left"/>
        <w:rPr>
          <w:rFonts w:eastAsia="Calibri" w:cs="Arial"/>
          <w:bCs/>
          <w:sz w:val="16"/>
          <w:szCs w:val="16"/>
        </w:rPr>
      </w:pPr>
      <w:r w:rsidRPr="0068236B">
        <w:rPr>
          <w:rFonts w:eastAsia="Calibri" w:cs="Arial"/>
          <w:bCs/>
          <w:sz w:val="16"/>
          <w:szCs w:val="16"/>
        </w:rPr>
        <w:t>(1) These calculations have been performed by using software package PLS-CADD for the following configuration:</w:t>
      </w:r>
    </w:p>
    <w:p w14:paraId="7BFFB9DA" w14:textId="1B0CB37C" w:rsidR="00AE5647" w:rsidRPr="0068236B" w:rsidRDefault="00AE5647" w:rsidP="00D24CEF">
      <w:pPr>
        <w:pStyle w:val="ListParagraph"/>
        <w:numPr>
          <w:ilvl w:val="0"/>
          <w:numId w:val="75"/>
        </w:numPr>
        <w:spacing w:before="0" w:after="0"/>
        <w:contextualSpacing w:val="0"/>
        <w:jc w:val="left"/>
        <w:rPr>
          <w:rFonts w:cs="Tahoma"/>
          <w:sz w:val="16"/>
          <w:szCs w:val="16"/>
        </w:rPr>
      </w:pPr>
      <w:r w:rsidRPr="0068236B">
        <w:rPr>
          <w:rFonts w:cs="Tahoma"/>
          <w:sz w:val="16"/>
          <w:szCs w:val="16"/>
        </w:rPr>
        <w:t>Basic span: 300 m; Tower type: angle tower UZ 30-60 (considered as mos</w:t>
      </w:r>
      <w:r w:rsidR="005E6643" w:rsidRPr="0068236B">
        <w:rPr>
          <w:rFonts w:cs="Tahoma"/>
          <w:sz w:val="16"/>
          <w:szCs w:val="16"/>
        </w:rPr>
        <w:t>t</w:t>
      </w:r>
      <w:r w:rsidRPr="0068236B">
        <w:rPr>
          <w:rFonts w:cs="Tahoma"/>
          <w:sz w:val="16"/>
          <w:szCs w:val="16"/>
        </w:rPr>
        <w:t xml:space="preserve"> unfavourable geometry of cross-arms in r</w:t>
      </w:r>
      <w:r w:rsidRPr="0068236B">
        <w:rPr>
          <w:rFonts w:cs="Tahoma"/>
          <w:sz w:val="16"/>
          <w:szCs w:val="16"/>
        </w:rPr>
        <w:t>e</w:t>
      </w:r>
      <w:r w:rsidRPr="0068236B">
        <w:rPr>
          <w:rFonts w:cs="Tahoma"/>
          <w:sz w:val="16"/>
          <w:szCs w:val="16"/>
        </w:rPr>
        <w:t xml:space="preserve">gard to EMF exposure risk; Tower height: 25 m; Vertical </w:t>
      </w:r>
      <w:r w:rsidR="005E6643" w:rsidRPr="0068236B">
        <w:rPr>
          <w:rFonts w:cs="Tahoma"/>
          <w:sz w:val="16"/>
          <w:szCs w:val="16"/>
        </w:rPr>
        <w:t>clearance</w:t>
      </w:r>
      <w:r w:rsidRPr="0068236B">
        <w:rPr>
          <w:rFonts w:cs="Tahoma"/>
          <w:sz w:val="16"/>
          <w:szCs w:val="16"/>
        </w:rPr>
        <w:t>: 6 m; Reference height for calculation: 1.8 m</w:t>
      </w:r>
    </w:p>
    <w:p w14:paraId="1C89DDA1" w14:textId="32513F31" w:rsidR="00AE5647" w:rsidRPr="0068236B" w:rsidRDefault="00F84AA9" w:rsidP="00F84AA9">
      <w:pPr>
        <w:pStyle w:val="ListParagraph"/>
        <w:spacing w:before="0" w:after="240"/>
        <w:ind w:left="0"/>
        <w:contextualSpacing w:val="0"/>
        <w:jc w:val="left"/>
        <w:rPr>
          <w:rFonts w:cs="Tahoma"/>
          <w:sz w:val="16"/>
          <w:szCs w:val="16"/>
        </w:rPr>
      </w:pPr>
      <w:r w:rsidRPr="0068236B">
        <w:rPr>
          <w:rFonts w:cs="Tahoma"/>
          <w:sz w:val="16"/>
          <w:szCs w:val="16"/>
        </w:rPr>
        <w:t xml:space="preserve">(2) </w:t>
      </w:r>
      <w:r w:rsidR="00AE5647" w:rsidRPr="0068236B">
        <w:rPr>
          <w:rFonts w:cs="Tahoma"/>
          <w:sz w:val="16"/>
          <w:szCs w:val="16"/>
        </w:rPr>
        <w:t xml:space="preserve">Results: Max EF: 2.135 kV/m at offset of 4.0 m from the OHL axes at the mid-span; Max MF: 18.77 </w:t>
      </w:r>
      <w:r w:rsidR="00AE5647" w:rsidRPr="0068236B">
        <w:rPr>
          <w:rFonts w:cs="Arial"/>
          <w:sz w:val="16"/>
          <w:szCs w:val="16"/>
        </w:rPr>
        <w:t>µT at offset of 3.0 m from OHL axes ate the mid-span.</w:t>
      </w:r>
    </w:p>
    <w:p w14:paraId="4C0587BF" w14:textId="66605D74" w:rsidR="00914B66" w:rsidRPr="0068236B" w:rsidRDefault="00914B66" w:rsidP="001216CE">
      <w:pPr>
        <w:autoSpaceDE w:val="0"/>
        <w:autoSpaceDN w:val="0"/>
        <w:adjustRightInd w:val="0"/>
        <w:rPr>
          <w:rFonts w:cs="Tahoma"/>
          <w:sz w:val="20"/>
          <w:szCs w:val="20"/>
        </w:rPr>
      </w:pPr>
      <w:r w:rsidRPr="0068236B">
        <w:rPr>
          <w:rFonts w:cs="Tahoma"/>
          <w:sz w:val="20"/>
          <w:szCs w:val="20"/>
        </w:rPr>
        <w:t xml:space="preserve">As there would be </w:t>
      </w:r>
      <w:r w:rsidR="0078074D" w:rsidRPr="0068236B">
        <w:rPr>
          <w:rFonts w:cs="Tahoma"/>
          <w:sz w:val="20"/>
          <w:szCs w:val="20"/>
        </w:rPr>
        <w:t xml:space="preserve">no </w:t>
      </w:r>
      <w:r w:rsidRPr="0068236B">
        <w:rPr>
          <w:sz w:val="20"/>
          <w:szCs w:val="20"/>
        </w:rPr>
        <w:t xml:space="preserve">development </w:t>
      </w:r>
      <w:r w:rsidR="0078074D" w:rsidRPr="0068236B">
        <w:rPr>
          <w:sz w:val="20"/>
          <w:szCs w:val="20"/>
        </w:rPr>
        <w:t xml:space="preserve">of any kind, </w:t>
      </w:r>
      <w:r w:rsidR="001473AE" w:rsidRPr="0068236B">
        <w:rPr>
          <w:sz w:val="20"/>
          <w:szCs w:val="20"/>
        </w:rPr>
        <w:t>including</w:t>
      </w:r>
      <w:r w:rsidR="0078074D" w:rsidRPr="0068236B">
        <w:rPr>
          <w:sz w:val="20"/>
          <w:szCs w:val="20"/>
        </w:rPr>
        <w:t xml:space="preserve"> construction of residential or other properties </w:t>
      </w:r>
      <w:r w:rsidRPr="0068236B">
        <w:rPr>
          <w:sz w:val="20"/>
          <w:szCs w:val="20"/>
        </w:rPr>
        <w:t xml:space="preserve">(houses and facilities) in the </w:t>
      </w:r>
      <w:r w:rsidR="0078074D" w:rsidRPr="0068236B">
        <w:rPr>
          <w:sz w:val="20"/>
          <w:szCs w:val="20"/>
        </w:rPr>
        <w:t>safety zone</w:t>
      </w:r>
      <w:r w:rsidR="001216CE" w:rsidRPr="0068236B">
        <w:rPr>
          <w:sz w:val="20"/>
          <w:szCs w:val="20"/>
        </w:rPr>
        <w:t xml:space="preserve"> along the line(s)</w:t>
      </w:r>
      <w:r w:rsidR="0078074D" w:rsidRPr="0068236B">
        <w:rPr>
          <w:sz w:val="20"/>
          <w:szCs w:val="20"/>
        </w:rPr>
        <w:t xml:space="preserve"> (</w:t>
      </w:r>
      <w:r w:rsidR="001216CE" w:rsidRPr="0068236B">
        <w:rPr>
          <w:sz w:val="20"/>
          <w:szCs w:val="20"/>
        </w:rPr>
        <w:t xml:space="preserve">a 20 metres wide </w:t>
      </w:r>
      <w:r w:rsidRPr="0068236B">
        <w:rPr>
          <w:sz w:val="20"/>
          <w:szCs w:val="20"/>
        </w:rPr>
        <w:t>RoW</w:t>
      </w:r>
      <w:r w:rsidR="0078074D" w:rsidRPr="0068236B">
        <w:rPr>
          <w:sz w:val="20"/>
          <w:szCs w:val="20"/>
        </w:rPr>
        <w:t>)</w:t>
      </w:r>
      <w:r w:rsidR="001216CE" w:rsidRPr="0068236B">
        <w:rPr>
          <w:rStyle w:val="FootnoteReference"/>
          <w:sz w:val="20"/>
          <w:szCs w:val="20"/>
        </w:rPr>
        <w:footnoteReference w:id="145"/>
      </w:r>
      <w:r w:rsidR="0078074D" w:rsidRPr="0068236B">
        <w:rPr>
          <w:sz w:val="20"/>
          <w:szCs w:val="20"/>
        </w:rPr>
        <w:t xml:space="preserve"> </w:t>
      </w:r>
      <w:r w:rsidR="00A56F4D" w:rsidRPr="0068236B">
        <w:rPr>
          <w:sz w:val="20"/>
          <w:szCs w:val="20"/>
        </w:rPr>
        <w:t>and due to the fact that the line</w:t>
      </w:r>
      <w:r w:rsidR="001473AE" w:rsidRPr="0068236B">
        <w:rPr>
          <w:sz w:val="20"/>
          <w:szCs w:val="20"/>
        </w:rPr>
        <w:t>s</w:t>
      </w:r>
      <w:r w:rsidR="00A56F4D" w:rsidRPr="0068236B">
        <w:rPr>
          <w:sz w:val="20"/>
          <w:szCs w:val="20"/>
        </w:rPr>
        <w:t xml:space="preserve"> do not pass through or near residential zones, </w:t>
      </w:r>
      <w:r w:rsidRPr="0068236B">
        <w:rPr>
          <w:rFonts w:cs="Tahoma"/>
          <w:sz w:val="20"/>
          <w:szCs w:val="20"/>
        </w:rPr>
        <w:t>there can be no exceedance of the long-term public exposure limits to electric field and magnetic induction and no significant direct impact to sensitive receptors during the operational phase of the transmission line</w:t>
      </w:r>
      <w:r w:rsidR="001473AE" w:rsidRPr="0068236B">
        <w:rPr>
          <w:rFonts w:cs="Tahoma"/>
          <w:sz w:val="20"/>
          <w:szCs w:val="20"/>
        </w:rPr>
        <w:t>s</w:t>
      </w:r>
      <w:r w:rsidRPr="0068236B">
        <w:rPr>
          <w:rFonts w:cs="Tahoma"/>
          <w:sz w:val="20"/>
          <w:szCs w:val="20"/>
        </w:rPr>
        <w:t xml:space="preserve">. </w:t>
      </w:r>
    </w:p>
    <w:p w14:paraId="52C50340" w14:textId="77777777" w:rsidR="00EB5EEF" w:rsidRPr="0068236B" w:rsidRDefault="00EB5EEF">
      <w:pPr>
        <w:spacing w:before="0" w:after="0" w:line="240" w:lineRule="auto"/>
        <w:jc w:val="left"/>
        <w:rPr>
          <w:sz w:val="20"/>
        </w:rPr>
      </w:pPr>
      <w:r w:rsidRPr="0068236B">
        <w:rPr>
          <w:sz w:val="20"/>
        </w:rPr>
        <w:br w:type="page"/>
      </w:r>
    </w:p>
    <w:p w14:paraId="4CBED1C7" w14:textId="5F76270D" w:rsidR="00914B66" w:rsidRPr="0068236B" w:rsidRDefault="00914B66" w:rsidP="00D24CEF">
      <w:pPr>
        <w:pStyle w:val="ListBullet"/>
        <w:numPr>
          <w:ilvl w:val="0"/>
          <w:numId w:val="97"/>
        </w:numPr>
        <w:jc w:val="left"/>
        <w:rPr>
          <w:rFonts w:cs="Arial"/>
          <w:sz w:val="20"/>
          <w:szCs w:val="20"/>
        </w:rPr>
      </w:pPr>
      <w:r w:rsidRPr="0068236B">
        <w:rPr>
          <w:sz w:val="20"/>
        </w:rPr>
        <w:lastRenderedPageBreak/>
        <w:t>Operational 400/110 kV substation</w:t>
      </w:r>
    </w:p>
    <w:p w14:paraId="6240B7DD" w14:textId="77777777" w:rsidR="00ED7E50" w:rsidRPr="0068236B" w:rsidRDefault="00ED7E50" w:rsidP="00ED7E50">
      <w:pPr>
        <w:autoSpaceDE w:val="0"/>
        <w:autoSpaceDN w:val="0"/>
        <w:adjustRightInd w:val="0"/>
        <w:rPr>
          <w:rFonts w:eastAsia="Calibri"/>
          <w:color w:val="000000"/>
          <w:sz w:val="20"/>
          <w:szCs w:val="20"/>
        </w:rPr>
      </w:pPr>
      <w:r w:rsidRPr="0068236B">
        <w:rPr>
          <w:rFonts w:eastAsia="Calibri"/>
          <w:color w:val="000000"/>
          <w:sz w:val="20"/>
          <w:szCs w:val="20"/>
        </w:rPr>
        <w:t xml:space="preserve">For substations, the highest fields found round the perimeter are normally those produced by the overhead lines entering or leaving the substation. The fields produced by the equipment within the substation are generally rather smaller. </w:t>
      </w:r>
    </w:p>
    <w:p w14:paraId="45034754" w14:textId="5699A1CE" w:rsidR="00ED7E50" w:rsidRPr="0068236B" w:rsidRDefault="00ED7E50" w:rsidP="00B769DB">
      <w:pPr>
        <w:autoSpaceDE w:val="0"/>
        <w:autoSpaceDN w:val="0"/>
        <w:adjustRightInd w:val="0"/>
        <w:rPr>
          <w:rFonts w:eastAsia="Calibri"/>
          <w:color w:val="000000"/>
          <w:sz w:val="20"/>
          <w:szCs w:val="20"/>
        </w:rPr>
      </w:pPr>
      <w:r w:rsidRPr="0068236B">
        <w:rPr>
          <w:rFonts w:eastAsia="Calibri"/>
          <w:color w:val="000000"/>
          <w:sz w:val="20"/>
          <w:szCs w:val="20"/>
        </w:rPr>
        <w:t xml:space="preserve">Past research and measurements of the EMF associated with similar substations as the proposed new 400/110 kV substation have shown that on height between 1.5 and 2 </w:t>
      </w:r>
      <w:r w:rsidR="00B769DB" w:rsidRPr="0068236B">
        <w:rPr>
          <w:rFonts w:eastAsia="Calibri"/>
          <w:color w:val="000000"/>
          <w:sz w:val="20"/>
          <w:szCs w:val="20"/>
        </w:rPr>
        <w:t>metres</w:t>
      </w:r>
      <w:r w:rsidRPr="0068236B">
        <w:rPr>
          <w:rFonts w:eastAsia="Calibri"/>
          <w:color w:val="000000"/>
          <w:sz w:val="20"/>
          <w:szCs w:val="20"/>
        </w:rPr>
        <w:t xml:space="preserve"> from the ground on critical locations in the substation (such as switch gear), the highest values of the electric </w:t>
      </w:r>
      <w:r w:rsidR="00B769DB" w:rsidRPr="0068236B">
        <w:rPr>
          <w:rFonts w:eastAsia="Calibri"/>
          <w:color w:val="000000"/>
          <w:sz w:val="20"/>
          <w:szCs w:val="20"/>
        </w:rPr>
        <w:t>field is around 10 kV/m</w:t>
      </w:r>
      <w:r w:rsidRPr="0068236B">
        <w:rPr>
          <w:rFonts w:eastAsia="Calibri"/>
          <w:color w:val="000000"/>
          <w:sz w:val="20"/>
          <w:szCs w:val="20"/>
        </w:rPr>
        <w:t>. Hence, these values attenuate intensively with distance from the electrical equipment and on the edge of the equipment bays they are below 5 kV/m and on the substation perimeter the fall to value between 1 to 2 kV/m, which is below limit values for exposure.</w:t>
      </w:r>
    </w:p>
    <w:p w14:paraId="4D88A8A5" w14:textId="77777777" w:rsidR="00ED7E50" w:rsidRPr="0068236B" w:rsidRDefault="00ED7E50" w:rsidP="00B769DB">
      <w:pPr>
        <w:autoSpaceDE w:val="0"/>
        <w:autoSpaceDN w:val="0"/>
        <w:adjustRightInd w:val="0"/>
        <w:rPr>
          <w:rFonts w:eastAsia="Calibri"/>
          <w:color w:val="000000"/>
          <w:sz w:val="20"/>
          <w:szCs w:val="20"/>
        </w:rPr>
      </w:pPr>
      <w:r w:rsidRPr="0068236B">
        <w:rPr>
          <w:rFonts w:eastAsia="Calibri"/>
          <w:color w:val="000000"/>
          <w:sz w:val="20"/>
          <w:szCs w:val="20"/>
        </w:rPr>
        <w:t xml:space="preserve">The magnetic field generated in a substation attenuates much intensively than the electric field and on the substation perimeter they values are close to zero. </w:t>
      </w:r>
    </w:p>
    <w:p w14:paraId="393EE429" w14:textId="3EADC3E0" w:rsidR="003B46E3" w:rsidRPr="0068236B" w:rsidRDefault="003B46E3" w:rsidP="003B46E3">
      <w:pPr>
        <w:autoSpaceDE w:val="0"/>
        <w:autoSpaceDN w:val="0"/>
        <w:adjustRightInd w:val="0"/>
        <w:rPr>
          <w:rFonts w:eastAsia="Calibri" w:cs="Tahoma"/>
          <w:color w:val="000000"/>
          <w:sz w:val="20"/>
          <w:szCs w:val="20"/>
        </w:rPr>
      </w:pPr>
      <w:r w:rsidRPr="0068236B">
        <w:rPr>
          <w:rFonts w:eastAsia="Calibri"/>
          <w:color w:val="000000"/>
          <w:sz w:val="20"/>
        </w:rPr>
        <w:t xml:space="preserve">A safety zone in range </w:t>
      </w:r>
      <w:r w:rsidR="00C3061A" w:rsidRPr="0068236B">
        <w:rPr>
          <w:rFonts w:eastAsia="Calibri"/>
          <w:color w:val="000000"/>
          <w:sz w:val="20"/>
        </w:rPr>
        <w:t>of min</w:t>
      </w:r>
      <w:r w:rsidR="00CA3EAD" w:rsidRPr="0068236B">
        <w:rPr>
          <w:rFonts w:eastAsia="Calibri"/>
          <w:color w:val="000000"/>
          <w:sz w:val="20"/>
        </w:rPr>
        <w:t>imum</w:t>
      </w:r>
      <w:r w:rsidRPr="0068236B">
        <w:rPr>
          <w:rFonts w:eastAsia="Calibri"/>
          <w:color w:val="000000"/>
          <w:sz w:val="20"/>
        </w:rPr>
        <w:t xml:space="preserve"> 5</w:t>
      </w:r>
      <w:r w:rsidR="00B90C1B" w:rsidRPr="0068236B">
        <w:rPr>
          <w:rFonts w:eastAsia="Calibri"/>
          <w:color w:val="000000"/>
          <w:sz w:val="20"/>
        </w:rPr>
        <w:t xml:space="preserve"> met</w:t>
      </w:r>
      <w:r w:rsidRPr="0068236B">
        <w:rPr>
          <w:rFonts w:eastAsia="Calibri"/>
          <w:color w:val="000000"/>
          <w:sz w:val="20"/>
        </w:rPr>
        <w:t>r</w:t>
      </w:r>
      <w:r w:rsidR="00B90C1B" w:rsidRPr="0068236B">
        <w:rPr>
          <w:rFonts w:eastAsia="Calibri"/>
          <w:color w:val="000000"/>
          <w:sz w:val="20"/>
        </w:rPr>
        <w:t>e</w:t>
      </w:r>
      <w:r w:rsidRPr="0068236B">
        <w:rPr>
          <w:rFonts w:eastAsia="Calibri"/>
          <w:color w:val="000000"/>
          <w:sz w:val="20"/>
        </w:rPr>
        <w:t>s around the substation perimeter will be established thus ensu</w:t>
      </w:r>
      <w:r w:rsidRPr="0068236B">
        <w:rPr>
          <w:rFonts w:eastAsia="Calibri"/>
          <w:color w:val="000000"/>
          <w:sz w:val="20"/>
        </w:rPr>
        <w:t>r</w:t>
      </w:r>
      <w:r w:rsidRPr="0068236B">
        <w:rPr>
          <w:rFonts w:eastAsia="Calibri"/>
          <w:color w:val="000000"/>
          <w:sz w:val="20"/>
        </w:rPr>
        <w:t xml:space="preserve">ing that EMF values in public accessible areas are well below the limit values. </w:t>
      </w:r>
      <w:r w:rsidRPr="0068236B">
        <w:rPr>
          <w:sz w:val="20"/>
        </w:rPr>
        <w:t xml:space="preserve">Therefore, </w:t>
      </w:r>
      <w:r w:rsidR="00B769DB" w:rsidRPr="0068236B">
        <w:rPr>
          <w:sz w:val="20"/>
        </w:rPr>
        <w:t xml:space="preserve">and due to the fact that no residential or other properties are located in proximity to the substation location, </w:t>
      </w:r>
      <w:r w:rsidRPr="0068236B">
        <w:rPr>
          <w:rFonts w:eastAsia="Calibri" w:cs="Tahoma"/>
          <w:color w:val="000000"/>
          <w:sz w:val="20"/>
          <w:szCs w:val="20"/>
        </w:rPr>
        <w:t xml:space="preserve">the risk to human health from the electro-magnetic radiation during the operational phase of the </w:t>
      </w:r>
      <w:r w:rsidR="00B769DB" w:rsidRPr="0068236B">
        <w:rPr>
          <w:rFonts w:eastAsia="Calibri" w:cs="Tahoma"/>
          <w:color w:val="000000"/>
          <w:sz w:val="20"/>
          <w:szCs w:val="20"/>
        </w:rPr>
        <w:t>new substation</w:t>
      </w:r>
      <w:r w:rsidRPr="0068236B">
        <w:rPr>
          <w:rFonts w:eastAsia="Calibri" w:cs="Tahoma"/>
          <w:color w:val="000000"/>
          <w:sz w:val="20"/>
          <w:szCs w:val="20"/>
        </w:rPr>
        <w:t xml:space="preserve"> is considered as </w:t>
      </w:r>
      <w:r w:rsidRPr="0068236B">
        <w:rPr>
          <w:iCs/>
          <w:sz w:val="20"/>
        </w:rPr>
        <w:t>negligible</w:t>
      </w:r>
      <w:r w:rsidRPr="0068236B">
        <w:rPr>
          <w:rFonts w:eastAsia="Calibri" w:cs="Tahoma"/>
          <w:color w:val="000000"/>
          <w:sz w:val="20"/>
          <w:szCs w:val="20"/>
        </w:rPr>
        <w:t>.</w:t>
      </w:r>
    </w:p>
    <w:p w14:paraId="138AE9D4" w14:textId="77777777" w:rsidR="00C3061A" w:rsidRPr="0068236B" w:rsidRDefault="00C3061A" w:rsidP="00C3061A">
      <w:pPr>
        <w:pStyle w:val="Heading4"/>
        <w:rPr>
          <w:sz w:val="20"/>
          <w:szCs w:val="20"/>
        </w:rPr>
      </w:pPr>
      <w:r w:rsidRPr="0068236B">
        <w:rPr>
          <w:sz w:val="20"/>
          <w:szCs w:val="20"/>
        </w:rPr>
        <w:t>Potential Impacts</w:t>
      </w:r>
    </w:p>
    <w:p w14:paraId="6818061E" w14:textId="1104E848" w:rsidR="00C3061A" w:rsidRPr="0068236B" w:rsidRDefault="00C3061A" w:rsidP="00C3061A">
      <w:pPr>
        <w:autoSpaceDE w:val="0"/>
        <w:autoSpaceDN w:val="0"/>
        <w:adjustRightInd w:val="0"/>
        <w:rPr>
          <w:rFonts w:eastAsia="Calibri"/>
          <w:color w:val="000000"/>
          <w:sz w:val="20"/>
          <w:szCs w:val="20"/>
        </w:rPr>
      </w:pPr>
      <w:r w:rsidRPr="0068236B">
        <w:rPr>
          <w:rFonts w:eastAsia="Calibri"/>
          <w:color w:val="000000"/>
          <w:sz w:val="20"/>
          <w:szCs w:val="20"/>
        </w:rPr>
        <w:t>In terms of the potential impacts on human health from an operating transmission line or substation equi</w:t>
      </w:r>
      <w:r w:rsidRPr="0068236B">
        <w:rPr>
          <w:rFonts w:eastAsia="Calibri"/>
          <w:color w:val="000000"/>
          <w:sz w:val="20"/>
          <w:szCs w:val="20"/>
        </w:rPr>
        <w:t>p</w:t>
      </w:r>
      <w:r w:rsidRPr="0068236B">
        <w:rPr>
          <w:rFonts w:eastAsia="Calibri"/>
          <w:color w:val="000000"/>
          <w:sz w:val="20"/>
          <w:szCs w:val="20"/>
        </w:rPr>
        <w:t xml:space="preserve">ment, based on the above presented fields magnitudes, the intensity of an electric field is considered as more dominant parameter than the intensity of a magnetic field. </w:t>
      </w:r>
    </w:p>
    <w:p w14:paraId="53392BE0" w14:textId="77777777" w:rsidR="00C3061A" w:rsidRPr="0068236B" w:rsidRDefault="00C3061A" w:rsidP="00C3061A">
      <w:pPr>
        <w:autoSpaceDE w:val="0"/>
        <w:autoSpaceDN w:val="0"/>
        <w:adjustRightInd w:val="0"/>
        <w:rPr>
          <w:rFonts w:cs="Tahoma"/>
          <w:sz w:val="20"/>
          <w:szCs w:val="20"/>
        </w:rPr>
      </w:pPr>
      <w:r w:rsidRPr="0068236B">
        <w:rPr>
          <w:rFonts w:cs="Tahoma"/>
          <w:sz w:val="20"/>
          <w:szCs w:val="20"/>
        </w:rPr>
        <w:t>A person standing in the electric field beneath or close to an operational transmission line or substation el</w:t>
      </w:r>
      <w:r w:rsidRPr="0068236B">
        <w:rPr>
          <w:rFonts w:cs="Tahoma"/>
          <w:sz w:val="20"/>
          <w:szCs w:val="20"/>
        </w:rPr>
        <w:t>e</w:t>
      </w:r>
      <w:r w:rsidRPr="0068236B">
        <w:rPr>
          <w:rFonts w:cs="Tahoma"/>
          <w:sz w:val="20"/>
          <w:szCs w:val="20"/>
        </w:rPr>
        <w:t>ments will have an alternating surface charge induced on his or her body and an associated alternating cu</w:t>
      </w:r>
      <w:r w:rsidRPr="0068236B">
        <w:rPr>
          <w:rFonts w:cs="Tahoma"/>
          <w:sz w:val="20"/>
          <w:szCs w:val="20"/>
        </w:rPr>
        <w:t>r</w:t>
      </w:r>
      <w:r w:rsidRPr="0068236B">
        <w:rPr>
          <w:rFonts w:cs="Tahoma"/>
          <w:sz w:val="20"/>
          <w:szCs w:val="20"/>
        </w:rPr>
        <w:t>rent induced within the body. Over the past 20 years, it has been suggested that exposure to power-frequency magnetic or electric fields of the magnitude encountered in the environment could be linked with various health problems, ranging from headaches to Alzheimer's disease. The most persistent of these su</w:t>
      </w:r>
      <w:r w:rsidRPr="0068236B">
        <w:rPr>
          <w:rFonts w:cs="Tahoma"/>
          <w:sz w:val="20"/>
          <w:szCs w:val="20"/>
        </w:rPr>
        <w:t>g</w:t>
      </w:r>
      <w:r w:rsidRPr="0068236B">
        <w:rPr>
          <w:rFonts w:cs="Tahoma"/>
          <w:sz w:val="20"/>
          <w:szCs w:val="20"/>
        </w:rPr>
        <w:t>gestions relates to childhood cancers.</w:t>
      </w:r>
    </w:p>
    <w:p w14:paraId="5355239D" w14:textId="77777777" w:rsidR="00C3061A" w:rsidRPr="0068236B" w:rsidRDefault="00C3061A" w:rsidP="00C3061A">
      <w:pPr>
        <w:autoSpaceDE w:val="0"/>
        <w:autoSpaceDN w:val="0"/>
        <w:adjustRightInd w:val="0"/>
        <w:rPr>
          <w:rFonts w:cs="Tahoma"/>
          <w:sz w:val="20"/>
          <w:szCs w:val="20"/>
        </w:rPr>
      </w:pPr>
      <w:r w:rsidRPr="0068236B">
        <w:rPr>
          <w:rFonts w:cs="Tahoma"/>
          <w:sz w:val="20"/>
          <w:szCs w:val="20"/>
        </w:rPr>
        <w:t>A number of epidemiological studies have suggested an association between the incidence of childhood ca</w:t>
      </w:r>
      <w:r w:rsidRPr="0068236B">
        <w:rPr>
          <w:rFonts w:cs="Tahoma"/>
          <w:sz w:val="20"/>
          <w:szCs w:val="20"/>
        </w:rPr>
        <w:t>n</w:t>
      </w:r>
      <w:r w:rsidRPr="0068236B">
        <w:rPr>
          <w:rFonts w:cs="Tahoma"/>
          <w:sz w:val="20"/>
          <w:szCs w:val="20"/>
        </w:rPr>
        <w:t>cers and the proximity of homes to power transmission wires. Other studies, notably the world’s largest ever study of its type, conducted in the Great Britain during the 1990s, have failed to confirm such associations, but the statistical association remains. However, no causal link has been established between cancer or any other disease and EMF and indeed there is no established mechanism by which these fields could cause or promote the disease.</w:t>
      </w:r>
    </w:p>
    <w:p w14:paraId="3CC3CF83" w14:textId="77777777" w:rsidR="003B46E3" w:rsidRPr="0068236B" w:rsidRDefault="003B46E3" w:rsidP="003B46E3">
      <w:pPr>
        <w:pStyle w:val="Heading4"/>
        <w:ind w:hanging="1374"/>
        <w:rPr>
          <w:sz w:val="20"/>
        </w:rPr>
      </w:pPr>
      <w:r w:rsidRPr="0068236B">
        <w:rPr>
          <w:sz w:val="20"/>
        </w:rPr>
        <w:t>Mitigation</w:t>
      </w:r>
    </w:p>
    <w:p w14:paraId="7E9A052E" w14:textId="1BB5FCFD" w:rsidR="003B46E3" w:rsidRPr="0068236B" w:rsidRDefault="003B46E3" w:rsidP="00B769DB">
      <w:pPr>
        <w:widowControl w:val="0"/>
        <w:tabs>
          <w:tab w:val="left" w:pos="993"/>
        </w:tabs>
        <w:autoSpaceDE w:val="0"/>
        <w:autoSpaceDN w:val="0"/>
        <w:adjustRightInd w:val="0"/>
        <w:rPr>
          <w:rFonts w:cs="Arial"/>
          <w:sz w:val="20"/>
          <w:szCs w:val="20"/>
        </w:rPr>
      </w:pPr>
      <w:r w:rsidRPr="0068236B">
        <w:rPr>
          <w:rFonts w:cs="Tahoma"/>
          <w:sz w:val="20"/>
          <w:szCs w:val="20"/>
          <w:lang w:eastAsia="en-US"/>
        </w:rPr>
        <w:t>The Project to date has been inherently designed to avoid the public exposure to electric and magne</w:t>
      </w:r>
      <w:r w:rsidR="00B769DB" w:rsidRPr="0068236B">
        <w:rPr>
          <w:rFonts w:cs="Tahoma"/>
          <w:sz w:val="20"/>
          <w:szCs w:val="20"/>
          <w:lang w:eastAsia="en-US"/>
        </w:rPr>
        <w:t xml:space="preserve">tic fields from its future use and </w:t>
      </w:r>
      <w:r w:rsidRPr="0068236B">
        <w:rPr>
          <w:rFonts w:cs="Tahoma"/>
          <w:sz w:val="20"/>
          <w:szCs w:val="20"/>
          <w:lang w:eastAsia="en-US"/>
        </w:rPr>
        <w:t xml:space="preserve">would be further designed to mitigate the public exposure to EM radiation. Potential impacts on human health as a result of the EMF would be mitigated through the further design </w:t>
      </w:r>
      <w:r w:rsidR="00CA3EAD" w:rsidRPr="0068236B">
        <w:rPr>
          <w:rFonts w:cs="Tahoma"/>
          <w:sz w:val="20"/>
          <w:szCs w:val="20"/>
          <w:lang w:eastAsia="en-US"/>
        </w:rPr>
        <w:t>and oper</w:t>
      </w:r>
      <w:r w:rsidR="00CA3EAD" w:rsidRPr="0068236B">
        <w:rPr>
          <w:rFonts w:cs="Tahoma"/>
          <w:sz w:val="20"/>
          <w:szCs w:val="20"/>
          <w:lang w:eastAsia="en-US"/>
        </w:rPr>
        <w:t>a</w:t>
      </w:r>
      <w:r w:rsidR="00CA3EAD" w:rsidRPr="0068236B">
        <w:rPr>
          <w:rFonts w:cs="Tahoma"/>
          <w:sz w:val="20"/>
          <w:szCs w:val="20"/>
          <w:lang w:eastAsia="en-US"/>
        </w:rPr>
        <w:t xml:space="preserve">tion </w:t>
      </w:r>
      <w:r w:rsidRPr="0068236B">
        <w:rPr>
          <w:rFonts w:cs="Tahoma"/>
          <w:sz w:val="20"/>
          <w:szCs w:val="20"/>
          <w:lang w:eastAsia="en-US"/>
        </w:rPr>
        <w:t>of the Project, at a minimum</w:t>
      </w:r>
      <w:r w:rsidRPr="0068236B">
        <w:rPr>
          <w:rFonts w:cs="Arial"/>
          <w:sz w:val="20"/>
          <w:szCs w:val="20"/>
        </w:rPr>
        <w:t>:</w:t>
      </w:r>
    </w:p>
    <w:p w14:paraId="43A45FBA" w14:textId="77777777" w:rsidR="003B46E3" w:rsidRPr="0068236B" w:rsidRDefault="003B46E3" w:rsidP="00D24CEF">
      <w:pPr>
        <w:pStyle w:val="ListBullet"/>
        <w:numPr>
          <w:ilvl w:val="0"/>
          <w:numId w:val="97"/>
        </w:numPr>
        <w:jc w:val="left"/>
        <w:rPr>
          <w:sz w:val="20"/>
        </w:rPr>
      </w:pPr>
      <w:r w:rsidRPr="0068236B">
        <w:rPr>
          <w:sz w:val="20"/>
        </w:rPr>
        <w:t>Incorporation of respective design parameters for the minimum conductor vertical clearance i</w:t>
      </w:r>
      <w:r w:rsidRPr="0068236B">
        <w:rPr>
          <w:sz w:val="20"/>
        </w:rPr>
        <w:t>n</w:t>
      </w:r>
      <w:r w:rsidRPr="0068236B">
        <w:rPr>
          <w:sz w:val="20"/>
        </w:rPr>
        <w:t>to the Project design.</w:t>
      </w:r>
    </w:p>
    <w:p w14:paraId="13F9293B" w14:textId="2FB73CA5" w:rsidR="003B46E3" w:rsidRPr="0068236B" w:rsidRDefault="003B46E3" w:rsidP="00D24CEF">
      <w:pPr>
        <w:pStyle w:val="ListBullet"/>
        <w:numPr>
          <w:ilvl w:val="0"/>
          <w:numId w:val="97"/>
        </w:numPr>
        <w:jc w:val="left"/>
        <w:rPr>
          <w:rFonts w:cs="Arial"/>
          <w:sz w:val="20"/>
        </w:rPr>
      </w:pPr>
      <w:r w:rsidRPr="0068236B">
        <w:rPr>
          <w:sz w:val="20"/>
        </w:rPr>
        <w:t xml:space="preserve">Establish safety corridor along the path of the transmission line according with the requirements of the relevant </w:t>
      </w:r>
      <w:r w:rsidR="00B769DB" w:rsidRPr="0068236B">
        <w:rPr>
          <w:sz w:val="20"/>
        </w:rPr>
        <w:t>Macedonian</w:t>
      </w:r>
      <w:r w:rsidRPr="0068236B">
        <w:rPr>
          <w:sz w:val="20"/>
        </w:rPr>
        <w:t xml:space="preserve"> legislation. </w:t>
      </w:r>
      <w:r w:rsidRPr="0068236B">
        <w:rPr>
          <w:rFonts w:cs="Tahoma"/>
          <w:sz w:val="20"/>
        </w:rPr>
        <w:t xml:space="preserve">As there would be </w:t>
      </w:r>
      <w:r w:rsidR="00B769DB" w:rsidRPr="0068236B">
        <w:rPr>
          <w:rFonts w:cs="Tahoma"/>
          <w:sz w:val="20"/>
        </w:rPr>
        <w:t>no development</w:t>
      </w:r>
      <w:r w:rsidRPr="0068236B">
        <w:rPr>
          <w:rFonts w:cs="Tahoma"/>
          <w:sz w:val="20"/>
        </w:rPr>
        <w:t xml:space="preserve"> within the safety co</w:t>
      </w:r>
      <w:r w:rsidRPr="0068236B">
        <w:rPr>
          <w:rFonts w:cs="Tahoma"/>
          <w:sz w:val="20"/>
        </w:rPr>
        <w:t>r</w:t>
      </w:r>
      <w:r w:rsidRPr="0068236B">
        <w:rPr>
          <w:rFonts w:cs="Tahoma"/>
          <w:sz w:val="20"/>
        </w:rPr>
        <w:t>ridor, exceedance of the long-term public exposure limits to electric field and magnetic indu</w:t>
      </w:r>
      <w:r w:rsidRPr="0068236B">
        <w:rPr>
          <w:rFonts w:cs="Tahoma"/>
          <w:sz w:val="20"/>
        </w:rPr>
        <w:t>c</w:t>
      </w:r>
      <w:r w:rsidRPr="0068236B">
        <w:rPr>
          <w:rFonts w:cs="Tahoma"/>
          <w:sz w:val="20"/>
        </w:rPr>
        <w:lastRenderedPageBreak/>
        <w:t xml:space="preserve">tion and significant direct environmental impact to sensitive receptors during the operational phase of the </w:t>
      </w:r>
      <w:r w:rsidR="00B769DB" w:rsidRPr="0068236B">
        <w:rPr>
          <w:rFonts w:cs="Tahoma"/>
          <w:sz w:val="20"/>
        </w:rPr>
        <w:t>Project</w:t>
      </w:r>
      <w:r w:rsidRPr="0068236B">
        <w:rPr>
          <w:rFonts w:cs="Tahoma"/>
          <w:sz w:val="20"/>
        </w:rPr>
        <w:t xml:space="preserve"> is unlikely.</w:t>
      </w:r>
    </w:p>
    <w:p w14:paraId="5725B23D" w14:textId="22651A7D" w:rsidR="003B46E3" w:rsidRPr="0068236B" w:rsidRDefault="003B46E3" w:rsidP="003B46E3">
      <w:pPr>
        <w:rPr>
          <w:rFonts w:cs="Arial"/>
          <w:sz w:val="20"/>
          <w:szCs w:val="20"/>
        </w:rPr>
      </w:pPr>
      <w:r w:rsidRPr="0068236B">
        <w:rPr>
          <w:rFonts w:cs="Arial"/>
          <w:sz w:val="20"/>
          <w:szCs w:val="20"/>
        </w:rPr>
        <w:t>EMF will have no effect on agricultural workers who will not be exposed for long periods every day, or on domestic animals that graze under or near the transmission line</w:t>
      </w:r>
      <w:r w:rsidR="00CA3EAD" w:rsidRPr="0068236B">
        <w:rPr>
          <w:rFonts w:cs="Arial"/>
          <w:sz w:val="20"/>
          <w:szCs w:val="20"/>
        </w:rPr>
        <w:t>(s)</w:t>
      </w:r>
      <w:r w:rsidRPr="0068236B">
        <w:rPr>
          <w:rFonts w:cs="Arial"/>
          <w:sz w:val="20"/>
          <w:szCs w:val="20"/>
        </w:rPr>
        <w:t>. Therefore, no restriction of agricultural activities below or in vicinity to the Project would need to be imposed.</w:t>
      </w:r>
    </w:p>
    <w:p w14:paraId="5C33BB54" w14:textId="77777777" w:rsidR="003B46E3" w:rsidRPr="0068236B" w:rsidRDefault="003B46E3" w:rsidP="003B46E3">
      <w:pPr>
        <w:pStyle w:val="Heading4"/>
        <w:rPr>
          <w:sz w:val="20"/>
        </w:rPr>
      </w:pPr>
      <w:r w:rsidRPr="0068236B">
        <w:rPr>
          <w:sz w:val="20"/>
        </w:rPr>
        <w:t>Residual Impacts</w:t>
      </w:r>
    </w:p>
    <w:p w14:paraId="47A6784E" w14:textId="77777777" w:rsidR="003B46E3" w:rsidRPr="0068236B" w:rsidRDefault="003B46E3" w:rsidP="003B46E3">
      <w:pPr>
        <w:autoSpaceDE w:val="0"/>
        <w:autoSpaceDN w:val="0"/>
        <w:adjustRightInd w:val="0"/>
        <w:rPr>
          <w:rFonts w:cs="Tahoma"/>
          <w:sz w:val="20"/>
          <w:szCs w:val="20"/>
          <w:lang w:eastAsia="en-US"/>
        </w:rPr>
      </w:pPr>
      <w:r w:rsidRPr="0068236B">
        <w:rPr>
          <w:rFonts w:cs="Tahoma"/>
          <w:sz w:val="20"/>
          <w:szCs w:val="20"/>
          <w:lang w:eastAsia="en-US"/>
        </w:rPr>
        <w:t>Provided that the mitigation measures are incorporated in the further Project design and implemented throughout the operational phase of the Project, no likely significant residual effects around the public exp</w:t>
      </w:r>
      <w:r w:rsidRPr="0068236B">
        <w:rPr>
          <w:rFonts w:cs="Tahoma"/>
          <w:sz w:val="20"/>
          <w:szCs w:val="20"/>
          <w:lang w:eastAsia="en-US"/>
        </w:rPr>
        <w:t>o</w:t>
      </w:r>
      <w:r w:rsidRPr="0068236B">
        <w:rPr>
          <w:rFonts w:cs="Tahoma"/>
          <w:sz w:val="20"/>
          <w:szCs w:val="20"/>
          <w:lang w:eastAsia="en-US"/>
        </w:rPr>
        <w:t>sure to electric and magnetic radiation from the Project are anticipated.</w:t>
      </w:r>
    </w:p>
    <w:p w14:paraId="58622CAA" w14:textId="67C871C5" w:rsidR="003B46E3" w:rsidRPr="0068236B" w:rsidRDefault="003B46E3" w:rsidP="003B46E3">
      <w:pPr>
        <w:pStyle w:val="Heading3"/>
        <w:tabs>
          <w:tab w:val="left" w:pos="1134"/>
        </w:tabs>
        <w:ind w:left="993" w:hanging="993"/>
      </w:pPr>
      <w:bookmarkStart w:id="560" w:name="_Toc80181191"/>
      <w:bookmarkStart w:id="561" w:name="_Toc112852306"/>
      <w:r w:rsidRPr="0068236B">
        <w:t>Community Risks</w:t>
      </w:r>
      <w:bookmarkEnd w:id="560"/>
      <w:bookmarkEnd w:id="561"/>
    </w:p>
    <w:p w14:paraId="495857EA" w14:textId="77777777" w:rsidR="003B46E3" w:rsidRPr="0068236B" w:rsidRDefault="003B46E3" w:rsidP="00D24CEF">
      <w:pPr>
        <w:pStyle w:val="ListBullet"/>
        <w:numPr>
          <w:ilvl w:val="0"/>
          <w:numId w:val="97"/>
        </w:numPr>
        <w:spacing w:before="120" w:after="120" w:line="240" w:lineRule="auto"/>
        <w:jc w:val="left"/>
        <w:rPr>
          <w:sz w:val="20"/>
        </w:rPr>
      </w:pPr>
      <w:r w:rsidRPr="0068236B">
        <w:rPr>
          <w:sz w:val="20"/>
        </w:rPr>
        <w:t>Disturbance from Project activities</w:t>
      </w:r>
    </w:p>
    <w:p w14:paraId="5D3183E6" w14:textId="77777777" w:rsidR="003B46E3" w:rsidRPr="0068236B" w:rsidRDefault="003B46E3" w:rsidP="003B46E3">
      <w:pPr>
        <w:pStyle w:val="ListBullet"/>
        <w:numPr>
          <w:ilvl w:val="0"/>
          <w:numId w:val="0"/>
        </w:numPr>
        <w:spacing w:before="120" w:after="120"/>
        <w:rPr>
          <w:sz w:val="20"/>
        </w:rPr>
      </w:pPr>
      <w:r w:rsidRPr="0068236B">
        <w:rPr>
          <w:sz w:val="20"/>
        </w:rPr>
        <w:t>The main disruption factors on local population during construction work would be temporary. It concerns noise, dust, exhaust emissions from vehicles or machinery and vibration from Project activities and machi</w:t>
      </w:r>
      <w:r w:rsidRPr="0068236B">
        <w:rPr>
          <w:sz w:val="20"/>
        </w:rPr>
        <w:t>n</w:t>
      </w:r>
      <w:r w:rsidRPr="0068236B">
        <w:rPr>
          <w:sz w:val="20"/>
        </w:rPr>
        <w:t>ery to nearby residents that are in close proximity to the construction sites. These emissions, which have potential to affect human health will be rather quite limited for each potential receptor, as planned works at each affected site would be small scale and short-term. Exhaust emissions from vehicles or machinery would be negligible and there is no risk to influence surrounding community members. The sensitivity of the rece</w:t>
      </w:r>
      <w:r w:rsidRPr="0068236B">
        <w:rPr>
          <w:sz w:val="20"/>
        </w:rPr>
        <w:t>p</w:t>
      </w:r>
      <w:r w:rsidRPr="0068236B">
        <w:rPr>
          <w:sz w:val="20"/>
        </w:rPr>
        <w:t xml:space="preserve">tors (health of local communities) is considered high. However, it is a short-term and localised impact that only concerns specific sites and therefore the impact significance is considered as minor. </w:t>
      </w:r>
    </w:p>
    <w:p w14:paraId="4F9DEADE" w14:textId="77777777" w:rsidR="003B46E3" w:rsidRPr="0068236B" w:rsidRDefault="003B46E3" w:rsidP="00D24CEF">
      <w:pPr>
        <w:pStyle w:val="ListBullet"/>
        <w:numPr>
          <w:ilvl w:val="0"/>
          <w:numId w:val="97"/>
        </w:numPr>
        <w:rPr>
          <w:sz w:val="20"/>
        </w:rPr>
      </w:pPr>
      <w:r w:rsidRPr="0068236B">
        <w:rPr>
          <w:sz w:val="20"/>
        </w:rPr>
        <w:t>Risk of accidents at construction sites</w:t>
      </w:r>
    </w:p>
    <w:p w14:paraId="78481818" w14:textId="77777777" w:rsidR="003B46E3" w:rsidRPr="0068236B" w:rsidRDefault="003B46E3" w:rsidP="003B46E3">
      <w:pPr>
        <w:rPr>
          <w:sz w:val="20"/>
        </w:rPr>
      </w:pPr>
      <w:r w:rsidRPr="0068236B">
        <w:rPr>
          <w:rFonts w:cs="Tahoma"/>
          <w:sz w:val="20"/>
          <w:szCs w:val="20"/>
          <w:lang w:eastAsia="en-US"/>
        </w:rPr>
        <w:t>Necessary equipment for the construction will be stored in construction compounds and/or working areas, places that could be dangerous for the surrounding communities. There is a risk that residents in the imm</w:t>
      </w:r>
      <w:r w:rsidRPr="0068236B">
        <w:rPr>
          <w:rFonts w:cs="Tahoma"/>
          <w:sz w:val="20"/>
          <w:szCs w:val="20"/>
          <w:lang w:eastAsia="en-US"/>
        </w:rPr>
        <w:t>e</w:t>
      </w:r>
      <w:r w:rsidRPr="0068236B">
        <w:rPr>
          <w:rFonts w:cs="Tahoma"/>
          <w:sz w:val="20"/>
          <w:szCs w:val="20"/>
          <w:lang w:eastAsia="en-US"/>
        </w:rPr>
        <w:t>diate vicinity of the construction sites could get injured in contact with heavy equipment. In addition, any exposed excavation could also lead to falls and injuries if not fenced off. Even if the likelihood of such acc</w:t>
      </w:r>
      <w:r w:rsidRPr="0068236B">
        <w:rPr>
          <w:rFonts w:cs="Tahoma"/>
          <w:sz w:val="20"/>
          <w:szCs w:val="20"/>
          <w:lang w:eastAsia="en-US"/>
        </w:rPr>
        <w:t>i</w:t>
      </w:r>
      <w:r w:rsidRPr="0068236B">
        <w:rPr>
          <w:rFonts w:cs="Tahoma"/>
          <w:sz w:val="20"/>
          <w:szCs w:val="20"/>
          <w:lang w:eastAsia="en-US"/>
        </w:rPr>
        <w:t xml:space="preserve">dents is low, the consequences could be of high magnitude and important, potentially leading to injuries or lethal accidents. </w:t>
      </w:r>
      <w:r w:rsidRPr="0068236B">
        <w:rPr>
          <w:sz w:val="20"/>
        </w:rPr>
        <w:t>The significance of such impacts could, therefore, be considered to be major.</w:t>
      </w:r>
    </w:p>
    <w:p w14:paraId="00D13B92" w14:textId="77777777" w:rsidR="003B46E3" w:rsidRPr="0068236B" w:rsidRDefault="003B46E3" w:rsidP="003B46E3">
      <w:pPr>
        <w:rPr>
          <w:sz w:val="20"/>
        </w:rPr>
      </w:pPr>
      <w:r w:rsidRPr="0068236B">
        <w:rPr>
          <w:rFonts w:cs="Tahoma"/>
          <w:sz w:val="20"/>
          <w:szCs w:val="20"/>
          <w:lang w:eastAsia="en-US"/>
        </w:rPr>
        <w:t>Mitigation measures on accidents on construction sites must include preparation and complete implement</w:t>
      </w:r>
      <w:r w:rsidRPr="0068236B">
        <w:rPr>
          <w:rFonts w:cs="Tahoma"/>
          <w:sz w:val="20"/>
          <w:szCs w:val="20"/>
          <w:lang w:eastAsia="en-US"/>
        </w:rPr>
        <w:t>a</w:t>
      </w:r>
      <w:r w:rsidRPr="0068236B">
        <w:rPr>
          <w:rFonts w:cs="Tahoma"/>
          <w:sz w:val="20"/>
          <w:szCs w:val="20"/>
          <w:lang w:eastAsia="en-US"/>
        </w:rPr>
        <w:t>tion of Community Health and Safety Management Plan (CHSMP) that will include measures not only appl</w:t>
      </w:r>
      <w:r w:rsidRPr="0068236B">
        <w:rPr>
          <w:rFonts w:cs="Tahoma"/>
          <w:sz w:val="20"/>
          <w:szCs w:val="20"/>
          <w:lang w:eastAsia="en-US"/>
        </w:rPr>
        <w:t>i</w:t>
      </w:r>
      <w:r w:rsidRPr="0068236B">
        <w:rPr>
          <w:rFonts w:cs="Tahoma"/>
          <w:sz w:val="20"/>
          <w:szCs w:val="20"/>
          <w:lang w:eastAsia="en-US"/>
        </w:rPr>
        <w:t>cable into the construction, but in operational phase of the project, as well. The CHSMP must involve strong educational dimension that will be implemented to the residents of local settlements bordering the project footprint or at a distance of 500 m from the OHL alignment. Additionally, an Emergency Preparedness and Response Plan should be prepared and it should cover the construction phase. Provisions of this plan should also be incorporated into the general policy of the company, and OHL operator, who shall carry maintenance works on the OHL and associated facility.</w:t>
      </w:r>
    </w:p>
    <w:p w14:paraId="75E70443" w14:textId="77777777" w:rsidR="003B46E3" w:rsidRPr="0068236B" w:rsidRDefault="003B46E3" w:rsidP="00D24CEF">
      <w:pPr>
        <w:pStyle w:val="ListBullet"/>
        <w:numPr>
          <w:ilvl w:val="0"/>
          <w:numId w:val="97"/>
        </w:numPr>
        <w:rPr>
          <w:sz w:val="20"/>
        </w:rPr>
      </w:pPr>
      <w:r w:rsidRPr="0068236B">
        <w:rPr>
          <w:sz w:val="20"/>
        </w:rPr>
        <w:t>Propagation of communicable disease due to introduced workforce</w:t>
      </w:r>
    </w:p>
    <w:p w14:paraId="3A9B6F55" w14:textId="3F2CB018" w:rsidR="003B46E3" w:rsidRPr="0068236B" w:rsidRDefault="003B46E3" w:rsidP="003B46E3">
      <w:pPr>
        <w:pStyle w:val="ListBullet"/>
        <w:numPr>
          <w:ilvl w:val="0"/>
          <w:numId w:val="0"/>
        </w:numPr>
        <w:rPr>
          <w:rFonts w:cs="Tahoma"/>
          <w:sz w:val="20"/>
          <w:szCs w:val="20"/>
          <w:lang w:eastAsia="en-US"/>
        </w:rPr>
      </w:pPr>
      <w:r w:rsidRPr="0068236B">
        <w:rPr>
          <w:rFonts w:cs="Tahoma"/>
          <w:sz w:val="20"/>
          <w:szCs w:val="20"/>
          <w:lang w:eastAsia="en-US"/>
        </w:rPr>
        <w:t xml:space="preserve">Workers would be employed during the construction phase of the Project. </w:t>
      </w:r>
      <w:r w:rsidR="00E84B0E" w:rsidRPr="0068236B">
        <w:rPr>
          <w:rFonts w:cs="Tahoma"/>
          <w:sz w:val="20"/>
          <w:szCs w:val="20"/>
          <w:lang w:eastAsia="en-US"/>
        </w:rPr>
        <w:t>Small part</w:t>
      </w:r>
      <w:r w:rsidRPr="0068236B">
        <w:rPr>
          <w:rFonts w:cs="Tahoma"/>
          <w:sz w:val="20"/>
          <w:szCs w:val="20"/>
          <w:lang w:eastAsia="en-US"/>
        </w:rPr>
        <w:t xml:space="preserve"> of the workforce is expected to come from outside the Project area - if they cannot be recruited at the local level. Provision of accommodation for these workers with operating rules that allow for interaction between workers and local people may increase the incidence of communicable diseases - including HIV, COVID-19, etc. </w:t>
      </w:r>
    </w:p>
    <w:p w14:paraId="780AF1F5" w14:textId="26BE6632" w:rsidR="003B46E3" w:rsidRPr="0068236B" w:rsidRDefault="003B46E3" w:rsidP="003B46E3">
      <w:pPr>
        <w:autoSpaceDE w:val="0"/>
        <w:autoSpaceDN w:val="0"/>
        <w:adjustRightInd w:val="0"/>
        <w:rPr>
          <w:rFonts w:eastAsia="Calibri" w:cs="Arial"/>
          <w:sz w:val="20"/>
          <w:szCs w:val="20"/>
        </w:rPr>
      </w:pPr>
      <w:r w:rsidRPr="0068236B">
        <w:rPr>
          <w:sz w:val="20"/>
        </w:rPr>
        <w:t>The workers will only stay a few days on each tower construction site. As the number of workers employed by the Project on each construction site along the OHL corridor</w:t>
      </w:r>
      <w:r w:rsidR="00E84B0E" w:rsidRPr="0068236B">
        <w:rPr>
          <w:sz w:val="20"/>
        </w:rPr>
        <w:t>s</w:t>
      </w:r>
      <w:r w:rsidRPr="0068236B">
        <w:rPr>
          <w:sz w:val="20"/>
        </w:rPr>
        <w:t xml:space="preserve"> would be relatively small at one time, the risk of communicable diseases transmission from the workforce to the local population is negligible</w:t>
      </w:r>
      <w:r w:rsidRPr="0068236B">
        <w:rPr>
          <w:rFonts w:cs="Arial"/>
          <w:color w:val="000000"/>
          <w:sz w:val="20"/>
          <w:szCs w:val="20"/>
        </w:rPr>
        <w:t xml:space="preserve">. </w:t>
      </w:r>
      <w:r w:rsidRPr="0068236B">
        <w:rPr>
          <w:sz w:val="20"/>
        </w:rPr>
        <w:t>Ther</w:t>
      </w:r>
      <w:r w:rsidRPr="0068236B">
        <w:rPr>
          <w:sz w:val="20"/>
        </w:rPr>
        <w:t>e</w:t>
      </w:r>
      <w:r w:rsidRPr="0068236B">
        <w:rPr>
          <w:sz w:val="20"/>
        </w:rPr>
        <w:t>fore, the impact significance is considered minor and the p</w:t>
      </w:r>
      <w:r w:rsidRPr="0068236B">
        <w:rPr>
          <w:rFonts w:cs="Arial"/>
          <w:color w:val="000000"/>
          <w:sz w:val="20"/>
          <w:szCs w:val="20"/>
        </w:rPr>
        <w:t xml:space="preserve">otential public health impacts from </w:t>
      </w:r>
      <w:r w:rsidRPr="0068236B">
        <w:rPr>
          <w:sz w:val="20"/>
        </w:rPr>
        <w:t>communicable diseases</w:t>
      </w:r>
      <w:r w:rsidRPr="0068236B">
        <w:rPr>
          <w:rFonts w:cs="Arial"/>
          <w:color w:val="000000"/>
          <w:sz w:val="20"/>
          <w:szCs w:val="20"/>
        </w:rPr>
        <w:t xml:space="preserve"> are, at this point considered to be a minor factor affecting the implementation of the Project. </w:t>
      </w:r>
      <w:r w:rsidRPr="0068236B">
        <w:rPr>
          <w:rFonts w:eastAsia="Calibri" w:cs="Arial"/>
          <w:color w:val="000000"/>
          <w:sz w:val="20"/>
          <w:szCs w:val="20"/>
        </w:rPr>
        <w:t xml:space="preserve">An </w:t>
      </w:r>
      <w:r w:rsidRPr="0068236B">
        <w:rPr>
          <w:rFonts w:eastAsia="Calibri" w:cs="Arial"/>
          <w:color w:val="000000"/>
          <w:sz w:val="20"/>
          <w:szCs w:val="20"/>
        </w:rPr>
        <w:lastRenderedPageBreak/>
        <w:t xml:space="preserve">exception is the substation site where </w:t>
      </w:r>
      <w:r w:rsidR="00E84B0E" w:rsidRPr="0068236B">
        <w:rPr>
          <w:rFonts w:eastAsia="Calibri" w:cs="Arial"/>
          <w:color w:val="000000"/>
          <w:sz w:val="20"/>
          <w:szCs w:val="20"/>
        </w:rPr>
        <w:t xml:space="preserve">significant number of workers would be employed and </w:t>
      </w:r>
      <w:r w:rsidRPr="0068236B">
        <w:rPr>
          <w:rFonts w:eastAsia="Calibri" w:cs="Arial"/>
          <w:color w:val="000000"/>
          <w:sz w:val="20"/>
          <w:szCs w:val="20"/>
        </w:rPr>
        <w:t xml:space="preserve">construction will last around </w:t>
      </w:r>
      <w:r w:rsidR="00E84B0E" w:rsidRPr="0068236B">
        <w:rPr>
          <w:rFonts w:eastAsia="Calibri" w:cs="Arial"/>
          <w:color w:val="000000"/>
          <w:sz w:val="20"/>
          <w:szCs w:val="20"/>
        </w:rPr>
        <w:t>two</w:t>
      </w:r>
      <w:r w:rsidRPr="0068236B">
        <w:rPr>
          <w:rFonts w:eastAsia="Calibri" w:cs="Arial"/>
          <w:color w:val="000000"/>
          <w:sz w:val="20"/>
          <w:szCs w:val="20"/>
        </w:rPr>
        <w:t xml:space="preserve"> years and, therefore, potential impact is considered as of moderate significance.</w:t>
      </w:r>
    </w:p>
    <w:p w14:paraId="56F13B4A" w14:textId="77777777" w:rsidR="003B46E3" w:rsidRPr="0068236B" w:rsidRDefault="003B46E3" w:rsidP="003B46E3">
      <w:pPr>
        <w:pStyle w:val="NumberedParagraph"/>
        <w:rPr>
          <w:rFonts w:cs="Tahoma"/>
          <w:sz w:val="20"/>
          <w:szCs w:val="20"/>
          <w:lang w:eastAsia="en-US"/>
        </w:rPr>
      </w:pPr>
      <w:r w:rsidRPr="0068236B">
        <w:rPr>
          <w:rFonts w:cs="Tahoma"/>
          <w:sz w:val="20"/>
          <w:szCs w:val="20"/>
          <w:lang w:eastAsia="en-US"/>
        </w:rPr>
        <w:t>Potential impacts on human health (workers and local population) would be mitigated with appropriate and regular monitoring of workers’ health and introduction of preventive measures that could disable further spread of potential diseases. Regular</w:t>
      </w:r>
      <w:r w:rsidRPr="0068236B">
        <w:rPr>
          <w:rFonts w:cs="Tahoma"/>
          <w:sz w:val="20"/>
        </w:rPr>
        <w:t xml:space="preserve"> health checks of the workers would need to be implemented in order to identify early sources of potential diseases, if such occurs during construction. </w:t>
      </w:r>
      <w:r w:rsidRPr="0068236B">
        <w:rPr>
          <w:rFonts w:cs="Tahoma"/>
          <w:sz w:val="20"/>
          <w:szCs w:val="20"/>
          <w:lang w:eastAsia="en-US"/>
        </w:rPr>
        <w:t>Education of workforce on potential threat of infectious diseases and methods for prevention of such threats is of great importance and should be part of mitigation measures in the construction phase prior commencement of civil works.</w:t>
      </w:r>
    </w:p>
    <w:p w14:paraId="53BF5896" w14:textId="77777777" w:rsidR="00D063DB" w:rsidRPr="0068236B" w:rsidRDefault="00D063DB" w:rsidP="00D24CEF">
      <w:pPr>
        <w:pStyle w:val="ListBullet"/>
        <w:numPr>
          <w:ilvl w:val="0"/>
          <w:numId w:val="97"/>
        </w:numPr>
        <w:rPr>
          <w:sz w:val="20"/>
        </w:rPr>
      </w:pPr>
      <w:r w:rsidRPr="0068236B">
        <w:rPr>
          <w:sz w:val="20"/>
        </w:rPr>
        <w:t>Gender Based Violence and Harassment</w:t>
      </w:r>
    </w:p>
    <w:p w14:paraId="626E027F" w14:textId="0CA36DAB" w:rsidR="003B46E3" w:rsidRPr="0068236B" w:rsidRDefault="003B46E3" w:rsidP="003B46E3">
      <w:pPr>
        <w:autoSpaceDE w:val="0"/>
        <w:autoSpaceDN w:val="0"/>
        <w:adjustRightInd w:val="0"/>
        <w:rPr>
          <w:rFonts w:cs="Tahoma"/>
          <w:sz w:val="20"/>
          <w:szCs w:val="20"/>
          <w:lang w:eastAsia="en-US"/>
        </w:rPr>
      </w:pPr>
      <w:r w:rsidRPr="0068236B">
        <w:rPr>
          <w:rFonts w:cs="Tahoma"/>
          <w:sz w:val="20"/>
          <w:szCs w:val="20"/>
          <w:lang w:eastAsia="en-US"/>
        </w:rPr>
        <w:t>Gender Based Violence and Harassment may also occur during planning, implementing and operational phase of the Project. Any discrimination against female workers and members of local community must be prohibited. Female workers often get less remuneration compared to their male counterparts even for the same workload. Female workers are sometimes harassed in their workplace and become victims of inappr</w:t>
      </w:r>
      <w:r w:rsidRPr="0068236B">
        <w:rPr>
          <w:rFonts w:cs="Tahoma"/>
          <w:sz w:val="20"/>
          <w:szCs w:val="20"/>
          <w:lang w:eastAsia="en-US"/>
        </w:rPr>
        <w:t>o</w:t>
      </w:r>
      <w:r w:rsidRPr="0068236B">
        <w:rPr>
          <w:rFonts w:cs="Tahoma"/>
          <w:sz w:val="20"/>
          <w:szCs w:val="20"/>
          <w:lang w:eastAsia="en-US"/>
        </w:rPr>
        <w:t xml:space="preserve">priate and indecent comments and actions towards them. Therefore, mitigation measures must include preparation of Policy and Procedures that will be adopted by </w:t>
      </w:r>
      <w:r w:rsidR="00E84B0E" w:rsidRPr="0068236B">
        <w:rPr>
          <w:rFonts w:cs="Tahoma"/>
          <w:sz w:val="20"/>
          <w:szCs w:val="20"/>
          <w:lang w:eastAsia="en-US"/>
        </w:rPr>
        <w:t>MEPSO</w:t>
      </w:r>
      <w:r w:rsidRPr="0068236B">
        <w:rPr>
          <w:rFonts w:cs="Tahoma"/>
          <w:sz w:val="20"/>
          <w:szCs w:val="20"/>
          <w:lang w:eastAsia="en-US"/>
        </w:rPr>
        <w:t xml:space="preserve"> in their capacity as a Project developer, as well as by their contractors and their subcontractors, and which will serve as a tool for elimination of gender-based violence and harassment, </w:t>
      </w:r>
      <w:r w:rsidRPr="0068236B">
        <w:rPr>
          <w:rFonts w:cs="Tahoma"/>
          <w:sz w:val="20"/>
          <w:shd w:val="clear" w:color="auto" w:fill="FFFFFF"/>
        </w:rPr>
        <w:t>not only at the workplace, but also in interaction with the local community</w:t>
      </w:r>
      <w:r w:rsidRPr="0068236B">
        <w:rPr>
          <w:rFonts w:cs="Tahoma"/>
          <w:sz w:val="20"/>
          <w:szCs w:val="20"/>
          <w:lang w:eastAsia="en-US"/>
        </w:rPr>
        <w:t>.</w:t>
      </w:r>
    </w:p>
    <w:p w14:paraId="321A340F" w14:textId="77777777" w:rsidR="003B46E3" w:rsidRPr="0068236B" w:rsidRDefault="003B46E3" w:rsidP="00D24CEF">
      <w:pPr>
        <w:pStyle w:val="ListBullet"/>
        <w:numPr>
          <w:ilvl w:val="0"/>
          <w:numId w:val="97"/>
        </w:numPr>
        <w:spacing w:line="240" w:lineRule="auto"/>
        <w:jc w:val="left"/>
        <w:rPr>
          <w:sz w:val="20"/>
        </w:rPr>
      </w:pPr>
      <w:r w:rsidRPr="0068236B">
        <w:rPr>
          <w:sz w:val="20"/>
        </w:rPr>
        <w:t>Disturbance from Project operation and maintenance activities</w:t>
      </w:r>
    </w:p>
    <w:p w14:paraId="324BEC35" w14:textId="110E6588" w:rsidR="003B46E3" w:rsidRPr="0068236B" w:rsidRDefault="003B46E3" w:rsidP="003B46E3">
      <w:pPr>
        <w:ind w:right="-1"/>
        <w:rPr>
          <w:sz w:val="20"/>
        </w:rPr>
      </w:pPr>
      <w:r w:rsidRPr="0068236B">
        <w:rPr>
          <w:sz w:val="20"/>
        </w:rPr>
        <w:t xml:space="preserve">During operation, noise in the form of buzzing or humming would be emitted from the conductors of the energised transmission line (see Section </w:t>
      </w:r>
      <w:r w:rsidR="00E84B0E" w:rsidRPr="0068236B">
        <w:rPr>
          <w:sz w:val="20"/>
        </w:rPr>
        <w:t>8</w:t>
      </w:r>
      <w:r w:rsidRPr="0068236B">
        <w:rPr>
          <w:sz w:val="20"/>
        </w:rPr>
        <w:t>.3). This operational (corona) noise reaches its maximum during periods of precipitation, including rain, sleet, snow or hail, or as the result of fog. The sound of rain typically masks the increase in noise produced by the transmission lines, but during other forms of precipitation and fog, the corona noise can be troubling to nearby residents. The corona noise produced by high voltage transmission lines carries no known direct health risk</w:t>
      </w:r>
      <w:r w:rsidRPr="0068236B">
        <w:rPr>
          <w:rStyle w:val="FootnoteReference"/>
          <w:sz w:val="20"/>
        </w:rPr>
        <w:footnoteReference w:id="146"/>
      </w:r>
      <w:r w:rsidRPr="0068236B">
        <w:rPr>
          <w:sz w:val="20"/>
        </w:rPr>
        <w:t xml:space="preserve">. </w:t>
      </w:r>
      <w:r w:rsidRPr="0068236B">
        <w:rPr>
          <w:rFonts w:cs="Tahoma"/>
          <w:sz w:val="20"/>
        </w:rPr>
        <w:t>As there would be no properties in the safety corr</w:t>
      </w:r>
      <w:r w:rsidRPr="0068236B">
        <w:rPr>
          <w:rFonts w:cs="Tahoma"/>
          <w:sz w:val="20"/>
        </w:rPr>
        <w:t>i</w:t>
      </w:r>
      <w:r w:rsidRPr="0068236B">
        <w:rPr>
          <w:rFonts w:cs="Tahoma"/>
          <w:sz w:val="20"/>
        </w:rPr>
        <w:t>dor of the transmission line</w:t>
      </w:r>
      <w:r w:rsidR="001473AE" w:rsidRPr="0068236B">
        <w:rPr>
          <w:rFonts w:cs="Tahoma"/>
          <w:sz w:val="20"/>
        </w:rPr>
        <w:t>s</w:t>
      </w:r>
      <w:r w:rsidRPr="0068236B">
        <w:rPr>
          <w:rFonts w:cs="Tahoma"/>
          <w:sz w:val="20"/>
        </w:rPr>
        <w:t>, no significant health risk to sensitive receptors is expected.</w:t>
      </w:r>
    </w:p>
    <w:p w14:paraId="25B16F0B" w14:textId="77777777" w:rsidR="003B46E3" w:rsidRPr="0068236B" w:rsidRDefault="003B46E3" w:rsidP="003B46E3">
      <w:pPr>
        <w:ind w:right="-1"/>
        <w:rPr>
          <w:sz w:val="20"/>
        </w:rPr>
      </w:pPr>
      <w:r w:rsidRPr="0068236B">
        <w:rPr>
          <w:sz w:val="20"/>
        </w:rPr>
        <w:t>Noise, dust, exhaust emissions from vehicles or machinery and vibration would only occur at operation time during maintenance activities. These emissions would be of very low magnitude, since they would be very limited as planned works at each affected site would be small scale, punctual and short-term. The signif</w:t>
      </w:r>
      <w:r w:rsidRPr="0068236B">
        <w:rPr>
          <w:sz w:val="20"/>
        </w:rPr>
        <w:t>i</w:t>
      </w:r>
      <w:r w:rsidRPr="0068236B">
        <w:rPr>
          <w:sz w:val="20"/>
        </w:rPr>
        <w:t>cance of this impact is therefore considered to be negligible.</w:t>
      </w:r>
    </w:p>
    <w:p w14:paraId="22FDBEE8" w14:textId="755278F9" w:rsidR="003B46E3" w:rsidRPr="0068236B" w:rsidRDefault="003B46E3" w:rsidP="003B46E3">
      <w:pPr>
        <w:pStyle w:val="Heading2"/>
        <w:spacing w:before="480" w:after="240"/>
        <w:ind w:left="576" w:hanging="576"/>
        <w:rPr>
          <w:rFonts w:cs="Arial"/>
          <w:szCs w:val="28"/>
        </w:rPr>
      </w:pPr>
      <w:bookmarkStart w:id="562" w:name="_Toc80181192"/>
      <w:bookmarkStart w:id="563" w:name="_Toc112852307"/>
      <w:r w:rsidRPr="0068236B">
        <w:rPr>
          <w:rFonts w:cs="Arial"/>
          <w:szCs w:val="28"/>
        </w:rPr>
        <w:t>Land Use Change</w:t>
      </w:r>
      <w:bookmarkEnd w:id="562"/>
      <w:bookmarkEnd w:id="563"/>
    </w:p>
    <w:p w14:paraId="714E357E" w14:textId="27DFECE8" w:rsidR="003B46E3" w:rsidRPr="0068236B" w:rsidRDefault="003B46E3" w:rsidP="003B46E3">
      <w:pPr>
        <w:autoSpaceDE w:val="0"/>
        <w:autoSpaceDN w:val="0"/>
        <w:adjustRightInd w:val="0"/>
        <w:rPr>
          <w:rFonts w:cs="Arial"/>
          <w:color w:val="000000"/>
          <w:sz w:val="20"/>
          <w:szCs w:val="20"/>
        </w:rPr>
      </w:pPr>
      <w:r w:rsidRPr="0068236B">
        <w:rPr>
          <w:rFonts w:cs="Arial"/>
          <w:color w:val="000000"/>
          <w:sz w:val="20"/>
          <w:szCs w:val="20"/>
        </w:rPr>
        <w:t>Both public and privately owned land will be affected by the implementation of the Project activities. Certain area of</w:t>
      </w:r>
      <w:r w:rsidR="00C76D92" w:rsidRPr="0068236B">
        <w:rPr>
          <w:rFonts w:cs="Arial"/>
          <w:color w:val="000000"/>
          <w:sz w:val="20"/>
          <w:szCs w:val="20"/>
        </w:rPr>
        <w:t xml:space="preserve"> land</w:t>
      </w:r>
      <w:r w:rsidRPr="0068236B">
        <w:rPr>
          <w:rFonts w:cs="Tahoma"/>
          <w:sz w:val="20"/>
          <w:szCs w:val="20"/>
          <w:lang w:eastAsia="en-US"/>
        </w:rPr>
        <w:t xml:space="preserve"> would</w:t>
      </w:r>
      <w:r w:rsidRPr="0068236B">
        <w:rPr>
          <w:rFonts w:cs="Arial"/>
          <w:color w:val="000000"/>
          <w:sz w:val="20"/>
          <w:szCs w:val="20"/>
        </w:rPr>
        <w:t xml:space="preserve"> be permanently occupied for construction and operation of the substation and the r</w:t>
      </w:r>
      <w:r w:rsidRPr="0068236B">
        <w:rPr>
          <w:rFonts w:cs="Arial"/>
          <w:color w:val="000000"/>
          <w:sz w:val="20"/>
          <w:szCs w:val="20"/>
        </w:rPr>
        <w:t>e</w:t>
      </w:r>
      <w:r w:rsidRPr="0068236B">
        <w:rPr>
          <w:rFonts w:cs="Arial"/>
          <w:color w:val="000000"/>
          <w:sz w:val="20"/>
          <w:szCs w:val="20"/>
        </w:rPr>
        <w:t xml:space="preserve">spective transmission lines, mainly land needed for the SS elements, </w:t>
      </w:r>
      <w:r w:rsidR="00C76D92" w:rsidRPr="0068236B">
        <w:rPr>
          <w:rFonts w:cs="Arial"/>
          <w:color w:val="000000"/>
          <w:sz w:val="20"/>
          <w:szCs w:val="20"/>
        </w:rPr>
        <w:t xml:space="preserve">new </w:t>
      </w:r>
      <w:r w:rsidRPr="0068236B">
        <w:rPr>
          <w:rFonts w:cs="Arial"/>
          <w:color w:val="000000"/>
          <w:sz w:val="20"/>
          <w:szCs w:val="20"/>
        </w:rPr>
        <w:t xml:space="preserve">OHL towers and access roads, where the necessary roads do not exist. </w:t>
      </w:r>
    </w:p>
    <w:p w14:paraId="60671915" w14:textId="27DA66EF" w:rsidR="003B46E3" w:rsidRPr="0068236B" w:rsidRDefault="003B46E3" w:rsidP="003B46E3">
      <w:pPr>
        <w:rPr>
          <w:rFonts w:cs="Arial"/>
          <w:color w:val="000000"/>
          <w:sz w:val="20"/>
          <w:szCs w:val="20"/>
        </w:rPr>
      </w:pPr>
      <w:r w:rsidRPr="0068236B">
        <w:rPr>
          <w:rFonts w:cs="Arial"/>
          <w:color w:val="000000"/>
          <w:sz w:val="20"/>
          <w:szCs w:val="20"/>
        </w:rPr>
        <w:t xml:space="preserve">The new substation </w:t>
      </w:r>
      <w:r w:rsidR="00C76D92" w:rsidRPr="0068236B">
        <w:rPr>
          <w:rFonts w:cs="Arial"/>
          <w:color w:val="000000"/>
          <w:sz w:val="20"/>
          <w:szCs w:val="20"/>
        </w:rPr>
        <w:t xml:space="preserve">Miletkovo </w:t>
      </w:r>
      <w:r w:rsidRPr="0068236B">
        <w:rPr>
          <w:rFonts w:cs="Arial"/>
          <w:color w:val="000000"/>
          <w:sz w:val="20"/>
          <w:szCs w:val="20"/>
        </w:rPr>
        <w:t xml:space="preserve">is expected to occupy </w:t>
      </w:r>
      <w:r w:rsidR="000D3E49" w:rsidRPr="0068236B">
        <w:rPr>
          <w:rFonts w:cs="Arial"/>
          <w:color w:val="000000"/>
          <w:sz w:val="20"/>
          <w:szCs w:val="20"/>
        </w:rPr>
        <w:t>around 6 ha of land</w:t>
      </w:r>
      <w:r w:rsidRPr="0068236B">
        <w:rPr>
          <w:rFonts w:cs="Tahoma"/>
          <w:sz w:val="20"/>
          <w:szCs w:val="20"/>
        </w:rPr>
        <w:t xml:space="preserve">. </w:t>
      </w:r>
      <w:r w:rsidRPr="0068236B">
        <w:rPr>
          <w:rFonts w:cs="Arial"/>
          <w:color w:val="000000"/>
          <w:sz w:val="20"/>
          <w:szCs w:val="20"/>
        </w:rPr>
        <w:t>The amount of land required for construction of the</w:t>
      </w:r>
      <w:r w:rsidR="00C76D92" w:rsidRPr="0068236B">
        <w:rPr>
          <w:rFonts w:cs="Arial"/>
          <w:color w:val="000000"/>
          <w:sz w:val="20"/>
          <w:szCs w:val="20"/>
        </w:rPr>
        <w:t xml:space="preserve"> new</w:t>
      </w:r>
      <w:r w:rsidRPr="0068236B">
        <w:rPr>
          <w:rFonts w:cs="Arial"/>
          <w:color w:val="000000"/>
          <w:sz w:val="20"/>
          <w:szCs w:val="20"/>
        </w:rPr>
        <w:t xml:space="preserve"> OHL towers which will imply change of current land use forms is not available at the present stage of the Project development, since the </w:t>
      </w:r>
      <w:r w:rsidR="00C76D92" w:rsidRPr="0068236B">
        <w:rPr>
          <w:rFonts w:cs="Arial"/>
          <w:color w:val="000000"/>
          <w:sz w:val="20"/>
          <w:szCs w:val="20"/>
        </w:rPr>
        <w:t xml:space="preserve">total </w:t>
      </w:r>
      <w:r w:rsidRPr="0068236B">
        <w:rPr>
          <w:rFonts w:cs="Arial"/>
          <w:color w:val="000000"/>
          <w:sz w:val="20"/>
          <w:szCs w:val="20"/>
        </w:rPr>
        <w:t xml:space="preserve">number of the </w:t>
      </w:r>
      <w:r w:rsidR="00C76D92" w:rsidRPr="0068236B">
        <w:rPr>
          <w:rFonts w:cs="Arial"/>
          <w:color w:val="000000"/>
          <w:sz w:val="20"/>
          <w:szCs w:val="20"/>
        </w:rPr>
        <w:t>new</w:t>
      </w:r>
      <w:r w:rsidRPr="0068236B">
        <w:rPr>
          <w:rFonts w:cs="Arial"/>
          <w:color w:val="000000"/>
          <w:sz w:val="20"/>
          <w:szCs w:val="20"/>
        </w:rPr>
        <w:t xml:space="preserve"> towers is not yet determined. Lan</w:t>
      </w:r>
      <w:r w:rsidR="00C76D92" w:rsidRPr="0068236B">
        <w:rPr>
          <w:rFonts w:cs="Arial"/>
          <w:color w:val="000000"/>
          <w:sz w:val="20"/>
          <w:szCs w:val="20"/>
        </w:rPr>
        <w:t xml:space="preserve">d requirement (footprint) for the </w:t>
      </w:r>
      <w:r w:rsidRPr="0068236B">
        <w:rPr>
          <w:rFonts w:cs="Arial"/>
          <w:color w:val="000000"/>
          <w:sz w:val="20"/>
          <w:szCs w:val="20"/>
        </w:rPr>
        <w:t xml:space="preserve">400 kV tower is approx. </w:t>
      </w:r>
      <w:r w:rsidR="00C76D92" w:rsidRPr="0068236B">
        <w:rPr>
          <w:rFonts w:cs="Arial"/>
          <w:color w:val="000000"/>
          <w:sz w:val="20"/>
          <w:szCs w:val="20"/>
        </w:rPr>
        <w:t>up to 25</w:t>
      </w:r>
      <w:r w:rsidRPr="0068236B">
        <w:rPr>
          <w:rFonts w:cs="Arial"/>
          <w:color w:val="000000"/>
          <w:sz w:val="20"/>
          <w:szCs w:val="20"/>
        </w:rPr>
        <w:t>0 m</w:t>
      </w:r>
      <w:r w:rsidRPr="0068236B">
        <w:rPr>
          <w:rFonts w:cs="Arial"/>
          <w:color w:val="000000"/>
          <w:sz w:val="20"/>
          <w:szCs w:val="20"/>
          <w:vertAlign w:val="superscript"/>
        </w:rPr>
        <w:t>2</w:t>
      </w:r>
      <w:r w:rsidRPr="0068236B">
        <w:rPr>
          <w:rFonts w:cs="Arial"/>
          <w:color w:val="000000"/>
          <w:sz w:val="20"/>
          <w:szCs w:val="20"/>
        </w:rPr>
        <w:t xml:space="preserve"> </w:t>
      </w:r>
      <w:r w:rsidR="00C76D92" w:rsidRPr="0068236B">
        <w:rPr>
          <w:rFonts w:cs="Arial"/>
          <w:color w:val="000000"/>
          <w:sz w:val="20"/>
          <w:szCs w:val="20"/>
        </w:rPr>
        <w:t>(two towers of this type are for</w:t>
      </w:r>
      <w:r w:rsidR="00C76D92" w:rsidRPr="0068236B">
        <w:rPr>
          <w:rFonts w:cs="Arial"/>
          <w:color w:val="000000"/>
          <w:sz w:val="20"/>
          <w:szCs w:val="20"/>
        </w:rPr>
        <w:t>e</w:t>
      </w:r>
      <w:r w:rsidR="00C76D92" w:rsidRPr="0068236B">
        <w:rPr>
          <w:rFonts w:cs="Arial"/>
          <w:color w:val="000000"/>
          <w:sz w:val="20"/>
          <w:szCs w:val="20"/>
        </w:rPr>
        <w:t>seen for the Project)</w:t>
      </w:r>
      <w:r w:rsidR="00E470A3" w:rsidRPr="0068236B">
        <w:rPr>
          <w:rFonts w:cs="Arial"/>
          <w:color w:val="000000"/>
          <w:sz w:val="20"/>
          <w:szCs w:val="20"/>
        </w:rPr>
        <w:t>, while for</w:t>
      </w:r>
      <w:r w:rsidRPr="0068236B">
        <w:rPr>
          <w:rFonts w:cs="Arial"/>
          <w:color w:val="000000"/>
          <w:sz w:val="20"/>
          <w:szCs w:val="20"/>
        </w:rPr>
        <w:t xml:space="preserve"> 110 kV tower</w:t>
      </w:r>
      <w:r w:rsidR="00C76D92" w:rsidRPr="0068236B">
        <w:rPr>
          <w:rFonts w:cs="Arial"/>
          <w:color w:val="000000"/>
          <w:sz w:val="20"/>
          <w:szCs w:val="20"/>
        </w:rPr>
        <w:t>s</w:t>
      </w:r>
      <w:r w:rsidRPr="0068236B">
        <w:rPr>
          <w:rFonts w:cs="Arial"/>
          <w:color w:val="000000"/>
          <w:sz w:val="20"/>
          <w:szCs w:val="20"/>
        </w:rPr>
        <w:t xml:space="preserve"> is up to </w:t>
      </w:r>
      <w:r w:rsidR="00C76D92" w:rsidRPr="0068236B">
        <w:rPr>
          <w:rFonts w:cs="Arial"/>
          <w:color w:val="000000"/>
          <w:sz w:val="20"/>
          <w:szCs w:val="20"/>
        </w:rPr>
        <w:t>1</w:t>
      </w:r>
      <w:r w:rsidRPr="0068236B">
        <w:rPr>
          <w:rFonts w:cs="Arial"/>
          <w:color w:val="000000"/>
          <w:sz w:val="20"/>
          <w:szCs w:val="20"/>
        </w:rPr>
        <w:t>50 m</w:t>
      </w:r>
      <w:r w:rsidRPr="0068236B">
        <w:rPr>
          <w:rFonts w:cs="Arial"/>
          <w:color w:val="000000"/>
          <w:sz w:val="20"/>
          <w:szCs w:val="20"/>
          <w:vertAlign w:val="superscript"/>
        </w:rPr>
        <w:t>2</w:t>
      </w:r>
      <w:r w:rsidR="00C76D92" w:rsidRPr="0068236B">
        <w:rPr>
          <w:rFonts w:cs="Arial"/>
          <w:color w:val="000000"/>
          <w:sz w:val="20"/>
          <w:szCs w:val="20"/>
        </w:rPr>
        <w:t xml:space="preserve"> (see Section 2.4)</w:t>
      </w:r>
      <w:r w:rsidR="00E470A3" w:rsidRPr="0068236B">
        <w:rPr>
          <w:rFonts w:cs="Arial"/>
          <w:color w:val="000000"/>
          <w:sz w:val="20"/>
          <w:szCs w:val="20"/>
        </w:rPr>
        <w:t>.</w:t>
      </w:r>
    </w:p>
    <w:p w14:paraId="6E3A33A3" w14:textId="77777777" w:rsidR="003B46E3" w:rsidRPr="0068236B" w:rsidRDefault="003B46E3" w:rsidP="003B46E3">
      <w:pPr>
        <w:rPr>
          <w:rFonts w:cs="Arial"/>
          <w:color w:val="000000"/>
          <w:sz w:val="20"/>
          <w:szCs w:val="20"/>
        </w:rPr>
      </w:pPr>
      <w:r w:rsidRPr="0068236B">
        <w:rPr>
          <w:rFonts w:cs="Arial"/>
          <w:color w:val="000000"/>
          <w:sz w:val="20"/>
          <w:szCs w:val="20"/>
        </w:rPr>
        <w:lastRenderedPageBreak/>
        <w:t>An overview of typical land use effects from the Project is provided in the Table below.</w:t>
      </w:r>
    </w:p>
    <w:tbl>
      <w:tblPr>
        <w:tblStyle w:val="TableGrid"/>
        <w:tblW w:w="9498" w:type="dxa"/>
        <w:tblInd w:w="108" w:type="dxa"/>
        <w:tblBorders>
          <w:top w:val="double" w:sz="4" w:space="0" w:color="auto"/>
          <w:left w:val="double" w:sz="4" w:space="0" w:color="auto"/>
          <w:bottom w:val="double" w:sz="4" w:space="0" w:color="auto"/>
          <w:right w:val="double" w:sz="4" w:space="0" w:color="auto"/>
        </w:tblBorders>
        <w:tblLook w:val="04A0" w:firstRow="1" w:lastRow="0" w:firstColumn="1" w:lastColumn="0" w:noHBand="0" w:noVBand="1"/>
      </w:tblPr>
      <w:tblGrid>
        <w:gridCol w:w="1951"/>
        <w:gridCol w:w="3969"/>
        <w:gridCol w:w="3578"/>
      </w:tblGrid>
      <w:tr w:rsidR="003B46E3" w:rsidRPr="0068236B" w14:paraId="4C59462B" w14:textId="77777777" w:rsidTr="00462CFB">
        <w:trPr>
          <w:trHeight w:val="417"/>
        </w:trPr>
        <w:tc>
          <w:tcPr>
            <w:tcW w:w="1951" w:type="dxa"/>
            <w:tcBorders>
              <w:top w:val="double" w:sz="4" w:space="0" w:color="auto"/>
              <w:bottom w:val="double" w:sz="4" w:space="0" w:color="auto"/>
              <w:right w:val="double" w:sz="4" w:space="0" w:color="auto"/>
            </w:tcBorders>
            <w:shd w:val="clear" w:color="auto" w:fill="B4C6E7" w:themeFill="accent1" w:themeFillTint="66"/>
          </w:tcPr>
          <w:p w14:paraId="49DBDB77" w14:textId="77777777" w:rsidR="003B46E3" w:rsidRPr="0068236B" w:rsidRDefault="003B46E3" w:rsidP="003B46E3">
            <w:pPr>
              <w:autoSpaceDE w:val="0"/>
              <w:autoSpaceDN w:val="0"/>
              <w:adjustRightInd w:val="0"/>
              <w:spacing w:before="0" w:after="0" w:line="240" w:lineRule="auto"/>
              <w:jc w:val="left"/>
              <w:rPr>
                <w:rFonts w:cs="Arial"/>
                <w:color w:val="000000"/>
                <w:sz w:val="20"/>
                <w:szCs w:val="20"/>
              </w:rPr>
            </w:pPr>
            <w:r w:rsidRPr="0068236B">
              <w:rPr>
                <w:rFonts w:cs="Arial"/>
                <w:color w:val="000000"/>
                <w:sz w:val="20"/>
                <w:szCs w:val="20"/>
              </w:rPr>
              <w:t>Project component</w:t>
            </w:r>
          </w:p>
        </w:tc>
        <w:tc>
          <w:tcPr>
            <w:tcW w:w="3969" w:type="dxa"/>
            <w:tcBorders>
              <w:top w:val="double" w:sz="4" w:space="0" w:color="auto"/>
              <w:left w:val="double" w:sz="4" w:space="0" w:color="auto"/>
              <w:bottom w:val="double" w:sz="4" w:space="0" w:color="auto"/>
              <w:right w:val="double" w:sz="4" w:space="0" w:color="auto"/>
            </w:tcBorders>
            <w:shd w:val="clear" w:color="auto" w:fill="B4C6E7" w:themeFill="accent1" w:themeFillTint="66"/>
          </w:tcPr>
          <w:p w14:paraId="127F499D" w14:textId="77777777" w:rsidR="003B46E3" w:rsidRPr="0068236B" w:rsidRDefault="003B46E3" w:rsidP="003B46E3">
            <w:pPr>
              <w:autoSpaceDE w:val="0"/>
              <w:autoSpaceDN w:val="0"/>
              <w:adjustRightInd w:val="0"/>
              <w:spacing w:before="0" w:after="0" w:line="240" w:lineRule="auto"/>
              <w:jc w:val="left"/>
              <w:rPr>
                <w:rFonts w:cs="Arial"/>
                <w:color w:val="000000"/>
                <w:sz w:val="20"/>
                <w:szCs w:val="20"/>
              </w:rPr>
            </w:pPr>
            <w:r w:rsidRPr="0068236B">
              <w:rPr>
                <w:rFonts w:cs="Arial"/>
                <w:color w:val="000000"/>
                <w:sz w:val="20"/>
                <w:szCs w:val="20"/>
              </w:rPr>
              <w:t>Description</w:t>
            </w:r>
          </w:p>
        </w:tc>
        <w:tc>
          <w:tcPr>
            <w:tcW w:w="3578" w:type="dxa"/>
            <w:tcBorders>
              <w:top w:val="double" w:sz="4" w:space="0" w:color="auto"/>
              <w:left w:val="double" w:sz="4" w:space="0" w:color="auto"/>
              <w:bottom w:val="double" w:sz="4" w:space="0" w:color="auto"/>
            </w:tcBorders>
            <w:shd w:val="clear" w:color="auto" w:fill="B4C6E7" w:themeFill="accent1" w:themeFillTint="66"/>
          </w:tcPr>
          <w:p w14:paraId="3837B64C" w14:textId="77777777" w:rsidR="003B46E3" w:rsidRPr="0068236B" w:rsidRDefault="003B46E3" w:rsidP="003B46E3">
            <w:pPr>
              <w:autoSpaceDE w:val="0"/>
              <w:autoSpaceDN w:val="0"/>
              <w:adjustRightInd w:val="0"/>
              <w:spacing w:before="0" w:after="0" w:line="240" w:lineRule="auto"/>
              <w:jc w:val="left"/>
              <w:rPr>
                <w:rFonts w:cs="Arial"/>
                <w:color w:val="000000"/>
                <w:sz w:val="20"/>
                <w:szCs w:val="20"/>
              </w:rPr>
            </w:pPr>
            <w:r w:rsidRPr="0068236B">
              <w:rPr>
                <w:rFonts w:cs="Arial"/>
                <w:color w:val="000000"/>
                <w:sz w:val="20"/>
                <w:szCs w:val="20"/>
              </w:rPr>
              <w:t>Land use changes</w:t>
            </w:r>
          </w:p>
        </w:tc>
      </w:tr>
      <w:tr w:rsidR="003B46E3" w:rsidRPr="0068236B" w14:paraId="34F5D90B" w14:textId="77777777" w:rsidTr="003B46E3">
        <w:tc>
          <w:tcPr>
            <w:tcW w:w="1951" w:type="dxa"/>
            <w:tcBorders>
              <w:top w:val="double" w:sz="4" w:space="0" w:color="auto"/>
            </w:tcBorders>
          </w:tcPr>
          <w:p w14:paraId="17E5C12E" w14:textId="77777777" w:rsidR="003B46E3" w:rsidRPr="0068236B" w:rsidRDefault="003B46E3" w:rsidP="003B46E3">
            <w:pPr>
              <w:autoSpaceDE w:val="0"/>
              <w:autoSpaceDN w:val="0"/>
              <w:adjustRightInd w:val="0"/>
              <w:spacing w:before="0" w:after="0" w:line="240" w:lineRule="auto"/>
              <w:jc w:val="left"/>
              <w:rPr>
                <w:rFonts w:cs="Arial"/>
                <w:color w:val="000000"/>
                <w:sz w:val="20"/>
                <w:szCs w:val="20"/>
              </w:rPr>
            </w:pPr>
            <w:r w:rsidRPr="0068236B">
              <w:rPr>
                <w:rFonts w:cs="Arial"/>
                <w:color w:val="000000"/>
                <w:sz w:val="20"/>
                <w:szCs w:val="20"/>
              </w:rPr>
              <w:t>Access roads / tracks</w:t>
            </w:r>
          </w:p>
        </w:tc>
        <w:tc>
          <w:tcPr>
            <w:tcW w:w="3969" w:type="dxa"/>
            <w:tcBorders>
              <w:top w:val="double" w:sz="4" w:space="0" w:color="auto"/>
            </w:tcBorders>
          </w:tcPr>
          <w:p w14:paraId="6430C837" w14:textId="77777777" w:rsidR="003B46E3" w:rsidRPr="0068236B" w:rsidRDefault="003B46E3" w:rsidP="003B46E3">
            <w:pPr>
              <w:autoSpaceDE w:val="0"/>
              <w:autoSpaceDN w:val="0"/>
              <w:adjustRightInd w:val="0"/>
              <w:spacing w:before="0" w:after="0" w:line="240" w:lineRule="auto"/>
              <w:jc w:val="left"/>
              <w:rPr>
                <w:rFonts w:cs="Arial"/>
                <w:color w:val="000000"/>
                <w:sz w:val="20"/>
                <w:szCs w:val="20"/>
              </w:rPr>
            </w:pPr>
            <w:r w:rsidRPr="0068236B">
              <w:rPr>
                <w:rFonts w:cs="Arial"/>
                <w:sz w:val="20"/>
                <w:szCs w:val="20"/>
              </w:rPr>
              <w:t>Construction will require temporary tracks (in place during construction works) and permanent tracks, involving new and u</w:t>
            </w:r>
            <w:r w:rsidRPr="0068236B">
              <w:rPr>
                <w:rFonts w:cs="Arial"/>
                <w:sz w:val="20"/>
                <w:szCs w:val="20"/>
              </w:rPr>
              <w:t>p</w:t>
            </w:r>
            <w:r w:rsidRPr="0068236B">
              <w:rPr>
                <w:rFonts w:cs="Arial"/>
                <w:sz w:val="20"/>
                <w:szCs w:val="20"/>
              </w:rPr>
              <w:t>graded aggregate tracks, linking public roads to construction sites.</w:t>
            </w:r>
          </w:p>
        </w:tc>
        <w:tc>
          <w:tcPr>
            <w:tcW w:w="3578" w:type="dxa"/>
            <w:tcBorders>
              <w:top w:val="double" w:sz="4" w:space="0" w:color="auto"/>
            </w:tcBorders>
          </w:tcPr>
          <w:p w14:paraId="3E7DE343" w14:textId="77777777" w:rsidR="003B46E3" w:rsidRPr="0068236B" w:rsidRDefault="003B46E3" w:rsidP="003B46E3">
            <w:pPr>
              <w:autoSpaceDE w:val="0"/>
              <w:autoSpaceDN w:val="0"/>
              <w:adjustRightInd w:val="0"/>
              <w:spacing w:before="0" w:after="0" w:line="240" w:lineRule="auto"/>
              <w:jc w:val="left"/>
              <w:rPr>
                <w:sz w:val="20"/>
                <w:szCs w:val="20"/>
              </w:rPr>
            </w:pPr>
            <w:r w:rsidRPr="0068236B">
              <w:rPr>
                <w:rFonts w:cs="Arial"/>
                <w:sz w:val="20"/>
                <w:szCs w:val="20"/>
              </w:rPr>
              <w:t>Temporary as well as permanent occupation of corridors of land for new tracks.</w:t>
            </w:r>
          </w:p>
          <w:p w14:paraId="7E844FC9" w14:textId="42E7974F" w:rsidR="003B46E3" w:rsidRPr="0068236B" w:rsidRDefault="003B46E3" w:rsidP="003B46E3">
            <w:pPr>
              <w:autoSpaceDE w:val="0"/>
              <w:autoSpaceDN w:val="0"/>
              <w:adjustRightInd w:val="0"/>
              <w:spacing w:before="0" w:after="0" w:line="240" w:lineRule="auto"/>
              <w:jc w:val="left"/>
              <w:rPr>
                <w:rFonts w:cs="Arial"/>
                <w:sz w:val="20"/>
                <w:szCs w:val="20"/>
              </w:rPr>
            </w:pPr>
            <w:r w:rsidRPr="0068236B">
              <w:rPr>
                <w:i/>
                <w:sz w:val="20"/>
                <w:szCs w:val="20"/>
              </w:rPr>
              <w:t>Note</w:t>
            </w:r>
            <w:r w:rsidRPr="0068236B">
              <w:rPr>
                <w:sz w:val="20"/>
                <w:szCs w:val="20"/>
              </w:rPr>
              <w:t xml:space="preserve">: Locations of </w:t>
            </w:r>
            <w:r w:rsidR="00462CFB" w:rsidRPr="0068236B">
              <w:rPr>
                <w:sz w:val="20"/>
                <w:szCs w:val="20"/>
              </w:rPr>
              <w:t xml:space="preserve">new </w:t>
            </w:r>
            <w:r w:rsidRPr="0068236B">
              <w:rPr>
                <w:sz w:val="20"/>
                <w:szCs w:val="20"/>
              </w:rPr>
              <w:t xml:space="preserve">access tracks </w:t>
            </w:r>
            <w:r w:rsidRPr="0068236B">
              <w:rPr>
                <w:rFonts w:cs="Arial"/>
                <w:sz w:val="20"/>
                <w:szCs w:val="20"/>
              </w:rPr>
              <w:t>would be identified in more advanced development phase of the Project, prior to construction</w:t>
            </w:r>
            <w:r w:rsidRPr="0068236B">
              <w:rPr>
                <w:sz w:val="20"/>
                <w:szCs w:val="20"/>
              </w:rPr>
              <w:t xml:space="preserve">. </w:t>
            </w:r>
          </w:p>
        </w:tc>
      </w:tr>
      <w:tr w:rsidR="003B46E3" w:rsidRPr="0068236B" w14:paraId="5B666CCF" w14:textId="77777777" w:rsidTr="003B46E3">
        <w:tc>
          <w:tcPr>
            <w:tcW w:w="1951" w:type="dxa"/>
          </w:tcPr>
          <w:p w14:paraId="56943A9C" w14:textId="77777777" w:rsidR="003B46E3" w:rsidRPr="0068236B" w:rsidRDefault="003B46E3" w:rsidP="003B46E3">
            <w:pPr>
              <w:autoSpaceDE w:val="0"/>
              <w:autoSpaceDN w:val="0"/>
              <w:adjustRightInd w:val="0"/>
              <w:spacing w:before="0" w:after="0" w:line="240" w:lineRule="auto"/>
              <w:jc w:val="left"/>
              <w:rPr>
                <w:rFonts w:cs="Arial"/>
                <w:color w:val="000000"/>
                <w:sz w:val="20"/>
                <w:szCs w:val="20"/>
              </w:rPr>
            </w:pPr>
            <w:r w:rsidRPr="0068236B">
              <w:rPr>
                <w:rFonts w:cs="Arial"/>
                <w:color w:val="000000"/>
                <w:sz w:val="20"/>
                <w:szCs w:val="20"/>
              </w:rPr>
              <w:t>Substation</w:t>
            </w:r>
          </w:p>
        </w:tc>
        <w:tc>
          <w:tcPr>
            <w:tcW w:w="3969" w:type="dxa"/>
          </w:tcPr>
          <w:p w14:paraId="0F9954AE" w14:textId="119F8EB8" w:rsidR="003B46E3" w:rsidRPr="0068236B" w:rsidRDefault="003B46E3" w:rsidP="003B46E3">
            <w:pPr>
              <w:autoSpaceDE w:val="0"/>
              <w:autoSpaceDN w:val="0"/>
              <w:adjustRightInd w:val="0"/>
              <w:spacing w:before="0" w:after="0" w:line="240" w:lineRule="auto"/>
              <w:jc w:val="left"/>
              <w:rPr>
                <w:rFonts w:cs="Arial"/>
                <w:sz w:val="20"/>
                <w:szCs w:val="20"/>
              </w:rPr>
            </w:pPr>
            <w:r w:rsidRPr="0068236B">
              <w:rPr>
                <w:rFonts w:cs="Arial"/>
                <w:sz w:val="20"/>
                <w:szCs w:val="20"/>
              </w:rPr>
              <w:t>Construction and operation of the subst</w:t>
            </w:r>
            <w:r w:rsidRPr="0068236B">
              <w:rPr>
                <w:rFonts w:cs="Arial"/>
                <w:sz w:val="20"/>
                <w:szCs w:val="20"/>
              </w:rPr>
              <w:t>a</w:t>
            </w:r>
            <w:r w:rsidRPr="0068236B">
              <w:rPr>
                <w:rFonts w:cs="Arial"/>
                <w:sz w:val="20"/>
                <w:szCs w:val="20"/>
              </w:rPr>
              <w:t xml:space="preserve">tion will require land of an area of approx. </w:t>
            </w:r>
            <w:r w:rsidR="00462CFB" w:rsidRPr="0068236B">
              <w:rPr>
                <w:rFonts w:cs="Arial"/>
                <w:color w:val="000000"/>
                <w:sz w:val="20"/>
                <w:szCs w:val="20"/>
              </w:rPr>
              <w:t>6</w:t>
            </w:r>
            <w:r w:rsidRPr="0068236B">
              <w:rPr>
                <w:rFonts w:cs="Arial"/>
                <w:color w:val="000000"/>
                <w:sz w:val="20"/>
                <w:szCs w:val="20"/>
              </w:rPr>
              <w:t xml:space="preserve"> ha.</w:t>
            </w:r>
          </w:p>
        </w:tc>
        <w:tc>
          <w:tcPr>
            <w:tcW w:w="3578" w:type="dxa"/>
          </w:tcPr>
          <w:p w14:paraId="0852612B" w14:textId="77777777" w:rsidR="003B46E3" w:rsidRPr="0068236B" w:rsidRDefault="003B46E3" w:rsidP="003B46E3">
            <w:pPr>
              <w:autoSpaceDE w:val="0"/>
              <w:autoSpaceDN w:val="0"/>
              <w:adjustRightInd w:val="0"/>
              <w:spacing w:before="0" w:after="0" w:line="240" w:lineRule="auto"/>
              <w:jc w:val="left"/>
              <w:rPr>
                <w:rFonts w:cs="Arial"/>
                <w:color w:val="000000"/>
                <w:sz w:val="20"/>
                <w:szCs w:val="20"/>
              </w:rPr>
            </w:pPr>
            <w:r w:rsidRPr="0068236B">
              <w:rPr>
                <w:rFonts w:cs="Arial"/>
                <w:color w:val="000000"/>
                <w:sz w:val="20"/>
                <w:szCs w:val="20"/>
              </w:rPr>
              <w:t>Permanent occupation of land for substation.</w:t>
            </w:r>
          </w:p>
        </w:tc>
      </w:tr>
      <w:tr w:rsidR="003B46E3" w:rsidRPr="0068236B" w14:paraId="224F61B8" w14:textId="77777777" w:rsidTr="003B46E3">
        <w:tc>
          <w:tcPr>
            <w:tcW w:w="1951" w:type="dxa"/>
          </w:tcPr>
          <w:p w14:paraId="03693844" w14:textId="77777777" w:rsidR="003B46E3" w:rsidRPr="0068236B" w:rsidRDefault="003B46E3" w:rsidP="003B46E3">
            <w:pPr>
              <w:autoSpaceDE w:val="0"/>
              <w:autoSpaceDN w:val="0"/>
              <w:adjustRightInd w:val="0"/>
              <w:spacing w:before="0" w:after="0" w:line="240" w:lineRule="auto"/>
              <w:jc w:val="left"/>
              <w:rPr>
                <w:rFonts w:cs="Arial"/>
                <w:color w:val="000000"/>
                <w:sz w:val="20"/>
                <w:szCs w:val="20"/>
              </w:rPr>
            </w:pPr>
            <w:r w:rsidRPr="0068236B">
              <w:rPr>
                <w:rFonts w:cs="Arial"/>
                <w:color w:val="000000"/>
                <w:sz w:val="20"/>
                <w:szCs w:val="20"/>
              </w:rPr>
              <w:t>OHL Towers</w:t>
            </w:r>
          </w:p>
        </w:tc>
        <w:tc>
          <w:tcPr>
            <w:tcW w:w="3969" w:type="dxa"/>
          </w:tcPr>
          <w:p w14:paraId="76A02DDD" w14:textId="12B61CFA" w:rsidR="003B46E3" w:rsidRPr="0068236B" w:rsidRDefault="00462CFB" w:rsidP="00462CFB">
            <w:pPr>
              <w:autoSpaceDE w:val="0"/>
              <w:autoSpaceDN w:val="0"/>
              <w:adjustRightInd w:val="0"/>
              <w:spacing w:before="0" w:after="0" w:line="240" w:lineRule="auto"/>
              <w:jc w:val="left"/>
              <w:rPr>
                <w:rFonts w:cs="Arial"/>
                <w:color w:val="000000"/>
                <w:sz w:val="20"/>
                <w:szCs w:val="20"/>
              </w:rPr>
            </w:pPr>
            <w:r w:rsidRPr="0068236B">
              <w:rPr>
                <w:rFonts w:cs="Arial"/>
                <w:sz w:val="20"/>
                <w:szCs w:val="20"/>
              </w:rPr>
              <w:t>F</w:t>
            </w:r>
            <w:r w:rsidR="003B46E3" w:rsidRPr="0068236B">
              <w:rPr>
                <w:rFonts w:cs="Arial"/>
                <w:sz w:val="20"/>
                <w:szCs w:val="20"/>
              </w:rPr>
              <w:t xml:space="preserve">oundations for </w:t>
            </w:r>
            <w:r w:rsidRPr="0068236B">
              <w:rPr>
                <w:rFonts w:cs="Arial"/>
                <w:sz w:val="20"/>
                <w:szCs w:val="20"/>
              </w:rPr>
              <w:t xml:space="preserve">new </w:t>
            </w:r>
            <w:r w:rsidR="003B46E3" w:rsidRPr="0068236B">
              <w:rPr>
                <w:rFonts w:cs="Arial"/>
                <w:sz w:val="20"/>
                <w:szCs w:val="20"/>
              </w:rPr>
              <w:t>OHL towers involve excavation and concrete bases to support the four legs of the tower structures. The area at the tower bases varies according to tower type.</w:t>
            </w:r>
          </w:p>
        </w:tc>
        <w:tc>
          <w:tcPr>
            <w:tcW w:w="3578" w:type="dxa"/>
          </w:tcPr>
          <w:p w14:paraId="7A0C7B15" w14:textId="77777777" w:rsidR="003B46E3" w:rsidRPr="0068236B" w:rsidRDefault="003B46E3" w:rsidP="003B46E3">
            <w:pPr>
              <w:autoSpaceDE w:val="0"/>
              <w:autoSpaceDN w:val="0"/>
              <w:adjustRightInd w:val="0"/>
              <w:spacing w:before="0" w:after="0" w:line="240" w:lineRule="auto"/>
              <w:jc w:val="left"/>
              <w:rPr>
                <w:rFonts w:cs="Arial"/>
                <w:sz w:val="20"/>
                <w:szCs w:val="20"/>
              </w:rPr>
            </w:pPr>
            <w:r w:rsidRPr="0068236B">
              <w:rPr>
                <w:rFonts w:cs="Arial"/>
                <w:sz w:val="20"/>
                <w:szCs w:val="20"/>
              </w:rPr>
              <w:t>Temporary occupation of land during construction - tower construction / stringing.</w:t>
            </w:r>
          </w:p>
          <w:p w14:paraId="4BDAC1F3" w14:textId="3132D5BA" w:rsidR="003B46E3" w:rsidRPr="0068236B" w:rsidRDefault="003B46E3" w:rsidP="003B46E3">
            <w:pPr>
              <w:autoSpaceDE w:val="0"/>
              <w:autoSpaceDN w:val="0"/>
              <w:adjustRightInd w:val="0"/>
              <w:spacing w:before="0" w:after="0" w:line="240" w:lineRule="auto"/>
              <w:jc w:val="left"/>
              <w:rPr>
                <w:rFonts w:cs="Arial"/>
                <w:sz w:val="20"/>
                <w:szCs w:val="20"/>
              </w:rPr>
            </w:pPr>
            <w:r w:rsidRPr="0068236B">
              <w:rPr>
                <w:rFonts w:cs="Arial"/>
                <w:sz w:val="20"/>
                <w:szCs w:val="20"/>
              </w:rPr>
              <w:t xml:space="preserve">Permanent occupation of areas of land for each </w:t>
            </w:r>
            <w:r w:rsidR="00462CFB" w:rsidRPr="0068236B">
              <w:rPr>
                <w:rFonts w:cs="Arial"/>
                <w:sz w:val="20"/>
                <w:szCs w:val="20"/>
              </w:rPr>
              <w:t xml:space="preserve">new </w:t>
            </w:r>
            <w:r w:rsidRPr="0068236B">
              <w:rPr>
                <w:rFonts w:cs="Arial"/>
                <w:sz w:val="20"/>
                <w:szCs w:val="20"/>
              </w:rPr>
              <w:t>tower foundation.</w:t>
            </w:r>
          </w:p>
        </w:tc>
      </w:tr>
      <w:tr w:rsidR="003B46E3" w:rsidRPr="0068236B" w14:paraId="39B7E569" w14:textId="77777777" w:rsidTr="003B46E3">
        <w:tc>
          <w:tcPr>
            <w:tcW w:w="1951" w:type="dxa"/>
          </w:tcPr>
          <w:p w14:paraId="5A648C89" w14:textId="77777777" w:rsidR="003B46E3" w:rsidRPr="0068236B" w:rsidRDefault="003B46E3" w:rsidP="003B46E3">
            <w:pPr>
              <w:autoSpaceDE w:val="0"/>
              <w:autoSpaceDN w:val="0"/>
              <w:adjustRightInd w:val="0"/>
              <w:spacing w:before="0" w:after="0" w:line="240" w:lineRule="auto"/>
              <w:jc w:val="left"/>
              <w:rPr>
                <w:rFonts w:cs="Arial"/>
                <w:sz w:val="20"/>
                <w:szCs w:val="20"/>
              </w:rPr>
            </w:pPr>
            <w:r w:rsidRPr="0068236B">
              <w:rPr>
                <w:rFonts w:cs="Arial"/>
                <w:sz w:val="20"/>
                <w:szCs w:val="20"/>
              </w:rPr>
              <w:t>Construction camps</w:t>
            </w:r>
          </w:p>
          <w:p w14:paraId="5E70428D" w14:textId="77777777" w:rsidR="003B46E3" w:rsidRPr="0068236B" w:rsidRDefault="003B46E3" w:rsidP="003B46E3">
            <w:pPr>
              <w:autoSpaceDE w:val="0"/>
              <w:autoSpaceDN w:val="0"/>
              <w:adjustRightInd w:val="0"/>
              <w:spacing w:before="0" w:after="0" w:line="240" w:lineRule="auto"/>
              <w:jc w:val="left"/>
              <w:rPr>
                <w:rFonts w:cs="Arial"/>
                <w:sz w:val="20"/>
                <w:szCs w:val="20"/>
              </w:rPr>
            </w:pPr>
            <w:r w:rsidRPr="0068236B">
              <w:rPr>
                <w:rFonts w:cs="Arial"/>
                <w:sz w:val="20"/>
                <w:szCs w:val="20"/>
              </w:rPr>
              <w:t xml:space="preserve">and </w:t>
            </w:r>
            <w:r w:rsidRPr="0068236B">
              <w:rPr>
                <w:sz w:val="20"/>
                <w:szCs w:val="20"/>
              </w:rPr>
              <w:t>other facilities such as temporary compounds, mat</w:t>
            </w:r>
            <w:r w:rsidRPr="0068236B">
              <w:rPr>
                <w:sz w:val="20"/>
                <w:szCs w:val="20"/>
              </w:rPr>
              <w:t>e</w:t>
            </w:r>
            <w:r w:rsidRPr="0068236B">
              <w:rPr>
                <w:sz w:val="20"/>
                <w:szCs w:val="20"/>
              </w:rPr>
              <w:t>rials storage and waste management areas</w:t>
            </w:r>
          </w:p>
        </w:tc>
        <w:tc>
          <w:tcPr>
            <w:tcW w:w="3969" w:type="dxa"/>
          </w:tcPr>
          <w:p w14:paraId="13B612D0" w14:textId="77777777" w:rsidR="003B46E3" w:rsidRPr="0068236B" w:rsidRDefault="003B46E3" w:rsidP="003B46E3">
            <w:pPr>
              <w:autoSpaceDE w:val="0"/>
              <w:autoSpaceDN w:val="0"/>
              <w:adjustRightInd w:val="0"/>
              <w:spacing w:before="0" w:after="0" w:line="240" w:lineRule="auto"/>
              <w:jc w:val="left"/>
              <w:rPr>
                <w:rFonts w:cs="Arial"/>
                <w:sz w:val="20"/>
                <w:szCs w:val="20"/>
              </w:rPr>
            </w:pPr>
            <w:r w:rsidRPr="0068236B">
              <w:rPr>
                <w:rFonts w:cs="Arial"/>
                <w:sz w:val="20"/>
                <w:szCs w:val="20"/>
              </w:rPr>
              <w:t>Construction camps would be established to provide material storage, maintenance and office accommodation at the SS site and at various strategic locations along the OHL corridors.</w:t>
            </w:r>
          </w:p>
        </w:tc>
        <w:tc>
          <w:tcPr>
            <w:tcW w:w="3578" w:type="dxa"/>
          </w:tcPr>
          <w:p w14:paraId="4AFC6524" w14:textId="77777777" w:rsidR="003B46E3" w:rsidRPr="0068236B" w:rsidRDefault="003B46E3" w:rsidP="003B46E3">
            <w:pPr>
              <w:autoSpaceDE w:val="0"/>
              <w:autoSpaceDN w:val="0"/>
              <w:adjustRightInd w:val="0"/>
              <w:spacing w:before="0" w:after="0" w:line="240" w:lineRule="auto"/>
              <w:jc w:val="left"/>
              <w:rPr>
                <w:rFonts w:cs="Arial"/>
                <w:sz w:val="20"/>
                <w:szCs w:val="20"/>
              </w:rPr>
            </w:pPr>
            <w:r w:rsidRPr="0068236B">
              <w:rPr>
                <w:rFonts w:cs="Arial"/>
                <w:sz w:val="20"/>
                <w:szCs w:val="20"/>
              </w:rPr>
              <w:t>Temporary occupation of land for construction purposes. To minimise the impact magnitude, it can be r</w:t>
            </w:r>
            <w:r w:rsidRPr="0068236B">
              <w:rPr>
                <w:rFonts w:cs="Arial"/>
                <w:sz w:val="20"/>
                <w:szCs w:val="20"/>
              </w:rPr>
              <w:t>e</w:t>
            </w:r>
            <w:r w:rsidRPr="0068236B">
              <w:rPr>
                <w:rFonts w:cs="Arial"/>
                <w:sz w:val="20"/>
                <w:szCs w:val="20"/>
              </w:rPr>
              <w:t>quired that construction camps and associated facilities are formed in existing industrial or commercial sites/locations, wherever possible,</w:t>
            </w:r>
          </w:p>
          <w:p w14:paraId="4FC0FD07" w14:textId="77777777" w:rsidR="003B46E3" w:rsidRPr="0068236B" w:rsidRDefault="003B46E3" w:rsidP="003B46E3">
            <w:pPr>
              <w:autoSpaceDE w:val="0"/>
              <w:autoSpaceDN w:val="0"/>
              <w:adjustRightInd w:val="0"/>
              <w:spacing w:before="0" w:after="0" w:line="240" w:lineRule="auto"/>
              <w:jc w:val="left"/>
              <w:rPr>
                <w:rFonts w:cs="Arial"/>
                <w:sz w:val="20"/>
                <w:szCs w:val="20"/>
              </w:rPr>
            </w:pPr>
            <w:r w:rsidRPr="0068236B">
              <w:rPr>
                <w:rFonts w:cs="Arial"/>
                <w:i/>
                <w:sz w:val="20"/>
                <w:szCs w:val="20"/>
              </w:rPr>
              <w:t>Note</w:t>
            </w:r>
            <w:r w:rsidRPr="0068236B">
              <w:rPr>
                <w:rFonts w:cs="Arial"/>
                <w:sz w:val="20"/>
                <w:szCs w:val="20"/>
              </w:rPr>
              <w:t>: Sites for construction camps and other facilities would be identified in more advanced development phase of the Project, prior to construction</w:t>
            </w:r>
            <w:r w:rsidRPr="0068236B">
              <w:rPr>
                <w:sz w:val="20"/>
                <w:szCs w:val="20"/>
              </w:rPr>
              <w:t>.</w:t>
            </w:r>
          </w:p>
        </w:tc>
      </w:tr>
      <w:tr w:rsidR="003B46E3" w:rsidRPr="0068236B" w14:paraId="44DFC13A" w14:textId="77777777" w:rsidTr="003B46E3">
        <w:tc>
          <w:tcPr>
            <w:tcW w:w="1951" w:type="dxa"/>
          </w:tcPr>
          <w:p w14:paraId="5EE8CE40" w14:textId="77777777" w:rsidR="003B46E3" w:rsidRPr="0068236B" w:rsidRDefault="003B46E3" w:rsidP="003B46E3">
            <w:pPr>
              <w:autoSpaceDE w:val="0"/>
              <w:autoSpaceDN w:val="0"/>
              <w:adjustRightInd w:val="0"/>
              <w:spacing w:before="0" w:after="0" w:line="240" w:lineRule="auto"/>
              <w:jc w:val="left"/>
              <w:rPr>
                <w:rFonts w:cs="Arial"/>
                <w:sz w:val="20"/>
                <w:szCs w:val="20"/>
              </w:rPr>
            </w:pPr>
            <w:r w:rsidRPr="0068236B">
              <w:rPr>
                <w:rFonts w:cs="Arial"/>
                <w:sz w:val="20"/>
                <w:szCs w:val="20"/>
              </w:rPr>
              <w:t>Right of Way</w:t>
            </w:r>
          </w:p>
        </w:tc>
        <w:tc>
          <w:tcPr>
            <w:tcW w:w="3969" w:type="dxa"/>
          </w:tcPr>
          <w:p w14:paraId="72FE6818" w14:textId="77777777" w:rsidR="003B46E3" w:rsidRPr="0068236B" w:rsidRDefault="003B46E3" w:rsidP="00462CFB">
            <w:pPr>
              <w:autoSpaceDE w:val="0"/>
              <w:autoSpaceDN w:val="0"/>
              <w:adjustRightInd w:val="0"/>
              <w:spacing w:before="0" w:after="0" w:line="240" w:lineRule="auto"/>
              <w:jc w:val="left"/>
              <w:rPr>
                <w:rFonts w:cs="Tahoma"/>
                <w:sz w:val="20"/>
                <w:szCs w:val="20"/>
              </w:rPr>
            </w:pPr>
            <w:r w:rsidRPr="0068236B">
              <w:rPr>
                <w:rFonts w:cs="Arial"/>
                <w:sz w:val="20"/>
                <w:szCs w:val="20"/>
              </w:rPr>
              <w:t xml:space="preserve">As required by the relevant </w:t>
            </w:r>
            <w:r w:rsidR="00462CFB" w:rsidRPr="0068236B">
              <w:rPr>
                <w:rFonts w:cs="Arial"/>
                <w:sz w:val="20"/>
                <w:szCs w:val="20"/>
              </w:rPr>
              <w:t>Macedonian</w:t>
            </w:r>
            <w:r w:rsidRPr="0068236B">
              <w:rPr>
                <w:rFonts w:cs="Arial"/>
                <w:sz w:val="20"/>
                <w:szCs w:val="20"/>
              </w:rPr>
              <w:t xml:space="preserve"> legislation, approx. </w:t>
            </w:r>
            <w:r w:rsidR="00462CFB" w:rsidRPr="0068236B">
              <w:rPr>
                <w:rFonts w:cs="Arial"/>
                <w:sz w:val="20"/>
                <w:szCs w:val="20"/>
              </w:rPr>
              <w:t>20</w:t>
            </w:r>
            <w:r w:rsidRPr="0068236B">
              <w:rPr>
                <w:rFonts w:cs="Arial"/>
                <w:sz w:val="20"/>
                <w:szCs w:val="20"/>
              </w:rPr>
              <w:t xml:space="preserve"> m wide RoW (</w:t>
            </w:r>
            <w:r w:rsidRPr="0068236B">
              <w:rPr>
                <w:rFonts w:cs="Tahoma"/>
                <w:sz w:val="20"/>
                <w:szCs w:val="20"/>
              </w:rPr>
              <w:t>pr</w:t>
            </w:r>
            <w:r w:rsidRPr="0068236B">
              <w:rPr>
                <w:rFonts w:cs="Tahoma"/>
                <w:sz w:val="20"/>
                <w:szCs w:val="20"/>
              </w:rPr>
              <w:t>o</w:t>
            </w:r>
            <w:r w:rsidRPr="0068236B">
              <w:rPr>
                <w:rFonts w:cs="Tahoma"/>
                <w:sz w:val="20"/>
                <w:szCs w:val="20"/>
              </w:rPr>
              <w:t xml:space="preserve">tection zone or safety corridor) will be established along the </w:t>
            </w:r>
            <w:r w:rsidR="00462CFB" w:rsidRPr="0068236B">
              <w:rPr>
                <w:rFonts w:cs="Tahoma"/>
                <w:sz w:val="20"/>
                <w:szCs w:val="20"/>
              </w:rPr>
              <w:t>new 110 kV lines</w:t>
            </w:r>
            <w:r w:rsidRPr="0068236B">
              <w:rPr>
                <w:rFonts w:cs="Tahoma"/>
                <w:sz w:val="20"/>
                <w:szCs w:val="20"/>
              </w:rPr>
              <w:t>, once operational.</w:t>
            </w:r>
          </w:p>
          <w:p w14:paraId="243D56AD" w14:textId="0BAFC1AE" w:rsidR="00462CFB" w:rsidRPr="0068236B" w:rsidRDefault="00462CFB" w:rsidP="00462CFB">
            <w:pPr>
              <w:autoSpaceDE w:val="0"/>
              <w:autoSpaceDN w:val="0"/>
              <w:adjustRightInd w:val="0"/>
              <w:spacing w:before="0" w:after="0" w:line="240" w:lineRule="auto"/>
              <w:jc w:val="left"/>
              <w:rPr>
                <w:rFonts w:cs="Arial"/>
                <w:sz w:val="20"/>
                <w:szCs w:val="20"/>
              </w:rPr>
            </w:pPr>
            <w:r w:rsidRPr="0068236B">
              <w:rPr>
                <w:rFonts w:cs="Tahoma"/>
                <w:i/>
                <w:sz w:val="20"/>
                <w:szCs w:val="20"/>
              </w:rPr>
              <w:t>Note</w:t>
            </w:r>
            <w:r w:rsidRPr="0068236B">
              <w:rPr>
                <w:rFonts w:cs="Tahoma"/>
                <w:sz w:val="20"/>
                <w:szCs w:val="20"/>
              </w:rPr>
              <w:t>: RoW along the existing 110 kV line from SS Valandovo to ‘EVP’ SS Miletkovo, which is subject to reconstruction, already exists.</w:t>
            </w:r>
          </w:p>
        </w:tc>
        <w:tc>
          <w:tcPr>
            <w:tcW w:w="3578" w:type="dxa"/>
          </w:tcPr>
          <w:p w14:paraId="6032F420" w14:textId="2A0AE6DB" w:rsidR="003B46E3" w:rsidRPr="0068236B" w:rsidRDefault="003B46E3" w:rsidP="003B46E3">
            <w:pPr>
              <w:autoSpaceDE w:val="0"/>
              <w:autoSpaceDN w:val="0"/>
              <w:adjustRightInd w:val="0"/>
              <w:spacing w:before="0" w:after="0" w:line="240" w:lineRule="auto"/>
              <w:jc w:val="left"/>
              <w:rPr>
                <w:rFonts w:cs="Arial"/>
                <w:sz w:val="20"/>
                <w:szCs w:val="20"/>
              </w:rPr>
            </w:pPr>
            <w:r w:rsidRPr="0068236B">
              <w:rPr>
                <w:rFonts w:cs="Tahoma"/>
                <w:sz w:val="20"/>
                <w:szCs w:val="20"/>
              </w:rPr>
              <w:t xml:space="preserve">Within the RoW, in order to ensure the safe operation of the </w:t>
            </w:r>
            <w:r w:rsidR="00462CFB" w:rsidRPr="0068236B">
              <w:rPr>
                <w:rFonts w:cs="Tahoma"/>
                <w:sz w:val="20"/>
                <w:szCs w:val="20"/>
              </w:rPr>
              <w:t>lines</w:t>
            </w:r>
            <w:r w:rsidRPr="0068236B">
              <w:rPr>
                <w:rFonts w:cs="Tahoma"/>
                <w:sz w:val="20"/>
                <w:szCs w:val="20"/>
              </w:rPr>
              <w:t xml:space="preserve"> and for the safety of people, particular land use limitations will be imposed.</w:t>
            </w:r>
            <w:r w:rsidRPr="0068236B">
              <w:rPr>
                <w:rFonts w:cs="Arial"/>
                <w:sz w:val="20"/>
                <w:szCs w:val="20"/>
              </w:rPr>
              <w:t xml:space="preserve"> </w:t>
            </w:r>
          </w:p>
          <w:p w14:paraId="1DCC6231" w14:textId="3F5385BA" w:rsidR="003B46E3" w:rsidRPr="0068236B" w:rsidRDefault="00462CFB" w:rsidP="00462CFB">
            <w:pPr>
              <w:autoSpaceDE w:val="0"/>
              <w:autoSpaceDN w:val="0"/>
              <w:adjustRightInd w:val="0"/>
              <w:spacing w:before="0" w:after="0" w:line="240" w:lineRule="auto"/>
              <w:jc w:val="left"/>
              <w:rPr>
                <w:rFonts w:cs="Arial"/>
                <w:sz w:val="20"/>
                <w:szCs w:val="20"/>
              </w:rPr>
            </w:pPr>
            <w:r w:rsidRPr="0068236B">
              <w:rPr>
                <w:rFonts w:cs="Tahoma"/>
                <w:sz w:val="20"/>
                <w:szCs w:val="20"/>
              </w:rPr>
              <w:t xml:space="preserve">No </w:t>
            </w:r>
            <w:r w:rsidR="003B46E3" w:rsidRPr="0068236B">
              <w:rPr>
                <w:rFonts w:cs="Tahoma"/>
                <w:sz w:val="20"/>
                <w:szCs w:val="20"/>
              </w:rPr>
              <w:t>development (houses, buildings and facilities, and other structures) will be allowed within the RoW in compliance with the conditions and technical norms stipulated in the re</w:t>
            </w:r>
            <w:r w:rsidR="003B46E3" w:rsidRPr="0068236B">
              <w:rPr>
                <w:rFonts w:cs="Tahoma"/>
                <w:sz w:val="20"/>
                <w:szCs w:val="20"/>
              </w:rPr>
              <w:t>l</w:t>
            </w:r>
            <w:r w:rsidR="003B46E3" w:rsidRPr="0068236B">
              <w:rPr>
                <w:rFonts w:cs="Tahoma"/>
                <w:sz w:val="20"/>
                <w:szCs w:val="20"/>
              </w:rPr>
              <w:t xml:space="preserve">evant </w:t>
            </w:r>
            <w:r w:rsidR="008853B5" w:rsidRPr="0068236B">
              <w:rPr>
                <w:rFonts w:cs="Tahoma"/>
                <w:sz w:val="20"/>
                <w:szCs w:val="20"/>
              </w:rPr>
              <w:t>Macedonian</w:t>
            </w:r>
            <w:r w:rsidR="003B46E3" w:rsidRPr="0068236B">
              <w:rPr>
                <w:rFonts w:cs="Tahoma"/>
                <w:sz w:val="20"/>
                <w:szCs w:val="20"/>
              </w:rPr>
              <w:t xml:space="preserve"> legislation.</w:t>
            </w:r>
          </w:p>
        </w:tc>
      </w:tr>
    </w:tbl>
    <w:p w14:paraId="5704963A" w14:textId="09338D47" w:rsidR="003B46E3" w:rsidRPr="0068236B" w:rsidRDefault="003B46E3" w:rsidP="003B46E3">
      <w:pPr>
        <w:overflowPunct w:val="0"/>
        <w:autoSpaceDE w:val="0"/>
        <w:autoSpaceDN w:val="0"/>
        <w:adjustRightInd w:val="0"/>
        <w:spacing w:before="60" w:after="240"/>
        <w:textAlignment w:val="baseline"/>
        <w:rPr>
          <w:rFonts w:cs="Arial"/>
          <w:sz w:val="18"/>
          <w:szCs w:val="18"/>
        </w:rPr>
      </w:pPr>
      <w:bookmarkStart w:id="564" w:name="_Toc446278296"/>
      <w:bookmarkStart w:id="565" w:name="_Toc481953737"/>
      <w:bookmarkStart w:id="566" w:name="_Toc72354992"/>
      <w:bookmarkStart w:id="567" w:name="_Toc80181289"/>
      <w:bookmarkStart w:id="568" w:name="_Toc113018243"/>
      <w:r w:rsidRPr="0068236B">
        <w:rPr>
          <w:rFonts w:cs="Arial"/>
          <w:bCs/>
          <w:sz w:val="18"/>
          <w:szCs w:val="18"/>
        </w:rPr>
        <w:t xml:space="preserve">Table </w:t>
      </w:r>
      <w:r w:rsidRPr="0068236B">
        <w:rPr>
          <w:rFonts w:cs="Arial"/>
          <w:bCs/>
          <w:sz w:val="18"/>
          <w:szCs w:val="18"/>
        </w:rPr>
        <w:fldChar w:fldCharType="begin"/>
      </w:r>
      <w:r w:rsidRPr="0068236B">
        <w:rPr>
          <w:rFonts w:cs="Arial"/>
          <w:bCs/>
          <w:sz w:val="18"/>
          <w:szCs w:val="18"/>
        </w:rPr>
        <w:instrText xml:space="preserve"> STYLEREF 1 \s </w:instrText>
      </w:r>
      <w:r w:rsidRPr="0068236B">
        <w:rPr>
          <w:rFonts w:cs="Arial"/>
          <w:bCs/>
          <w:sz w:val="18"/>
          <w:szCs w:val="18"/>
        </w:rPr>
        <w:fldChar w:fldCharType="separate"/>
      </w:r>
      <w:r w:rsidR="00FD57E6">
        <w:rPr>
          <w:rFonts w:cs="Arial"/>
          <w:bCs/>
          <w:noProof/>
          <w:sz w:val="18"/>
          <w:szCs w:val="18"/>
        </w:rPr>
        <w:t>9</w:t>
      </w:r>
      <w:r w:rsidRPr="0068236B">
        <w:rPr>
          <w:rFonts w:cs="Arial"/>
          <w:bCs/>
          <w:sz w:val="18"/>
          <w:szCs w:val="18"/>
        </w:rPr>
        <w:fldChar w:fldCharType="end"/>
      </w:r>
      <w:r w:rsidRPr="0068236B">
        <w:rPr>
          <w:rFonts w:cs="Arial"/>
          <w:bCs/>
          <w:sz w:val="18"/>
          <w:szCs w:val="18"/>
        </w:rPr>
        <w:t>.</w:t>
      </w:r>
      <w:r w:rsidRPr="0068236B">
        <w:rPr>
          <w:rFonts w:cs="Arial"/>
          <w:bCs/>
          <w:sz w:val="18"/>
          <w:szCs w:val="18"/>
        </w:rPr>
        <w:fldChar w:fldCharType="begin"/>
      </w:r>
      <w:r w:rsidRPr="0068236B">
        <w:rPr>
          <w:rFonts w:cs="Arial"/>
          <w:bCs/>
          <w:sz w:val="18"/>
          <w:szCs w:val="18"/>
        </w:rPr>
        <w:instrText xml:space="preserve"> SEQ Table \* ARABIC \s 1 </w:instrText>
      </w:r>
      <w:r w:rsidRPr="0068236B">
        <w:rPr>
          <w:rFonts w:cs="Arial"/>
          <w:bCs/>
          <w:sz w:val="18"/>
          <w:szCs w:val="18"/>
        </w:rPr>
        <w:fldChar w:fldCharType="separate"/>
      </w:r>
      <w:r w:rsidR="00FD57E6">
        <w:rPr>
          <w:rFonts w:cs="Arial"/>
          <w:bCs/>
          <w:noProof/>
          <w:sz w:val="18"/>
          <w:szCs w:val="18"/>
        </w:rPr>
        <w:t>4</w:t>
      </w:r>
      <w:r w:rsidRPr="0068236B">
        <w:rPr>
          <w:rFonts w:cs="Arial"/>
          <w:bCs/>
          <w:sz w:val="18"/>
          <w:szCs w:val="18"/>
        </w:rPr>
        <w:fldChar w:fldCharType="end"/>
      </w:r>
      <w:r w:rsidR="00E7643A" w:rsidRPr="0068236B">
        <w:rPr>
          <w:rFonts w:cs="Arial"/>
          <w:bCs/>
          <w:sz w:val="18"/>
          <w:szCs w:val="18"/>
        </w:rPr>
        <w:t>:</w:t>
      </w:r>
      <w:r w:rsidRPr="0068236B">
        <w:rPr>
          <w:rFonts w:cs="Arial"/>
          <w:bCs/>
          <w:sz w:val="18"/>
          <w:szCs w:val="18"/>
        </w:rPr>
        <w:t xml:space="preserve"> An overview of land use effects from the Project</w:t>
      </w:r>
      <w:bookmarkEnd w:id="564"/>
      <w:bookmarkEnd w:id="565"/>
      <w:bookmarkEnd w:id="566"/>
      <w:bookmarkEnd w:id="567"/>
      <w:bookmarkEnd w:id="568"/>
    </w:p>
    <w:p w14:paraId="660405D6" w14:textId="77777777" w:rsidR="003B46E3" w:rsidRPr="0068236B" w:rsidRDefault="003B46E3" w:rsidP="003B46E3">
      <w:pPr>
        <w:rPr>
          <w:rFonts w:cs="Arial"/>
          <w:sz w:val="20"/>
          <w:szCs w:val="20"/>
        </w:rPr>
      </w:pPr>
      <w:r w:rsidRPr="0068236B">
        <w:rPr>
          <w:rFonts w:cs="Arial"/>
          <w:sz w:val="20"/>
          <w:szCs w:val="20"/>
        </w:rPr>
        <w:t>The key residual - long term, direct land use effect of the Project (permanent land-take and land conversion) is limited to the substation site and immediate areas underneath the OHL towers. Based on information available in relevant literature as well as in studies of transmission developments of similar type and size, these areas represent less than 1% of the total surface area of the study area (infrastructure corridor). This impact is considered as of very low to low magnitude and, therefore, of negligible significance.</w:t>
      </w:r>
    </w:p>
    <w:p w14:paraId="4360C99E" w14:textId="194DBEEE" w:rsidR="003B46E3" w:rsidRPr="0068236B" w:rsidRDefault="003B46E3" w:rsidP="003B46E3">
      <w:pPr>
        <w:pStyle w:val="Heading2"/>
        <w:spacing w:before="480" w:after="240"/>
        <w:ind w:left="576" w:hanging="576"/>
        <w:rPr>
          <w:rFonts w:cs="Tahoma"/>
          <w:szCs w:val="20"/>
        </w:rPr>
      </w:pPr>
      <w:bookmarkStart w:id="569" w:name="_Toc65690182"/>
      <w:bookmarkStart w:id="570" w:name="_Toc66656261"/>
      <w:bookmarkStart w:id="571" w:name="_Toc80181193"/>
      <w:bookmarkStart w:id="572" w:name="_Toc112852308"/>
      <w:r w:rsidRPr="0068236B">
        <w:t>Land Acquisition</w:t>
      </w:r>
      <w:bookmarkEnd w:id="569"/>
      <w:bookmarkEnd w:id="570"/>
      <w:bookmarkEnd w:id="571"/>
      <w:bookmarkEnd w:id="572"/>
    </w:p>
    <w:p w14:paraId="47D6E403" w14:textId="4940F551" w:rsidR="00462CFB" w:rsidRPr="0068236B" w:rsidRDefault="00462CFB" w:rsidP="00462CFB">
      <w:pPr>
        <w:rPr>
          <w:rFonts w:cs="Arial"/>
          <w:sz w:val="20"/>
          <w:szCs w:val="20"/>
        </w:rPr>
      </w:pPr>
      <w:bookmarkStart w:id="573" w:name="_Toc80181194"/>
      <w:r w:rsidRPr="0068236B">
        <w:rPr>
          <w:rFonts w:cs="Arial"/>
          <w:sz w:val="20"/>
          <w:szCs w:val="20"/>
        </w:rPr>
        <w:t xml:space="preserve">The Project activities </w:t>
      </w:r>
      <w:bookmarkStart w:id="574" w:name="_Hlk96031065"/>
      <w:r w:rsidRPr="0068236B">
        <w:rPr>
          <w:rFonts w:cs="Arial"/>
          <w:sz w:val="20"/>
          <w:szCs w:val="20"/>
        </w:rPr>
        <w:t xml:space="preserve">will permanently occupy insignificant and small amount of agricultural land, barely used. Some of the land will only be temporarily occupied during construction, to enable access to areas </w:t>
      </w:r>
      <w:r w:rsidRPr="0068236B">
        <w:rPr>
          <w:rFonts w:cs="Arial"/>
          <w:color w:val="000000"/>
          <w:sz w:val="20"/>
          <w:szCs w:val="20"/>
        </w:rPr>
        <w:t xml:space="preserve">where the Project will be built. </w:t>
      </w:r>
      <w:bookmarkEnd w:id="574"/>
      <w:r w:rsidRPr="0068236B">
        <w:rPr>
          <w:rFonts w:cs="Arial"/>
          <w:color w:val="000000"/>
          <w:sz w:val="20"/>
          <w:szCs w:val="20"/>
        </w:rPr>
        <w:t>Therefore, t</w:t>
      </w:r>
      <w:r w:rsidRPr="0068236B">
        <w:rPr>
          <w:rFonts w:cs="Arial"/>
          <w:sz w:val="20"/>
          <w:szCs w:val="20"/>
        </w:rPr>
        <w:t xml:space="preserve">he Project will require temporary and permanent acquisition of </w:t>
      </w:r>
      <w:r w:rsidRPr="0068236B">
        <w:rPr>
          <w:rFonts w:cs="Arial"/>
          <w:sz w:val="20"/>
          <w:szCs w:val="20"/>
        </w:rPr>
        <w:lastRenderedPageBreak/>
        <w:t>land, which may involve particular economic effect on people (loss of assets) as a result of project-related land acquisition</w:t>
      </w:r>
      <w:r w:rsidRPr="0068236B">
        <w:rPr>
          <w:rStyle w:val="FootnoteReference"/>
          <w:rFonts w:cs="Arial"/>
          <w:sz w:val="20"/>
          <w:szCs w:val="20"/>
        </w:rPr>
        <w:footnoteReference w:id="147"/>
      </w:r>
      <w:r w:rsidR="001D3323" w:rsidRPr="0068236B">
        <w:rPr>
          <w:rFonts w:cs="Arial"/>
          <w:sz w:val="20"/>
          <w:szCs w:val="20"/>
          <w:vertAlign w:val="superscript"/>
        </w:rPr>
        <w:t xml:space="preserve"> </w:t>
      </w:r>
      <w:r w:rsidRPr="0068236B">
        <w:rPr>
          <w:rFonts w:cs="Arial"/>
          <w:sz w:val="20"/>
          <w:szCs w:val="20"/>
        </w:rPr>
        <w:t xml:space="preserve">and/or restrictions on land use. No physical displacement of people (relocation or loss of shelter) is expected due to the fact that the routing exercise of the OHL corridor </w:t>
      </w:r>
      <w:r w:rsidRPr="0068236B">
        <w:rPr>
          <w:rFonts w:eastAsia="Calibri" w:cs="Arial"/>
          <w:sz w:val="20"/>
          <w:szCs w:val="20"/>
        </w:rPr>
        <w:t>achieved to</w:t>
      </w:r>
      <w:r w:rsidRPr="0068236B">
        <w:rPr>
          <w:rFonts w:cs="Arial"/>
          <w:sz w:val="20"/>
          <w:szCs w:val="20"/>
        </w:rPr>
        <w:t xml:space="preserve"> avoid reside</w:t>
      </w:r>
      <w:r w:rsidRPr="0068236B">
        <w:rPr>
          <w:rFonts w:cs="Arial"/>
          <w:sz w:val="20"/>
          <w:szCs w:val="20"/>
        </w:rPr>
        <w:t>n</w:t>
      </w:r>
      <w:r w:rsidRPr="0068236B">
        <w:rPr>
          <w:rFonts w:cs="Arial"/>
          <w:sz w:val="20"/>
          <w:szCs w:val="20"/>
        </w:rPr>
        <w:t>tial and commercial properties to a safe distance from the line.</w:t>
      </w:r>
    </w:p>
    <w:p w14:paraId="19F633AA" w14:textId="5C0FFE1D" w:rsidR="00462CFB" w:rsidRPr="0068236B" w:rsidRDefault="00462CFB" w:rsidP="00462CFB">
      <w:pPr>
        <w:rPr>
          <w:rFonts w:cs="Arial"/>
          <w:sz w:val="20"/>
          <w:szCs w:val="20"/>
        </w:rPr>
      </w:pPr>
      <w:r w:rsidRPr="0068236B">
        <w:rPr>
          <w:sz w:val="20"/>
        </w:rPr>
        <w:t>All land acquisition, either permanent or temporary will be done in compliance with the relevant national legislation</w:t>
      </w:r>
      <w:r w:rsidRPr="0068236B">
        <w:rPr>
          <w:rStyle w:val="FootnoteReference"/>
          <w:sz w:val="20"/>
        </w:rPr>
        <w:footnoteReference w:id="148"/>
      </w:r>
      <w:r w:rsidRPr="0068236B">
        <w:rPr>
          <w:sz w:val="20"/>
        </w:rPr>
        <w:t xml:space="preserve"> and EBRD PR5 requirements.</w:t>
      </w:r>
      <w:r w:rsidRPr="0068236B">
        <w:rPr>
          <w:rFonts w:cs="Arial"/>
          <w:sz w:val="20"/>
          <w:szCs w:val="20"/>
        </w:rPr>
        <w:t xml:space="preserve"> If land acquisition causes economic displacement of people, a</w:t>
      </w:r>
      <w:r w:rsidRPr="0068236B">
        <w:rPr>
          <w:rFonts w:cs="Arial"/>
          <w:sz w:val="20"/>
          <w:szCs w:val="20"/>
        </w:rPr>
        <w:t>p</w:t>
      </w:r>
      <w:r w:rsidRPr="0068236B">
        <w:rPr>
          <w:rFonts w:cs="Arial"/>
          <w:sz w:val="20"/>
          <w:szCs w:val="20"/>
        </w:rPr>
        <w:t>propriate measures to assist with restoration of livelihoods and standards of living will be included in the respective land acquisition and resettlement documents, which are to be prepared once the detailed Project design is verified and detailed official data on affected land property and its value is available.</w:t>
      </w:r>
    </w:p>
    <w:p w14:paraId="1528BBCE" w14:textId="6A1DDABF" w:rsidR="00462CFB" w:rsidRPr="0068236B" w:rsidRDefault="00462CFB" w:rsidP="00462CFB">
      <w:pPr>
        <w:rPr>
          <w:rFonts w:cs="Arial"/>
          <w:sz w:val="20"/>
          <w:szCs w:val="20"/>
        </w:rPr>
      </w:pPr>
      <w:r w:rsidRPr="0068236B">
        <w:rPr>
          <w:rFonts w:cs="Arial"/>
          <w:sz w:val="20"/>
          <w:szCs w:val="20"/>
        </w:rPr>
        <w:t>Land Acquisition and Reset</w:t>
      </w:r>
      <w:r w:rsidR="001D3323" w:rsidRPr="0068236B">
        <w:rPr>
          <w:rFonts w:cs="Arial"/>
          <w:sz w:val="20"/>
          <w:szCs w:val="20"/>
        </w:rPr>
        <w:t>t</w:t>
      </w:r>
      <w:r w:rsidRPr="0068236B">
        <w:rPr>
          <w:rFonts w:cs="Arial"/>
          <w:sz w:val="20"/>
          <w:szCs w:val="20"/>
        </w:rPr>
        <w:t xml:space="preserve">lement Framework </w:t>
      </w:r>
      <w:r w:rsidR="007A5AC1" w:rsidRPr="0068236B">
        <w:rPr>
          <w:rFonts w:cs="Arial"/>
          <w:sz w:val="20"/>
          <w:szCs w:val="20"/>
        </w:rPr>
        <w:t xml:space="preserve">(LARF) </w:t>
      </w:r>
      <w:r w:rsidRPr="0068236B">
        <w:rPr>
          <w:rFonts w:cs="Arial"/>
          <w:sz w:val="20"/>
          <w:szCs w:val="20"/>
        </w:rPr>
        <w:t>for the land to be acquired (temporary or permanen</w:t>
      </w:r>
      <w:r w:rsidRPr="0068236B">
        <w:rPr>
          <w:rFonts w:cs="Arial"/>
          <w:sz w:val="20"/>
          <w:szCs w:val="20"/>
        </w:rPr>
        <w:t>t</w:t>
      </w:r>
      <w:r w:rsidRPr="0068236B">
        <w:rPr>
          <w:rFonts w:cs="Arial"/>
          <w:sz w:val="20"/>
          <w:szCs w:val="20"/>
        </w:rPr>
        <w:t>ly) and livelihood to be affected is prepared, and it should further be developed into the Land Acquisition and Resettlement Plan</w:t>
      </w:r>
      <w:r w:rsidR="007A5AC1" w:rsidRPr="0068236B">
        <w:rPr>
          <w:rFonts w:cs="Arial"/>
          <w:sz w:val="20"/>
          <w:szCs w:val="20"/>
        </w:rPr>
        <w:t xml:space="preserve"> (LARP)</w:t>
      </w:r>
      <w:r w:rsidRPr="0068236B">
        <w:rPr>
          <w:rFonts w:cs="Arial"/>
          <w:sz w:val="20"/>
          <w:szCs w:val="20"/>
        </w:rPr>
        <w:t>, once the final Project footprint is defined. The scope and level of detail of the plan will be proportionate to the nature and scale of the project, its potential displacement impacts and the level of stakeholder interest. Affected people shall be consulted during the further planning stage of the Project, and prior to finalization of the Project design, as part of resettlement procedure.</w:t>
      </w:r>
    </w:p>
    <w:p w14:paraId="64A3796B" w14:textId="7ADFDDA0" w:rsidR="003B46E3" w:rsidRPr="0068236B" w:rsidRDefault="003B46E3" w:rsidP="003B46E3">
      <w:pPr>
        <w:pStyle w:val="Heading2"/>
        <w:spacing w:before="480" w:after="240"/>
        <w:ind w:left="576" w:hanging="576"/>
        <w:rPr>
          <w:rFonts w:cs="Tahoma"/>
          <w:szCs w:val="20"/>
        </w:rPr>
      </w:pPr>
      <w:bookmarkStart w:id="575" w:name="_Toc112852309"/>
      <w:r w:rsidRPr="0068236B">
        <w:rPr>
          <w:rFonts w:cs="Tahoma"/>
          <w:szCs w:val="20"/>
        </w:rPr>
        <w:t>Cultural Heritage</w:t>
      </w:r>
      <w:bookmarkEnd w:id="573"/>
      <w:bookmarkEnd w:id="575"/>
    </w:p>
    <w:p w14:paraId="6E75DA8E" w14:textId="77777777" w:rsidR="003B46E3" w:rsidRPr="0068236B" w:rsidRDefault="003B46E3" w:rsidP="003B46E3">
      <w:pPr>
        <w:autoSpaceDE w:val="0"/>
        <w:autoSpaceDN w:val="0"/>
        <w:adjustRightInd w:val="0"/>
        <w:rPr>
          <w:sz w:val="20"/>
        </w:rPr>
      </w:pPr>
      <w:r w:rsidRPr="0068236B">
        <w:rPr>
          <w:rFonts w:eastAsiaTheme="minorHAnsi" w:cs="Tahoma"/>
          <w:sz w:val="20"/>
          <w:szCs w:val="20"/>
          <w:lang w:eastAsia="en-US"/>
        </w:rPr>
        <w:t>The key potential impact during the construction of the Project is related to the risk of partial or total remo</w:t>
      </w:r>
      <w:r w:rsidRPr="0068236B">
        <w:rPr>
          <w:rFonts w:eastAsiaTheme="minorHAnsi" w:cs="Tahoma"/>
          <w:sz w:val="20"/>
          <w:szCs w:val="20"/>
          <w:lang w:eastAsia="en-US"/>
        </w:rPr>
        <w:t>v</w:t>
      </w:r>
      <w:r w:rsidRPr="0068236B">
        <w:rPr>
          <w:rFonts w:eastAsiaTheme="minorHAnsi" w:cs="Tahoma"/>
          <w:sz w:val="20"/>
          <w:szCs w:val="20"/>
          <w:lang w:eastAsia="en-US"/>
        </w:rPr>
        <w:t>al or destruction of unknown heritage assets (</w:t>
      </w:r>
      <w:r w:rsidRPr="0068236B">
        <w:rPr>
          <w:rFonts w:cs="Tahoma"/>
          <w:sz w:val="20"/>
          <w:szCs w:val="20"/>
        </w:rPr>
        <w:t>undiscovered archaeological sites) due to ground removal</w:t>
      </w:r>
      <w:r w:rsidRPr="0068236B">
        <w:rPr>
          <w:rFonts w:eastAsiaTheme="minorHAnsi" w:cs="Tahoma"/>
          <w:sz w:val="20"/>
          <w:szCs w:val="20"/>
          <w:lang w:eastAsia="en-US"/>
        </w:rPr>
        <w:t xml:space="preserve">, </w:t>
      </w:r>
      <w:r w:rsidRPr="0068236B">
        <w:rPr>
          <w:sz w:val="20"/>
        </w:rPr>
        <w:t>which implies the need for setting mitigation approach.</w:t>
      </w:r>
    </w:p>
    <w:p w14:paraId="3A4E6DE0" w14:textId="77777777" w:rsidR="003B46E3" w:rsidRPr="0068236B" w:rsidRDefault="003B46E3" w:rsidP="003B46E3">
      <w:pPr>
        <w:autoSpaceDE w:val="0"/>
        <w:autoSpaceDN w:val="0"/>
        <w:adjustRightInd w:val="0"/>
        <w:rPr>
          <w:rFonts w:cs="Arial"/>
          <w:color w:val="000000"/>
          <w:sz w:val="20"/>
          <w:szCs w:val="20"/>
        </w:rPr>
      </w:pPr>
      <w:r w:rsidRPr="0068236B">
        <w:rPr>
          <w:rFonts w:cs="Arial"/>
          <w:sz w:val="20"/>
          <w:szCs w:val="20"/>
        </w:rPr>
        <w:t xml:space="preserve">During the construction works, as part of the Project’s CESMP, </w:t>
      </w:r>
      <w:r w:rsidRPr="0068236B">
        <w:rPr>
          <w:rFonts w:cs="Arial"/>
          <w:color w:val="000000"/>
          <w:sz w:val="20"/>
          <w:szCs w:val="20"/>
        </w:rPr>
        <w:t xml:space="preserve">a protocol (“chance-find” procedure) is to be </w:t>
      </w:r>
      <w:r w:rsidRPr="0068236B">
        <w:rPr>
          <w:rFonts w:cs="Arial"/>
          <w:sz w:val="20"/>
          <w:szCs w:val="20"/>
        </w:rPr>
        <w:t>d</w:t>
      </w:r>
      <w:r w:rsidRPr="0068236B">
        <w:rPr>
          <w:rFonts w:cs="Arial"/>
          <w:color w:val="000000"/>
          <w:sz w:val="20"/>
          <w:szCs w:val="20"/>
        </w:rPr>
        <w:t xml:space="preserve">eveloped and implemented. This protocol would be in </w:t>
      </w:r>
      <w:r w:rsidRPr="0068236B">
        <w:rPr>
          <w:rFonts w:cs="Arial"/>
          <w:sz w:val="20"/>
          <w:szCs w:val="20"/>
        </w:rPr>
        <w:t>compliance with the national legislation on the pr</w:t>
      </w:r>
      <w:r w:rsidRPr="0068236B">
        <w:rPr>
          <w:rFonts w:cs="Arial"/>
          <w:sz w:val="20"/>
          <w:szCs w:val="20"/>
        </w:rPr>
        <w:t>o</w:t>
      </w:r>
      <w:r w:rsidRPr="0068236B">
        <w:rPr>
          <w:rFonts w:cs="Arial"/>
          <w:sz w:val="20"/>
          <w:szCs w:val="20"/>
        </w:rPr>
        <w:t>tection of cultural heritage</w:t>
      </w:r>
      <w:r w:rsidRPr="0068236B">
        <w:rPr>
          <w:rStyle w:val="FootnoteReference"/>
          <w:rFonts w:cs="Arial"/>
          <w:sz w:val="20"/>
          <w:szCs w:val="20"/>
        </w:rPr>
        <w:footnoteReference w:id="149"/>
      </w:r>
      <w:r w:rsidRPr="0068236B">
        <w:rPr>
          <w:rFonts w:cs="Arial"/>
          <w:sz w:val="20"/>
          <w:szCs w:val="20"/>
        </w:rPr>
        <w:t xml:space="preserve">. </w:t>
      </w:r>
      <w:r w:rsidRPr="0068236B">
        <w:rPr>
          <w:rFonts w:cs="Arial"/>
          <w:color w:val="000000"/>
          <w:sz w:val="20"/>
          <w:szCs w:val="20"/>
        </w:rPr>
        <w:t>Workers need to be trained in the use of this procedure.</w:t>
      </w:r>
    </w:p>
    <w:p w14:paraId="18E1505C" w14:textId="06E22C9F" w:rsidR="00FE3CE6" w:rsidRPr="0068236B" w:rsidRDefault="00187AB2" w:rsidP="00FE3CE6">
      <w:pPr>
        <w:autoSpaceDE w:val="0"/>
        <w:autoSpaceDN w:val="0"/>
        <w:adjustRightInd w:val="0"/>
        <w:rPr>
          <w:rFonts w:cs="Arial"/>
          <w:color w:val="000000"/>
          <w:sz w:val="20"/>
          <w:szCs w:val="20"/>
        </w:rPr>
      </w:pPr>
      <w:r w:rsidRPr="0068236B">
        <w:rPr>
          <w:rFonts w:cs="Arial"/>
          <w:color w:val="000000"/>
          <w:sz w:val="20"/>
          <w:szCs w:val="20"/>
        </w:rPr>
        <w:t xml:space="preserve">In addition, the Project’s Traffic Management Plan (see Section 9.4.1) will </w:t>
      </w:r>
      <w:r w:rsidRPr="0068236B">
        <w:rPr>
          <w:sz w:val="20"/>
          <w:szCs w:val="20"/>
        </w:rPr>
        <w:t>develop specific routes for traffic to ensure that no construction traffic is allowed within the identified legally protected cultural heritage sites in proximity to the Proj</w:t>
      </w:r>
      <w:r w:rsidR="00CD38F0">
        <w:rPr>
          <w:sz w:val="20"/>
          <w:szCs w:val="20"/>
        </w:rPr>
        <w:t>ect (see Section 7.4, Table 7.25</w:t>
      </w:r>
      <w:r w:rsidRPr="0068236B">
        <w:rPr>
          <w:sz w:val="20"/>
          <w:szCs w:val="20"/>
        </w:rPr>
        <w:t>) or in their vicinity.</w:t>
      </w:r>
    </w:p>
    <w:p w14:paraId="10169DA5" w14:textId="77777777" w:rsidR="00AB2D8F" w:rsidRPr="009F63E1" w:rsidRDefault="00AB2D8F" w:rsidP="00AB2D8F">
      <w:pPr>
        <w:pStyle w:val="Heading2"/>
        <w:spacing w:before="480" w:after="240"/>
        <w:ind w:left="576" w:hanging="576"/>
        <w:rPr>
          <w:rFonts w:cs="Tahoma"/>
          <w:szCs w:val="20"/>
        </w:rPr>
      </w:pPr>
      <w:r w:rsidRPr="009F63E1">
        <w:rPr>
          <w:rFonts w:cs="Tahoma"/>
          <w:szCs w:val="20"/>
        </w:rPr>
        <w:t>Gender Based Violence and Harassment</w:t>
      </w:r>
    </w:p>
    <w:p w14:paraId="4EAA7478" w14:textId="2800308E" w:rsidR="00AB2D8F" w:rsidRPr="005A3E85" w:rsidRDefault="00AB2D8F" w:rsidP="00AB2D8F">
      <w:pPr>
        <w:autoSpaceDE w:val="0"/>
        <w:autoSpaceDN w:val="0"/>
        <w:adjustRightInd w:val="0"/>
        <w:rPr>
          <w:rFonts w:cs="Tahoma"/>
          <w:sz w:val="20"/>
          <w:szCs w:val="20"/>
          <w:lang w:eastAsia="en-US"/>
        </w:rPr>
      </w:pPr>
      <w:r w:rsidRPr="005A3E85">
        <w:rPr>
          <w:rFonts w:cs="Tahoma"/>
          <w:sz w:val="20"/>
          <w:szCs w:val="20"/>
          <w:lang w:eastAsia="en-US"/>
        </w:rPr>
        <w:t>Gender Based Violence and Harassment may also occur during implementing and operational phase of the Project. Any discrimination against female workers and members of local community must be prohibited. Female workers often get less remuneration compared to their male counterparts even for the same wor</w:t>
      </w:r>
      <w:r w:rsidRPr="005A3E85">
        <w:rPr>
          <w:rFonts w:cs="Tahoma"/>
          <w:sz w:val="20"/>
          <w:szCs w:val="20"/>
          <w:lang w:eastAsia="en-US"/>
        </w:rPr>
        <w:t>k</w:t>
      </w:r>
      <w:r w:rsidRPr="005A3E85">
        <w:rPr>
          <w:rFonts w:cs="Tahoma"/>
          <w:sz w:val="20"/>
          <w:szCs w:val="20"/>
          <w:lang w:eastAsia="en-US"/>
        </w:rPr>
        <w:t>load. Female workers are sometimes harassed in their workplace and become victims of inappropriate and indecent comments and actions towards them. Therefore, mitigation measures must include preparation of Policy and Procedures</w:t>
      </w:r>
      <w:r>
        <w:rPr>
          <w:rFonts w:cs="Tahoma"/>
          <w:sz w:val="20"/>
          <w:szCs w:val="20"/>
          <w:lang w:eastAsia="en-US"/>
        </w:rPr>
        <w:t xml:space="preserve">, in compliance with </w:t>
      </w:r>
      <w:hyperlink r:id="rId145" w:history="1">
        <w:r w:rsidRPr="00D17E9A">
          <w:rPr>
            <w:rStyle w:val="Hyperlink"/>
            <w:rFonts w:cs="Tahoma"/>
            <w:sz w:val="20"/>
            <w:szCs w:val="20"/>
            <w:lang w:eastAsia="en-US"/>
          </w:rPr>
          <w:t>EBRD guide</w:t>
        </w:r>
      </w:hyperlink>
      <w:r>
        <w:rPr>
          <w:rFonts w:cs="Tahoma"/>
          <w:sz w:val="20"/>
          <w:szCs w:val="20"/>
          <w:lang w:eastAsia="en-US"/>
        </w:rPr>
        <w:t>,</w:t>
      </w:r>
      <w:r w:rsidRPr="005A3E85">
        <w:rPr>
          <w:rFonts w:cs="Tahoma"/>
          <w:sz w:val="20"/>
          <w:szCs w:val="20"/>
          <w:lang w:eastAsia="en-US"/>
        </w:rPr>
        <w:t xml:space="preserve"> that will be adopted by </w:t>
      </w:r>
      <w:r>
        <w:rPr>
          <w:rFonts w:cs="Tahoma"/>
          <w:sz w:val="20"/>
          <w:szCs w:val="20"/>
          <w:lang w:eastAsia="en-US"/>
        </w:rPr>
        <w:t>MEPSO</w:t>
      </w:r>
      <w:r w:rsidRPr="005A3E85">
        <w:rPr>
          <w:rFonts w:cs="Tahoma"/>
          <w:sz w:val="20"/>
          <w:szCs w:val="20"/>
          <w:lang w:eastAsia="en-US"/>
        </w:rPr>
        <w:t xml:space="preserve"> in their capacity as a Project developer, as well as by their contractors and their subcontractors, and which will serve as a tool for elimination of gender-based violence and harassment, </w:t>
      </w:r>
      <w:r w:rsidRPr="005A3E85">
        <w:rPr>
          <w:rFonts w:cs="Tahoma"/>
          <w:sz w:val="20"/>
          <w:shd w:val="clear" w:color="auto" w:fill="FFFFFF"/>
        </w:rPr>
        <w:t>not only at the workplace, but also in interaction with the local community</w:t>
      </w:r>
      <w:r w:rsidRPr="005A3E85">
        <w:rPr>
          <w:rFonts w:cs="Tahoma"/>
          <w:sz w:val="20"/>
          <w:szCs w:val="20"/>
          <w:lang w:eastAsia="en-US"/>
        </w:rPr>
        <w:t>.</w:t>
      </w:r>
      <w:r>
        <w:rPr>
          <w:rFonts w:cs="Tahoma"/>
          <w:sz w:val="20"/>
          <w:szCs w:val="20"/>
          <w:lang w:eastAsia="en-US"/>
        </w:rPr>
        <w:t xml:space="preserve"> Grievence form will be present on site and any GBVH event occurring as a result of the </w:t>
      </w:r>
      <w:r>
        <w:rPr>
          <w:rFonts w:cs="Tahoma"/>
          <w:sz w:val="20"/>
          <w:szCs w:val="20"/>
          <w:lang w:eastAsia="en-US"/>
        </w:rPr>
        <w:lastRenderedPageBreak/>
        <w:t>project activities can be lodged to MEPSO. A flyer, that will contain potential prevention measures and post-festum actions to be undertaken by the local population if GBVH occurs as a result to the Project activities, will be created and distributed by the Contractor(s) among the affected settlements. If any GBVH event o</w:t>
      </w:r>
      <w:r>
        <w:rPr>
          <w:rFonts w:cs="Tahoma"/>
          <w:sz w:val="20"/>
          <w:szCs w:val="20"/>
          <w:lang w:eastAsia="en-US"/>
        </w:rPr>
        <w:t>c</w:t>
      </w:r>
      <w:r>
        <w:rPr>
          <w:rFonts w:cs="Tahoma"/>
          <w:sz w:val="20"/>
          <w:szCs w:val="20"/>
          <w:lang w:eastAsia="en-US"/>
        </w:rPr>
        <w:t>curs at the workplace, the existing grievance mechanism for workers can be used. MEPSO will be required to organize training on GBVH for its workers, as well as for all engaged workers on this project by the Contra</w:t>
      </w:r>
      <w:r>
        <w:rPr>
          <w:rFonts w:cs="Tahoma"/>
          <w:sz w:val="20"/>
          <w:szCs w:val="20"/>
          <w:lang w:eastAsia="en-US"/>
        </w:rPr>
        <w:t>c</w:t>
      </w:r>
      <w:r>
        <w:rPr>
          <w:rFonts w:cs="Tahoma"/>
          <w:sz w:val="20"/>
          <w:szCs w:val="20"/>
          <w:lang w:eastAsia="en-US"/>
        </w:rPr>
        <w:t>tor(s) and its subcontractors.</w:t>
      </w:r>
    </w:p>
    <w:p w14:paraId="0A8BFB03" w14:textId="77777777" w:rsidR="009D6030" w:rsidRPr="0068236B" w:rsidRDefault="009D6030">
      <w:pPr>
        <w:spacing w:before="0" w:after="0" w:line="240" w:lineRule="auto"/>
        <w:jc w:val="left"/>
        <w:rPr>
          <w:rFonts w:cs="Tahoma"/>
          <w:sz w:val="20"/>
          <w:szCs w:val="20"/>
        </w:rPr>
      </w:pPr>
      <w:r w:rsidRPr="0068236B">
        <w:rPr>
          <w:rFonts w:cs="Tahoma"/>
          <w:sz w:val="20"/>
          <w:szCs w:val="20"/>
        </w:rPr>
        <w:br w:type="page"/>
      </w:r>
    </w:p>
    <w:p w14:paraId="409A22D2" w14:textId="53B245E2" w:rsidR="00FC18A0" w:rsidRPr="0068236B" w:rsidRDefault="00FC18A0" w:rsidP="00E44ED8">
      <w:pPr>
        <w:pStyle w:val="Heading1"/>
      </w:pPr>
      <w:bookmarkStart w:id="576" w:name="_Toc112852310"/>
      <w:bookmarkStart w:id="577" w:name="_Toc80181195"/>
      <w:r w:rsidRPr="0068236B">
        <w:lastRenderedPageBreak/>
        <w:t>Cumulative Effects</w:t>
      </w:r>
      <w:bookmarkEnd w:id="576"/>
    </w:p>
    <w:p w14:paraId="33B06B41" w14:textId="77777777" w:rsidR="00605E36" w:rsidRPr="0068236B" w:rsidRDefault="00605E36" w:rsidP="00605E36">
      <w:pPr>
        <w:autoSpaceDE w:val="0"/>
        <w:autoSpaceDN w:val="0"/>
        <w:adjustRightInd w:val="0"/>
        <w:rPr>
          <w:rFonts w:cs="Tahoma"/>
          <w:sz w:val="20"/>
          <w:szCs w:val="20"/>
        </w:rPr>
      </w:pPr>
      <w:r w:rsidRPr="0068236B">
        <w:rPr>
          <w:rFonts w:cs="Tahoma"/>
          <w:sz w:val="20"/>
          <w:szCs w:val="20"/>
        </w:rPr>
        <w:t>Cumulative impacts refer to the accumulation of human-induced changes on valued environmental and s</w:t>
      </w:r>
      <w:r w:rsidRPr="0068236B">
        <w:rPr>
          <w:rFonts w:cs="Tahoma"/>
          <w:sz w:val="20"/>
          <w:szCs w:val="20"/>
        </w:rPr>
        <w:t>o</w:t>
      </w:r>
      <w:r w:rsidRPr="0068236B">
        <w:rPr>
          <w:rFonts w:cs="Tahoma"/>
          <w:sz w:val="20"/>
          <w:szCs w:val="20"/>
        </w:rPr>
        <w:t>cial components (VECs)</w:t>
      </w:r>
      <w:r w:rsidRPr="0068236B">
        <w:rPr>
          <w:rStyle w:val="FootnoteReference"/>
          <w:rFonts w:cs="Tahoma"/>
          <w:sz w:val="20"/>
          <w:szCs w:val="20"/>
        </w:rPr>
        <w:footnoteReference w:id="150"/>
      </w:r>
      <w:r w:rsidRPr="0068236B">
        <w:rPr>
          <w:rFonts w:cs="Tahoma"/>
          <w:sz w:val="20"/>
          <w:szCs w:val="20"/>
        </w:rPr>
        <w:t xml:space="preserve"> over time and across space in an additive or interactive manner. Therefore, cum</w:t>
      </w:r>
      <w:r w:rsidRPr="0068236B">
        <w:rPr>
          <w:rFonts w:cs="Tahoma"/>
          <w:sz w:val="20"/>
          <w:szCs w:val="20"/>
        </w:rPr>
        <w:t>u</w:t>
      </w:r>
      <w:r w:rsidRPr="0068236B">
        <w:rPr>
          <w:rFonts w:cs="Tahoma"/>
          <w:sz w:val="20"/>
          <w:szCs w:val="20"/>
        </w:rPr>
        <w:t>lative impacts are combined changes to the environment caused by two or more projects that are close to the same location or area, and which types of construction or operational impacts have similar nature and potential for interaction. Cumulative effects occur because a series of projects of the same type are being developed</w:t>
      </w:r>
      <w:r w:rsidRPr="0068236B">
        <w:rPr>
          <w:rStyle w:val="FootnoteReference"/>
          <w:rFonts w:cs="Tahoma"/>
          <w:sz w:val="20"/>
          <w:szCs w:val="20"/>
        </w:rPr>
        <w:footnoteReference w:id="151"/>
      </w:r>
      <w:r w:rsidRPr="0068236B">
        <w:rPr>
          <w:rFonts w:cs="Tahoma"/>
          <w:sz w:val="20"/>
          <w:szCs w:val="20"/>
        </w:rPr>
        <w:t xml:space="preserve"> or from the combined effects over a given resource of a mix of different types of projects</w:t>
      </w:r>
      <w:r w:rsidRPr="0068236B">
        <w:rPr>
          <w:rStyle w:val="FootnoteReference"/>
          <w:rFonts w:cs="Tahoma"/>
          <w:sz w:val="20"/>
          <w:szCs w:val="20"/>
        </w:rPr>
        <w:footnoteReference w:id="152"/>
      </w:r>
      <w:r w:rsidRPr="0068236B">
        <w:rPr>
          <w:rFonts w:cs="Tahoma"/>
          <w:sz w:val="20"/>
          <w:szCs w:val="20"/>
        </w:rPr>
        <w:t>.</w:t>
      </w:r>
    </w:p>
    <w:p w14:paraId="258EB910" w14:textId="081EF074" w:rsidR="00C10AD7" w:rsidRPr="0068236B" w:rsidRDefault="00605E36" w:rsidP="00605E36">
      <w:pPr>
        <w:rPr>
          <w:rFonts w:cs="Tahoma"/>
          <w:sz w:val="20"/>
          <w:szCs w:val="20"/>
        </w:rPr>
      </w:pPr>
      <w:r w:rsidRPr="0068236B">
        <w:rPr>
          <w:rFonts w:cs="Tahoma"/>
          <w:sz w:val="20"/>
          <w:szCs w:val="20"/>
        </w:rPr>
        <w:t xml:space="preserve">In relation to the Project and in regard to the wider development </w:t>
      </w:r>
      <w:r w:rsidR="00727B6E" w:rsidRPr="0068236B">
        <w:rPr>
          <w:rFonts w:cs="Tahoma"/>
          <w:sz w:val="20"/>
          <w:szCs w:val="20"/>
        </w:rPr>
        <w:t xml:space="preserve">scheme </w:t>
      </w:r>
      <w:r w:rsidRPr="0068236B">
        <w:rPr>
          <w:rFonts w:cs="Tahoma"/>
          <w:sz w:val="20"/>
          <w:szCs w:val="20"/>
        </w:rPr>
        <w:t>as a whole</w:t>
      </w:r>
      <w:r w:rsidR="00727B6E" w:rsidRPr="0068236B">
        <w:rPr>
          <w:rStyle w:val="FootnoteReference"/>
          <w:rFonts w:cs="Tahoma"/>
          <w:sz w:val="20"/>
          <w:szCs w:val="20"/>
        </w:rPr>
        <w:footnoteReference w:id="153"/>
      </w:r>
      <w:r w:rsidRPr="0068236B">
        <w:rPr>
          <w:rFonts w:cs="Tahoma"/>
          <w:sz w:val="20"/>
          <w:szCs w:val="20"/>
        </w:rPr>
        <w:t xml:space="preserve">, cumulative effects may occur during </w:t>
      </w:r>
      <w:r w:rsidR="00727B6E" w:rsidRPr="0068236B">
        <w:rPr>
          <w:rFonts w:cs="Tahoma"/>
          <w:sz w:val="20"/>
          <w:szCs w:val="20"/>
        </w:rPr>
        <w:t>the</w:t>
      </w:r>
      <w:r w:rsidRPr="0068236B">
        <w:rPr>
          <w:rFonts w:cs="Tahoma"/>
          <w:sz w:val="20"/>
          <w:szCs w:val="20"/>
        </w:rPr>
        <w:t xml:space="preserve"> construction </w:t>
      </w:r>
      <w:r w:rsidR="00727B6E" w:rsidRPr="0068236B">
        <w:rPr>
          <w:rFonts w:cs="Tahoma"/>
          <w:sz w:val="20"/>
          <w:szCs w:val="20"/>
        </w:rPr>
        <w:t xml:space="preserve">of the </w:t>
      </w:r>
      <w:r w:rsidR="00342795" w:rsidRPr="0068236B">
        <w:rPr>
          <w:rFonts w:cs="Tahoma"/>
          <w:sz w:val="20"/>
          <w:szCs w:val="20"/>
        </w:rPr>
        <w:t>both</w:t>
      </w:r>
      <w:r w:rsidR="00727B6E" w:rsidRPr="0068236B">
        <w:rPr>
          <w:rFonts w:cs="Tahoma"/>
          <w:sz w:val="20"/>
          <w:szCs w:val="20"/>
        </w:rPr>
        <w:t xml:space="preserve"> components in the wider Project area (</w:t>
      </w:r>
      <w:r w:rsidR="002D1F11" w:rsidRPr="0068236B">
        <w:rPr>
          <w:rFonts w:cs="Tahoma"/>
          <w:sz w:val="20"/>
          <w:szCs w:val="20"/>
        </w:rPr>
        <w:t>as most likely the co</w:t>
      </w:r>
      <w:r w:rsidR="002D1F11" w:rsidRPr="0068236B">
        <w:rPr>
          <w:rFonts w:cs="Tahoma"/>
          <w:sz w:val="20"/>
          <w:szCs w:val="20"/>
        </w:rPr>
        <w:t>n</w:t>
      </w:r>
      <w:r w:rsidR="002D1F11" w:rsidRPr="0068236B">
        <w:rPr>
          <w:rFonts w:cs="Tahoma"/>
          <w:sz w:val="20"/>
          <w:szCs w:val="20"/>
        </w:rPr>
        <w:t xml:space="preserve">struction of the both </w:t>
      </w:r>
      <w:r w:rsidR="00C10AD7" w:rsidRPr="0068236B">
        <w:rPr>
          <w:rFonts w:cs="Tahoma"/>
          <w:sz w:val="20"/>
          <w:szCs w:val="20"/>
          <w:lang w:val="en-US"/>
        </w:rPr>
        <w:t>w</w:t>
      </w:r>
      <w:r w:rsidR="00C10AD7" w:rsidRPr="0068236B">
        <w:rPr>
          <w:rFonts w:cs="Tahoma"/>
          <w:sz w:val="20"/>
          <w:szCs w:val="20"/>
        </w:rPr>
        <w:t>ill be realized simultaneously, in parallel)</w:t>
      </w:r>
      <w:r w:rsidR="002D1F11" w:rsidRPr="0068236B">
        <w:rPr>
          <w:rFonts w:cs="Tahoma"/>
          <w:sz w:val="20"/>
          <w:szCs w:val="20"/>
        </w:rPr>
        <w:t xml:space="preserve"> </w:t>
      </w:r>
      <w:r w:rsidRPr="0068236B">
        <w:rPr>
          <w:rFonts w:cs="Tahoma"/>
          <w:sz w:val="20"/>
          <w:szCs w:val="20"/>
        </w:rPr>
        <w:t>in a form of typical impacts associated with construction works (air pollution, nuisance due to construction noise, traffic disturbance, waste generation, etc.)</w:t>
      </w:r>
      <w:r w:rsidR="002D1F11" w:rsidRPr="0068236B">
        <w:rPr>
          <w:rFonts w:cs="Tahoma"/>
          <w:sz w:val="20"/>
          <w:szCs w:val="20"/>
        </w:rPr>
        <w:t xml:space="preserve">. </w:t>
      </w:r>
      <w:r w:rsidR="00C10AD7" w:rsidRPr="0068236B">
        <w:rPr>
          <w:rFonts w:cs="Tahoma"/>
          <w:sz w:val="20"/>
          <w:szCs w:val="20"/>
          <w:lang w:val="en-US"/>
        </w:rPr>
        <w:t xml:space="preserve">Therefore, </w:t>
      </w:r>
      <w:r w:rsidR="00C10AD7" w:rsidRPr="0068236B">
        <w:rPr>
          <w:rFonts w:cs="Tahoma"/>
          <w:sz w:val="20"/>
          <w:szCs w:val="20"/>
        </w:rPr>
        <w:t>c</w:t>
      </w:r>
      <w:r w:rsidR="00C10AD7" w:rsidRPr="0068236B">
        <w:rPr>
          <w:rFonts w:cs="Tahoma"/>
          <w:color w:val="000000"/>
          <w:sz w:val="20"/>
          <w:szCs w:val="20"/>
          <w:shd w:val="clear" w:color="auto" w:fill="FFFFFF"/>
        </w:rPr>
        <w:t xml:space="preserve">oordinated E&amp;S management and cooperation between contractors of </w:t>
      </w:r>
      <w:r w:rsidR="00C10AD7" w:rsidRPr="0068236B">
        <w:rPr>
          <w:rFonts w:cs="Tahoma"/>
          <w:color w:val="000000"/>
          <w:sz w:val="20"/>
          <w:szCs w:val="20"/>
          <w:shd w:val="clear" w:color="auto" w:fill="FFFFFF"/>
          <w:lang w:val="en-US"/>
        </w:rPr>
        <w:t>the both comp</w:t>
      </w:r>
      <w:r w:rsidR="00C10AD7" w:rsidRPr="0068236B">
        <w:rPr>
          <w:rFonts w:cs="Tahoma"/>
          <w:color w:val="000000"/>
          <w:sz w:val="20"/>
          <w:szCs w:val="20"/>
          <w:shd w:val="clear" w:color="auto" w:fill="FFFFFF"/>
          <w:lang w:val="en-US"/>
        </w:rPr>
        <w:t>o</w:t>
      </w:r>
      <w:r w:rsidR="00C10AD7" w:rsidRPr="0068236B">
        <w:rPr>
          <w:rFonts w:cs="Tahoma"/>
          <w:color w:val="000000"/>
          <w:sz w:val="20"/>
          <w:szCs w:val="20"/>
          <w:shd w:val="clear" w:color="auto" w:fill="FFFFFF"/>
          <w:lang w:val="en-US"/>
        </w:rPr>
        <w:t>nent</w:t>
      </w:r>
      <w:r w:rsidR="00342795" w:rsidRPr="0068236B">
        <w:rPr>
          <w:rFonts w:cs="Tahoma"/>
          <w:color w:val="000000"/>
          <w:sz w:val="20"/>
          <w:szCs w:val="20"/>
          <w:shd w:val="clear" w:color="auto" w:fill="FFFFFF"/>
          <w:lang w:val="en-US"/>
        </w:rPr>
        <w:t>s</w:t>
      </w:r>
      <w:r w:rsidR="00C10AD7" w:rsidRPr="0068236B">
        <w:rPr>
          <w:rFonts w:cs="Tahoma"/>
          <w:color w:val="000000"/>
          <w:sz w:val="20"/>
          <w:szCs w:val="20"/>
          <w:shd w:val="clear" w:color="auto" w:fill="FFFFFF"/>
          <w:lang w:val="en-US"/>
        </w:rPr>
        <w:t xml:space="preserve"> </w:t>
      </w:r>
      <w:r w:rsidR="00C10AD7" w:rsidRPr="0068236B">
        <w:rPr>
          <w:rFonts w:cs="Tahoma"/>
          <w:color w:val="000000"/>
          <w:sz w:val="20"/>
          <w:szCs w:val="20"/>
          <w:shd w:val="clear" w:color="auto" w:fill="FFFFFF"/>
        </w:rPr>
        <w:t>throughout the construction period will be needed in order to optimize the mitigation strategy</w:t>
      </w:r>
      <w:r w:rsidR="00C10AD7" w:rsidRPr="0068236B">
        <w:rPr>
          <w:rFonts w:cs="Tahoma"/>
          <w:color w:val="000000"/>
          <w:sz w:val="20"/>
          <w:szCs w:val="20"/>
          <w:shd w:val="clear" w:color="auto" w:fill="FFFFFF"/>
          <w:lang w:val="en-US"/>
        </w:rPr>
        <w:t xml:space="preserve">, with emphasis to the affected area on territory of the Valandovo municipality where these components overlap. </w:t>
      </w:r>
      <w:r w:rsidR="00C10AD7" w:rsidRPr="0068236B">
        <w:rPr>
          <w:rFonts w:cs="Tahoma"/>
          <w:color w:val="000000"/>
          <w:sz w:val="20"/>
          <w:szCs w:val="20"/>
          <w:shd w:val="clear" w:color="auto" w:fill="FFFFFF"/>
        </w:rPr>
        <w:t>This may include preparation of joint management plans for the aspects relevant for the potential cumulative impacts (e.g. Waste Management Plan, Traffic Management Plan, etc.).</w:t>
      </w:r>
    </w:p>
    <w:p w14:paraId="120F5FE7" w14:textId="2F46D832" w:rsidR="00605E36" w:rsidRPr="0068236B" w:rsidRDefault="002D1F11" w:rsidP="00605E36">
      <w:pPr>
        <w:rPr>
          <w:rFonts w:cs="Tahoma"/>
          <w:sz w:val="20"/>
          <w:szCs w:val="20"/>
        </w:rPr>
      </w:pPr>
      <w:r w:rsidRPr="0068236B">
        <w:rPr>
          <w:rFonts w:cs="Tahoma"/>
          <w:sz w:val="20"/>
          <w:szCs w:val="20"/>
        </w:rPr>
        <w:t>In addition, cumulative effects may occur</w:t>
      </w:r>
      <w:r w:rsidR="00605E36" w:rsidRPr="0068236B">
        <w:rPr>
          <w:rFonts w:cs="Tahoma"/>
          <w:sz w:val="20"/>
          <w:szCs w:val="20"/>
        </w:rPr>
        <w:t xml:space="preserve"> as a result of interaction with </w:t>
      </w:r>
      <w:r w:rsidRPr="0068236B">
        <w:rPr>
          <w:rFonts w:cs="Tahoma"/>
          <w:sz w:val="20"/>
          <w:szCs w:val="20"/>
        </w:rPr>
        <w:t xml:space="preserve">other </w:t>
      </w:r>
      <w:r w:rsidR="00605E36" w:rsidRPr="0068236B">
        <w:rPr>
          <w:rFonts w:cs="Tahoma"/>
          <w:sz w:val="20"/>
          <w:szCs w:val="20"/>
        </w:rPr>
        <w:t xml:space="preserve">projects of similar type and size in </w:t>
      </w:r>
      <w:r w:rsidR="00342795" w:rsidRPr="0068236B">
        <w:rPr>
          <w:rFonts w:cs="Tahoma"/>
          <w:sz w:val="20"/>
          <w:szCs w:val="20"/>
        </w:rPr>
        <w:t>the</w:t>
      </w:r>
      <w:r w:rsidR="00605E36" w:rsidRPr="0068236B">
        <w:rPr>
          <w:rFonts w:cs="Tahoma"/>
          <w:sz w:val="20"/>
          <w:szCs w:val="20"/>
        </w:rPr>
        <w:t xml:space="preserve"> surrounding. </w:t>
      </w:r>
      <w:r w:rsidR="00605E36" w:rsidRPr="0068236B">
        <w:rPr>
          <w:rFonts w:eastAsia="Calibri" w:cs="Tahoma"/>
          <w:sz w:val="20"/>
          <w:szCs w:val="20"/>
        </w:rPr>
        <w:t>During the time this assessment was carried out, n</w:t>
      </w:r>
      <w:r w:rsidR="00605E36" w:rsidRPr="0068236B">
        <w:rPr>
          <w:rFonts w:cs="Tahoma"/>
          <w:sz w:val="20"/>
          <w:szCs w:val="20"/>
        </w:rPr>
        <w:t>o such current or future projects were registered in the close proximity or in the area that is to be directly affected during the construction of the Project. Therefore, no cumulative effects due to interaction with other projects are expected to occur during construction.</w:t>
      </w:r>
      <w:r w:rsidR="00FD1D4C" w:rsidRPr="0068236B">
        <w:rPr>
          <w:rFonts w:cs="Tahoma"/>
          <w:sz w:val="20"/>
          <w:szCs w:val="20"/>
        </w:rPr>
        <w:t xml:space="preserve"> However, if future developments with a potential for cumulative effect occur in the study area, c</w:t>
      </w:r>
      <w:r w:rsidR="00FD1D4C" w:rsidRPr="0068236B">
        <w:rPr>
          <w:rFonts w:cs="Tahoma"/>
          <w:color w:val="000000"/>
          <w:sz w:val="20"/>
          <w:szCs w:val="20"/>
          <w:shd w:val="clear" w:color="auto" w:fill="FFFFFF"/>
        </w:rPr>
        <w:t>oordinated E&amp;S management and cooperation between contractors of the developments throughout the construction period will be needed in order to optimize the mitiga</w:t>
      </w:r>
      <w:r w:rsidR="00342795" w:rsidRPr="0068236B">
        <w:rPr>
          <w:rFonts w:cs="Tahoma"/>
          <w:color w:val="000000"/>
          <w:sz w:val="20"/>
          <w:szCs w:val="20"/>
          <w:shd w:val="clear" w:color="auto" w:fill="FFFFFF"/>
        </w:rPr>
        <w:t xml:space="preserve">tion strategy, including </w:t>
      </w:r>
      <w:r w:rsidR="00FD1D4C" w:rsidRPr="0068236B">
        <w:rPr>
          <w:rFonts w:cs="Tahoma"/>
          <w:color w:val="000000"/>
          <w:sz w:val="20"/>
          <w:szCs w:val="20"/>
          <w:shd w:val="clear" w:color="auto" w:fill="FFFFFF"/>
        </w:rPr>
        <w:t>preparation of joint management plans for the aspects relevant for the potential cumulative impacts</w:t>
      </w:r>
      <w:r w:rsidR="00342795" w:rsidRPr="0068236B">
        <w:rPr>
          <w:rFonts w:cs="Tahoma"/>
          <w:color w:val="000000"/>
          <w:sz w:val="20"/>
          <w:szCs w:val="20"/>
          <w:shd w:val="clear" w:color="auto" w:fill="FFFFFF"/>
        </w:rPr>
        <w:t xml:space="preserve">, such as construction waste management, traffic management, construction noise, </w:t>
      </w:r>
      <w:r w:rsidR="00FD1D4C" w:rsidRPr="0068236B">
        <w:rPr>
          <w:rFonts w:cs="Tahoma"/>
          <w:color w:val="000000"/>
          <w:sz w:val="20"/>
          <w:szCs w:val="20"/>
          <w:shd w:val="clear" w:color="auto" w:fill="FFFFFF"/>
        </w:rPr>
        <w:t>etc.).</w:t>
      </w:r>
    </w:p>
    <w:p w14:paraId="72DED8BD" w14:textId="77777777" w:rsidR="00605E36" w:rsidRPr="0068236B" w:rsidRDefault="00605E36" w:rsidP="00605E36">
      <w:pPr>
        <w:autoSpaceDE w:val="0"/>
        <w:autoSpaceDN w:val="0"/>
        <w:adjustRightInd w:val="0"/>
        <w:rPr>
          <w:rFonts w:cs="Tahoma"/>
          <w:sz w:val="20"/>
          <w:szCs w:val="20"/>
        </w:rPr>
      </w:pPr>
      <w:r w:rsidRPr="0068236B">
        <w:rPr>
          <w:rFonts w:eastAsia="Calibri" w:cs="Tahoma"/>
          <w:sz w:val="20"/>
          <w:szCs w:val="20"/>
        </w:rPr>
        <w:t>During the operational phase, specific cumulative visual effects may arise where it is possible to see more than one development of a similar type and size on the skyline. In general, such developments in a case of a new transmission development project would be other high voltage overhead lines or wind farms. During the time this assessment was carried out, there were no other transmission developments nor wind farm deve</w:t>
      </w:r>
      <w:r w:rsidRPr="0068236B">
        <w:rPr>
          <w:rFonts w:eastAsia="Calibri" w:cs="Tahoma"/>
          <w:sz w:val="20"/>
          <w:szCs w:val="20"/>
        </w:rPr>
        <w:t>l</w:t>
      </w:r>
      <w:r w:rsidRPr="0068236B">
        <w:rPr>
          <w:rFonts w:eastAsia="Calibri" w:cs="Tahoma"/>
          <w:sz w:val="20"/>
          <w:szCs w:val="20"/>
        </w:rPr>
        <w:t xml:space="preserve">opment applications in the Project area. </w:t>
      </w:r>
      <w:r w:rsidRPr="0068236B">
        <w:rPr>
          <w:rFonts w:cs="Tahoma"/>
          <w:sz w:val="20"/>
          <w:szCs w:val="20"/>
        </w:rPr>
        <w:t xml:space="preserve">Therefore no potential for additional effect arising from cumulative interaction with similar developments is likely. </w:t>
      </w:r>
    </w:p>
    <w:p w14:paraId="37295A96" w14:textId="59D380CB" w:rsidR="009D6030" w:rsidRPr="0068236B" w:rsidRDefault="009D6030" w:rsidP="00E44ED8">
      <w:pPr>
        <w:pStyle w:val="Heading1"/>
      </w:pPr>
      <w:bookmarkStart w:id="578" w:name="_Toc112852311"/>
      <w:r w:rsidRPr="0068236B">
        <w:lastRenderedPageBreak/>
        <w:t>Emergency Response Planning</w:t>
      </w:r>
      <w:bookmarkEnd w:id="577"/>
      <w:bookmarkEnd w:id="578"/>
    </w:p>
    <w:p w14:paraId="488504AF" w14:textId="77777777" w:rsidR="009D6030" w:rsidRPr="0068236B" w:rsidRDefault="009D6030" w:rsidP="009D6030">
      <w:pPr>
        <w:pStyle w:val="Heading2"/>
        <w:keepNext w:val="0"/>
        <w:ind w:left="1440"/>
        <w:rPr>
          <w:rFonts w:cs="Tahoma"/>
        </w:rPr>
      </w:pPr>
      <w:bookmarkStart w:id="579" w:name="_Toc65936872"/>
      <w:bookmarkStart w:id="580" w:name="_Toc80181196"/>
      <w:bookmarkStart w:id="581" w:name="_Toc112852312"/>
      <w:r w:rsidRPr="0068236B">
        <w:rPr>
          <w:rFonts w:cs="Tahoma"/>
        </w:rPr>
        <w:t>Potential Emergency Situations</w:t>
      </w:r>
      <w:bookmarkEnd w:id="579"/>
      <w:bookmarkEnd w:id="580"/>
      <w:bookmarkEnd w:id="581"/>
    </w:p>
    <w:p w14:paraId="32117F66" w14:textId="77777777" w:rsidR="009D6030" w:rsidRPr="0068236B" w:rsidRDefault="009D6030" w:rsidP="009D6030">
      <w:pPr>
        <w:pStyle w:val="NumberedParagraph"/>
        <w:rPr>
          <w:rFonts w:eastAsia="Calibri" w:cs="Arial"/>
          <w:sz w:val="20"/>
          <w:szCs w:val="20"/>
        </w:rPr>
      </w:pPr>
      <w:r w:rsidRPr="0068236B">
        <w:rPr>
          <w:rFonts w:eastAsia="Calibri" w:cs="Arial"/>
          <w:sz w:val="20"/>
          <w:szCs w:val="20"/>
        </w:rPr>
        <w:t>Typical potential risks associated with the Project during the construction and operational phases are:</w:t>
      </w:r>
    </w:p>
    <w:p w14:paraId="64512D04" w14:textId="77777777" w:rsidR="009D6030" w:rsidRPr="0068236B" w:rsidRDefault="009D6030" w:rsidP="00D24CEF">
      <w:pPr>
        <w:pStyle w:val="ListBullet"/>
        <w:numPr>
          <w:ilvl w:val="0"/>
          <w:numId w:val="97"/>
        </w:numPr>
        <w:spacing w:before="120" w:after="120"/>
        <w:jc w:val="left"/>
        <w:rPr>
          <w:rFonts w:eastAsia="Calibri"/>
          <w:sz w:val="20"/>
        </w:rPr>
      </w:pPr>
      <w:r w:rsidRPr="0068236B">
        <w:rPr>
          <w:rFonts w:eastAsia="Calibri"/>
          <w:sz w:val="20"/>
        </w:rPr>
        <w:t>Natural hazard, including extreme weather event - flood, storm, ice or geological hazard - earthquake, landslide, soil erosion, etc.</w:t>
      </w:r>
    </w:p>
    <w:p w14:paraId="1938DECD" w14:textId="21E12A55" w:rsidR="009D6030" w:rsidRPr="0068236B" w:rsidRDefault="009D6030" w:rsidP="00D24CEF">
      <w:pPr>
        <w:pStyle w:val="ListBullet"/>
        <w:numPr>
          <w:ilvl w:val="0"/>
          <w:numId w:val="97"/>
        </w:numPr>
        <w:spacing w:before="120" w:after="120"/>
        <w:jc w:val="left"/>
        <w:rPr>
          <w:rFonts w:eastAsia="Calibri"/>
          <w:sz w:val="20"/>
        </w:rPr>
      </w:pPr>
      <w:r w:rsidRPr="0068236B">
        <w:rPr>
          <w:sz w:val="20"/>
        </w:rPr>
        <w:t>Fire, whether natural or caused by construction activity (e.g. c</w:t>
      </w:r>
      <w:r w:rsidRPr="0068236B">
        <w:rPr>
          <w:rFonts w:eastAsia="Calibri"/>
          <w:sz w:val="20"/>
        </w:rPr>
        <w:t xml:space="preserve">learing and cutting of vegetation, sparks from construction equipment, improper management of flammable matter (solvent, fuel, </w:t>
      </w:r>
      <w:r w:rsidR="005E6643" w:rsidRPr="0068236B">
        <w:rPr>
          <w:rFonts w:eastAsia="Calibri"/>
          <w:sz w:val="20"/>
        </w:rPr>
        <w:t>etc.</w:t>
      </w:r>
      <w:r w:rsidRPr="0068236B">
        <w:rPr>
          <w:rFonts w:eastAsia="Calibri"/>
          <w:sz w:val="20"/>
        </w:rPr>
        <w:t xml:space="preserve">), </w:t>
      </w:r>
      <w:r w:rsidRPr="0068236B">
        <w:rPr>
          <w:sz w:val="20"/>
        </w:rPr>
        <w:t>negligence and non-compliance with prohibitions and warnings</w:t>
      </w:r>
      <w:r w:rsidRPr="0068236B">
        <w:rPr>
          <w:rFonts w:eastAsia="Calibri"/>
          <w:sz w:val="20"/>
        </w:rPr>
        <w:t xml:space="preserve"> (careless actions of wor</w:t>
      </w:r>
      <w:r w:rsidRPr="0068236B">
        <w:rPr>
          <w:rFonts w:eastAsia="Calibri"/>
          <w:sz w:val="20"/>
        </w:rPr>
        <w:t>k</w:t>
      </w:r>
      <w:r w:rsidRPr="0068236B">
        <w:rPr>
          <w:rFonts w:eastAsia="Calibri"/>
          <w:sz w:val="20"/>
        </w:rPr>
        <w:t xml:space="preserve">ers at work sites, such as throwing of burning cigarette, </w:t>
      </w:r>
      <w:r w:rsidR="005E6643" w:rsidRPr="0068236B">
        <w:rPr>
          <w:rFonts w:eastAsia="Calibri"/>
          <w:sz w:val="20"/>
        </w:rPr>
        <w:t>etc.</w:t>
      </w:r>
      <w:r w:rsidRPr="0068236B">
        <w:rPr>
          <w:rFonts w:eastAsia="Calibri"/>
          <w:sz w:val="20"/>
        </w:rPr>
        <w:t xml:space="preserve">)). </w:t>
      </w:r>
    </w:p>
    <w:p w14:paraId="35C82AFA" w14:textId="77777777" w:rsidR="009D6030" w:rsidRPr="0068236B" w:rsidRDefault="009D6030" w:rsidP="00D24CEF">
      <w:pPr>
        <w:pStyle w:val="ListBullet"/>
        <w:numPr>
          <w:ilvl w:val="0"/>
          <w:numId w:val="97"/>
        </w:numPr>
        <w:spacing w:before="120" w:after="120"/>
        <w:jc w:val="left"/>
        <w:rPr>
          <w:rFonts w:eastAsia="Calibri"/>
          <w:sz w:val="20"/>
        </w:rPr>
      </w:pPr>
      <w:r w:rsidRPr="0068236B">
        <w:rPr>
          <w:rFonts w:eastAsia="Calibri"/>
          <w:sz w:val="20"/>
        </w:rPr>
        <w:t>Risk of traffic accident. Trucks and heavy machinery will be used during the construction. Du</w:t>
      </w:r>
      <w:r w:rsidRPr="0068236B">
        <w:rPr>
          <w:rFonts w:eastAsia="Calibri"/>
          <w:sz w:val="20"/>
        </w:rPr>
        <w:t>r</w:t>
      </w:r>
      <w:r w:rsidRPr="0068236B">
        <w:rPr>
          <w:rFonts w:eastAsia="Calibri"/>
          <w:sz w:val="20"/>
        </w:rPr>
        <w:t>ing their movement on public and access roads the following events may occur: collision with vehicles, assets or animals of local population; collision with members of the local population; collision with other project machinery or collision with the members of the project workforce.</w:t>
      </w:r>
    </w:p>
    <w:p w14:paraId="5B257DC1" w14:textId="77777777" w:rsidR="009D6030" w:rsidRPr="0068236B" w:rsidRDefault="009D6030" w:rsidP="00D24CEF">
      <w:pPr>
        <w:pStyle w:val="ListBullet"/>
        <w:numPr>
          <w:ilvl w:val="0"/>
          <w:numId w:val="97"/>
        </w:numPr>
        <w:spacing w:before="120" w:after="120"/>
        <w:jc w:val="left"/>
        <w:rPr>
          <w:rFonts w:eastAsia="Calibri"/>
          <w:sz w:val="20"/>
        </w:rPr>
      </w:pPr>
      <w:r w:rsidRPr="0068236B">
        <w:rPr>
          <w:rFonts w:eastAsia="Calibri"/>
          <w:sz w:val="20"/>
        </w:rPr>
        <w:t xml:space="preserve">Risk of hazardous substances spill causing water or soil pollution. </w:t>
      </w:r>
      <w:r w:rsidRPr="0068236B">
        <w:rPr>
          <w:sz w:val="20"/>
        </w:rPr>
        <w:t>Hazardous materials include any controlled or potentially hazardous substances used on the construction site. These mater</w:t>
      </w:r>
      <w:r w:rsidRPr="0068236B">
        <w:rPr>
          <w:sz w:val="20"/>
        </w:rPr>
        <w:t>i</w:t>
      </w:r>
      <w:r w:rsidRPr="0068236B">
        <w:rPr>
          <w:sz w:val="20"/>
        </w:rPr>
        <w:t>als may cause environmental damage, fires, explosions, or health problems.</w:t>
      </w:r>
    </w:p>
    <w:p w14:paraId="48563326" w14:textId="0E18E966" w:rsidR="009D6030" w:rsidRPr="0068236B" w:rsidRDefault="009D6030" w:rsidP="00D24CEF">
      <w:pPr>
        <w:pStyle w:val="ListBullet"/>
        <w:numPr>
          <w:ilvl w:val="0"/>
          <w:numId w:val="97"/>
        </w:numPr>
        <w:spacing w:before="120" w:after="120"/>
        <w:jc w:val="left"/>
        <w:rPr>
          <w:rFonts w:eastAsia="Calibri"/>
          <w:sz w:val="20"/>
        </w:rPr>
      </w:pPr>
      <w:r w:rsidRPr="0068236B">
        <w:rPr>
          <w:rFonts w:eastAsia="Calibri"/>
          <w:sz w:val="20"/>
        </w:rPr>
        <w:t>Injury of workers, associated with: incidents with heavy machinery / vehicle used for the Pr</w:t>
      </w:r>
      <w:r w:rsidRPr="0068236B">
        <w:rPr>
          <w:rFonts w:eastAsia="Calibri"/>
          <w:sz w:val="20"/>
        </w:rPr>
        <w:t>o</w:t>
      </w:r>
      <w:r w:rsidRPr="0068236B">
        <w:rPr>
          <w:rFonts w:eastAsia="Calibri"/>
          <w:sz w:val="20"/>
        </w:rPr>
        <w:t>ject construction; operations at height; collapse of structures or scaffoldings; electrocution near electrical equipment; pollution with used chemicals; exposure to dust, noise and vibration from excavation, drilling, transport; electrocution when working near energised transmission line</w:t>
      </w:r>
      <w:r w:rsidR="008B61A0" w:rsidRPr="0068236B">
        <w:rPr>
          <w:rFonts w:eastAsia="Calibri"/>
          <w:sz w:val="20"/>
        </w:rPr>
        <w:t xml:space="preserve"> and substation equipment</w:t>
      </w:r>
      <w:r w:rsidRPr="0068236B">
        <w:rPr>
          <w:rFonts w:eastAsia="Calibri"/>
          <w:sz w:val="20"/>
        </w:rPr>
        <w:t>.</w:t>
      </w:r>
    </w:p>
    <w:p w14:paraId="2DF51112" w14:textId="77777777" w:rsidR="009D6030" w:rsidRPr="0068236B" w:rsidRDefault="009D6030" w:rsidP="009D6030">
      <w:pPr>
        <w:pStyle w:val="ListBullet"/>
        <w:numPr>
          <w:ilvl w:val="0"/>
          <w:numId w:val="0"/>
        </w:numPr>
        <w:spacing w:before="120" w:after="120"/>
        <w:rPr>
          <w:rFonts w:eastAsia="Calibri"/>
          <w:sz w:val="20"/>
        </w:rPr>
      </w:pPr>
    </w:p>
    <w:p w14:paraId="2D9CB855" w14:textId="77777777" w:rsidR="009D6030" w:rsidRPr="0068236B" w:rsidRDefault="009D6030" w:rsidP="009D6030">
      <w:pPr>
        <w:pStyle w:val="Heading2"/>
        <w:keepNext w:val="0"/>
        <w:ind w:left="1440"/>
        <w:rPr>
          <w:rFonts w:cs="Tahoma"/>
        </w:rPr>
      </w:pPr>
      <w:bookmarkStart w:id="582" w:name="_Toc65936873"/>
      <w:bookmarkStart w:id="583" w:name="_Toc80181197"/>
      <w:bookmarkStart w:id="584" w:name="_Toc112852313"/>
      <w:r w:rsidRPr="0068236B">
        <w:rPr>
          <w:rFonts w:cs="Tahoma"/>
        </w:rPr>
        <w:t>Emergency Management</w:t>
      </w:r>
      <w:bookmarkEnd w:id="582"/>
      <w:bookmarkEnd w:id="583"/>
      <w:bookmarkEnd w:id="584"/>
    </w:p>
    <w:p w14:paraId="705851B8" w14:textId="77777777" w:rsidR="009D6030" w:rsidRPr="0068236B" w:rsidRDefault="009D6030" w:rsidP="009D6030">
      <w:pPr>
        <w:pStyle w:val="Heading3"/>
        <w:spacing w:line="240" w:lineRule="auto"/>
        <w:ind w:left="1931"/>
      </w:pPr>
      <w:bookmarkStart w:id="585" w:name="_Toc65936874"/>
      <w:bookmarkStart w:id="586" w:name="_Toc80181198"/>
      <w:bookmarkStart w:id="587" w:name="_Toc112852314"/>
      <w:r w:rsidRPr="0068236B">
        <w:t>Construction</w:t>
      </w:r>
      <w:bookmarkEnd w:id="585"/>
      <w:bookmarkEnd w:id="586"/>
      <w:bookmarkEnd w:id="587"/>
      <w:r w:rsidRPr="0068236B">
        <w:t xml:space="preserve"> </w:t>
      </w:r>
    </w:p>
    <w:p w14:paraId="0743EC92" w14:textId="77777777" w:rsidR="009D6030" w:rsidRPr="0068236B" w:rsidRDefault="009D6030" w:rsidP="009D6030">
      <w:pPr>
        <w:rPr>
          <w:rFonts w:eastAsia="Calibri" w:cs="Tahoma"/>
          <w:sz w:val="20"/>
          <w:szCs w:val="20"/>
        </w:rPr>
      </w:pPr>
      <w:r w:rsidRPr="0068236B">
        <w:rPr>
          <w:rFonts w:eastAsia="Calibri" w:cs="Tahoma"/>
          <w:sz w:val="20"/>
          <w:szCs w:val="20"/>
        </w:rPr>
        <w:t xml:space="preserve">An outline of the emergency management procedures will need to be provided prior to the construction commencement for the range of identified emergency situations, where there is potential for hazards to create an emergency situation during the construction of the Project. This should include an overview of the objectives and management principles to be adopted for the preparation of a detailed </w:t>
      </w:r>
      <w:r w:rsidRPr="0068236B">
        <w:rPr>
          <w:rFonts w:cs="Tahoma"/>
          <w:sz w:val="20"/>
        </w:rPr>
        <w:t>Emergency Prepare</w:t>
      </w:r>
      <w:r w:rsidRPr="0068236B">
        <w:rPr>
          <w:rFonts w:cs="Tahoma"/>
          <w:sz w:val="20"/>
        </w:rPr>
        <w:t>d</w:t>
      </w:r>
      <w:r w:rsidRPr="0068236B">
        <w:rPr>
          <w:rFonts w:cs="Tahoma"/>
          <w:sz w:val="20"/>
        </w:rPr>
        <w:t>ness and Response Plan (EPRP)</w:t>
      </w:r>
      <w:r w:rsidRPr="0068236B">
        <w:rPr>
          <w:rFonts w:eastAsia="Calibri" w:cs="Tahoma"/>
          <w:sz w:val="20"/>
          <w:szCs w:val="20"/>
        </w:rPr>
        <w:t xml:space="preserve"> (including emergency response and recovery, and clean-up procedures) in consultation with the relevant emergency response authorities and services.</w:t>
      </w:r>
    </w:p>
    <w:p w14:paraId="53D73FBB" w14:textId="77777777" w:rsidR="009D6030" w:rsidRPr="0068236B" w:rsidRDefault="009D6030" w:rsidP="009D6030">
      <w:pPr>
        <w:rPr>
          <w:rFonts w:cs="Tahoma"/>
          <w:sz w:val="20"/>
        </w:rPr>
      </w:pPr>
      <w:r w:rsidRPr="0068236B">
        <w:rPr>
          <w:rFonts w:cs="Tahoma"/>
          <w:sz w:val="20"/>
        </w:rPr>
        <w:t xml:space="preserve">Indicatively, the content of the EPRP will, </w:t>
      </w:r>
      <w:r w:rsidRPr="0068236B">
        <w:rPr>
          <w:rFonts w:cs="Tahoma"/>
          <w:i/>
          <w:sz w:val="20"/>
        </w:rPr>
        <w:t>inter alia</w:t>
      </w:r>
      <w:r w:rsidRPr="0068236B">
        <w:rPr>
          <w:rFonts w:cs="Tahoma"/>
          <w:sz w:val="20"/>
        </w:rPr>
        <w:t>, address the following main emergency response areas:</w:t>
      </w:r>
    </w:p>
    <w:p w14:paraId="03B4C699" w14:textId="77777777" w:rsidR="009D6030" w:rsidRPr="0068236B" w:rsidRDefault="009D6030" w:rsidP="00D24CEF">
      <w:pPr>
        <w:pStyle w:val="ListBullet"/>
        <w:numPr>
          <w:ilvl w:val="0"/>
          <w:numId w:val="97"/>
        </w:numPr>
        <w:spacing w:line="240" w:lineRule="auto"/>
        <w:jc w:val="left"/>
        <w:rPr>
          <w:rFonts w:cs="Tahoma"/>
          <w:sz w:val="20"/>
        </w:rPr>
      </w:pPr>
      <w:r w:rsidRPr="0068236B">
        <w:rPr>
          <w:rFonts w:cs="Tahoma"/>
          <w:sz w:val="20"/>
        </w:rPr>
        <w:t xml:space="preserve">Emergency risk assessment, identification and classification. </w:t>
      </w:r>
    </w:p>
    <w:p w14:paraId="49339101" w14:textId="77777777" w:rsidR="009D6030" w:rsidRPr="0068236B" w:rsidRDefault="009D6030" w:rsidP="00D24CEF">
      <w:pPr>
        <w:pStyle w:val="ListBullet"/>
        <w:numPr>
          <w:ilvl w:val="0"/>
          <w:numId w:val="97"/>
        </w:numPr>
        <w:spacing w:line="240" w:lineRule="auto"/>
        <w:jc w:val="left"/>
        <w:rPr>
          <w:rFonts w:cs="Tahoma"/>
          <w:sz w:val="20"/>
        </w:rPr>
      </w:pPr>
      <w:r w:rsidRPr="0068236B">
        <w:rPr>
          <w:rFonts w:cs="Tahoma"/>
          <w:sz w:val="20"/>
        </w:rPr>
        <w:t>Emergency prevention and mitigation measures.</w:t>
      </w:r>
    </w:p>
    <w:p w14:paraId="5A4EC0C2" w14:textId="77777777" w:rsidR="009D6030" w:rsidRPr="0068236B" w:rsidRDefault="009D6030" w:rsidP="00D24CEF">
      <w:pPr>
        <w:pStyle w:val="ListBullet"/>
        <w:numPr>
          <w:ilvl w:val="0"/>
          <w:numId w:val="97"/>
        </w:numPr>
        <w:spacing w:line="240" w:lineRule="auto"/>
        <w:jc w:val="left"/>
        <w:rPr>
          <w:rFonts w:cs="Tahoma"/>
          <w:sz w:val="20"/>
        </w:rPr>
      </w:pPr>
      <w:r w:rsidRPr="0068236B">
        <w:rPr>
          <w:rFonts w:eastAsia="Calibri" w:cs="Tahoma"/>
          <w:sz w:val="20"/>
        </w:rPr>
        <w:t>Roles and responsibilities of the personnel during emergency situations.</w:t>
      </w:r>
    </w:p>
    <w:p w14:paraId="1A45B3D0" w14:textId="77777777" w:rsidR="009D6030" w:rsidRPr="0068236B" w:rsidRDefault="009D6030" w:rsidP="00D24CEF">
      <w:pPr>
        <w:pStyle w:val="ListBullet"/>
        <w:numPr>
          <w:ilvl w:val="0"/>
          <w:numId w:val="97"/>
        </w:numPr>
        <w:spacing w:line="240" w:lineRule="auto"/>
        <w:jc w:val="left"/>
        <w:rPr>
          <w:rFonts w:cs="Tahoma"/>
          <w:sz w:val="20"/>
        </w:rPr>
      </w:pPr>
      <w:r w:rsidRPr="0068236B">
        <w:rPr>
          <w:rFonts w:cs="Tahoma"/>
          <w:sz w:val="20"/>
        </w:rPr>
        <w:t>Emergency response planning and procedures.</w:t>
      </w:r>
    </w:p>
    <w:p w14:paraId="7F0FE429" w14:textId="77777777" w:rsidR="009D6030" w:rsidRPr="0068236B" w:rsidRDefault="009D6030" w:rsidP="00D24CEF">
      <w:pPr>
        <w:pStyle w:val="ListBullet"/>
        <w:numPr>
          <w:ilvl w:val="0"/>
          <w:numId w:val="97"/>
        </w:numPr>
        <w:spacing w:line="240" w:lineRule="auto"/>
        <w:jc w:val="left"/>
        <w:rPr>
          <w:rFonts w:cs="Tahoma"/>
          <w:sz w:val="20"/>
        </w:rPr>
      </w:pPr>
      <w:r w:rsidRPr="0068236B">
        <w:rPr>
          <w:rFonts w:cs="Tahoma"/>
          <w:sz w:val="20"/>
        </w:rPr>
        <w:t>Emergency reporting.</w:t>
      </w:r>
    </w:p>
    <w:p w14:paraId="1FB1028A" w14:textId="77777777" w:rsidR="009D6030" w:rsidRPr="0068236B" w:rsidRDefault="009D6030" w:rsidP="00D24CEF">
      <w:pPr>
        <w:pStyle w:val="ListBullet"/>
        <w:numPr>
          <w:ilvl w:val="0"/>
          <w:numId w:val="97"/>
        </w:numPr>
        <w:spacing w:line="240" w:lineRule="auto"/>
        <w:jc w:val="left"/>
        <w:rPr>
          <w:rFonts w:cs="Tahoma"/>
          <w:sz w:val="20"/>
        </w:rPr>
      </w:pPr>
      <w:r w:rsidRPr="0068236B">
        <w:rPr>
          <w:rFonts w:cs="Tahoma"/>
          <w:sz w:val="20"/>
        </w:rPr>
        <w:t>Testing and reviewing emergency preparedness.</w:t>
      </w:r>
    </w:p>
    <w:p w14:paraId="64BB3588" w14:textId="77777777" w:rsidR="009D6030" w:rsidRPr="0068236B" w:rsidRDefault="009D6030" w:rsidP="00D24CEF">
      <w:pPr>
        <w:pStyle w:val="ListBullet"/>
        <w:numPr>
          <w:ilvl w:val="0"/>
          <w:numId w:val="97"/>
        </w:numPr>
        <w:spacing w:line="240" w:lineRule="auto"/>
        <w:jc w:val="left"/>
        <w:rPr>
          <w:rFonts w:cs="Tahoma"/>
          <w:sz w:val="20"/>
        </w:rPr>
      </w:pPr>
      <w:r w:rsidRPr="0068236B">
        <w:rPr>
          <w:rFonts w:cs="Tahoma"/>
          <w:sz w:val="20"/>
        </w:rPr>
        <w:t xml:space="preserve">Training aspects. </w:t>
      </w:r>
    </w:p>
    <w:p w14:paraId="7D019498" w14:textId="77777777" w:rsidR="009D6030" w:rsidRPr="0068236B" w:rsidRDefault="009D6030" w:rsidP="009D6030">
      <w:pPr>
        <w:pStyle w:val="Heading3"/>
        <w:spacing w:line="240" w:lineRule="auto"/>
        <w:ind w:left="1931"/>
      </w:pPr>
      <w:bookmarkStart w:id="588" w:name="_Toc65936875"/>
      <w:bookmarkStart w:id="589" w:name="_Toc80181199"/>
      <w:bookmarkStart w:id="590" w:name="_Toc112852315"/>
      <w:r w:rsidRPr="0068236B">
        <w:lastRenderedPageBreak/>
        <w:t>Operation</w:t>
      </w:r>
      <w:bookmarkEnd w:id="588"/>
      <w:bookmarkEnd w:id="589"/>
      <w:bookmarkEnd w:id="590"/>
    </w:p>
    <w:p w14:paraId="40AE8487" w14:textId="2F330215" w:rsidR="009D6030" w:rsidRPr="0068236B" w:rsidRDefault="009D6030" w:rsidP="009D6030">
      <w:pPr>
        <w:pStyle w:val="NumberedParagraph"/>
        <w:rPr>
          <w:sz w:val="20"/>
        </w:rPr>
      </w:pPr>
      <w:r w:rsidRPr="0068236B">
        <w:rPr>
          <w:sz w:val="20"/>
        </w:rPr>
        <w:t>During operation, the Project will comply with the emergency management requirements and standards of MEPSO as set out in their IMS</w:t>
      </w:r>
      <w:r w:rsidR="00470CAC" w:rsidRPr="0068236B">
        <w:rPr>
          <w:rStyle w:val="FootnoteReference"/>
          <w:rFonts w:cs="Tahoma"/>
          <w:color w:val="000000"/>
          <w:sz w:val="20"/>
          <w:szCs w:val="20"/>
          <w:shd w:val="clear" w:color="auto" w:fill="FFFFFF"/>
        </w:rPr>
        <w:footnoteReference w:id="154"/>
      </w:r>
      <w:r w:rsidRPr="0068236B">
        <w:rPr>
          <w:sz w:val="20"/>
        </w:rPr>
        <w:t xml:space="preserve"> and the accompanied operational procedures which, </w:t>
      </w:r>
      <w:r w:rsidRPr="0068236B">
        <w:rPr>
          <w:i/>
          <w:sz w:val="20"/>
        </w:rPr>
        <w:t>inter alia</w:t>
      </w:r>
      <w:r w:rsidRPr="0068236B">
        <w:rPr>
          <w:sz w:val="20"/>
        </w:rPr>
        <w:t>, include o</w:t>
      </w:r>
      <w:r w:rsidRPr="0068236B">
        <w:rPr>
          <w:sz w:val="20"/>
        </w:rPr>
        <w:t>c</w:t>
      </w:r>
      <w:r w:rsidRPr="0068236B">
        <w:rPr>
          <w:sz w:val="20"/>
        </w:rPr>
        <w:t xml:space="preserve">cupational health and safety aspects as well as emergency planning based on respective emergency risk assessment. </w:t>
      </w:r>
    </w:p>
    <w:p w14:paraId="51F84717" w14:textId="77777777" w:rsidR="009D6030" w:rsidRPr="0068236B" w:rsidRDefault="009D6030">
      <w:pPr>
        <w:spacing w:before="0" w:after="0" w:line="240" w:lineRule="auto"/>
        <w:jc w:val="left"/>
        <w:rPr>
          <w:rFonts w:cs="Tahoma"/>
          <w:sz w:val="20"/>
          <w:szCs w:val="20"/>
        </w:rPr>
      </w:pPr>
      <w:r w:rsidRPr="0068236B">
        <w:rPr>
          <w:rFonts w:cs="Tahoma"/>
          <w:sz w:val="20"/>
          <w:szCs w:val="20"/>
        </w:rPr>
        <w:br w:type="page"/>
      </w:r>
    </w:p>
    <w:p w14:paraId="4201D2F3" w14:textId="1FEF9B19" w:rsidR="009D6030" w:rsidRPr="0068236B" w:rsidRDefault="009D6030" w:rsidP="00E44ED8">
      <w:pPr>
        <w:pStyle w:val="Heading1"/>
        <w:rPr>
          <w:szCs w:val="20"/>
        </w:rPr>
      </w:pPr>
      <w:bookmarkStart w:id="591" w:name="_Toc80181200"/>
      <w:bookmarkStart w:id="592" w:name="_Toc112852316"/>
      <w:r w:rsidRPr="0068236B">
        <w:lastRenderedPageBreak/>
        <w:t>Environmental and Social Management</w:t>
      </w:r>
      <w:bookmarkStart w:id="593" w:name="_Toc65936877"/>
      <w:bookmarkEnd w:id="591"/>
      <w:bookmarkEnd w:id="592"/>
    </w:p>
    <w:p w14:paraId="5B069B3A" w14:textId="77777777" w:rsidR="009D6030" w:rsidRPr="0068236B" w:rsidRDefault="009D6030" w:rsidP="009D6030">
      <w:pPr>
        <w:pStyle w:val="Heading2"/>
        <w:spacing w:before="480" w:after="240"/>
        <w:ind w:left="576" w:hanging="576"/>
        <w:rPr>
          <w:rFonts w:cs="Tahoma"/>
          <w:szCs w:val="28"/>
        </w:rPr>
      </w:pPr>
      <w:bookmarkStart w:id="594" w:name="_Toc66656284"/>
      <w:bookmarkStart w:id="595" w:name="_Toc80181201"/>
      <w:bookmarkStart w:id="596" w:name="_Toc112852317"/>
      <w:r w:rsidRPr="0068236B">
        <w:rPr>
          <w:rFonts w:cs="Tahoma"/>
          <w:szCs w:val="28"/>
        </w:rPr>
        <w:t>Introduction</w:t>
      </w:r>
      <w:bookmarkEnd w:id="594"/>
      <w:bookmarkEnd w:id="595"/>
      <w:bookmarkEnd w:id="596"/>
    </w:p>
    <w:p w14:paraId="5B2485F6" w14:textId="6D3C22B8" w:rsidR="008B61A0" w:rsidRPr="0068236B" w:rsidRDefault="008B61A0" w:rsidP="008B61A0">
      <w:pPr>
        <w:tabs>
          <w:tab w:val="num" w:pos="0"/>
        </w:tabs>
        <w:autoSpaceDE w:val="0"/>
        <w:autoSpaceDN w:val="0"/>
        <w:adjustRightInd w:val="0"/>
        <w:rPr>
          <w:rFonts w:eastAsia="Calibri" w:cs="Tahoma"/>
          <w:sz w:val="20"/>
          <w:szCs w:val="20"/>
        </w:rPr>
      </w:pPr>
      <w:r w:rsidRPr="0068236B">
        <w:rPr>
          <w:rFonts w:cs="Tahoma"/>
          <w:color w:val="000000"/>
          <w:sz w:val="20"/>
          <w:szCs w:val="20"/>
        </w:rPr>
        <w:t>A Project's Environmental and Social Management Plan (ESMP), as a standalone document and associated to this E&amp;S Assessment Report, consisting of a set of mitigation and monitoring measures, criteria for their successful implementation and institutional measures to be taken during the Project implementation to eli</w:t>
      </w:r>
      <w:r w:rsidRPr="0068236B">
        <w:rPr>
          <w:rFonts w:cs="Tahoma"/>
          <w:color w:val="000000"/>
          <w:sz w:val="20"/>
          <w:szCs w:val="20"/>
        </w:rPr>
        <w:t>m</w:t>
      </w:r>
      <w:r w:rsidRPr="0068236B">
        <w:rPr>
          <w:rFonts w:cs="Tahoma"/>
          <w:color w:val="000000"/>
          <w:sz w:val="20"/>
          <w:szCs w:val="20"/>
        </w:rPr>
        <w:t xml:space="preserve">inate adverse environmental and social impacts, offset them, or reduce them to acceptable levels, has been developed. </w:t>
      </w:r>
      <w:r w:rsidRPr="0068236B">
        <w:rPr>
          <w:rFonts w:eastAsia="Calibri" w:cs="Tahoma"/>
          <w:sz w:val="20"/>
          <w:szCs w:val="20"/>
        </w:rPr>
        <w:t>It has been prepared based on the findings of this E&amp;S appraisal to ensure that the Project is executed in compliance with applicable Macedonian laws and regulations and EBRD environmental and social requirements.</w:t>
      </w:r>
    </w:p>
    <w:p w14:paraId="23341552" w14:textId="77777777" w:rsidR="008B61A0" w:rsidRPr="0068236B" w:rsidRDefault="008B61A0" w:rsidP="008B61A0">
      <w:pPr>
        <w:autoSpaceDE w:val="0"/>
        <w:autoSpaceDN w:val="0"/>
        <w:adjustRightInd w:val="0"/>
        <w:rPr>
          <w:rFonts w:eastAsiaTheme="minorHAnsi" w:cs="Tahoma"/>
          <w:sz w:val="20"/>
          <w:szCs w:val="20"/>
        </w:rPr>
      </w:pPr>
      <w:r w:rsidRPr="0068236B">
        <w:rPr>
          <w:rFonts w:eastAsiaTheme="minorHAnsi" w:cs="Tahoma"/>
          <w:sz w:val="20"/>
          <w:szCs w:val="20"/>
        </w:rPr>
        <w:t>The ESMP is a key document that lists the environmental and social requirements, including health and saf</w:t>
      </w:r>
      <w:r w:rsidRPr="0068236B">
        <w:rPr>
          <w:rFonts w:eastAsiaTheme="minorHAnsi" w:cs="Tahoma"/>
          <w:sz w:val="20"/>
          <w:szCs w:val="20"/>
        </w:rPr>
        <w:t>e</w:t>
      </w:r>
      <w:r w:rsidRPr="0068236B">
        <w:rPr>
          <w:rFonts w:eastAsiaTheme="minorHAnsi" w:cs="Tahoma"/>
          <w:sz w:val="20"/>
          <w:szCs w:val="20"/>
        </w:rPr>
        <w:t>ty risks, and details the operational procedures necessary for managing the significant issues connected to the Project activities.</w:t>
      </w:r>
    </w:p>
    <w:p w14:paraId="2022B44C" w14:textId="6EB5B256" w:rsidR="008B61A0" w:rsidRPr="0068236B" w:rsidRDefault="008B61A0" w:rsidP="008B61A0">
      <w:pPr>
        <w:autoSpaceDE w:val="0"/>
        <w:autoSpaceDN w:val="0"/>
        <w:adjustRightInd w:val="0"/>
        <w:rPr>
          <w:rFonts w:eastAsiaTheme="minorHAnsi" w:cs="Tahoma"/>
          <w:sz w:val="20"/>
          <w:szCs w:val="20"/>
        </w:rPr>
      </w:pPr>
      <w:r w:rsidRPr="0068236B">
        <w:rPr>
          <w:rFonts w:cs="Tahoma"/>
          <w:sz w:val="20"/>
          <w:szCs w:val="20"/>
        </w:rPr>
        <w:t xml:space="preserve">The ESMP will be implemented during the pre-construction, construction and operation / maintenance of the Project. As such it </w:t>
      </w:r>
      <w:r w:rsidRPr="0068236B">
        <w:rPr>
          <w:rFonts w:eastAsiaTheme="minorHAnsi" w:cs="Tahoma"/>
          <w:sz w:val="20"/>
          <w:szCs w:val="20"/>
        </w:rPr>
        <w:t>can be used as a standalone document during the different phases of the Project by the key Project stakeholders: MEPSO in its capacity a</w:t>
      </w:r>
      <w:r w:rsidR="00E44ED8">
        <w:rPr>
          <w:rFonts w:eastAsiaTheme="minorHAnsi" w:cs="Tahoma"/>
          <w:sz w:val="20"/>
          <w:szCs w:val="20"/>
        </w:rPr>
        <w:t xml:space="preserve">s Project Developer / Operator </w:t>
      </w:r>
      <w:r w:rsidRPr="0068236B">
        <w:rPr>
          <w:rFonts w:eastAsiaTheme="minorHAnsi" w:cs="Tahoma"/>
          <w:sz w:val="20"/>
          <w:szCs w:val="20"/>
        </w:rPr>
        <w:t>and by the Contractor(s), as well as by the governmental authorities and other competent / responsible parties.</w:t>
      </w:r>
    </w:p>
    <w:p w14:paraId="3A907708" w14:textId="26B297D9" w:rsidR="003B1C7B" w:rsidRPr="0068236B" w:rsidRDefault="003B1C7B" w:rsidP="003B1C7B">
      <w:pPr>
        <w:autoSpaceDE w:val="0"/>
        <w:autoSpaceDN w:val="0"/>
        <w:adjustRightInd w:val="0"/>
        <w:rPr>
          <w:rFonts w:eastAsiaTheme="minorHAnsi" w:cs="Tahoma"/>
          <w:sz w:val="20"/>
          <w:szCs w:val="20"/>
        </w:rPr>
      </w:pPr>
      <w:r w:rsidRPr="0068236B">
        <w:rPr>
          <w:rFonts w:cs="Tahoma"/>
          <w:sz w:val="20"/>
          <w:szCs w:val="20"/>
        </w:rPr>
        <w:t xml:space="preserve">MEPSO will appoint a Project Implementation Unit, </w:t>
      </w:r>
      <w:r w:rsidRPr="0068236B">
        <w:rPr>
          <w:rFonts w:eastAsia="Calibri" w:cs="Tahoma"/>
          <w:sz w:val="20"/>
          <w:szCs w:val="20"/>
        </w:rPr>
        <w:t>responsible for Project implementation.</w:t>
      </w:r>
    </w:p>
    <w:p w14:paraId="3E8FA0C4" w14:textId="77777777" w:rsidR="009D6030" w:rsidRPr="0068236B" w:rsidRDefault="009D6030" w:rsidP="009D6030">
      <w:pPr>
        <w:pStyle w:val="NumberedParagraph"/>
        <w:rPr>
          <w:sz w:val="20"/>
          <w:szCs w:val="20"/>
        </w:rPr>
      </w:pPr>
      <w:r w:rsidRPr="0068236B">
        <w:rPr>
          <w:sz w:val="20"/>
          <w:szCs w:val="20"/>
        </w:rPr>
        <w:t>This chapter outlines the key objectives and basic principles of the ESMP, as well as its structure and co</w:t>
      </w:r>
      <w:r w:rsidRPr="0068236B">
        <w:rPr>
          <w:sz w:val="20"/>
          <w:szCs w:val="20"/>
        </w:rPr>
        <w:t>n</w:t>
      </w:r>
      <w:r w:rsidRPr="0068236B">
        <w:rPr>
          <w:sz w:val="20"/>
          <w:szCs w:val="20"/>
        </w:rPr>
        <w:t>tent.</w:t>
      </w:r>
    </w:p>
    <w:p w14:paraId="27174B68" w14:textId="77777777" w:rsidR="009D6030" w:rsidRPr="0068236B" w:rsidRDefault="009D6030" w:rsidP="009D6030">
      <w:pPr>
        <w:pStyle w:val="Heading2"/>
        <w:spacing w:before="480" w:after="240"/>
        <w:ind w:left="576" w:hanging="576"/>
        <w:rPr>
          <w:rFonts w:cs="Tahoma"/>
          <w:szCs w:val="28"/>
        </w:rPr>
      </w:pPr>
      <w:bookmarkStart w:id="597" w:name="_Toc66656285"/>
      <w:bookmarkStart w:id="598" w:name="_Toc80181202"/>
      <w:bookmarkStart w:id="599" w:name="_Toc112852318"/>
      <w:r w:rsidRPr="0068236B">
        <w:rPr>
          <w:rFonts w:cs="Tahoma"/>
        </w:rPr>
        <w:t>Objectives of Environmental and Social Management</w:t>
      </w:r>
      <w:bookmarkEnd w:id="597"/>
      <w:bookmarkEnd w:id="598"/>
      <w:bookmarkEnd w:id="599"/>
    </w:p>
    <w:p w14:paraId="43B4A435" w14:textId="77777777" w:rsidR="009D6030" w:rsidRPr="0068236B" w:rsidRDefault="009D6030" w:rsidP="009D6030">
      <w:pPr>
        <w:pStyle w:val="NumBodyText"/>
        <w:tabs>
          <w:tab w:val="clear" w:pos="0"/>
        </w:tabs>
        <w:ind w:firstLine="0"/>
        <w:rPr>
          <w:rFonts w:ascii="Tahoma" w:hAnsi="Tahoma" w:cs="Tahoma"/>
          <w:sz w:val="20"/>
        </w:rPr>
      </w:pPr>
      <w:r w:rsidRPr="0068236B">
        <w:rPr>
          <w:rFonts w:ascii="Tahoma" w:hAnsi="Tahoma" w:cs="Tahoma"/>
          <w:sz w:val="20"/>
        </w:rPr>
        <w:t xml:space="preserve">The key objectives of the ESMP, including the Monitoring Plan, are: </w:t>
      </w:r>
    </w:p>
    <w:p w14:paraId="040C4D6A" w14:textId="1B2344B3" w:rsidR="009D6030" w:rsidRPr="0068236B" w:rsidRDefault="009D6030" w:rsidP="00D24CEF">
      <w:pPr>
        <w:pStyle w:val="ListBullet"/>
        <w:numPr>
          <w:ilvl w:val="0"/>
          <w:numId w:val="97"/>
        </w:numPr>
        <w:jc w:val="left"/>
        <w:rPr>
          <w:sz w:val="20"/>
        </w:rPr>
      </w:pPr>
      <w:r w:rsidRPr="0068236B">
        <w:rPr>
          <w:sz w:val="20"/>
        </w:rPr>
        <w:t>To ensure project components are conducted in compliance with the national laws and regul</w:t>
      </w:r>
      <w:r w:rsidRPr="0068236B">
        <w:rPr>
          <w:sz w:val="20"/>
        </w:rPr>
        <w:t>a</w:t>
      </w:r>
      <w:r w:rsidRPr="0068236B">
        <w:rPr>
          <w:sz w:val="20"/>
        </w:rPr>
        <w:t>tions as well as t</w:t>
      </w:r>
      <w:r w:rsidR="00352F26" w:rsidRPr="0068236B">
        <w:rPr>
          <w:sz w:val="20"/>
        </w:rPr>
        <w:t>he requirements of the Lender (EBRD)</w:t>
      </w:r>
      <w:r w:rsidRPr="0068236B">
        <w:rPr>
          <w:sz w:val="20"/>
        </w:rPr>
        <w:t>.</w:t>
      </w:r>
    </w:p>
    <w:p w14:paraId="67028BE9" w14:textId="77777777" w:rsidR="009D6030" w:rsidRPr="0068236B" w:rsidRDefault="009D6030" w:rsidP="00D24CEF">
      <w:pPr>
        <w:pStyle w:val="ListBullet"/>
        <w:numPr>
          <w:ilvl w:val="0"/>
          <w:numId w:val="97"/>
        </w:numPr>
        <w:jc w:val="left"/>
        <w:rPr>
          <w:sz w:val="20"/>
        </w:rPr>
      </w:pPr>
      <w:r w:rsidRPr="0068236B">
        <w:rPr>
          <w:sz w:val="20"/>
        </w:rPr>
        <w:t>To measure the success of proposed mitigation measures in minimising and/or reducing pote</w:t>
      </w:r>
      <w:r w:rsidRPr="0068236B">
        <w:rPr>
          <w:sz w:val="20"/>
        </w:rPr>
        <w:t>n</w:t>
      </w:r>
      <w:r w:rsidRPr="0068236B">
        <w:rPr>
          <w:sz w:val="20"/>
        </w:rPr>
        <w:t>tial environmental, health, safety and social impacts.</w:t>
      </w:r>
    </w:p>
    <w:p w14:paraId="67BE5085" w14:textId="77777777" w:rsidR="009D6030" w:rsidRPr="0068236B" w:rsidRDefault="009D6030" w:rsidP="00D24CEF">
      <w:pPr>
        <w:pStyle w:val="ListBullet"/>
        <w:numPr>
          <w:ilvl w:val="0"/>
          <w:numId w:val="97"/>
        </w:numPr>
        <w:jc w:val="left"/>
        <w:rPr>
          <w:sz w:val="20"/>
        </w:rPr>
      </w:pPr>
      <w:r w:rsidRPr="0068236B">
        <w:rPr>
          <w:sz w:val="20"/>
        </w:rPr>
        <w:t>To control the changes to baseline environmental, health, safety and social conditions during pre-construction, construction and operation activities.</w:t>
      </w:r>
    </w:p>
    <w:p w14:paraId="0B23E738" w14:textId="77777777" w:rsidR="009D6030" w:rsidRPr="0068236B" w:rsidRDefault="009D6030" w:rsidP="00D24CEF">
      <w:pPr>
        <w:pStyle w:val="ListBullet"/>
        <w:numPr>
          <w:ilvl w:val="0"/>
          <w:numId w:val="97"/>
        </w:numPr>
        <w:jc w:val="left"/>
        <w:rPr>
          <w:sz w:val="20"/>
        </w:rPr>
      </w:pPr>
      <w:r w:rsidRPr="0068236B">
        <w:rPr>
          <w:sz w:val="20"/>
        </w:rPr>
        <w:t>To facilitate a continual review of activities based on performance data and consultation fee</w:t>
      </w:r>
      <w:r w:rsidRPr="0068236B">
        <w:rPr>
          <w:sz w:val="20"/>
        </w:rPr>
        <w:t>d</w:t>
      </w:r>
      <w:r w:rsidRPr="0068236B">
        <w:rPr>
          <w:sz w:val="20"/>
        </w:rPr>
        <w:t xml:space="preserve">back. </w:t>
      </w:r>
    </w:p>
    <w:p w14:paraId="7B6A0E35" w14:textId="77777777" w:rsidR="009D6030" w:rsidRPr="0068236B" w:rsidRDefault="009D6030" w:rsidP="00D24CEF">
      <w:pPr>
        <w:pStyle w:val="ListBullet"/>
        <w:numPr>
          <w:ilvl w:val="0"/>
          <w:numId w:val="97"/>
        </w:numPr>
        <w:jc w:val="left"/>
        <w:rPr>
          <w:sz w:val="20"/>
        </w:rPr>
      </w:pPr>
      <w:r w:rsidRPr="0068236B">
        <w:rPr>
          <w:sz w:val="20"/>
        </w:rPr>
        <w:t xml:space="preserve">To implement corrective actions or new adaptive management programs, as required. </w:t>
      </w:r>
    </w:p>
    <w:p w14:paraId="2EAFF04E" w14:textId="77777777" w:rsidR="009D6030" w:rsidRPr="0068236B" w:rsidRDefault="009D6030" w:rsidP="009D6030">
      <w:pPr>
        <w:pStyle w:val="Heading2"/>
        <w:spacing w:before="480" w:after="240"/>
        <w:ind w:left="576" w:hanging="576"/>
        <w:rPr>
          <w:rFonts w:cs="Tahoma"/>
          <w:szCs w:val="28"/>
        </w:rPr>
      </w:pPr>
      <w:bookmarkStart w:id="600" w:name="_Toc62390179"/>
      <w:bookmarkStart w:id="601" w:name="_Toc66656286"/>
      <w:bookmarkStart w:id="602" w:name="_Toc80181203"/>
      <w:bookmarkStart w:id="603" w:name="_Toc112852319"/>
      <w:r w:rsidRPr="0068236B">
        <w:rPr>
          <w:rFonts w:cs="Tahoma"/>
        </w:rPr>
        <w:t>Principles of Environmental and Social Management</w:t>
      </w:r>
      <w:bookmarkEnd w:id="600"/>
      <w:bookmarkEnd w:id="601"/>
      <w:bookmarkEnd w:id="602"/>
      <w:bookmarkEnd w:id="603"/>
    </w:p>
    <w:p w14:paraId="64400BE2" w14:textId="2B07B547" w:rsidR="008B61A0" w:rsidRPr="0068236B" w:rsidRDefault="008B61A0" w:rsidP="008B61A0">
      <w:pPr>
        <w:rPr>
          <w:sz w:val="20"/>
          <w:szCs w:val="20"/>
        </w:rPr>
      </w:pPr>
      <w:bookmarkStart w:id="604" w:name="_Toc62390180"/>
      <w:bookmarkStart w:id="605" w:name="_Toc66656287"/>
      <w:bookmarkStart w:id="606" w:name="_Toc80181204"/>
      <w:r w:rsidRPr="0068236B">
        <w:rPr>
          <w:sz w:val="20"/>
          <w:szCs w:val="20"/>
        </w:rPr>
        <w:t>The E&amp;S Management of the Project comprises a set of measures or specifications that have been originated following the outcomes of the Project’s E&amp;S appraisal but also measures that are considered to reflect GIP.</w:t>
      </w:r>
    </w:p>
    <w:p w14:paraId="0814C27C" w14:textId="79911ACC" w:rsidR="008B61A0" w:rsidRPr="0068236B" w:rsidRDefault="008B61A0" w:rsidP="008B61A0">
      <w:pPr>
        <w:rPr>
          <w:rFonts w:eastAsia="Calibri" w:cs="Arial"/>
          <w:sz w:val="20"/>
          <w:szCs w:val="20"/>
        </w:rPr>
      </w:pPr>
      <w:r w:rsidRPr="0068236B">
        <w:rPr>
          <w:sz w:val="20"/>
          <w:szCs w:val="20"/>
        </w:rPr>
        <w:t>MEPSO takes overall responsibility for the implementation of environmental and social mitigation and co</w:t>
      </w:r>
      <w:r w:rsidRPr="0068236B">
        <w:rPr>
          <w:sz w:val="20"/>
          <w:szCs w:val="20"/>
        </w:rPr>
        <w:t>m</w:t>
      </w:r>
      <w:r w:rsidRPr="0068236B">
        <w:rPr>
          <w:sz w:val="20"/>
          <w:szCs w:val="20"/>
        </w:rPr>
        <w:t>pensation measures of the Project. Effective implementation of these specifications before and during the construction phase will be supervised by a Consultant who is to be appointed by MEPSO. MEPSO will be responsible and take ownership of the measures relevant to the operation and maintenance phase of the Project.</w:t>
      </w:r>
    </w:p>
    <w:p w14:paraId="4CCFE2F2" w14:textId="77777777" w:rsidR="009D6030" w:rsidRPr="0068236B" w:rsidRDefault="009D6030" w:rsidP="009D6030">
      <w:pPr>
        <w:pStyle w:val="Heading3"/>
        <w:spacing w:line="240" w:lineRule="auto"/>
        <w:ind w:left="993" w:hanging="993"/>
      </w:pPr>
      <w:bookmarkStart w:id="607" w:name="_Toc112852320"/>
      <w:r w:rsidRPr="0068236B">
        <w:lastRenderedPageBreak/>
        <w:t>Pre-construction Phase</w:t>
      </w:r>
      <w:bookmarkEnd w:id="604"/>
      <w:bookmarkEnd w:id="605"/>
      <w:bookmarkEnd w:id="606"/>
      <w:bookmarkEnd w:id="607"/>
      <w:r w:rsidRPr="0068236B">
        <w:t xml:space="preserve"> </w:t>
      </w:r>
    </w:p>
    <w:p w14:paraId="5E422BC3" w14:textId="37740C0E" w:rsidR="009D6030" w:rsidRPr="0068236B" w:rsidRDefault="009D6030" w:rsidP="009D6030">
      <w:pPr>
        <w:tabs>
          <w:tab w:val="num" w:pos="0"/>
        </w:tabs>
        <w:rPr>
          <w:rFonts w:cs="Tahoma"/>
          <w:sz w:val="20"/>
          <w:szCs w:val="20"/>
        </w:rPr>
      </w:pPr>
      <w:r w:rsidRPr="0068236B">
        <w:rPr>
          <w:rFonts w:cs="Tahoma"/>
          <w:sz w:val="20"/>
          <w:szCs w:val="20"/>
        </w:rPr>
        <w:t>Each requirement resulting from the process of obtaining a specific Project-related decision (approval, pe</w:t>
      </w:r>
      <w:r w:rsidRPr="0068236B">
        <w:rPr>
          <w:rFonts w:cs="Tahoma"/>
          <w:sz w:val="20"/>
          <w:szCs w:val="20"/>
        </w:rPr>
        <w:t>r</w:t>
      </w:r>
      <w:r w:rsidRPr="0068236B">
        <w:rPr>
          <w:rFonts w:cs="Tahoma"/>
          <w:sz w:val="20"/>
          <w:szCs w:val="20"/>
        </w:rPr>
        <w:t>mit, consent) from the national and/or local statutory stakeholders / competent bodies (municipalities, mini</w:t>
      </w:r>
      <w:r w:rsidRPr="0068236B">
        <w:rPr>
          <w:rFonts w:cs="Tahoma"/>
          <w:sz w:val="20"/>
          <w:szCs w:val="20"/>
        </w:rPr>
        <w:t>s</w:t>
      </w:r>
      <w:r w:rsidRPr="0068236B">
        <w:rPr>
          <w:rFonts w:cs="Tahoma"/>
          <w:sz w:val="20"/>
          <w:szCs w:val="20"/>
        </w:rPr>
        <w:t xml:space="preserve">tries, </w:t>
      </w:r>
      <w:r w:rsidR="00352F26" w:rsidRPr="0068236B">
        <w:rPr>
          <w:rFonts w:cs="Tahoma"/>
          <w:sz w:val="20"/>
          <w:szCs w:val="20"/>
        </w:rPr>
        <w:t>agencies, etc.) and/or the Lender</w:t>
      </w:r>
      <w:r w:rsidR="00BD67CE" w:rsidRPr="0068236B">
        <w:rPr>
          <w:rFonts w:cs="Tahoma"/>
          <w:sz w:val="20"/>
          <w:szCs w:val="20"/>
        </w:rPr>
        <w:t xml:space="preserve"> (EBRD)</w:t>
      </w:r>
      <w:r w:rsidRPr="0068236B">
        <w:rPr>
          <w:rFonts w:cs="Tahoma"/>
          <w:sz w:val="20"/>
          <w:szCs w:val="20"/>
        </w:rPr>
        <w:t xml:space="preserve"> during the pre-construction stage will be included in the final documentation for construction.</w:t>
      </w:r>
    </w:p>
    <w:p w14:paraId="2B95CD7B" w14:textId="77777777" w:rsidR="009D6030" w:rsidRPr="0068236B" w:rsidRDefault="009D6030" w:rsidP="009D6030">
      <w:pPr>
        <w:pStyle w:val="Heading3"/>
        <w:spacing w:line="240" w:lineRule="auto"/>
        <w:ind w:left="993" w:hanging="993"/>
      </w:pPr>
      <w:bookmarkStart w:id="608" w:name="_Toc62390181"/>
      <w:bookmarkStart w:id="609" w:name="_Toc66656288"/>
      <w:bookmarkStart w:id="610" w:name="_Toc80181205"/>
      <w:bookmarkStart w:id="611" w:name="_Toc112852321"/>
      <w:r w:rsidRPr="0068236B">
        <w:t>Construction Phase</w:t>
      </w:r>
      <w:bookmarkEnd w:id="608"/>
      <w:bookmarkEnd w:id="609"/>
      <w:bookmarkEnd w:id="610"/>
      <w:bookmarkEnd w:id="611"/>
      <w:r w:rsidRPr="0068236B">
        <w:t xml:space="preserve"> </w:t>
      </w:r>
    </w:p>
    <w:p w14:paraId="2CF8A1E8" w14:textId="77777777" w:rsidR="009D6030" w:rsidRPr="0068236B" w:rsidRDefault="009D6030" w:rsidP="009D6030">
      <w:pPr>
        <w:rPr>
          <w:sz w:val="20"/>
          <w:szCs w:val="20"/>
        </w:rPr>
      </w:pPr>
      <w:r w:rsidRPr="0068236B">
        <w:rPr>
          <w:sz w:val="20"/>
          <w:szCs w:val="20"/>
        </w:rPr>
        <w:t xml:space="preserve">In principle, the implementation of the key E&amp;S mitigation measures relating to the construction phase would be delegated to the Contractor(s). This delegation will be ruled by the ESMP that will form part of tender documents / procurement process and the Contractor’s contract. </w:t>
      </w:r>
    </w:p>
    <w:p w14:paraId="5967F9ED" w14:textId="5BE75165" w:rsidR="009D6030" w:rsidRPr="0068236B" w:rsidRDefault="009D6030" w:rsidP="009D6030">
      <w:pPr>
        <w:pStyle w:val="ListBullet"/>
        <w:numPr>
          <w:ilvl w:val="0"/>
          <w:numId w:val="0"/>
        </w:numPr>
        <w:spacing w:before="120" w:after="120"/>
        <w:rPr>
          <w:sz w:val="20"/>
        </w:rPr>
      </w:pPr>
      <w:r w:rsidRPr="0068236B">
        <w:rPr>
          <w:sz w:val="20"/>
        </w:rPr>
        <w:t>The Contractor(s) will develop their own Construction Environmental and Social Management Plan (CESMP</w:t>
      </w:r>
      <w:r w:rsidR="00BD67CE" w:rsidRPr="0068236B">
        <w:rPr>
          <w:sz w:val="20"/>
        </w:rPr>
        <w:t>) which will be aligned with this E&amp;S Assessment Report</w:t>
      </w:r>
      <w:r w:rsidRPr="0068236B">
        <w:rPr>
          <w:sz w:val="20"/>
        </w:rPr>
        <w:t xml:space="preserve"> and the associated ESMP. The CESMP will include associated management plans (sub-plans) or procedures to address E&amp;S issues during the construction per</w:t>
      </w:r>
      <w:r w:rsidRPr="0068236B">
        <w:rPr>
          <w:sz w:val="20"/>
        </w:rPr>
        <w:t>i</w:t>
      </w:r>
      <w:r w:rsidRPr="0068236B">
        <w:rPr>
          <w:sz w:val="20"/>
        </w:rPr>
        <w:t xml:space="preserve">od. </w:t>
      </w:r>
      <w:r w:rsidR="00BD67CE" w:rsidRPr="0068236B">
        <w:rPr>
          <w:sz w:val="20"/>
        </w:rPr>
        <w:t>MEPSO</w:t>
      </w:r>
      <w:r w:rsidRPr="0068236B">
        <w:rPr>
          <w:sz w:val="20"/>
        </w:rPr>
        <w:t xml:space="preserve"> in their capacity as the Project Developer (or a Consultant who is to be appointed by </w:t>
      </w:r>
      <w:r w:rsidR="00BD67CE" w:rsidRPr="0068236B">
        <w:rPr>
          <w:sz w:val="20"/>
        </w:rPr>
        <w:t>MEPSO</w:t>
      </w:r>
      <w:r w:rsidRPr="0068236B">
        <w:rPr>
          <w:sz w:val="20"/>
        </w:rPr>
        <w:t>) will review and approve these documents.</w:t>
      </w:r>
    </w:p>
    <w:p w14:paraId="04EBDF3B" w14:textId="45440674" w:rsidR="009D6030" w:rsidRPr="0068236B" w:rsidRDefault="009D6030" w:rsidP="009D6030">
      <w:pPr>
        <w:rPr>
          <w:rFonts w:eastAsia="Calibri" w:cs="Arial"/>
          <w:sz w:val="20"/>
          <w:szCs w:val="20"/>
        </w:rPr>
      </w:pPr>
      <w:r w:rsidRPr="0068236B">
        <w:rPr>
          <w:rFonts w:cs="Tahoma"/>
          <w:sz w:val="20"/>
          <w:szCs w:val="20"/>
        </w:rPr>
        <w:t>It will be the task of the appointed Contractor(s) to further detail the issues addressed in the ESMP, depen</w:t>
      </w:r>
      <w:r w:rsidRPr="0068236B">
        <w:rPr>
          <w:rFonts w:cs="Tahoma"/>
          <w:sz w:val="20"/>
          <w:szCs w:val="20"/>
        </w:rPr>
        <w:t>d</w:t>
      </w:r>
      <w:r w:rsidRPr="0068236B">
        <w:rPr>
          <w:rFonts w:cs="Tahoma"/>
          <w:sz w:val="20"/>
          <w:szCs w:val="20"/>
        </w:rPr>
        <w:t xml:space="preserve">ing on the progress of project planning, up until and during construction (e.g. establishment of construction zones, temporary facilities for work force, details for storing construction and other materials, traffic and transport aspects, environmental protection and waste management issues, labour issues, occupational and community health and safety, emergency preparedness, </w:t>
      </w:r>
      <w:r w:rsidR="005E6643" w:rsidRPr="0068236B">
        <w:rPr>
          <w:rFonts w:cs="Tahoma"/>
          <w:sz w:val="20"/>
          <w:szCs w:val="20"/>
        </w:rPr>
        <w:t>etc.</w:t>
      </w:r>
      <w:r w:rsidRPr="0068236B">
        <w:rPr>
          <w:rFonts w:cs="Tahoma"/>
          <w:sz w:val="20"/>
          <w:szCs w:val="20"/>
        </w:rPr>
        <w:t>).</w:t>
      </w:r>
    </w:p>
    <w:p w14:paraId="67DF7DA6" w14:textId="77777777" w:rsidR="009D6030" w:rsidRPr="0068236B" w:rsidRDefault="009D6030" w:rsidP="009D6030">
      <w:pPr>
        <w:pStyle w:val="Heading3"/>
        <w:spacing w:line="240" w:lineRule="auto"/>
        <w:ind w:left="993" w:hanging="993"/>
      </w:pPr>
      <w:bookmarkStart w:id="612" w:name="_Toc62390182"/>
      <w:bookmarkStart w:id="613" w:name="_Toc66656289"/>
      <w:bookmarkStart w:id="614" w:name="_Toc80181206"/>
      <w:bookmarkStart w:id="615" w:name="_Toc112852322"/>
      <w:r w:rsidRPr="0068236B">
        <w:t>Operational Phase</w:t>
      </w:r>
      <w:bookmarkEnd w:id="612"/>
      <w:bookmarkEnd w:id="613"/>
      <w:bookmarkEnd w:id="614"/>
      <w:bookmarkEnd w:id="615"/>
      <w:r w:rsidRPr="0068236B">
        <w:t xml:space="preserve"> </w:t>
      </w:r>
    </w:p>
    <w:p w14:paraId="03E43162" w14:textId="2B2A6341" w:rsidR="009D6030" w:rsidRPr="0068236B" w:rsidRDefault="009D6030" w:rsidP="009D6030">
      <w:pPr>
        <w:rPr>
          <w:sz w:val="20"/>
        </w:rPr>
      </w:pPr>
      <w:r w:rsidRPr="0068236B">
        <w:rPr>
          <w:sz w:val="20"/>
        </w:rPr>
        <w:t xml:space="preserve">The operation phase will start with the full commissioning of the Project. At that stage, all works will have been taken over from the Contractor by </w:t>
      </w:r>
      <w:r w:rsidR="00BD67CE" w:rsidRPr="0068236B">
        <w:rPr>
          <w:sz w:val="20"/>
        </w:rPr>
        <w:t>MEPSO</w:t>
      </w:r>
      <w:r w:rsidRPr="0068236B">
        <w:rPr>
          <w:sz w:val="20"/>
        </w:rPr>
        <w:t xml:space="preserve"> who will implement most E&amp;S management measures to ensure compliance with the Project’s mitigation strategy. </w:t>
      </w:r>
    </w:p>
    <w:p w14:paraId="64473B8A" w14:textId="77777777" w:rsidR="009D6030" w:rsidRPr="0068236B" w:rsidRDefault="009D6030" w:rsidP="009D6030">
      <w:pPr>
        <w:pStyle w:val="Heading2"/>
        <w:keepNext w:val="0"/>
        <w:spacing w:before="480" w:after="240"/>
        <w:ind w:left="567" w:hanging="567"/>
        <w:rPr>
          <w:rFonts w:cs="Tahoma"/>
        </w:rPr>
      </w:pPr>
      <w:bookmarkStart w:id="616" w:name="_Toc62390183"/>
      <w:bookmarkStart w:id="617" w:name="_Toc66656290"/>
      <w:bookmarkStart w:id="618" w:name="_Toc80181207"/>
      <w:bookmarkStart w:id="619" w:name="_Toc112852323"/>
      <w:r w:rsidRPr="0068236B">
        <w:rPr>
          <w:rFonts w:cs="Tahoma"/>
        </w:rPr>
        <w:t>Organisation of Environmental and Social Management</w:t>
      </w:r>
      <w:bookmarkEnd w:id="616"/>
      <w:bookmarkEnd w:id="617"/>
      <w:bookmarkEnd w:id="618"/>
      <w:bookmarkEnd w:id="619"/>
    </w:p>
    <w:p w14:paraId="1BC40D27" w14:textId="77777777" w:rsidR="009D6030" w:rsidRPr="0068236B" w:rsidRDefault="009D6030" w:rsidP="009D6030">
      <w:pPr>
        <w:rPr>
          <w:sz w:val="20"/>
        </w:rPr>
      </w:pPr>
      <w:r w:rsidRPr="0068236B">
        <w:rPr>
          <w:rFonts w:cs="Tahoma"/>
          <w:sz w:val="20"/>
          <w:szCs w:val="20"/>
        </w:rPr>
        <w:t>The core (indicative) structure and organization of the Project’s environmental and social management is presented in the Figure below.</w:t>
      </w:r>
    </w:p>
    <w:p w14:paraId="4B3959D9" w14:textId="77777777" w:rsidR="009D6030" w:rsidRPr="0068236B" w:rsidRDefault="009D6030" w:rsidP="009D6030">
      <w:pPr>
        <w:rPr>
          <w:sz w:val="20"/>
        </w:rPr>
      </w:pPr>
      <w:r w:rsidRPr="0068236B">
        <w:rPr>
          <w:sz w:val="20"/>
        </w:rPr>
        <w:t xml:space="preserve">The source documents include: </w:t>
      </w:r>
    </w:p>
    <w:p w14:paraId="7238BB03" w14:textId="68CA4331" w:rsidR="009D6030" w:rsidRPr="0068236B" w:rsidRDefault="009D6030" w:rsidP="00D24CEF">
      <w:pPr>
        <w:pStyle w:val="ListBullet"/>
        <w:numPr>
          <w:ilvl w:val="0"/>
          <w:numId w:val="97"/>
        </w:numPr>
        <w:spacing w:line="240" w:lineRule="auto"/>
        <w:jc w:val="left"/>
        <w:rPr>
          <w:sz w:val="20"/>
        </w:rPr>
      </w:pPr>
      <w:r w:rsidRPr="0068236B">
        <w:rPr>
          <w:sz w:val="20"/>
        </w:rPr>
        <w:t>Environmental and social pol</w:t>
      </w:r>
      <w:r w:rsidR="00352F26" w:rsidRPr="0068236B">
        <w:rPr>
          <w:sz w:val="20"/>
        </w:rPr>
        <w:t>icies and standards of the Lender</w:t>
      </w:r>
      <w:r w:rsidR="00BD67CE" w:rsidRPr="0068236B">
        <w:rPr>
          <w:sz w:val="20"/>
        </w:rPr>
        <w:t xml:space="preserve"> (EBRD)</w:t>
      </w:r>
      <w:r w:rsidRPr="0068236B">
        <w:rPr>
          <w:sz w:val="20"/>
        </w:rPr>
        <w:t>;</w:t>
      </w:r>
    </w:p>
    <w:p w14:paraId="056B527C" w14:textId="20D59B94" w:rsidR="009D6030" w:rsidRPr="0068236B" w:rsidRDefault="00BD67CE" w:rsidP="00D24CEF">
      <w:pPr>
        <w:pStyle w:val="ListBullet"/>
        <w:numPr>
          <w:ilvl w:val="0"/>
          <w:numId w:val="97"/>
        </w:numPr>
        <w:spacing w:line="240" w:lineRule="auto"/>
        <w:jc w:val="left"/>
        <w:rPr>
          <w:sz w:val="20"/>
        </w:rPr>
      </w:pPr>
      <w:r w:rsidRPr="0068236B">
        <w:rPr>
          <w:sz w:val="20"/>
        </w:rPr>
        <w:t>Macedonian</w:t>
      </w:r>
      <w:r w:rsidR="009D6030" w:rsidRPr="0068236B">
        <w:rPr>
          <w:sz w:val="20"/>
        </w:rPr>
        <w:t xml:space="preserve"> legal requirements;</w:t>
      </w:r>
    </w:p>
    <w:p w14:paraId="01482436" w14:textId="7F263820" w:rsidR="009D6030" w:rsidRPr="0068236B" w:rsidRDefault="009D6030" w:rsidP="00D24CEF">
      <w:pPr>
        <w:pStyle w:val="ListBullet"/>
        <w:numPr>
          <w:ilvl w:val="0"/>
          <w:numId w:val="97"/>
        </w:numPr>
        <w:spacing w:line="240" w:lineRule="auto"/>
        <w:jc w:val="left"/>
        <w:rPr>
          <w:sz w:val="20"/>
        </w:rPr>
      </w:pPr>
      <w:r w:rsidRPr="0068236B">
        <w:rPr>
          <w:sz w:val="20"/>
        </w:rPr>
        <w:t xml:space="preserve">Respective technical documentation – upcoming Preliminary / Detailed designs - to be prepared to meet </w:t>
      </w:r>
      <w:r w:rsidR="00BD67CE" w:rsidRPr="0068236B">
        <w:rPr>
          <w:sz w:val="20"/>
        </w:rPr>
        <w:t>Macedonian</w:t>
      </w:r>
      <w:r w:rsidRPr="0068236B">
        <w:rPr>
          <w:sz w:val="20"/>
        </w:rPr>
        <w:t xml:space="preserve"> regulations.</w:t>
      </w:r>
    </w:p>
    <w:p w14:paraId="47A1D1D5" w14:textId="34606820" w:rsidR="009D6030" w:rsidRPr="0068236B" w:rsidRDefault="00BD67CE" w:rsidP="00D24CEF">
      <w:pPr>
        <w:pStyle w:val="ListBullet"/>
        <w:numPr>
          <w:ilvl w:val="0"/>
          <w:numId w:val="97"/>
        </w:numPr>
        <w:spacing w:line="240" w:lineRule="auto"/>
        <w:jc w:val="left"/>
        <w:rPr>
          <w:sz w:val="20"/>
        </w:rPr>
      </w:pPr>
      <w:r w:rsidRPr="0068236B">
        <w:rPr>
          <w:sz w:val="20"/>
        </w:rPr>
        <w:t>E&amp;S Assessment Report (this document),</w:t>
      </w:r>
      <w:r w:rsidR="009D6030" w:rsidRPr="0068236B">
        <w:rPr>
          <w:sz w:val="20"/>
        </w:rPr>
        <w:t xml:space="preserve"> prepared to meet international E&amp;S standards and </w:t>
      </w:r>
      <w:r w:rsidRPr="0068236B">
        <w:rPr>
          <w:sz w:val="20"/>
        </w:rPr>
        <w:t>Macedonian</w:t>
      </w:r>
      <w:r w:rsidR="009D6030" w:rsidRPr="0068236B">
        <w:rPr>
          <w:sz w:val="20"/>
        </w:rPr>
        <w:t xml:space="preserve"> regulations. </w:t>
      </w:r>
    </w:p>
    <w:p w14:paraId="25FBA449" w14:textId="77777777" w:rsidR="009D6030" w:rsidRPr="0068236B" w:rsidRDefault="009D6030" w:rsidP="009D6030">
      <w:pPr>
        <w:rPr>
          <w:sz w:val="20"/>
        </w:rPr>
      </w:pPr>
      <w:r w:rsidRPr="0068236B">
        <w:rPr>
          <w:sz w:val="20"/>
        </w:rPr>
        <w:t xml:space="preserve">The output documents are: </w:t>
      </w:r>
    </w:p>
    <w:p w14:paraId="41DA4389" w14:textId="77777777" w:rsidR="009D6030" w:rsidRPr="0068236B" w:rsidRDefault="009D6030" w:rsidP="00D24CEF">
      <w:pPr>
        <w:pStyle w:val="ListBullet"/>
        <w:numPr>
          <w:ilvl w:val="0"/>
          <w:numId w:val="97"/>
        </w:numPr>
        <w:spacing w:line="240" w:lineRule="auto"/>
        <w:jc w:val="left"/>
        <w:rPr>
          <w:sz w:val="20"/>
        </w:rPr>
      </w:pPr>
      <w:r w:rsidRPr="0068236B">
        <w:rPr>
          <w:sz w:val="20"/>
        </w:rPr>
        <w:t>The Contractor CESMP – to be prepared by the Contractor(s) to achieve the E&amp;S performance objectives during Project’s construction;</w:t>
      </w:r>
    </w:p>
    <w:p w14:paraId="6D5DAF64" w14:textId="3B5428B1" w:rsidR="009D6030" w:rsidRPr="0068236B" w:rsidRDefault="009D6030" w:rsidP="00D24CEF">
      <w:pPr>
        <w:pStyle w:val="ListBullet"/>
        <w:numPr>
          <w:ilvl w:val="0"/>
          <w:numId w:val="97"/>
        </w:numPr>
        <w:spacing w:line="240" w:lineRule="auto"/>
        <w:jc w:val="left"/>
        <w:rPr>
          <w:sz w:val="20"/>
        </w:rPr>
      </w:pPr>
      <w:r w:rsidRPr="0068236B">
        <w:rPr>
          <w:sz w:val="20"/>
        </w:rPr>
        <w:t xml:space="preserve">The Environmental and Social Management System (ESMS) of </w:t>
      </w:r>
      <w:r w:rsidR="00BD67CE" w:rsidRPr="0068236B">
        <w:rPr>
          <w:sz w:val="20"/>
        </w:rPr>
        <w:t>MEPSO</w:t>
      </w:r>
      <w:r w:rsidRPr="0068236B">
        <w:rPr>
          <w:sz w:val="20"/>
        </w:rPr>
        <w:t>, required to implement and monitor the man</w:t>
      </w:r>
      <w:r w:rsidR="00BD67CE" w:rsidRPr="0068236B">
        <w:rPr>
          <w:sz w:val="20"/>
        </w:rPr>
        <w:t>agement actions described in this E&amp;S assessment</w:t>
      </w:r>
      <w:r w:rsidRPr="0068236B">
        <w:rPr>
          <w:sz w:val="20"/>
        </w:rPr>
        <w:t>;</w:t>
      </w:r>
    </w:p>
    <w:p w14:paraId="3E1E7A40" w14:textId="537B6884" w:rsidR="009D6030" w:rsidRPr="0068236B" w:rsidRDefault="009D6030" w:rsidP="00D24CEF">
      <w:pPr>
        <w:pStyle w:val="ListBullet"/>
        <w:numPr>
          <w:ilvl w:val="0"/>
          <w:numId w:val="97"/>
        </w:numPr>
        <w:spacing w:line="240" w:lineRule="auto"/>
        <w:jc w:val="left"/>
        <w:rPr>
          <w:sz w:val="20"/>
        </w:rPr>
      </w:pPr>
      <w:r w:rsidRPr="0068236B">
        <w:rPr>
          <w:sz w:val="20"/>
        </w:rPr>
        <w:t>Detailed E&amp;S management plans or procedures required to address the mitigation and compe</w:t>
      </w:r>
      <w:r w:rsidRPr="0068236B">
        <w:rPr>
          <w:sz w:val="20"/>
        </w:rPr>
        <w:t>n</w:t>
      </w:r>
      <w:r w:rsidRPr="0068236B">
        <w:rPr>
          <w:sz w:val="20"/>
        </w:rPr>
        <w:t xml:space="preserve">sation measures identified through the </w:t>
      </w:r>
      <w:r w:rsidR="00BD67CE" w:rsidRPr="0068236B">
        <w:rPr>
          <w:sz w:val="20"/>
        </w:rPr>
        <w:t>E&amp;S assessment</w:t>
      </w:r>
      <w:r w:rsidRPr="0068236B">
        <w:rPr>
          <w:sz w:val="20"/>
        </w:rPr>
        <w:t>; and</w:t>
      </w:r>
    </w:p>
    <w:p w14:paraId="3244CAE2" w14:textId="77777777" w:rsidR="009D6030" w:rsidRPr="0068236B" w:rsidRDefault="009D6030" w:rsidP="00D24CEF">
      <w:pPr>
        <w:pStyle w:val="ListBullet"/>
        <w:numPr>
          <w:ilvl w:val="0"/>
          <w:numId w:val="97"/>
        </w:numPr>
        <w:spacing w:line="240" w:lineRule="auto"/>
        <w:jc w:val="left"/>
        <w:rPr>
          <w:sz w:val="20"/>
        </w:rPr>
      </w:pPr>
      <w:r w:rsidRPr="0068236B">
        <w:rPr>
          <w:sz w:val="20"/>
        </w:rPr>
        <w:lastRenderedPageBreak/>
        <w:t>Various documents that will be produced and disclosed during the course of the Project’s i</w:t>
      </w:r>
      <w:r w:rsidRPr="0068236B">
        <w:rPr>
          <w:sz w:val="20"/>
        </w:rPr>
        <w:t>m</w:t>
      </w:r>
      <w:r w:rsidRPr="0068236B">
        <w:rPr>
          <w:sz w:val="20"/>
        </w:rPr>
        <w:t>plementation to inform on the Project’s construction and operation activities and the results of the environmental and social monitoring activities.</w:t>
      </w:r>
    </w:p>
    <w:p w14:paraId="362E932B" w14:textId="77777777" w:rsidR="008227D1" w:rsidRPr="0068236B" w:rsidRDefault="008227D1" w:rsidP="008227D1">
      <w:pPr>
        <w:pStyle w:val="Heading2"/>
        <w:keepNext w:val="0"/>
        <w:spacing w:before="480" w:after="240"/>
        <w:ind w:left="709" w:hanging="709"/>
        <w:rPr>
          <w:rFonts w:cs="Tahoma"/>
        </w:rPr>
      </w:pPr>
      <w:bookmarkStart w:id="620" w:name="_Toc112852324"/>
      <w:r w:rsidRPr="0068236B">
        <w:rPr>
          <w:rFonts w:cs="Tahoma"/>
        </w:rPr>
        <w:t>Contractor Construction Environmental and Social Manag</w:t>
      </w:r>
      <w:r w:rsidRPr="0068236B">
        <w:rPr>
          <w:rFonts w:cs="Tahoma"/>
        </w:rPr>
        <w:t>e</w:t>
      </w:r>
      <w:r w:rsidRPr="0068236B">
        <w:rPr>
          <w:rFonts w:cs="Tahoma"/>
        </w:rPr>
        <w:t>ment Plan</w:t>
      </w:r>
      <w:bookmarkEnd w:id="620"/>
    </w:p>
    <w:p w14:paraId="33D0A5F3" w14:textId="77777777" w:rsidR="008227D1" w:rsidRPr="0068236B" w:rsidRDefault="008227D1" w:rsidP="008227D1">
      <w:pPr>
        <w:rPr>
          <w:sz w:val="20"/>
        </w:rPr>
      </w:pPr>
      <w:r w:rsidRPr="0068236B">
        <w:rPr>
          <w:sz w:val="20"/>
        </w:rPr>
        <w:t>The Contractor(s) are expected to have their own ESMS, but the Project would require the Contractor(s) to develop a Project-specific Contractor’s CESMP. This CESMP would take precedence over the Contractor’s ESMS and would include the following key elements:</w:t>
      </w:r>
    </w:p>
    <w:p w14:paraId="667B2022" w14:textId="77777777" w:rsidR="008227D1" w:rsidRPr="0068236B" w:rsidRDefault="008227D1" w:rsidP="00D24CEF">
      <w:pPr>
        <w:pStyle w:val="ListBullet"/>
        <w:numPr>
          <w:ilvl w:val="0"/>
          <w:numId w:val="97"/>
        </w:numPr>
        <w:spacing w:line="240" w:lineRule="auto"/>
        <w:jc w:val="left"/>
        <w:rPr>
          <w:sz w:val="20"/>
        </w:rPr>
      </w:pPr>
      <w:r w:rsidRPr="0068236B">
        <w:rPr>
          <w:sz w:val="20"/>
        </w:rPr>
        <w:t>Planning aspects (E&amp;S organisation; E&amp;S overview of construction sites; E&amp;S procedures and specific management plans);</w:t>
      </w:r>
    </w:p>
    <w:p w14:paraId="1C8CB5C9" w14:textId="77777777" w:rsidR="008227D1" w:rsidRPr="0068236B" w:rsidRDefault="008227D1" w:rsidP="00D24CEF">
      <w:pPr>
        <w:pStyle w:val="ListBullet"/>
        <w:numPr>
          <w:ilvl w:val="0"/>
          <w:numId w:val="97"/>
        </w:numPr>
        <w:spacing w:line="240" w:lineRule="auto"/>
        <w:jc w:val="left"/>
        <w:rPr>
          <w:sz w:val="20"/>
        </w:rPr>
      </w:pPr>
      <w:r w:rsidRPr="0068236B">
        <w:rPr>
          <w:sz w:val="20"/>
        </w:rPr>
        <w:t xml:space="preserve">Submission and approval aspects (i.e. </w:t>
      </w:r>
      <w:r w:rsidRPr="0068236B">
        <w:rPr>
          <w:rFonts w:eastAsia="Calibri" w:cs="Arial"/>
          <w:sz w:val="20"/>
        </w:rPr>
        <w:t>procedure for submission and approval of the CESMP by the Project Developer)</w:t>
      </w:r>
    </w:p>
    <w:p w14:paraId="5D26960B" w14:textId="0BF873CC" w:rsidR="008227D1" w:rsidRPr="0068236B" w:rsidRDefault="008227D1" w:rsidP="00D24CEF">
      <w:pPr>
        <w:pStyle w:val="ListBullet"/>
        <w:numPr>
          <w:ilvl w:val="0"/>
          <w:numId w:val="97"/>
        </w:numPr>
        <w:spacing w:line="240" w:lineRule="auto"/>
        <w:jc w:val="left"/>
        <w:rPr>
          <w:sz w:val="20"/>
        </w:rPr>
      </w:pPr>
      <w:r w:rsidRPr="0068236B">
        <w:rPr>
          <w:sz w:val="20"/>
        </w:rPr>
        <w:t xml:space="preserve">The key appointed ESHS personnel and their powers and responsibilities (e.g. EHS Manager, OHS Officer, Community Liaison Officer, etc. with </w:t>
      </w:r>
      <w:r w:rsidRPr="0068236B">
        <w:rPr>
          <w:rFonts w:cs="Tahoma"/>
          <w:sz w:val="20"/>
          <w:szCs w:val="20"/>
        </w:rPr>
        <w:t>appropriate expertise and qualifications</w:t>
      </w:r>
      <w:r w:rsidRPr="0068236B">
        <w:rPr>
          <w:sz w:val="20"/>
        </w:rPr>
        <w:t>);</w:t>
      </w:r>
    </w:p>
    <w:p w14:paraId="2C56FC6A" w14:textId="77777777" w:rsidR="008227D1" w:rsidRPr="0068236B" w:rsidRDefault="008227D1" w:rsidP="00D24CEF">
      <w:pPr>
        <w:pStyle w:val="ListBullet"/>
        <w:numPr>
          <w:ilvl w:val="0"/>
          <w:numId w:val="97"/>
        </w:numPr>
        <w:spacing w:line="240" w:lineRule="auto"/>
        <w:jc w:val="left"/>
        <w:rPr>
          <w:sz w:val="20"/>
        </w:rPr>
      </w:pPr>
      <w:r w:rsidRPr="0068236B">
        <w:rPr>
          <w:sz w:val="20"/>
        </w:rPr>
        <w:t>Scheduled inspection of construction works;</w:t>
      </w:r>
    </w:p>
    <w:p w14:paraId="201E2EE0" w14:textId="77777777" w:rsidR="008227D1" w:rsidRPr="0068236B" w:rsidRDefault="008227D1" w:rsidP="00D24CEF">
      <w:pPr>
        <w:pStyle w:val="ListBullet"/>
        <w:numPr>
          <w:ilvl w:val="0"/>
          <w:numId w:val="97"/>
        </w:numPr>
        <w:spacing w:line="240" w:lineRule="auto"/>
        <w:jc w:val="left"/>
        <w:rPr>
          <w:sz w:val="20"/>
        </w:rPr>
      </w:pPr>
      <w:r w:rsidRPr="0068236B">
        <w:rPr>
          <w:sz w:val="20"/>
        </w:rPr>
        <w:t>Reporting aspects (i.e., system to facilitate reporting and data analysis);</w:t>
      </w:r>
    </w:p>
    <w:p w14:paraId="40F8FBFA" w14:textId="77777777" w:rsidR="008227D1" w:rsidRPr="0068236B" w:rsidRDefault="008227D1" w:rsidP="00D24CEF">
      <w:pPr>
        <w:pStyle w:val="ListBullet"/>
        <w:numPr>
          <w:ilvl w:val="0"/>
          <w:numId w:val="97"/>
        </w:numPr>
        <w:spacing w:line="240" w:lineRule="auto"/>
        <w:jc w:val="left"/>
        <w:rPr>
          <w:sz w:val="20"/>
        </w:rPr>
      </w:pPr>
      <w:r w:rsidRPr="0068236B">
        <w:rPr>
          <w:sz w:val="20"/>
        </w:rPr>
        <w:t>Training requirements</w:t>
      </w:r>
    </w:p>
    <w:p w14:paraId="2AE76CEE" w14:textId="77777777" w:rsidR="008227D1" w:rsidRPr="0068236B" w:rsidRDefault="008227D1" w:rsidP="00D24CEF">
      <w:pPr>
        <w:pStyle w:val="ListBullet"/>
        <w:numPr>
          <w:ilvl w:val="0"/>
          <w:numId w:val="97"/>
        </w:numPr>
        <w:spacing w:line="240" w:lineRule="auto"/>
        <w:jc w:val="left"/>
        <w:rPr>
          <w:sz w:val="20"/>
        </w:rPr>
      </w:pPr>
      <w:r w:rsidRPr="0068236B">
        <w:rPr>
          <w:sz w:val="20"/>
        </w:rPr>
        <w:t xml:space="preserve">Workers’ Code of Conduct </w:t>
      </w:r>
    </w:p>
    <w:p w14:paraId="0B4AA867" w14:textId="77777777" w:rsidR="008227D1" w:rsidRPr="0068236B" w:rsidRDefault="008227D1" w:rsidP="008227D1">
      <w:pPr>
        <w:pStyle w:val="Heading2"/>
        <w:keepNext w:val="0"/>
        <w:spacing w:before="480" w:after="240"/>
        <w:ind w:left="709" w:hanging="709"/>
        <w:rPr>
          <w:rFonts w:cs="Tahoma"/>
        </w:rPr>
      </w:pPr>
      <w:bookmarkStart w:id="621" w:name="_Toc112852325"/>
      <w:r w:rsidRPr="0068236B">
        <w:rPr>
          <w:rFonts w:cs="Tahoma"/>
        </w:rPr>
        <w:t>Project Developer / Operator Environmental and Social Ma</w:t>
      </w:r>
      <w:r w:rsidRPr="0068236B">
        <w:rPr>
          <w:rFonts w:cs="Tahoma"/>
        </w:rPr>
        <w:t>n</w:t>
      </w:r>
      <w:r w:rsidRPr="0068236B">
        <w:rPr>
          <w:rFonts w:cs="Tahoma"/>
        </w:rPr>
        <w:t>agement System</w:t>
      </w:r>
      <w:bookmarkEnd w:id="621"/>
    </w:p>
    <w:p w14:paraId="4A2B24E6" w14:textId="77777777" w:rsidR="008227D1" w:rsidRPr="0068236B" w:rsidRDefault="008227D1" w:rsidP="008227D1">
      <w:pPr>
        <w:pStyle w:val="NumBodyText"/>
        <w:tabs>
          <w:tab w:val="clear" w:pos="0"/>
        </w:tabs>
        <w:ind w:firstLine="0"/>
        <w:jc w:val="both"/>
        <w:rPr>
          <w:rFonts w:ascii="Tahoma" w:hAnsi="Tahoma" w:cs="Tahoma"/>
          <w:sz w:val="20"/>
          <w:szCs w:val="20"/>
        </w:rPr>
      </w:pPr>
      <w:r w:rsidRPr="0068236B">
        <w:rPr>
          <w:rFonts w:ascii="Tahoma" w:hAnsi="Tahoma" w:cs="Tahoma"/>
          <w:sz w:val="20"/>
          <w:szCs w:val="20"/>
        </w:rPr>
        <w:t>MEPSO as the Project Developer / Operator would need to establish and maintain an overarching ESMS for the Project, including, at a minimum:</w:t>
      </w:r>
    </w:p>
    <w:p w14:paraId="74336F35" w14:textId="77777777" w:rsidR="008227D1" w:rsidRPr="0068236B" w:rsidRDefault="008227D1" w:rsidP="00D24CEF">
      <w:pPr>
        <w:pStyle w:val="ListBullet"/>
        <w:numPr>
          <w:ilvl w:val="0"/>
          <w:numId w:val="97"/>
        </w:numPr>
        <w:tabs>
          <w:tab w:val="left" w:pos="2552"/>
        </w:tabs>
        <w:spacing w:before="120" w:after="120"/>
        <w:jc w:val="left"/>
        <w:rPr>
          <w:rFonts w:cs="Tahoma"/>
          <w:sz w:val="20"/>
          <w:szCs w:val="20"/>
        </w:rPr>
      </w:pPr>
      <w:r w:rsidRPr="0068236B">
        <w:rPr>
          <w:rFonts w:cs="Tahoma"/>
          <w:sz w:val="20"/>
          <w:szCs w:val="20"/>
        </w:rPr>
        <w:t>Environmental and Social Policy, summarising the commitments made to manage the E&amp;S risks in terms of environmental protection, labour and working conditions and health and safety.</w:t>
      </w:r>
    </w:p>
    <w:p w14:paraId="743E346B" w14:textId="77777777" w:rsidR="008227D1" w:rsidRPr="0068236B" w:rsidRDefault="008227D1" w:rsidP="00D24CEF">
      <w:pPr>
        <w:pStyle w:val="ListBullet"/>
        <w:numPr>
          <w:ilvl w:val="0"/>
          <w:numId w:val="97"/>
        </w:numPr>
        <w:tabs>
          <w:tab w:val="left" w:pos="2552"/>
        </w:tabs>
        <w:spacing w:before="120" w:after="120"/>
        <w:jc w:val="left"/>
        <w:rPr>
          <w:rFonts w:cs="Tahoma"/>
          <w:sz w:val="20"/>
          <w:szCs w:val="20"/>
        </w:rPr>
      </w:pPr>
      <w:r w:rsidRPr="0068236B">
        <w:rPr>
          <w:rFonts w:cs="Tahoma"/>
          <w:sz w:val="20"/>
          <w:szCs w:val="20"/>
        </w:rPr>
        <w:t>A documented set of internal procedures for implementation of the Project and the ESMP, i</w:t>
      </w:r>
      <w:r w:rsidRPr="0068236B">
        <w:rPr>
          <w:rFonts w:cs="Tahoma"/>
          <w:sz w:val="20"/>
          <w:szCs w:val="20"/>
        </w:rPr>
        <w:t>n</w:t>
      </w:r>
      <w:r w:rsidRPr="0068236B">
        <w:rPr>
          <w:rFonts w:cs="Tahoma"/>
          <w:sz w:val="20"/>
          <w:szCs w:val="20"/>
        </w:rPr>
        <w:t>cluding but not limited to, the following topics:</w:t>
      </w:r>
    </w:p>
    <w:p w14:paraId="116DE9EE" w14:textId="77777777" w:rsidR="008227D1" w:rsidRPr="0068236B" w:rsidRDefault="008227D1" w:rsidP="00D24CEF">
      <w:pPr>
        <w:pStyle w:val="ListBullet2"/>
        <w:numPr>
          <w:ilvl w:val="1"/>
          <w:numId w:val="97"/>
        </w:numPr>
        <w:rPr>
          <w:rFonts w:cs="Tahoma"/>
          <w:sz w:val="20"/>
          <w:szCs w:val="20"/>
        </w:rPr>
      </w:pPr>
      <w:r w:rsidRPr="0068236B">
        <w:rPr>
          <w:sz w:val="20"/>
        </w:rPr>
        <w:t>Mobilisation of the appointed Project Developer personnel;</w:t>
      </w:r>
    </w:p>
    <w:p w14:paraId="40B40915" w14:textId="77777777" w:rsidR="008227D1" w:rsidRPr="0068236B" w:rsidRDefault="008227D1" w:rsidP="00D24CEF">
      <w:pPr>
        <w:pStyle w:val="ListBullet2"/>
        <w:numPr>
          <w:ilvl w:val="1"/>
          <w:numId w:val="97"/>
        </w:numPr>
        <w:rPr>
          <w:sz w:val="20"/>
        </w:rPr>
      </w:pPr>
      <w:r w:rsidRPr="0068236B">
        <w:rPr>
          <w:sz w:val="20"/>
        </w:rPr>
        <w:t>Allocation of the key roles and responsibilities within the appointed Project Developer pe</w:t>
      </w:r>
      <w:r w:rsidRPr="0068236B">
        <w:rPr>
          <w:sz w:val="20"/>
        </w:rPr>
        <w:t>r</w:t>
      </w:r>
      <w:r w:rsidRPr="0068236B">
        <w:rPr>
          <w:sz w:val="20"/>
        </w:rPr>
        <w:t>sonnel;</w:t>
      </w:r>
    </w:p>
    <w:p w14:paraId="55CD3841" w14:textId="77777777" w:rsidR="008227D1" w:rsidRPr="0068236B" w:rsidRDefault="008227D1" w:rsidP="00D24CEF">
      <w:pPr>
        <w:pStyle w:val="ListBullet2"/>
        <w:numPr>
          <w:ilvl w:val="1"/>
          <w:numId w:val="97"/>
        </w:numPr>
        <w:rPr>
          <w:sz w:val="20"/>
        </w:rPr>
      </w:pPr>
      <w:r w:rsidRPr="0068236B">
        <w:rPr>
          <w:sz w:val="20"/>
        </w:rPr>
        <w:t>Coordination and clear division of responsibilities among the appointed Project Developer personnel for review of CESMP documents and procedures, and monitoring of their impl</w:t>
      </w:r>
      <w:r w:rsidRPr="0068236B">
        <w:rPr>
          <w:sz w:val="20"/>
        </w:rPr>
        <w:t>e</w:t>
      </w:r>
      <w:r w:rsidRPr="0068236B">
        <w:rPr>
          <w:sz w:val="20"/>
        </w:rPr>
        <w:t>mentation;</w:t>
      </w:r>
    </w:p>
    <w:p w14:paraId="3CF3F659" w14:textId="77777777" w:rsidR="008227D1" w:rsidRPr="0068236B" w:rsidRDefault="008227D1" w:rsidP="00D24CEF">
      <w:pPr>
        <w:pStyle w:val="ListBullet2"/>
        <w:numPr>
          <w:ilvl w:val="1"/>
          <w:numId w:val="97"/>
        </w:numPr>
        <w:rPr>
          <w:sz w:val="20"/>
        </w:rPr>
      </w:pPr>
      <w:r w:rsidRPr="0068236B">
        <w:rPr>
          <w:sz w:val="20"/>
        </w:rPr>
        <w:t>Progress reporting, record keeping, databases.</w:t>
      </w:r>
    </w:p>
    <w:p w14:paraId="5F9DB98F" w14:textId="77777777" w:rsidR="009D6030" w:rsidRPr="0068236B" w:rsidRDefault="009D6030" w:rsidP="009D6030">
      <w:pPr>
        <w:spacing w:before="0" w:after="0" w:line="240" w:lineRule="auto"/>
        <w:jc w:val="left"/>
        <w:rPr>
          <w:rFonts w:ascii="Arial" w:hAnsi="Arial" w:cs="Arial"/>
          <w:b/>
          <w:bCs/>
          <w:color w:val="156570"/>
          <w:sz w:val="26"/>
          <w:szCs w:val="26"/>
          <w:lang w:eastAsia="en-US"/>
        </w:rPr>
        <w:sectPr w:rsidR="009D6030" w:rsidRPr="0068236B" w:rsidSect="008F5EA6">
          <w:footerReference w:type="default" r:id="rId146"/>
          <w:pgSz w:w="11906" w:h="16838"/>
          <w:pgMar w:top="1134" w:right="1134" w:bottom="1134" w:left="1134" w:header="709" w:footer="709" w:gutter="0"/>
          <w:cols w:space="720"/>
        </w:sectPr>
      </w:pPr>
    </w:p>
    <w:p w14:paraId="40E49823" w14:textId="527FC3F1" w:rsidR="009D6030" w:rsidRPr="0068236B" w:rsidRDefault="00DD2767" w:rsidP="009D6030">
      <w:pPr>
        <w:widowControl w:val="0"/>
        <w:autoSpaceDE w:val="0"/>
        <w:autoSpaceDN w:val="0"/>
        <w:adjustRightInd w:val="0"/>
        <w:spacing w:before="0" w:after="0" w:line="240" w:lineRule="auto"/>
        <w:rPr>
          <w:rFonts w:eastAsia="Calibri" w:cs="Arial"/>
          <w:sz w:val="18"/>
          <w:szCs w:val="18"/>
        </w:rPr>
      </w:pPr>
      <w:bookmarkStart w:id="622" w:name="_Toc80181318"/>
      <w:bookmarkStart w:id="623" w:name="_Toc112928899"/>
      <w:r w:rsidRPr="0068236B">
        <w:rPr>
          <w:noProof/>
          <w:sz w:val="18"/>
          <w:szCs w:val="18"/>
          <w:lang w:val="mk-MK" w:eastAsia="mk-MK"/>
        </w:rPr>
        <w:lastRenderedPageBreak/>
        <w:drawing>
          <wp:anchor distT="0" distB="0" distL="114300" distR="114300" simplePos="0" relativeHeight="251694089" behindDoc="0" locked="0" layoutInCell="1" allowOverlap="1" wp14:anchorId="428C5747" wp14:editId="27C55169">
            <wp:simplePos x="0" y="0"/>
            <wp:positionH relativeFrom="column">
              <wp:posOffset>-5080</wp:posOffset>
            </wp:positionH>
            <wp:positionV relativeFrom="paragraph">
              <wp:posOffset>85725</wp:posOffset>
            </wp:positionV>
            <wp:extent cx="8999855" cy="5713730"/>
            <wp:effectExtent l="0" t="0" r="0" b="1270"/>
            <wp:wrapTopAndBottom/>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8999855" cy="5713730"/>
                    </a:xfrm>
                    <a:prstGeom prst="rect">
                      <a:avLst/>
                    </a:prstGeom>
                    <a:noFill/>
                    <a:ln>
                      <a:noFill/>
                    </a:ln>
                  </pic:spPr>
                </pic:pic>
              </a:graphicData>
            </a:graphic>
            <wp14:sizeRelH relativeFrom="page">
              <wp14:pctWidth>0</wp14:pctWidth>
            </wp14:sizeRelH>
            <wp14:sizeRelV relativeFrom="page">
              <wp14:pctHeight>0</wp14:pctHeight>
            </wp14:sizeRelV>
          </wp:anchor>
        </w:drawing>
      </w:r>
      <w:r w:rsidR="009D6030" w:rsidRPr="0068236B">
        <w:rPr>
          <w:sz w:val="18"/>
          <w:szCs w:val="18"/>
        </w:rPr>
        <w:t xml:space="preserve"> </w:t>
      </w:r>
      <w:bookmarkStart w:id="624" w:name="_Toc66476915"/>
      <w:r w:rsidR="009D6030" w:rsidRPr="0068236B">
        <w:rPr>
          <w:sz w:val="18"/>
          <w:szCs w:val="18"/>
        </w:rPr>
        <w:t xml:space="preserve">Figure </w:t>
      </w:r>
      <w:r w:rsidR="009D6030" w:rsidRPr="0068236B">
        <w:rPr>
          <w:sz w:val="18"/>
          <w:szCs w:val="18"/>
        </w:rPr>
        <w:fldChar w:fldCharType="begin"/>
      </w:r>
      <w:r w:rsidR="009D6030" w:rsidRPr="0068236B">
        <w:rPr>
          <w:sz w:val="18"/>
          <w:szCs w:val="18"/>
        </w:rPr>
        <w:instrText xml:space="preserve"> STYLEREF 1 \s </w:instrText>
      </w:r>
      <w:r w:rsidR="009D6030" w:rsidRPr="0068236B">
        <w:rPr>
          <w:sz w:val="18"/>
          <w:szCs w:val="18"/>
        </w:rPr>
        <w:fldChar w:fldCharType="separate"/>
      </w:r>
      <w:r w:rsidR="00FD57E6">
        <w:rPr>
          <w:noProof/>
          <w:sz w:val="18"/>
          <w:szCs w:val="18"/>
        </w:rPr>
        <w:t>12</w:t>
      </w:r>
      <w:r w:rsidR="009D6030" w:rsidRPr="0068236B">
        <w:rPr>
          <w:sz w:val="18"/>
          <w:szCs w:val="18"/>
        </w:rPr>
        <w:fldChar w:fldCharType="end"/>
      </w:r>
      <w:r w:rsidR="009D6030" w:rsidRPr="0068236B">
        <w:rPr>
          <w:sz w:val="18"/>
          <w:szCs w:val="18"/>
        </w:rPr>
        <w:t>.</w:t>
      </w:r>
      <w:r w:rsidR="009D6030" w:rsidRPr="0068236B">
        <w:rPr>
          <w:sz w:val="18"/>
          <w:szCs w:val="18"/>
        </w:rPr>
        <w:fldChar w:fldCharType="begin"/>
      </w:r>
      <w:r w:rsidR="009D6030" w:rsidRPr="0068236B">
        <w:rPr>
          <w:sz w:val="18"/>
          <w:szCs w:val="18"/>
        </w:rPr>
        <w:instrText xml:space="preserve"> SEQ Figure \* ARABIC \s 1 </w:instrText>
      </w:r>
      <w:r w:rsidR="009D6030" w:rsidRPr="0068236B">
        <w:rPr>
          <w:sz w:val="18"/>
          <w:szCs w:val="18"/>
        </w:rPr>
        <w:fldChar w:fldCharType="separate"/>
      </w:r>
      <w:r w:rsidR="00FD57E6">
        <w:rPr>
          <w:noProof/>
          <w:sz w:val="18"/>
          <w:szCs w:val="18"/>
        </w:rPr>
        <w:t>1</w:t>
      </w:r>
      <w:r w:rsidR="009D6030" w:rsidRPr="0068236B">
        <w:rPr>
          <w:sz w:val="18"/>
          <w:szCs w:val="18"/>
        </w:rPr>
        <w:fldChar w:fldCharType="end"/>
      </w:r>
      <w:r w:rsidR="003D0C2F" w:rsidRPr="0068236B">
        <w:rPr>
          <w:sz w:val="18"/>
          <w:szCs w:val="18"/>
        </w:rPr>
        <w:t>:</w:t>
      </w:r>
      <w:r w:rsidR="009D6030" w:rsidRPr="0068236B">
        <w:rPr>
          <w:sz w:val="18"/>
          <w:szCs w:val="18"/>
        </w:rPr>
        <w:t xml:space="preserve"> </w:t>
      </w:r>
      <w:r w:rsidR="009D6030" w:rsidRPr="0068236B">
        <w:rPr>
          <w:rFonts w:cs="Arial"/>
          <w:bCs/>
          <w:sz w:val="18"/>
          <w:szCs w:val="18"/>
        </w:rPr>
        <w:t>C</w:t>
      </w:r>
      <w:r w:rsidR="009D6030" w:rsidRPr="0068236B">
        <w:rPr>
          <w:rFonts w:cs="Tahoma"/>
          <w:sz w:val="18"/>
          <w:szCs w:val="18"/>
        </w:rPr>
        <w:t xml:space="preserve">ore structure and organization of the Project’s </w:t>
      </w:r>
      <w:r w:rsidR="009D6030" w:rsidRPr="0068236B">
        <w:rPr>
          <w:sz w:val="18"/>
          <w:szCs w:val="18"/>
        </w:rPr>
        <w:t>Environmental and Social Management</w:t>
      </w:r>
      <w:bookmarkEnd w:id="622"/>
      <w:bookmarkEnd w:id="623"/>
      <w:bookmarkEnd w:id="624"/>
    </w:p>
    <w:p w14:paraId="1CAD53DA" w14:textId="77777777" w:rsidR="009D6030" w:rsidRPr="0068236B" w:rsidRDefault="009D6030" w:rsidP="009D6030">
      <w:pPr>
        <w:spacing w:before="0" w:after="0" w:line="240" w:lineRule="auto"/>
        <w:jc w:val="left"/>
        <w:rPr>
          <w:rFonts w:ascii="Arial" w:hAnsi="Arial" w:cs="Arial"/>
          <w:b/>
          <w:bCs/>
          <w:color w:val="156570"/>
          <w:sz w:val="18"/>
          <w:szCs w:val="18"/>
          <w:lang w:eastAsia="en-US"/>
        </w:rPr>
        <w:sectPr w:rsidR="009D6030" w:rsidRPr="0068236B" w:rsidSect="008F5EA6">
          <w:footerReference w:type="default" r:id="rId148"/>
          <w:pgSz w:w="16838" w:h="11906" w:orient="landscape" w:code="9"/>
          <w:pgMar w:top="1134" w:right="1134" w:bottom="1134" w:left="1134" w:header="709" w:footer="709" w:gutter="0"/>
          <w:cols w:space="720"/>
        </w:sectPr>
      </w:pPr>
    </w:p>
    <w:p w14:paraId="1EF88D37" w14:textId="77777777" w:rsidR="009D6030" w:rsidRPr="0068236B" w:rsidRDefault="009D6030" w:rsidP="00E44ED8">
      <w:pPr>
        <w:pStyle w:val="Heading1"/>
      </w:pPr>
      <w:bookmarkStart w:id="625" w:name="_Toc65936883"/>
      <w:bookmarkStart w:id="626" w:name="_Toc80181210"/>
      <w:bookmarkStart w:id="627" w:name="_Toc112852326"/>
      <w:bookmarkEnd w:id="593"/>
      <w:r w:rsidRPr="0068236B">
        <w:lastRenderedPageBreak/>
        <w:t>Conclusion</w:t>
      </w:r>
      <w:bookmarkEnd w:id="625"/>
      <w:bookmarkEnd w:id="626"/>
      <w:bookmarkEnd w:id="627"/>
    </w:p>
    <w:p w14:paraId="165D0707" w14:textId="1E4F6A45" w:rsidR="009D6030" w:rsidRPr="0068236B" w:rsidRDefault="009D6030" w:rsidP="009D6030">
      <w:pPr>
        <w:rPr>
          <w:rFonts w:eastAsia="Calibri" w:cs="Tahoma"/>
          <w:sz w:val="20"/>
          <w:szCs w:val="20"/>
        </w:rPr>
      </w:pPr>
      <w:r w:rsidRPr="0068236B">
        <w:rPr>
          <w:rFonts w:eastAsia="Calibri" w:cs="Tahoma"/>
          <w:sz w:val="20"/>
          <w:szCs w:val="20"/>
        </w:rPr>
        <w:t xml:space="preserve">The findings of this </w:t>
      </w:r>
      <w:r w:rsidR="005A3E85" w:rsidRPr="0068236B">
        <w:rPr>
          <w:rFonts w:eastAsia="Calibri" w:cs="Tahoma"/>
          <w:sz w:val="20"/>
          <w:szCs w:val="20"/>
        </w:rPr>
        <w:t xml:space="preserve">environmental and social assessment </w:t>
      </w:r>
      <w:r w:rsidRPr="0068236B">
        <w:rPr>
          <w:rFonts w:eastAsia="Calibri" w:cs="Tahoma"/>
          <w:sz w:val="20"/>
          <w:szCs w:val="20"/>
        </w:rPr>
        <w:t xml:space="preserve">indicate that the Project objective of identifying technically feasible and economically viable solutions which on balance causes the least disturbance to the environment and to the people who live and work in its surrounding has been met. </w:t>
      </w:r>
    </w:p>
    <w:p w14:paraId="09E344CE" w14:textId="77777777" w:rsidR="009D6030" w:rsidRPr="0068236B" w:rsidRDefault="009D6030" w:rsidP="009D6030">
      <w:pPr>
        <w:rPr>
          <w:rFonts w:eastAsia="Calibri" w:cs="Tahoma"/>
          <w:sz w:val="20"/>
          <w:szCs w:val="20"/>
        </w:rPr>
      </w:pPr>
      <w:r w:rsidRPr="0068236B">
        <w:rPr>
          <w:rFonts w:eastAsia="Calibri" w:cs="Tahoma"/>
          <w:sz w:val="20"/>
          <w:szCs w:val="20"/>
        </w:rPr>
        <w:t>Provided that the proposed mitigation strategy is implemented, the construction and operation of the Project is considered as justified because:</w:t>
      </w:r>
    </w:p>
    <w:p w14:paraId="6ED33B38" w14:textId="77777777" w:rsidR="009D6030" w:rsidRPr="0068236B" w:rsidRDefault="009D6030" w:rsidP="003D5863">
      <w:pPr>
        <w:numPr>
          <w:ilvl w:val="0"/>
          <w:numId w:val="74"/>
        </w:numPr>
        <w:tabs>
          <w:tab w:val="clear" w:pos="1440"/>
          <w:tab w:val="left" w:pos="993"/>
        </w:tabs>
        <w:ind w:left="992" w:hanging="425"/>
        <w:jc w:val="left"/>
        <w:rPr>
          <w:rFonts w:eastAsia="Calibri" w:cs="Tahoma"/>
          <w:sz w:val="20"/>
          <w:szCs w:val="20"/>
        </w:rPr>
      </w:pPr>
      <w:r w:rsidRPr="0068236B">
        <w:rPr>
          <w:rFonts w:eastAsia="Calibri" w:cs="Tahoma"/>
          <w:sz w:val="20"/>
          <w:szCs w:val="20"/>
        </w:rPr>
        <w:t>The environmental and social aspects related to key phases of the life cycle of the Project are identified and taken into account.</w:t>
      </w:r>
    </w:p>
    <w:p w14:paraId="3893CFE0" w14:textId="77777777" w:rsidR="009D6030" w:rsidRPr="0068236B" w:rsidRDefault="009D6030" w:rsidP="003D5863">
      <w:pPr>
        <w:numPr>
          <w:ilvl w:val="0"/>
          <w:numId w:val="74"/>
        </w:numPr>
        <w:tabs>
          <w:tab w:val="clear" w:pos="1440"/>
          <w:tab w:val="left" w:pos="993"/>
        </w:tabs>
        <w:ind w:left="992" w:hanging="425"/>
        <w:jc w:val="left"/>
        <w:rPr>
          <w:rFonts w:eastAsia="Calibri" w:cs="Tahoma"/>
          <w:sz w:val="20"/>
          <w:szCs w:val="20"/>
        </w:rPr>
      </w:pPr>
      <w:r w:rsidRPr="0068236B">
        <w:rPr>
          <w:rFonts w:eastAsia="Calibri" w:cs="Tahoma"/>
          <w:sz w:val="20"/>
          <w:szCs w:val="20"/>
        </w:rPr>
        <w:t>The assessment of the environmental and social impacts is based on best available information.</w:t>
      </w:r>
    </w:p>
    <w:p w14:paraId="199A99DF" w14:textId="77777777" w:rsidR="009D6030" w:rsidRPr="0068236B" w:rsidRDefault="009D6030" w:rsidP="003D5863">
      <w:pPr>
        <w:numPr>
          <w:ilvl w:val="0"/>
          <w:numId w:val="74"/>
        </w:numPr>
        <w:tabs>
          <w:tab w:val="clear" w:pos="1440"/>
          <w:tab w:val="left" w:pos="993"/>
          <w:tab w:val="num" w:pos="1276"/>
        </w:tabs>
        <w:ind w:left="992" w:hanging="425"/>
        <w:jc w:val="left"/>
        <w:rPr>
          <w:rFonts w:eastAsia="Calibri" w:cs="Tahoma"/>
          <w:sz w:val="20"/>
          <w:szCs w:val="20"/>
        </w:rPr>
      </w:pPr>
      <w:r w:rsidRPr="0068236B">
        <w:rPr>
          <w:rFonts w:eastAsia="Calibri" w:cs="Tahoma"/>
          <w:sz w:val="20"/>
          <w:szCs w:val="20"/>
        </w:rPr>
        <w:t>The identified likely impacts can be prevented, reduced or compensated and, therefore, the Pr</w:t>
      </w:r>
      <w:r w:rsidRPr="0068236B">
        <w:rPr>
          <w:rFonts w:eastAsia="Calibri" w:cs="Tahoma"/>
          <w:sz w:val="20"/>
          <w:szCs w:val="20"/>
        </w:rPr>
        <w:t>o</w:t>
      </w:r>
      <w:r w:rsidRPr="0068236B">
        <w:rPr>
          <w:rFonts w:eastAsia="Calibri" w:cs="Tahoma"/>
          <w:sz w:val="20"/>
          <w:szCs w:val="20"/>
        </w:rPr>
        <w:t>ject is not a threat for adverse or irreversible damage to the natural and social environment in the project area.</w:t>
      </w:r>
    </w:p>
    <w:p w14:paraId="5B0DBD27" w14:textId="77777777" w:rsidR="009D6030" w:rsidRPr="0068236B" w:rsidRDefault="009D6030" w:rsidP="003D5863">
      <w:pPr>
        <w:numPr>
          <w:ilvl w:val="0"/>
          <w:numId w:val="74"/>
        </w:numPr>
        <w:tabs>
          <w:tab w:val="clear" w:pos="1440"/>
          <w:tab w:val="left" w:pos="993"/>
          <w:tab w:val="num" w:pos="1276"/>
        </w:tabs>
        <w:ind w:left="992" w:hanging="425"/>
        <w:jc w:val="left"/>
        <w:rPr>
          <w:rFonts w:eastAsia="Calibri" w:cs="Tahoma"/>
          <w:sz w:val="20"/>
          <w:szCs w:val="20"/>
        </w:rPr>
      </w:pPr>
      <w:r w:rsidRPr="0068236B">
        <w:rPr>
          <w:rFonts w:eastAsia="Calibri" w:cs="Tahoma"/>
          <w:sz w:val="20"/>
          <w:szCs w:val="20"/>
        </w:rPr>
        <w:t>The Project will create employment opportunities as well as opportunities to the local economy and supply chain.</w:t>
      </w:r>
    </w:p>
    <w:p w14:paraId="391E6366" w14:textId="06EBF22E" w:rsidR="009D6030" w:rsidRPr="0068236B" w:rsidRDefault="009D6030" w:rsidP="003D5863">
      <w:pPr>
        <w:numPr>
          <w:ilvl w:val="0"/>
          <w:numId w:val="74"/>
        </w:numPr>
        <w:tabs>
          <w:tab w:val="clear" w:pos="1440"/>
          <w:tab w:val="left" w:pos="993"/>
          <w:tab w:val="num" w:pos="1276"/>
        </w:tabs>
        <w:ind w:left="992" w:hanging="425"/>
        <w:jc w:val="left"/>
        <w:rPr>
          <w:rFonts w:eastAsia="Calibri" w:cs="Tahoma"/>
          <w:sz w:val="20"/>
          <w:szCs w:val="20"/>
        </w:rPr>
      </w:pPr>
      <w:r w:rsidRPr="0068236B">
        <w:rPr>
          <w:rFonts w:eastAsia="Calibri" w:cs="Tahoma"/>
          <w:sz w:val="20"/>
          <w:szCs w:val="20"/>
        </w:rPr>
        <w:t xml:space="preserve">The Project will strengthen the power transmission system in </w:t>
      </w:r>
      <w:r w:rsidR="005E6643" w:rsidRPr="0068236B">
        <w:rPr>
          <w:rFonts w:eastAsia="Calibri" w:cs="Tahoma"/>
          <w:sz w:val="20"/>
          <w:szCs w:val="20"/>
        </w:rPr>
        <w:t>Macedonia</w:t>
      </w:r>
      <w:r w:rsidRPr="0068236B">
        <w:rPr>
          <w:rFonts w:eastAsia="Calibri" w:cs="Tahoma"/>
          <w:sz w:val="20"/>
          <w:szCs w:val="20"/>
        </w:rPr>
        <w:t xml:space="preserve"> thus contributing to the overall economic development and social welfare in the wider region. </w:t>
      </w:r>
    </w:p>
    <w:p w14:paraId="5DD81EEA" w14:textId="77777777" w:rsidR="009D6030" w:rsidRPr="0068236B" w:rsidRDefault="009D6030" w:rsidP="003D5863">
      <w:pPr>
        <w:numPr>
          <w:ilvl w:val="0"/>
          <w:numId w:val="74"/>
        </w:numPr>
        <w:tabs>
          <w:tab w:val="clear" w:pos="1440"/>
          <w:tab w:val="left" w:pos="993"/>
          <w:tab w:val="num" w:pos="1276"/>
        </w:tabs>
        <w:ind w:left="992" w:hanging="425"/>
        <w:jc w:val="left"/>
        <w:rPr>
          <w:rFonts w:eastAsia="Calibri" w:cs="Tahoma"/>
          <w:sz w:val="20"/>
          <w:szCs w:val="20"/>
        </w:rPr>
      </w:pPr>
      <w:r w:rsidRPr="0068236B">
        <w:rPr>
          <w:rFonts w:eastAsia="Calibri" w:cs="Tahoma"/>
          <w:sz w:val="20"/>
          <w:szCs w:val="20"/>
        </w:rPr>
        <w:t xml:space="preserve">The Project will not cause significant impacts on the environmental media (air, water and soil) and will not generate excessive waste. </w:t>
      </w:r>
    </w:p>
    <w:p w14:paraId="4726CF33" w14:textId="77777777" w:rsidR="009D6030" w:rsidRPr="0068236B" w:rsidRDefault="009D6030" w:rsidP="003D5863">
      <w:pPr>
        <w:numPr>
          <w:ilvl w:val="0"/>
          <w:numId w:val="74"/>
        </w:numPr>
        <w:tabs>
          <w:tab w:val="clear" w:pos="1440"/>
          <w:tab w:val="left" w:pos="993"/>
          <w:tab w:val="num" w:pos="1276"/>
        </w:tabs>
        <w:ind w:left="992" w:hanging="425"/>
        <w:jc w:val="left"/>
        <w:rPr>
          <w:rFonts w:eastAsia="Calibri" w:cs="Tahoma"/>
          <w:sz w:val="20"/>
          <w:szCs w:val="20"/>
        </w:rPr>
      </w:pPr>
      <w:r w:rsidRPr="0068236B">
        <w:rPr>
          <w:rFonts w:eastAsia="Calibri" w:cs="Tahoma"/>
          <w:sz w:val="20"/>
          <w:szCs w:val="20"/>
        </w:rPr>
        <w:t>The Project will not cause significant adverse impacts on biodiversity and ecological integrity of the area as well on the valued landscapes, nor will compromise the conservation goals of the concerned protected areas.</w:t>
      </w:r>
    </w:p>
    <w:p w14:paraId="36E7A95A" w14:textId="6E2DEDF3" w:rsidR="009D6030" w:rsidRPr="0068236B" w:rsidRDefault="009D6030" w:rsidP="003D5863">
      <w:pPr>
        <w:numPr>
          <w:ilvl w:val="0"/>
          <w:numId w:val="74"/>
        </w:numPr>
        <w:tabs>
          <w:tab w:val="clear" w:pos="1440"/>
          <w:tab w:val="left" w:pos="993"/>
          <w:tab w:val="num" w:pos="1276"/>
        </w:tabs>
        <w:ind w:left="992" w:hanging="425"/>
        <w:jc w:val="left"/>
        <w:rPr>
          <w:rFonts w:eastAsia="Calibri" w:cs="Tahoma"/>
          <w:sz w:val="20"/>
          <w:szCs w:val="20"/>
        </w:rPr>
      </w:pPr>
      <w:r w:rsidRPr="0068236B">
        <w:rPr>
          <w:rFonts w:eastAsia="Calibri" w:cs="Tahoma"/>
          <w:sz w:val="20"/>
          <w:szCs w:val="20"/>
        </w:rPr>
        <w:t xml:space="preserve">The Project will imply only </w:t>
      </w:r>
      <w:r w:rsidR="005A3E85" w:rsidRPr="0068236B">
        <w:rPr>
          <w:rFonts w:eastAsia="Calibri" w:cs="Tahoma"/>
          <w:sz w:val="20"/>
          <w:szCs w:val="20"/>
        </w:rPr>
        <w:t xml:space="preserve">very </w:t>
      </w:r>
      <w:r w:rsidRPr="0068236B">
        <w:rPr>
          <w:rFonts w:cs="Tahoma"/>
          <w:sz w:val="20"/>
          <w:szCs w:val="20"/>
        </w:rPr>
        <w:t>limited long-term residual land acquisition.</w:t>
      </w:r>
    </w:p>
    <w:p w14:paraId="7058A2A8" w14:textId="77777777" w:rsidR="009D6030" w:rsidRPr="0068236B" w:rsidRDefault="009D6030" w:rsidP="003D5863">
      <w:pPr>
        <w:numPr>
          <w:ilvl w:val="0"/>
          <w:numId w:val="74"/>
        </w:numPr>
        <w:tabs>
          <w:tab w:val="clear" w:pos="1440"/>
          <w:tab w:val="left" w:pos="993"/>
          <w:tab w:val="num" w:pos="1276"/>
        </w:tabs>
        <w:ind w:left="992" w:hanging="425"/>
        <w:jc w:val="left"/>
        <w:rPr>
          <w:rFonts w:eastAsia="Calibri" w:cs="Tahoma"/>
          <w:sz w:val="20"/>
          <w:szCs w:val="20"/>
        </w:rPr>
      </w:pPr>
      <w:r w:rsidRPr="0068236B">
        <w:rPr>
          <w:rFonts w:eastAsia="Calibri" w:cs="Tahoma"/>
          <w:sz w:val="20"/>
          <w:szCs w:val="20"/>
        </w:rPr>
        <w:t>The Project will not cause significant health and safety risks or disturbance to the neighbouring communities.</w:t>
      </w:r>
    </w:p>
    <w:p w14:paraId="1364F361" w14:textId="77777777" w:rsidR="009D6030" w:rsidRPr="0068236B" w:rsidRDefault="009D6030" w:rsidP="003D5863">
      <w:pPr>
        <w:numPr>
          <w:ilvl w:val="0"/>
          <w:numId w:val="74"/>
        </w:numPr>
        <w:tabs>
          <w:tab w:val="clear" w:pos="1440"/>
          <w:tab w:val="left" w:pos="993"/>
          <w:tab w:val="num" w:pos="1276"/>
        </w:tabs>
        <w:ind w:left="992" w:hanging="425"/>
        <w:jc w:val="left"/>
        <w:rPr>
          <w:rFonts w:eastAsia="Calibri" w:cs="Tahoma"/>
          <w:sz w:val="20"/>
          <w:szCs w:val="20"/>
        </w:rPr>
      </w:pPr>
      <w:r w:rsidRPr="0068236B">
        <w:rPr>
          <w:rFonts w:eastAsia="Calibri" w:cs="Tahoma"/>
          <w:sz w:val="20"/>
          <w:szCs w:val="20"/>
        </w:rPr>
        <w:t>The Project will not imply impacts to known cultural heritage in the area.</w:t>
      </w:r>
    </w:p>
    <w:p w14:paraId="22D99CBE" w14:textId="504296F8" w:rsidR="009D6030" w:rsidRPr="0068236B" w:rsidRDefault="009D6030" w:rsidP="009D6030">
      <w:pPr>
        <w:widowControl w:val="0"/>
        <w:autoSpaceDE w:val="0"/>
        <w:autoSpaceDN w:val="0"/>
        <w:adjustRightInd w:val="0"/>
        <w:rPr>
          <w:rFonts w:eastAsia="Calibri" w:cs="Tahoma"/>
          <w:sz w:val="20"/>
          <w:szCs w:val="20"/>
        </w:rPr>
      </w:pPr>
      <w:r w:rsidRPr="0068236B">
        <w:rPr>
          <w:rFonts w:eastAsia="Calibri" w:cs="Tahoma"/>
          <w:sz w:val="20"/>
          <w:szCs w:val="20"/>
        </w:rPr>
        <w:t xml:space="preserve">The environmental and social aspects associated with the Project are identified and addressed in this </w:t>
      </w:r>
      <w:r w:rsidR="005A3E85" w:rsidRPr="0068236B">
        <w:rPr>
          <w:rFonts w:eastAsia="Calibri" w:cs="Tahoma"/>
          <w:sz w:val="20"/>
          <w:szCs w:val="20"/>
        </w:rPr>
        <w:t>E&amp;S Assessment Report</w:t>
      </w:r>
      <w:r w:rsidRPr="0068236B">
        <w:rPr>
          <w:rFonts w:eastAsia="Calibri" w:cs="Tahoma"/>
          <w:sz w:val="20"/>
          <w:szCs w:val="20"/>
        </w:rPr>
        <w:t xml:space="preserve"> according to the requirements of the relevant Macedonian regulation, the </w:t>
      </w:r>
      <w:r w:rsidR="005A3E85" w:rsidRPr="0068236B">
        <w:rPr>
          <w:rFonts w:eastAsia="Calibri" w:cs="Tahoma"/>
          <w:sz w:val="20"/>
          <w:szCs w:val="20"/>
        </w:rPr>
        <w:t>EBRD</w:t>
      </w:r>
      <w:r w:rsidRPr="0068236B">
        <w:rPr>
          <w:rFonts w:eastAsia="Calibri" w:cs="Tahoma"/>
          <w:sz w:val="20"/>
          <w:szCs w:val="20"/>
        </w:rPr>
        <w:t xml:space="preserve"> stan</w:t>
      </w:r>
      <w:r w:rsidRPr="0068236B">
        <w:rPr>
          <w:rFonts w:eastAsia="Calibri" w:cs="Tahoma"/>
          <w:sz w:val="20"/>
          <w:szCs w:val="20"/>
        </w:rPr>
        <w:t>d</w:t>
      </w:r>
      <w:r w:rsidRPr="0068236B">
        <w:rPr>
          <w:rFonts w:eastAsia="Calibri" w:cs="Tahoma"/>
          <w:sz w:val="20"/>
          <w:szCs w:val="20"/>
        </w:rPr>
        <w:t>ards and best international practices.</w:t>
      </w:r>
    </w:p>
    <w:p w14:paraId="3407636B" w14:textId="4CCF90F1" w:rsidR="001F02D9" w:rsidRPr="0068236B" w:rsidRDefault="001F02D9">
      <w:pPr>
        <w:spacing w:before="0" w:after="0" w:line="240" w:lineRule="auto"/>
        <w:jc w:val="left"/>
        <w:rPr>
          <w:rFonts w:cs="Tahoma"/>
          <w:sz w:val="20"/>
          <w:szCs w:val="20"/>
        </w:rPr>
      </w:pPr>
      <w:r w:rsidRPr="0068236B">
        <w:rPr>
          <w:rFonts w:cs="Tahoma"/>
          <w:sz w:val="20"/>
          <w:szCs w:val="20"/>
        </w:rPr>
        <w:br w:type="page"/>
      </w:r>
    </w:p>
    <w:p w14:paraId="5E1D6BF2" w14:textId="77777777" w:rsidR="00096EA3" w:rsidRPr="0068236B" w:rsidRDefault="00261975" w:rsidP="00E44ED8">
      <w:pPr>
        <w:pStyle w:val="Heading1"/>
      </w:pPr>
      <w:bookmarkStart w:id="628" w:name="_Toc54892596"/>
      <w:bookmarkStart w:id="629" w:name="_Toc66699773"/>
      <w:bookmarkStart w:id="630" w:name="_Toc112852327"/>
      <w:bookmarkStart w:id="631" w:name="_Toc46404230"/>
      <w:r w:rsidRPr="0068236B">
        <w:lastRenderedPageBreak/>
        <w:t xml:space="preserve">References and </w:t>
      </w:r>
      <w:r w:rsidR="00096EA3" w:rsidRPr="0068236B">
        <w:t>Literature</w:t>
      </w:r>
      <w:bookmarkEnd w:id="628"/>
      <w:bookmarkEnd w:id="629"/>
      <w:bookmarkEnd w:id="630"/>
    </w:p>
    <w:bookmarkEnd w:id="631"/>
    <w:p w14:paraId="29C3043F" w14:textId="77777777" w:rsidR="00BD69AC" w:rsidRPr="0068236B" w:rsidRDefault="00BD69AC" w:rsidP="00BD69AC">
      <w:pPr>
        <w:pStyle w:val="NumberedParagraph"/>
        <w:ind w:firstLine="567"/>
        <w:rPr>
          <w:sz w:val="20"/>
        </w:rPr>
      </w:pPr>
      <w:r w:rsidRPr="0068236B">
        <w:rPr>
          <w:sz w:val="20"/>
        </w:rPr>
        <w:t>Project Reports to date:</w:t>
      </w:r>
    </w:p>
    <w:p w14:paraId="3986BCDA" w14:textId="77777777" w:rsidR="00BD69AC" w:rsidRPr="0068236B" w:rsidRDefault="00BD69AC" w:rsidP="008E77D3">
      <w:pPr>
        <w:pStyle w:val="ListParagraph"/>
        <w:numPr>
          <w:ilvl w:val="0"/>
          <w:numId w:val="36"/>
        </w:numPr>
        <w:spacing w:line="240" w:lineRule="auto"/>
        <w:ind w:left="567" w:hanging="567"/>
        <w:contextualSpacing w:val="0"/>
        <w:jc w:val="left"/>
        <w:rPr>
          <w:rFonts w:cs="Tahoma"/>
          <w:sz w:val="20"/>
          <w:szCs w:val="20"/>
        </w:rPr>
      </w:pPr>
      <w:bookmarkStart w:id="632" w:name="_Ref77888850"/>
      <w:r w:rsidRPr="0068236B">
        <w:rPr>
          <w:rFonts w:cs="Tahoma"/>
          <w:sz w:val="20"/>
          <w:szCs w:val="20"/>
        </w:rPr>
        <w:t>WB21-MKD-ENE-03 North Macedonia, Strengthening the Transmission Network in the Southeast R</w:t>
      </w:r>
      <w:r w:rsidRPr="0068236B">
        <w:rPr>
          <w:rFonts w:cs="Tahoma"/>
          <w:sz w:val="20"/>
          <w:szCs w:val="20"/>
        </w:rPr>
        <w:t>e</w:t>
      </w:r>
      <w:r w:rsidRPr="0068236B">
        <w:rPr>
          <w:rFonts w:cs="Tahoma"/>
          <w:sz w:val="20"/>
          <w:szCs w:val="20"/>
        </w:rPr>
        <w:t>gion of North Macedonia - Component 1; Inception Report, November 2020</w:t>
      </w:r>
      <w:bookmarkEnd w:id="632"/>
    </w:p>
    <w:p w14:paraId="0107DA7B" w14:textId="2E937648" w:rsidR="00BD69AC" w:rsidRPr="0068236B" w:rsidRDefault="00BD69AC" w:rsidP="008E77D3">
      <w:pPr>
        <w:pStyle w:val="ListParagraph"/>
        <w:numPr>
          <w:ilvl w:val="0"/>
          <w:numId w:val="36"/>
        </w:numPr>
        <w:spacing w:line="240" w:lineRule="auto"/>
        <w:ind w:left="567" w:hanging="567"/>
        <w:contextualSpacing w:val="0"/>
        <w:jc w:val="left"/>
        <w:rPr>
          <w:rFonts w:cs="Tahoma"/>
          <w:sz w:val="20"/>
          <w:szCs w:val="20"/>
        </w:rPr>
      </w:pPr>
      <w:bookmarkStart w:id="633" w:name="_Ref77888881"/>
      <w:r w:rsidRPr="0068236B">
        <w:rPr>
          <w:rFonts w:cs="Tahoma"/>
          <w:sz w:val="20"/>
          <w:szCs w:val="20"/>
        </w:rPr>
        <w:t>WB21-MKD-ENE-03 North Macedonia, Strengthening the Transmission Network in the Southeast R</w:t>
      </w:r>
      <w:r w:rsidRPr="0068236B">
        <w:rPr>
          <w:rFonts w:cs="Tahoma"/>
          <w:sz w:val="20"/>
          <w:szCs w:val="20"/>
        </w:rPr>
        <w:t>e</w:t>
      </w:r>
      <w:r w:rsidRPr="0068236B">
        <w:rPr>
          <w:rFonts w:cs="Tahoma"/>
          <w:sz w:val="20"/>
          <w:szCs w:val="20"/>
        </w:rPr>
        <w:t>gion of North Macedonia - Component 1; Technical Options Analyses - Interim Report 1,</w:t>
      </w:r>
      <w:r w:rsidR="00562E86" w:rsidRPr="0068236B">
        <w:rPr>
          <w:rFonts w:cs="Tahoma"/>
          <w:sz w:val="20"/>
          <w:szCs w:val="20"/>
        </w:rPr>
        <w:t xml:space="preserve"> </w:t>
      </w:r>
      <w:r w:rsidRPr="0068236B">
        <w:rPr>
          <w:rFonts w:cs="Tahoma"/>
          <w:sz w:val="20"/>
          <w:szCs w:val="20"/>
        </w:rPr>
        <w:t>March 2021</w:t>
      </w:r>
      <w:bookmarkEnd w:id="633"/>
    </w:p>
    <w:p w14:paraId="255547A6" w14:textId="6F709ED7" w:rsidR="00BD69AC" w:rsidRPr="0068236B" w:rsidRDefault="00BD69AC" w:rsidP="008E77D3">
      <w:pPr>
        <w:pStyle w:val="ListParagraph"/>
        <w:numPr>
          <w:ilvl w:val="0"/>
          <w:numId w:val="36"/>
        </w:numPr>
        <w:spacing w:line="240" w:lineRule="auto"/>
        <w:ind w:left="567" w:hanging="567"/>
        <w:contextualSpacing w:val="0"/>
        <w:jc w:val="left"/>
        <w:rPr>
          <w:rFonts w:cs="Tahoma"/>
          <w:sz w:val="20"/>
          <w:szCs w:val="20"/>
        </w:rPr>
      </w:pPr>
      <w:bookmarkStart w:id="634" w:name="_Ref77667350"/>
      <w:r w:rsidRPr="0068236B">
        <w:rPr>
          <w:rFonts w:cs="Tahoma"/>
          <w:sz w:val="20"/>
          <w:szCs w:val="20"/>
        </w:rPr>
        <w:t>WB21-MKD-ENE-03 North Macedonia, Strengthening the Transmission Network in the Southeast R</w:t>
      </w:r>
      <w:r w:rsidRPr="0068236B">
        <w:rPr>
          <w:rFonts w:cs="Tahoma"/>
          <w:sz w:val="20"/>
          <w:szCs w:val="20"/>
        </w:rPr>
        <w:t>e</w:t>
      </w:r>
      <w:r w:rsidRPr="0068236B">
        <w:rPr>
          <w:rFonts w:cs="Tahoma"/>
          <w:sz w:val="20"/>
          <w:szCs w:val="20"/>
        </w:rPr>
        <w:t>gion of North Macedonia - Component 1; Technical Options Analyses - Interim Report 2,</w:t>
      </w:r>
      <w:r w:rsidR="00562E86" w:rsidRPr="0068236B">
        <w:rPr>
          <w:rFonts w:cs="Tahoma"/>
          <w:sz w:val="20"/>
          <w:szCs w:val="20"/>
        </w:rPr>
        <w:t xml:space="preserve"> </w:t>
      </w:r>
      <w:r w:rsidRPr="0068236B">
        <w:rPr>
          <w:rFonts w:cs="Tahoma"/>
          <w:sz w:val="20"/>
          <w:szCs w:val="20"/>
        </w:rPr>
        <w:t>July 2021</w:t>
      </w:r>
      <w:bookmarkEnd w:id="634"/>
    </w:p>
    <w:p w14:paraId="53AA702A" w14:textId="77777777" w:rsidR="00BD69AC" w:rsidRPr="0068236B" w:rsidRDefault="00BD69AC" w:rsidP="008E77D3">
      <w:pPr>
        <w:pStyle w:val="ListParagraph"/>
        <w:numPr>
          <w:ilvl w:val="0"/>
          <w:numId w:val="36"/>
        </w:numPr>
        <w:spacing w:line="240" w:lineRule="auto"/>
        <w:ind w:left="567" w:hanging="567"/>
        <w:contextualSpacing w:val="0"/>
        <w:jc w:val="left"/>
        <w:rPr>
          <w:rFonts w:cs="Tahoma"/>
          <w:sz w:val="20"/>
          <w:szCs w:val="20"/>
        </w:rPr>
      </w:pPr>
      <w:r w:rsidRPr="0068236B">
        <w:rPr>
          <w:rFonts w:cs="Tahoma"/>
          <w:sz w:val="20"/>
          <w:szCs w:val="20"/>
        </w:rPr>
        <w:t>WB21-MKD-ENE-03 North Macedonia, Strengthening the Transmission Network in the Southeast R</w:t>
      </w:r>
      <w:r w:rsidRPr="0068236B">
        <w:rPr>
          <w:rFonts w:cs="Tahoma"/>
          <w:sz w:val="20"/>
          <w:szCs w:val="20"/>
        </w:rPr>
        <w:t>e</w:t>
      </w:r>
      <w:r w:rsidRPr="0068236B">
        <w:rPr>
          <w:rFonts w:cs="Tahoma"/>
          <w:sz w:val="20"/>
          <w:szCs w:val="20"/>
        </w:rPr>
        <w:t xml:space="preserve">gion of North Macedonia - Component 1; </w:t>
      </w:r>
      <w:r w:rsidRPr="0068236B">
        <w:rPr>
          <w:rFonts w:cs="Tahoma"/>
          <w:sz w:val="20"/>
        </w:rPr>
        <w:t>Selection of the preferred Option, October 2021</w:t>
      </w:r>
    </w:p>
    <w:p w14:paraId="4C9DDDD3" w14:textId="3ACDA42E" w:rsidR="00BD69AC" w:rsidRPr="0068236B" w:rsidRDefault="00BD69AC" w:rsidP="008E77D3">
      <w:pPr>
        <w:pStyle w:val="ListParagraph"/>
        <w:numPr>
          <w:ilvl w:val="0"/>
          <w:numId w:val="36"/>
        </w:numPr>
        <w:spacing w:line="240" w:lineRule="auto"/>
        <w:ind w:left="567" w:hanging="567"/>
        <w:contextualSpacing w:val="0"/>
        <w:jc w:val="left"/>
        <w:rPr>
          <w:rFonts w:cs="Tahoma"/>
          <w:sz w:val="20"/>
          <w:szCs w:val="20"/>
        </w:rPr>
      </w:pPr>
      <w:r w:rsidRPr="0068236B">
        <w:rPr>
          <w:rFonts w:cs="Tahoma"/>
          <w:sz w:val="20"/>
          <w:szCs w:val="20"/>
        </w:rPr>
        <w:t>WB21-MKD-ENE-03 North Macedonia, Strengthening the Transmission Network in the Southeast R</w:t>
      </w:r>
      <w:r w:rsidRPr="0068236B">
        <w:rPr>
          <w:rFonts w:cs="Tahoma"/>
          <w:sz w:val="20"/>
          <w:szCs w:val="20"/>
        </w:rPr>
        <w:t>e</w:t>
      </w:r>
      <w:r w:rsidRPr="0068236B">
        <w:rPr>
          <w:rFonts w:cs="Tahoma"/>
          <w:sz w:val="20"/>
          <w:szCs w:val="20"/>
        </w:rPr>
        <w:t xml:space="preserve">gion of North Macedonia - Component 1; </w:t>
      </w:r>
      <w:r w:rsidRPr="0068236B">
        <w:rPr>
          <w:rFonts w:cs="Tahoma"/>
          <w:sz w:val="20"/>
        </w:rPr>
        <w:t xml:space="preserve">Stakeholder Engagement Plan, </w:t>
      </w:r>
      <w:r w:rsidR="00426AE3" w:rsidRPr="0068236B">
        <w:rPr>
          <w:rFonts w:cs="Tahoma"/>
          <w:sz w:val="20"/>
        </w:rPr>
        <w:t>March</w:t>
      </w:r>
      <w:r w:rsidRPr="0068236B">
        <w:rPr>
          <w:rFonts w:cs="Tahoma"/>
          <w:sz w:val="20"/>
        </w:rPr>
        <w:t xml:space="preserve"> 202</w:t>
      </w:r>
      <w:r w:rsidR="001E19CC" w:rsidRPr="0068236B">
        <w:rPr>
          <w:rFonts w:cs="Tahoma"/>
          <w:sz w:val="20"/>
        </w:rPr>
        <w:t>2</w:t>
      </w:r>
    </w:p>
    <w:p w14:paraId="19E2D829" w14:textId="706EF48C" w:rsidR="002A26CA" w:rsidRPr="0068236B" w:rsidRDefault="002A26CA" w:rsidP="008E77D3">
      <w:pPr>
        <w:pStyle w:val="ListParagraph"/>
        <w:numPr>
          <w:ilvl w:val="0"/>
          <w:numId w:val="36"/>
        </w:numPr>
        <w:spacing w:line="240" w:lineRule="auto"/>
        <w:ind w:left="567" w:hanging="567"/>
        <w:contextualSpacing w:val="0"/>
        <w:jc w:val="left"/>
        <w:rPr>
          <w:rFonts w:cs="Tahoma"/>
          <w:sz w:val="20"/>
          <w:szCs w:val="20"/>
        </w:rPr>
      </w:pPr>
      <w:r w:rsidRPr="0068236B">
        <w:rPr>
          <w:rFonts w:cs="Tahoma"/>
          <w:sz w:val="20"/>
          <w:szCs w:val="23"/>
          <w:lang w:eastAsia="en-US"/>
        </w:rPr>
        <w:t>WB21-MKD-ENE-03 North Macedonia, Strengthening the Transmission Network in the Southeast R</w:t>
      </w:r>
      <w:r w:rsidRPr="0068236B">
        <w:rPr>
          <w:rFonts w:cs="Tahoma"/>
          <w:sz w:val="20"/>
          <w:szCs w:val="23"/>
          <w:lang w:eastAsia="en-US"/>
        </w:rPr>
        <w:t>e</w:t>
      </w:r>
      <w:r w:rsidRPr="0068236B">
        <w:rPr>
          <w:rFonts w:cs="Tahoma"/>
          <w:sz w:val="20"/>
          <w:szCs w:val="23"/>
          <w:lang w:eastAsia="en-US"/>
        </w:rPr>
        <w:t xml:space="preserve">gion of North Macedonia - Component 1; </w:t>
      </w:r>
      <w:r w:rsidRPr="0068236B">
        <w:rPr>
          <w:rFonts w:cs="Tahoma"/>
          <w:bCs/>
          <w:sz w:val="20"/>
          <w:szCs w:val="20"/>
        </w:rPr>
        <w:t>ESIA Scoping Report</w:t>
      </w:r>
      <w:r w:rsidRPr="0068236B">
        <w:rPr>
          <w:rFonts w:cs="Tahoma"/>
          <w:bCs/>
          <w:sz w:val="20"/>
        </w:rPr>
        <w:t>, January 2022</w:t>
      </w:r>
    </w:p>
    <w:p w14:paraId="361F3D98" w14:textId="76870D7D" w:rsidR="00BC2EBE" w:rsidRPr="0068236B" w:rsidRDefault="00BC2EBE" w:rsidP="008E77D3">
      <w:pPr>
        <w:pStyle w:val="ListParagraph"/>
        <w:numPr>
          <w:ilvl w:val="0"/>
          <w:numId w:val="36"/>
        </w:numPr>
        <w:spacing w:line="240" w:lineRule="auto"/>
        <w:ind w:left="567" w:hanging="567"/>
        <w:contextualSpacing w:val="0"/>
        <w:jc w:val="left"/>
        <w:rPr>
          <w:rFonts w:cs="Tahoma"/>
          <w:sz w:val="20"/>
          <w:szCs w:val="20"/>
        </w:rPr>
      </w:pPr>
      <w:r w:rsidRPr="0068236B">
        <w:rPr>
          <w:rFonts w:cs="Tahoma"/>
          <w:sz w:val="20"/>
          <w:szCs w:val="23"/>
          <w:lang w:eastAsia="en-US"/>
        </w:rPr>
        <w:t>WB21-MKD-ENE-03 North Macedonia, Strengthening the Transmission Network in the Southeast R</w:t>
      </w:r>
      <w:r w:rsidRPr="0068236B">
        <w:rPr>
          <w:rFonts w:cs="Tahoma"/>
          <w:sz w:val="20"/>
          <w:szCs w:val="23"/>
          <w:lang w:eastAsia="en-US"/>
        </w:rPr>
        <w:t>e</w:t>
      </w:r>
      <w:r w:rsidRPr="0068236B">
        <w:rPr>
          <w:rFonts w:cs="Tahoma"/>
          <w:sz w:val="20"/>
          <w:szCs w:val="23"/>
          <w:lang w:eastAsia="en-US"/>
        </w:rPr>
        <w:t xml:space="preserve">gion of North Macedonia - Component 1; </w:t>
      </w:r>
      <w:r w:rsidRPr="0068236B">
        <w:rPr>
          <w:rFonts w:cs="Tahoma"/>
          <w:sz w:val="20"/>
        </w:rPr>
        <w:t>Detailed Technical Assessment of Preferred Option</w:t>
      </w:r>
      <w:r w:rsidRPr="0068236B">
        <w:rPr>
          <w:rFonts w:cs="Tahoma"/>
          <w:bCs/>
          <w:sz w:val="20"/>
        </w:rPr>
        <w:t xml:space="preserve">, </w:t>
      </w:r>
      <w:r w:rsidR="00E6543C" w:rsidRPr="0068236B">
        <w:rPr>
          <w:rFonts w:cs="Tahoma"/>
          <w:bCs/>
          <w:sz w:val="20"/>
        </w:rPr>
        <w:t>January</w:t>
      </w:r>
      <w:r w:rsidRPr="0068236B">
        <w:rPr>
          <w:rFonts w:cs="Tahoma"/>
          <w:bCs/>
          <w:sz w:val="20"/>
        </w:rPr>
        <w:t xml:space="preserve"> 20</w:t>
      </w:r>
      <w:r w:rsidR="00E6543C" w:rsidRPr="0068236B">
        <w:rPr>
          <w:rFonts w:cs="Tahoma"/>
          <w:bCs/>
          <w:sz w:val="20"/>
        </w:rPr>
        <w:t>22</w:t>
      </w:r>
    </w:p>
    <w:p w14:paraId="782AB807" w14:textId="77777777" w:rsidR="002A26CA" w:rsidRPr="0068236B" w:rsidRDefault="002A26CA" w:rsidP="00BD69AC">
      <w:pPr>
        <w:pStyle w:val="ListParagraph"/>
        <w:spacing w:line="240" w:lineRule="auto"/>
        <w:ind w:left="567"/>
        <w:contextualSpacing w:val="0"/>
        <w:jc w:val="left"/>
        <w:rPr>
          <w:rFonts w:cs="Tahoma"/>
          <w:sz w:val="20"/>
          <w:szCs w:val="20"/>
        </w:rPr>
      </w:pPr>
    </w:p>
    <w:p w14:paraId="2DC512D5" w14:textId="77777777" w:rsidR="00BD69AC" w:rsidRPr="0068236B" w:rsidRDefault="00BD69AC" w:rsidP="00BD69AC">
      <w:pPr>
        <w:pStyle w:val="ListParagraph"/>
        <w:spacing w:line="240" w:lineRule="auto"/>
        <w:ind w:left="567"/>
        <w:contextualSpacing w:val="0"/>
        <w:jc w:val="left"/>
        <w:rPr>
          <w:rFonts w:cs="Tahoma"/>
          <w:sz w:val="20"/>
          <w:szCs w:val="20"/>
        </w:rPr>
      </w:pPr>
      <w:r w:rsidRPr="0068236B">
        <w:rPr>
          <w:rFonts w:cs="Tahoma"/>
          <w:sz w:val="20"/>
          <w:szCs w:val="20"/>
        </w:rPr>
        <w:t>MEPSO’s Reports and Energy Sector Reports</w:t>
      </w:r>
    </w:p>
    <w:p w14:paraId="7C7037C3" w14:textId="2D889CDD" w:rsidR="00BD69AC" w:rsidRPr="0068236B" w:rsidRDefault="00BD69AC" w:rsidP="008E77D3">
      <w:pPr>
        <w:pStyle w:val="ListParagraph"/>
        <w:numPr>
          <w:ilvl w:val="0"/>
          <w:numId w:val="36"/>
        </w:numPr>
        <w:spacing w:line="240" w:lineRule="auto"/>
        <w:ind w:left="567" w:hanging="567"/>
        <w:contextualSpacing w:val="0"/>
        <w:jc w:val="left"/>
        <w:rPr>
          <w:rFonts w:cs="Tahoma"/>
          <w:sz w:val="20"/>
          <w:szCs w:val="20"/>
        </w:rPr>
      </w:pPr>
      <w:r w:rsidRPr="0068236B">
        <w:rPr>
          <w:rFonts w:cs="Tahoma"/>
          <w:sz w:val="20"/>
          <w:szCs w:val="20"/>
        </w:rPr>
        <w:t>Energy development Strategy in Macedonia, December 2019</w:t>
      </w:r>
    </w:p>
    <w:p w14:paraId="7818317E" w14:textId="03AE63D4" w:rsidR="00BD69AC" w:rsidRPr="0068236B" w:rsidRDefault="00BD69AC" w:rsidP="008E77D3">
      <w:pPr>
        <w:pStyle w:val="ListParagraph"/>
        <w:numPr>
          <w:ilvl w:val="0"/>
          <w:numId w:val="36"/>
        </w:numPr>
        <w:spacing w:line="240" w:lineRule="auto"/>
        <w:ind w:left="567" w:hanging="567"/>
        <w:contextualSpacing w:val="0"/>
        <w:jc w:val="left"/>
        <w:rPr>
          <w:rFonts w:cs="Tahoma"/>
          <w:sz w:val="20"/>
          <w:szCs w:val="20"/>
        </w:rPr>
      </w:pPr>
      <w:bookmarkStart w:id="635" w:name="_Ref77667260"/>
      <w:r w:rsidRPr="0068236B">
        <w:rPr>
          <w:rFonts w:cs="Tahoma"/>
          <w:sz w:val="20"/>
          <w:szCs w:val="20"/>
        </w:rPr>
        <w:t xml:space="preserve">GRID CODE – Rules for Electrical Transmission System Operation; MEPSO; </w:t>
      </w:r>
      <w:bookmarkEnd w:id="635"/>
      <w:r w:rsidR="00C32473" w:rsidRPr="0068236B">
        <w:rPr>
          <w:rFonts w:cs="Tahoma"/>
          <w:sz w:val="20"/>
          <w:szCs w:val="20"/>
        </w:rPr>
        <w:t>2021</w:t>
      </w:r>
    </w:p>
    <w:p w14:paraId="532FA024" w14:textId="77777777" w:rsidR="00BD69AC" w:rsidRPr="0068236B" w:rsidRDefault="00BD69AC" w:rsidP="008E77D3">
      <w:pPr>
        <w:pStyle w:val="ListParagraph"/>
        <w:numPr>
          <w:ilvl w:val="0"/>
          <w:numId w:val="36"/>
        </w:numPr>
        <w:spacing w:line="240" w:lineRule="auto"/>
        <w:ind w:left="567" w:hanging="567"/>
        <w:contextualSpacing w:val="0"/>
        <w:jc w:val="left"/>
        <w:rPr>
          <w:rFonts w:cs="Tahoma"/>
          <w:sz w:val="20"/>
          <w:szCs w:val="20"/>
        </w:rPr>
      </w:pPr>
      <w:r w:rsidRPr="0068236B">
        <w:rPr>
          <w:rFonts w:cs="Tahoma"/>
          <w:sz w:val="20"/>
          <w:szCs w:val="20"/>
        </w:rPr>
        <w:t>Annual Report for 2020; MEPSO, February 2021 (available in Macedonian)</w:t>
      </w:r>
    </w:p>
    <w:p w14:paraId="651F582C" w14:textId="77777777" w:rsidR="00BD69AC" w:rsidRPr="0068236B" w:rsidRDefault="00BD69AC" w:rsidP="008E77D3">
      <w:pPr>
        <w:pStyle w:val="ListParagraph"/>
        <w:numPr>
          <w:ilvl w:val="0"/>
          <w:numId w:val="36"/>
        </w:numPr>
        <w:spacing w:line="240" w:lineRule="auto"/>
        <w:ind w:left="567" w:hanging="567"/>
        <w:contextualSpacing w:val="0"/>
        <w:jc w:val="left"/>
        <w:rPr>
          <w:rFonts w:cs="Tahoma"/>
          <w:sz w:val="20"/>
          <w:szCs w:val="20"/>
        </w:rPr>
      </w:pPr>
      <w:bookmarkStart w:id="636" w:name="_Ref77667175"/>
      <w:r w:rsidRPr="0068236B">
        <w:rPr>
          <w:rFonts w:cs="Tahoma"/>
          <w:sz w:val="20"/>
          <w:szCs w:val="20"/>
        </w:rPr>
        <w:t>2nd ENTSO-E Guideline for CBA of Grid Development Projects; Final Approved by EC; ENTSO-E; March 2018</w:t>
      </w:r>
      <w:bookmarkEnd w:id="636"/>
    </w:p>
    <w:p w14:paraId="7E867AAE" w14:textId="77777777" w:rsidR="00BD69AC" w:rsidRPr="0068236B" w:rsidRDefault="00BD69AC" w:rsidP="008E77D3">
      <w:pPr>
        <w:pStyle w:val="ListParagraph"/>
        <w:numPr>
          <w:ilvl w:val="0"/>
          <w:numId w:val="36"/>
        </w:numPr>
        <w:spacing w:line="240" w:lineRule="auto"/>
        <w:ind w:left="567" w:hanging="567"/>
        <w:contextualSpacing w:val="0"/>
        <w:jc w:val="left"/>
        <w:rPr>
          <w:rFonts w:cs="Tahoma"/>
          <w:sz w:val="20"/>
          <w:szCs w:val="20"/>
        </w:rPr>
      </w:pPr>
      <w:r w:rsidRPr="0068236B">
        <w:rPr>
          <w:rFonts w:cs="Tahoma"/>
          <w:sz w:val="20"/>
          <w:szCs w:val="20"/>
        </w:rPr>
        <w:t xml:space="preserve">Ten-Year Network Development Plan (TYNDP) 201 [Online] </w:t>
      </w:r>
      <w:hyperlink r:id="rId149" w:history="1">
        <w:r w:rsidRPr="0068236B">
          <w:rPr>
            <w:rStyle w:val="Hyperlink"/>
            <w:rFonts w:cs="Tahoma"/>
            <w:color w:val="auto"/>
            <w:sz w:val="20"/>
            <w:szCs w:val="20"/>
            <w:u w:val="none"/>
          </w:rPr>
          <w:t>http://tyndp.entsoe.eu/tyndp2018/</w:t>
        </w:r>
      </w:hyperlink>
      <w:r w:rsidRPr="0068236B">
        <w:rPr>
          <w:rFonts w:cs="Tahoma"/>
          <w:sz w:val="20"/>
          <w:szCs w:val="20"/>
        </w:rPr>
        <w:t>; E</w:t>
      </w:r>
      <w:r w:rsidRPr="0068236B">
        <w:rPr>
          <w:rFonts w:cs="Tahoma"/>
          <w:sz w:val="20"/>
          <w:szCs w:val="20"/>
        </w:rPr>
        <w:t>N</w:t>
      </w:r>
      <w:r w:rsidRPr="0068236B">
        <w:rPr>
          <w:rFonts w:cs="Tahoma"/>
          <w:sz w:val="20"/>
          <w:szCs w:val="20"/>
        </w:rPr>
        <w:t>TSO-E; 2018</w:t>
      </w:r>
    </w:p>
    <w:p w14:paraId="081D583B" w14:textId="77777777" w:rsidR="00BD69AC" w:rsidRPr="0068236B" w:rsidRDefault="00BD69AC" w:rsidP="008E77D3">
      <w:pPr>
        <w:pStyle w:val="ListParagraph"/>
        <w:numPr>
          <w:ilvl w:val="0"/>
          <w:numId w:val="36"/>
        </w:numPr>
        <w:spacing w:line="240" w:lineRule="auto"/>
        <w:ind w:left="567" w:hanging="567"/>
        <w:contextualSpacing w:val="0"/>
        <w:jc w:val="left"/>
        <w:rPr>
          <w:rFonts w:cs="Tahoma"/>
          <w:sz w:val="20"/>
          <w:szCs w:val="20"/>
        </w:rPr>
      </w:pPr>
      <w:r w:rsidRPr="0068236B">
        <w:rPr>
          <w:rFonts w:cs="Tahoma"/>
          <w:sz w:val="20"/>
          <w:szCs w:val="20"/>
        </w:rPr>
        <w:t>Ten-Year Network Development Plan (TYNDP) 2020; ENTSO-E</w:t>
      </w:r>
    </w:p>
    <w:p w14:paraId="12D2BDA9" w14:textId="4AFDC893" w:rsidR="00B73065" w:rsidRPr="0068236B" w:rsidRDefault="00BA7539" w:rsidP="008E77D3">
      <w:pPr>
        <w:pStyle w:val="ListParagraph"/>
        <w:numPr>
          <w:ilvl w:val="0"/>
          <w:numId w:val="36"/>
        </w:numPr>
        <w:spacing w:line="240" w:lineRule="auto"/>
        <w:ind w:left="567" w:hanging="567"/>
        <w:contextualSpacing w:val="0"/>
        <w:jc w:val="left"/>
        <w:rPr>
          <w:rFonts w:cs="Tahoma"/>
          <w:sz w:val="20"/>
          <w:szCs w:val="20"/>
        </w:rPr>
      </w:pPr>
      <w:r w:rsidRPr="0068236B">
        <w:rPr>
          <w:rFonts w:cs="Tahoma"/>
          <w:sz w:val="20"/>
        </w:rPr>
        <w:t xml:space="preserve">Strategy for Energy Development the Republic of </w:t>
      </w:r>
      <w:r w:rsidR="00462949" w:rsidRPr="0068236B">
        <w:rPr>
          <w:rFonts w:cs="Tahoma"/>
          <w:sz w:val="20"/>
        </w:rPr>
        <w:t>Macedonia</w:t>
      </w:r>
      <w:r w:rsidRPr="0068236B">
        <w:rPr>
          <w:rFonts w:cs="Tahoma"/>
          <w:sz w:val="20"/>
        </w:rPr>
        <w:t xml:space="preserve"> until 2040, 2019</w:t>
      </w:r>
    </w:p>
    <w:p w14:paraId="68CE7C04" w14:textId="77777777" w:rsidR="00BD69AC" w:rsidRPr="0068236B" w:rsidRDefault="00BD69AC" w:rsidP="00BD69AC">
      <w:pPr>
        <w:pStyle w:val="ListParagraph"/>
        <w:spacing w:line="240" w:lineRule="auto"/>
        <w:ind w:left="567"/>
        <w:contextualSpacing w:val="0"/>
        <w:jc w:val="left"/>
        <w:rPr>
          <w:rFonts w:cs="Tahoma"/>
          <w:sz w:val="20"/>
          <w:szCs w:val="20"/>
        </w:rPr>
      </w:pPr>
    </w:p>
    <w:p w14:paraId="54788237" w14:textId="77777777" w:rsidR="00BD69AC" w:rsidRPr="0068236B" w:rsidRDefault="00BD69AC" w:rsidP="00BD69AC">
      <w:pPr>
        <w:pStyle w:val="ListParagraph"/>
        <w:spacing w:line="240" w:lineRule="auto"/>
        <w:ind w:left="567"/>
        <w:contextualSpacing w:val="0"/>
        <w:jc w:val="left"/>
        <w:rPr>
          <w:rFonts w:cs="Tahoma"/>
          <w:sz w:val="20"/>
          <w:szCs w:val="20"/>
        </w:rPr>
      </w:pPr>
      <w:r w:rsidRPr="0068236B">
        <w:rPr>
          <w:rFonts w:cs="Tahoma"/>
          <w:sz w:val="20"/>
          <w:szCs w:val="20"/>
        </w:rPr>
        <w:t>E&amp;S related Reports / Literature</w:t>
      </w:r>
    </w:p>
    <w:p w14:paraId="2E284CE0" w14:textId="77777777" w:rsidR="00BD69AC" w:rsidRPr="0068236B" w:rsidRDefault="00BD69AC" w:rsidP="008E77D3">
      <w:pPr>
        <w:pStyle w:val="ListParagraph"/>
        <w:numPr>
          <w:ilvl w:val="0"/>
          <w:numId w:val="36"/>
        </w:numPr>
        <w:spacing w:line="240" w:lineRule="auto"/>
        <w:ind w:left="567" w:hanging="567"/>
        <w:contextualSpacing w:val="0"/>
        <w:jc w:val="left"/>
        <w:rPr>
          <w:rFonts w:cs="Tahoma"/>
          <w:sz w:val="20"/>
          <w:szCs w:val="20"/>
        </w:rPr>
      </w:pPr>
      <w:r w:rsidRPr="0068236B">
        <w:rPr>
          <w:rFonts w:cs="Tahoma"/>
          <w:sz w:val="20"/>
          <w:szCs w:val="22"/>
        </w:rPr>
        <w:t>EBRD Environmental and Social Policy, April 2019</w:t>
      </w:r>
    </w:p>
    <w:p w14:paraId="5B19FF7F" w14:textId="77777777" w:rsidR="00BD69AC" w:rsidRPr="0068236B" w:rsidRDefault="00BD69AC" w:rsidP="008E77D3">
      <w:pPr>
        <w:pStyle w:val="ListParagraph"/>
        <w:numPr>
          <w:ilvl w:val="0"/>
          <w:numId w:val="36"/>
        </w:numPr>
        <w:spacing w:line="240" w:lineRule="auto"/>
        <w:ind w:left="567" w:hanging="567"/>
        <w:contextualSpacing w:val="0"/>
        <w:jc w:val="left"/>
        <w:rPr>
          <w:rFonts w:cs="Tahoma"/>
          <w:sz w:val="20"/>
          <w:szCs w:val="20"/>
        </w:rPr>
      </w:pPr>
      <w:r w:rsidRPr="0068236B">
        <w:rPr>
          <w:rFonts w:cs="Tahoma"/>
          <w:sz w:val="20"/>
          <w:szCs w:val="20"/>
        </w:rPr>
        <w:t xml:space="preserve">State Statistical Office Publications: </w:t>
      </w:r>
      <w:hyperlink r:id="rId150" w:history="1">
        <w:r w:rsidRPr="0068236B">
          <w:rPr>
            <w:rStyle w:val="Hyperlink"/>
            <w:rFonts w:cs="Tahoma"/>
            <w:color w:val="auto"/>
            <w:sz w:val="20"/>
            <w:szCs w:val="20"/>
            <w:u w:val="none"/>
          </w:rPr>
          <w:t>www.stat.gov.mk</w:t>
        </w:r>
      </w:hyperlink>
    </w:p>
    <w:p w14:paraId="0F6B87FA" w14:textId="77777777" w:rsidR="00BD69AC" w:rsidRPr="0068236B" w:rsidRDefault="00BD69AC" w:rsidP="008E77D3">
      <w:pPr>
        <w:pStyle w:val="ListParagraph"/>
        <w:numPr>
          <w:ilvl w:val="0"/>
          <w:numId w:val="36"/>
        </w:numPr>
        <w:spacing w:line="240" w:lineRule="auto"/>
        <w:ind w:left="567" w:hanging="567"/>
        <w:contextualSpacing w:val="0"/>
        <w:rPr>
          <w:rFonts w:cs="Tahoma"/>
          <w:sz w:val="20"/>
          <w:szCs w:val="22"/>
        </w:rPr>
      </w:pPr>
      <w:r w:rsidRPr="0068236B">
        <w:rPr>
          <w:rFonts w:cs="Tahoma"/>
          <w:sz w:val="20"/>
          <w:szCs w:val="22"/>
        </w:rPr>
        <w:t>Annual Report for Environmental Data for 2020; Ministry of Environment and Physical Planning, 2021</w:t>
      </w:r>
    </w:p>
    <w:p w14:paraId="2B4C3752" w14:textId="77777777" w:rsidR="00BD69AC" w:rsidRPr="0068236B" w:rsidRDefault="00BD69AC" w:rsidP="008E77D3">
      <w:pPr>
        <w:pStyle w:val="ListParagraph"/>
        <w:numPr>
          <w:ilvl w:val="0"/>
          <w:numId w:val="36"/>
        </w:numPr>
        <w:spacing w:line="240" w:lineRule="auto"/>
        <w:ind w:left="567" w:hanging="567"/>
        <w:contextualSpacing w:val="0"/>
        <w:rPr>
          <w:rFonts w:cs="Tahoma"/>
          <w:sz w:val="20"/>
          <w:szCs w:val="22"/>
        </w:rPr>
      </w:pPr>
      <w:r w:rsidRPr="0068236B">
        <w:rPr>
          <w:rFonts w:cs="Tahoma"/>
          <w:sz w:val="20"/>
        </w:rPr>
        <w:t>Macedonian Strategy for Nature Protection Melovski et al., 2019</w:t>
      </w:r>
    </w:p>
    <w:p w14:paraId="25F312CB" w14:textId="77777777" w:rsidR="00BD69AC" w:rsidRPr="0068236B" w:rsidRDefault="00BD69AC" w:rsidP="008E77D3">
      <w:pPr>
        <w:numPr>
          <w:ilvl w:val="0"/>
          <w:numId w:val="36"/>
        </w:numPr>
        <w:tabs>
          <w:tab w:val="left" w:pos="1276"/>
        </w:tabs>
        <w:spacing w:after="0" w:line="240" w:lineRule="auto"/>
        <w:ind w:left="567" w:hanging="567"/>
        <w:jc w:val="left"/>
        <w:rPr>
          <w:rFonts w:cs="Arial"/>
          <w:sz w:val="20"/>
        </w:rPr>
      </w:pPr>
      <w:r w:rsidRPr="0068236B">
        <w:rPr>
          <w:rFonts w:cs="Arial"/>
          <w:bCs/>
          <w:sz w:val="20"/>
        </w:rPr>
        <w:t>Extremely Low Frequency Fields; World Health Organization (WHO), 2007</w:t>
      </w:r>
    </w:p>
    <w:p w14:paraId="7924AC97" w14:textId="77777777" w:rsidR="00BD69AC" w:rsidRPr="0068236B" w:rsidRDefault="00BD69AC" w:rsidP="008E77D3">
      <w:pPr>
        <w:numPr>
          <w:ilvl w:val="0"/>
          <w:numId w:val="36"/>
        </w:numPr>
        <w:tabs>
          <w:tab w:val="left" w:pos="1276"/>
        </w:tabs>
        <w:spacing w:after="0" w:line="240" w:lineRule="auto"/>
        <w:ind w:left="567" w:hanging="567"/>
        <w:jc w:val="left"/>
        <w:rPr>
          <w:rFonts w:cs="Arial"/>
          <w:sz w:val="20"/>
          <w:szCs w:val="20"/>
        </w:rPr>
      </w:pPr>
      <w:r w:rsidRPr="0068236B">
        <w:rPr>
          <w:rFonts w:cs="Tahoma"/>
          <w:sz w:val="20"/>
          <w:szCs w:val="20"/>
        </w:rPr>
        <w:t>Environmental Noise Guidelines for the European Region, WHO, 2018</w:t>
      </w:r>
    </w:p>
    <w:p w14:paraId="0EFE1B90" w14:textId="77777777" w:rsidR="00BD69AC" w:rsidRPr="0068236B" w:rsidRDefault="00BD69AC" w:rsidP="008E77D3">
      <w:pPr>
        <w:pStyle w:val="ListParagraph"/>
        <w:numPr>
          <w:ilvl w:val="0"/>
          <w:numId w:val="36"/>
        </w:numPr>
        <w:spacing w:line="240" w:lineRule="auto"/>
        <w:ind w:left="567" w:hanging="567"/>
        <w:contextualSpacing w:val="0"/>
        <w:jc w:val="left"/>
        <w:rPr>
          <w:rFonts w:cs="Tahoma"/>
          <w:sz w:val="20"/>
          <w:szCs w:val="20"/>
        </w:rPr>
      </w:pPr>
      <w:r w:rsidRPr="0068236B">
        <w:rPr>
          <w:rFonts w:cs="Tahoma"/>
          <w:sz w:val="20"/>
          <w:szCs w:val="20"/>
        </w:rPr>
        <w:t>Koco Dimce (1996). ‘Archaeological Map of the Republic of Macedonia’ II. Skopje: Macedonian Aca</w:t>
      </w:r>
      <w:r w:rsidRPr="0068236B">
        <w:rPr>
          <w:rFonts w:cs="Tahoma"/>
          <w:sz w:val="20"/>
          <w:szCs w:val="20"/>
        </w:rPr>
        <w:t>d</w:t>
      </w:r>
      <w:r w:rsidRPr="0068236B">
        <w:rPr>
          <w:rFonts w:cs="Tahoma"/>
          <w:sz w:val="20"/>
          <w:szCs w:val="20"/>
        </w:rPr>
        <w:t>emy of Sciences and Arts</w:t>
      </w:r>
    </w:p>
    <w:p w14:paraId="45741CC8" w14:textId="77777777" w:rsidR="00096EA3" w:rsidRPr="0068236B" w:rsidRDefault="00096EA3" w:rsidP="00C07E2E">
      <w:pPr>
        <w:spacing w:line="240" w:lineRule="auto"/>
        <w:rPr>
          <w:rFonts w:cs="Tahoma"/>
          <w:sz w:val="20"/>
          <w:szCs w:val="20"/>
        </w:rPr>
      </w:pPr>
    </w:p>
    <w:p w14:paraId="119F21AE" w14:textId="59CAA8D3" w:rsidR="00561F01" w:rsidRPr="0068236B" w:rsidRDefault="00561F01" w:rsidP="00561F01">
      <w:pPr>
        <w:pStyle w:val="ListParagraph"/>
        <w:spacing w:line="240" w:lineRule="auto"/>
        <w:ind w:left="567"/>
        <w:contextualSpacing w:val="0"/>
        <w:jc w:val="left"/>
        <w:rPr>
          <w:rFonts w:cs="Tahoma"/>
          <w:sz w:val="20"/>
          <w:szCs w:val="20"/>
        </w:rPr>
      </w:pPr>
      <w:r w:rsidRPr="0068236B">
        <w:rPr>
          <w:rFonts w:cs="Tahoma"/>
          <w:sz w:val="20"/>
          <w:szCs w:val="20"/>
        </w:rPr>
        <w:t>Climate Change and Climate Resilience</w:t>
      </w:r>
    </w:p>
    <w:p w14:paraId="210ED942" w14:textId="776F4FF7" w:rsidR="003B4434" w:rsidRPr="0068236B" w:rsidRDefault="003B4434" w:rsidP="008E77D3">
      <w:pPr>
        <w:pStyle w:val="ListParagraph"/>
        <w:numPr>
          <w:ilvl w:val="0"/>
          <w:numId w:val="36"/>
        </w:numPr>
        <w:autoSpaceDE w:val="0"/>
        <w:autoSpaceDN w:val="0"/>
        <w:adjustRightInd w:val="0"/>
        <w:spacing w:after="0"/>
        <w:ind w:left="567" w:hanging="567"/>
        <w:jc w:val="left"/>
        <w:rPr>
          <w:rFonts w:cs="Tahoma"/>
          <w:sz w:val="20"/>
          <w:szCs w:val="20"/>
        </w:rPr>
      </w:pPr>
      <w:r w:rsidRPr="0068236B">
        <w:rPr>
          <w:rFonts w:cs="Tahoma"/>
          <w:sz w:val="20"/>
          <w:szCs w:val="20"/>
        </w:rPr>
        <w:t>MAC</w:t>
      </w:r>
      <w:r w:rsidR="004B1CA5" w:rsidRPr="0068236B">
        <w:rPr>
          <w:rFonts w:cs="Tahoma"/>
          <w:sz w:val="20"/>
          <w:szCs w:val="20"/>
        </w:rPr>
        <w:t xml:space="preserve">EDONIAN </w:t>
      </w:r>
      <w:r w:rsidRPr="0068236B">
        <w:rPr>
          <w:rFonts w:cs="Tahoma"/>
          <w:sz w:val="20"/>
          <w:szCs w:val="20"/>
        </w:rPr>
        <w:t>THIRD BIENNIAL UPDATE REPORT ON CLIMATE CHANGE, August 2021; Ministry of Environment and Physical Planning</w:t>
      </w:r>
    </w:p>
    <w:p w14:paraId="4D57DF43" w14:textId="51B1876D" w:rsidR="00561F01" w:rsidRPr="0068236B" w:rsidRDefault="00561F01" w:rsidP="008E77D3">
      <w:pPr>
        <w:pStyle w:val="ListParagraph"/>
        <w:numPr>
          <w:ilvl w:val="0"/>
          <w:numId w:val="36"/>
        </w:numPr>
        <w:autoSpaceDE w:val="0"/>
        <w:autoSpaceDN w:val="0"/>
        <w:adjustRightInd w:val="0"/>
        <w:spacing w:after="0"/>
        <w:ind w:left="567" w:hanging="567"/>
        <w:jc w:val="left"/>
        <w:rPr>
          <w:rFonts w:cs="Tahoma"/>
          <w:sz w:val="20"/>
          <w:szCs w:val="20"/>
        </w:rPr>
      </w:pPr>
      <w:r w:rsidRPr="0068236B">
        <w:rPr>
          <w:rFonts w:cs="Tahoma"/>
          <w:iCs/>
          <w:sz w:val="20"/>
          <w:szCs w:val="20"/>
        </w:rPr>
        <w:t>The Impact of Climate Change on Electricity Demand (</w:t>
      </w:r>
      <w:hyperlink r:id="rId151" w:history="1">
        <w:r w:rsidRPr="0068236B">
          <w:rPr>
            <w:rStyle w:val="Hyperlink"/>
            <w:rFonts w:cs="Tahoma"/>
            <w:color w:val="auto"/>
            <w:sz w:val="20"/>
            <w:szCs w:val="20"/>
          </w:rPr>
          <w:t>www.adamproject.eu</w:t>
        </w:r>
      </w:hyperlink>
      <w:r w:rsidRPr="0068236B">
        <w:rPr>
          <w:rFonts w:cs="Tahoma"/>
          <w:sz w:val="20"/>
          <w:szCs w:val="20"/>
        </w:rPr>
        <w:t>); European Commission, 2011</w:t>
      </w:r>
    </w:p>
    <w:p w14:paraId="3F1CFE7B" w14:textId="77777777" w:rsidR="00561F01" w:rsidRPr="0068236B" w:rsidRDefault="00561F01" w:rsidP="008E77D3">
      <w:pPr>
        <w:pStyle w:val="ListParagraph"/>
        <w:numPr>
          <w:ilvl w:val="0"/>
          <w:numId w:val="36"/>
        </w:numPr>
        <w:autoSpaceDE w:val="0"/>
        <w:autoSpaceDN w:val="0"/>
        <w:adjustRightInd w:val="0"/>
        <w:spacing w:after="0"/>
        <w:ind w:left="567" w:hanging="567"/>
        <w:jc w:val="left"/>
        <w:rPr>
          <w:rFonts w:cs="Tahoma"/>
          <w:sz w:val="20"/>
          <w:szCs w:val="20"/>
        </w:rPr>
      </w:pPr>
      <w:r w:rsidRPr="0068236B">
        <w:rPr>
          <w:rFonts w:cs="Tahoma"/>
          <w:sz w:val="20"/>
          <w:szCs w:val="20"/>
        </w:rPr>
        <w:lastRenderedPageBreak/>
        <w:t>Managing the Risks of Extreme Events and Disasters to Advance Climate Change Adaptation; Inte</w:t>
      </w:r>
      <w:r w:rsidRPr="0068236B">
        <w:rPr>
          <w:rFonts w:cs="Tahoma"/>
          <w:sz w:val="20"/>
          <w:szCs w:val="20"/>
        </w:rPr>
        <w:t>r</w:t>
      </w:r>
      <w:r w:rsidRPr="0068236B">
        <w:rPr>
          <w:rFonts w:cs="Tahoma"/>
          <w:sz w:val="20"/>
          <w:szCs w:val="20"/>
        </w:rPr>
        <w:t>governmental Panel on Climate Change (IPCC), 2012.</w:t>
      </w:r>
    </w:p>
    <w:p w14:paraId="130FA9FE" w14:textId="77777777" w:rsidR="00561F01" w:rsidRPr="0068236B" w:rsidRDefault="00561F01" w:rsidP="008E77D3">
      <w:pPr>
        <w:pStyle w:val="ListParagraph"/>
        <w:numPr>
          <w:ilvl w:val="0"/>
          <w:numId w:val="36"/>
        </w:numPr>
        <w:autoSpaceDE w:val="0"/>
        <w:autoSpaceDN w:val="0"/>
        <w:adjustRightInd w:val="0"/>
        <w:spacing w:after="0"/>
        <w:ind w:left="567" w:hanging="567"/>
        <w:jc w:val="left"/>
        <w:rPr>
          <w:rFonts w:cs="Tahoma"/>
          <w:sz w:val="20"/>
          <w:szCs w:val="20"/>
        </w:rPr>
      </w:pPr>
      <w:r w:rsidRPr="0068236B">
        <w:rPr>
          <w:rFonts w:cs="Tahoma"/>
          <w:sz w:val="20"/>
          <w:szCs w:val="20"/>
        </w:rPr>
        <w:t>Climate risk and adaptation in the electric power sector; Asian Development Bank, 2012</w:t>
      </w:r>
    </w:p>
    <w:p w14:paraId="5AF91E8F" w14:textId="77777777" w:rsidR="00561F01" w:rsidRPr="0068236B" w:rsidRDefault="00561F01" w:rsidP="008E77D3">
      <w:pPr>
        <w:pStyle w:val="ListParagraph"/>
        <w:numPr>
          <w:ilvl w:val="0"/>
          <w:numId w:val="36"/>
        </w:numPr>
        <w:spacing w:after="0"/>
        <w:ind w:left="567" w:hanging="567"/>
        <w:jc w:val="left"/>
        <w:rPr>
          <w:rFonts w:cs="Tahoma"/>
          <w:sz w:val="20"/>
          <w:szCs w:val="20"/>
        </w:rPr>
      </w:pPr>
      <w:r w:rsidRPr="0068236B">
        <w:rPr>
          <w:rFonts w:cs="Arial"/>
          <w:sz w:val="20"/>
          <w:szCs w:val="20"/>
        </w:rPr>
        <w:t>Guidance on Integrating Climate Change and Biodiversity into Environmental Impact Assessment; Euro</w:t>
      </w:r>
      <w:r w:rsidRPr="0068236B">
        <w:rPr>
          <w:rFonts w:cs="Tahoma"/>
          <w:sz w:val="20"/>
          <w:szCs w:val="20"/>
        </w:rPr>
        <w:t>pean Union 2013</w:t>
      </w:r>
    </w:p>
    <w:p w14:paraId="22163103" w14:textId="77777777" w:rsidR="00561F01" w:rsidRPr="0068236B" w:rsidRDefault="00561F01" w:rsidP="008E77D3">
      <w:pPr>
        <w:pStyle w:val="ListParagraph"/>
        <w:numPr>
          <w:ilvl w:val="0"/>
          <w:numId w:val="36"/>
        </w:numPr>
        <w:autoSpaceDE w:val="0"/>
        <w:autoSpaceDN w:val="0"/>
        <w:adjustRightInd w:val="0"/>
        <w:spacing w:after="0"/>
        <w:ind w:left="567" w:hanging="567"/>
        <w:jc w:val="left"/>
        <w:rPr>
          <w:rStyle w:val="A15"/>
          <w:rFonts w:cs="Tahoma"/>
        </w:rPr>
      </w:pPr>
      <w:r w:rsidRPr="0068236B">
        <w:rPr>
          <w:rStyle w:val="A0"/>
          <w:rFonts w:ascii="Tahoma" w:eastAsia="Calibri" w:hAnsi="Tahoma" w:cs="Tahoma"/>
          <w:b w:val="0"/>
          <w:sz w:val="20"/>
          <w:szCs w:val="20"/>
        </w:rPr>
        <w:t xml:space="preserve">Making the energy sector more resilient to climate change; </w:t>
      </w:r>
      <w:r w:rsidRPr="0068236B">
        <w:rPr>
          <w:rStyle w:val="A15"/>
          <w:rFonts w:cs="Tahoma"/>
        </w:rPr>
        <w:t>IEA Environment and Climate Change Unit Directorate of Sustainable Energy Policy and Technologies, 2015</w:t>
      </w:r>
    </w:p>
    <w:p w14:paraId="1A966BC7" w14:textId="77777777" w:rsidR="00561F01" w:rsidRPr="0068236B" w:rsidRDefault="00561F01" w:rsidP="008E77D3">
      <w:pPr>
        <w:pStyle w:val="ListParagraph"/>
        <w:numPr>
          <w:ilvl w:val="0"/>
          <w:numId w:val="36"/>
        </w:numPr>
        <w:spacing w:after="0"/>
        <w:ind w:left="567" w:hanging="567"/>
        <w:jc w:val="left"/>
        <w:rPr>
          <w:rFonts w:cs="Tahoma"/>
          <w:sz w:val="20"/>
          <w:szCs w:val="20"/>
        </w:rPr>
      </w:pPr>
      <w:r w:rsidRPr="0068236B">
        <w:rPr>
          <w:rFonts w:cs="Tahoma"/>
          <w:sz w:val="20"/>
          <w:szCs w:val="20"/>
        </w:rPr>
        <w:t xml:space="preserve">Statistics: CO2 EMISSIONS FROM FUEL COMBUSTION </w:t>
      </w:r>
      <w:r w:rsidRPr="0068236B">
        <w:rPr>
          <w:rFonts w:cs="Tahoma"/>
          <w:i/>
          <w:iCs/>
          <w:sz w:val="20"/>
          <w:szCs w:val="20"/>
        </w:rPr>
        <w:t xml:space="preserve">Highlights </w:t>
      </w:r>
      <w:r w:rsidRPr="0068236B">
        <w:rPr>
          <w:rFonts w:cs="Tahoma"/>
          <w:sz w:val="20"/>
          <w:szCs w:val="20"/>
        </w:rPr>
        <w:t>(2019 edition); OECD / International Energy Agency, 2019</w:t>
      </w:r>
    </w:p>
    <w:p w14:paraId="17B16944" w14:textId="77777777" w:rsidR="00561F01" w:rsidRPr="0068236B" w:rsidRDefault="00561F01" w:rsidP="008E77D3">
      <w:pPr>
        <w:pStyle w:val="ListParagraph"/>
        <w:numPr>
          <w:ilvl w:val="0"/>
          <w:numId w:val="36"/>
        </w:numPr>
        <w:spacing w:after="0"/>
        <w:ind w:left="567" w:hanging="567"/>
        <w:jc w:val="left"/>
        <w:rPr>
          <w:rStyle w:val="A0"/>
          <w:rFonts w:ascii="Tahoma" w:hAnsi="Tahoma" w:cs="Tahoma"/>
          <w:b w:val="0"/>
          <w:bCs w:val="0"/>
          <w:color w:val="auto"/>
          <w:sz w:val="20"/>
          <w:szCs w:val="20"/>
        </w:rPr>
      </w:pPr>
      <w:r w:rsidRPr="0068236B">
        <w:rPr>
          <w:rStyle w:val="A0"/>
          <w:rFonts w:ascii="Tahoma" w:eastAsia="Calibri" w:hAnsi="Tahoma" w:cs="Tahoma"/>
          <w:b w:val="0"/>
          <w:color w:val="auto"/>
          <w:sz w:val="20"/>
          <w:szCs w:val="20"/>
        </w:rPr>
        <w:t>Contribution of SEE SEP programme to EU Progress Reports 2016: South East Europe Energy Watc</w:t>
      </w:r>
      <w:r w:rsidRPr="0068236B">
        <w:rPr>
          <w:rStyle w:val="A0"/>
          <w:rFonts w:ascii="Tahoma" w:eastAsia="Calibri" w:hAnsi="Tahoma" w:cs="Tahoma"/>
          <w:b w:val="0"/>
          <w:color w:val="auto"/>
          <w:sz w:val="20"/>
          <w:szCs w:val="20"/>
        </w:rPr>
        <w:t>h</w:t>
      </w:r>
      <w:r w:rsidRPr="0068236B">
        <w:rPr>
          <w:rStyle w:val="A0"/>
          <w:rFonts w:ascii="Tahoma" w:eastAsia="Calibri" w:hAnsi="Tahoma" w:cs="Tahoma"/>
          <w:b w:val="0"/>
          <w:color w:val="auto"/>
          <w:sz w:val="20"/>
          <w:szCs w:val="20"/>
        </w:rPr>
        <w:t>dog Report 2016</w:t>
      </w:r>
      <w:r w:rsidRPr="0068236B">
        <w:rPr>
          <w:rStyle w:val="A0"/>
          <w:rFonts w:ascii="Tahoma" w:eastAsia="Calibri" w:hAnsi="Tahoma" w:cs="Tahoma"/>
          <w:b w:val="0"/>
          <w:sz w:val="20"/>
          <w:szCs w:val="20"/>
        </w:rPr>
        <w:t>; SEE Change Net, 2016; Supported by EU</w:t>
      </w:r>
    </w:p>
    <w:p w14:paraId="0C20237B" w14:textId="77777777" w:rsidR="00561F01" w:rsidRPr="0068236B" w:rsidRDefault="00561F01" w:rsidP="008E77D3">
      <w:pPr>
        <w:pStyle w:val="ListParagraph"/>
        <w:numPr>
          <w:ilvl w:val="0"/>
          <w:numId w:val="36"/>
        </w:numPr>
        <w:spacing w:after="0"/>
        <w:ind w:left="567" w:hanging="567"/>
        <w:jc w:val="left"/>
        <w:rPr>
          <w:rFonts w:cs="Tahoma"/>
          <w:sz w:val="20"/>
          <w:szCs w:val="20"/>
        </w:rPr>
      </w:pPr>
      <w:r w:rsidRPr="0068236B">
        <w:rPr>
          <w:rFonts w:cs="Tahoma"/>
          <w:sz w:val="20"/>
          <w:szCs w:val="20"/>
        </w:rPr>
        <w:t>Key Technical Challenges for the Electric Power Industry and Climate Change, IEEE Trans. Energy Convers. 25 (2010) 465-473.; L.M. Beard, J.B. Cardell, I. Dobson, F. Galvan, D. Hawkins, W. Jewell</w:t>
      </w:r>
      <w:r w:rsidRPr="0068236B">
        <w:rPr>
          <w:rFonts w:cs="Tahoma"/>
          <w:i/>
          <w:iCs/>
          <w:sz w:val="20"/>
          <w:szCs w:val="20"/>
        </w:rPr>
        <w:t xml:space="preserve">, </w:t>
      </w:r>
      <w:r w:rsidRPr="0068236B">
        <w:rPr>
          <w:rFonts w:cs="Tahoma"/>
          <w:sz w:val="20"/>
          <w:szCs w:val="20"/>
        </w:rPr>
        <w:t>et al.</w:t>
      </w:r>
    </w:p>
    <w:p w14:paraId="47FDEDFD" w14:textId="77777777" w:rsidR="00561F01" w:rsidRPr="0068236B" w:rsidRDefault="00561F01" w:rsidP="008E77D3">
      <w:pPr>
        <w:pStyle w:val="ListParagraph"/>
        <w:numPr>
          <w:ilvl w:val="0"/>
          <w:numId w:val="36"/>
        </w:numPr>
        <w:spacing w:after="0"/>
        <w:ind w:left="567" w:hanging="567"/>
        <w:jc w:val="left"/>
        <w:rPr>
          <w:rStyle w:val="A0"/>
          <w:rFonts w:ascii="Tahoma" w:hAnsi="Tahoma" w:cs="Tahoma"/>
          <w:b w:val="0"/>
          <w:bCs w:val="0"/>
          <w:color w:val="auto"/>
          <w:sz w:val="20"/>
          <w:szCs w:val="20"/>
        </w:rPr>
      </w:pPr>
      <w:r w:rsidRPr="0068236B">
        <w:rPr>
          <w:rFonts w:cs="Tahoma"/>
          <w:sz w:val="20"/>
          <w:szCs w:val="20"/>
        </w:rPr>
        <w:t>Influence of Extreme Weather and Climate Change on the Resilience of Power Systems: Impact and Possible Mitigation Strategies; Mathaios Panteli and Pierluigi Mancarella, School of Electrical and Ele</w:t>
      </w:r>
      <w:r w:rsidRPr="0068236B">
        <w:rPr>
          <w:rFonts w:cs="Tahoma"/>
          <w:sz w:val="20"/>
          <w:szCs w:val="20"/>
        </w:rPr>
        <w:t>c</w:t>
      </w:r>
      <w:r w:rsidRPr="0068236B">
        <w:rPr>
          <w:rFonts w:cs="Tahoma"/>
          <w:sz w:val="20"/>
          <w:szCs w:val="20"/>
        </w:rPr>
        <w:t>tronic Engineering, University of Manchester, UK</w:t>
      </w:r>
    </w:p>
    <w:p w14:paraId="12810AB6" w14:textId="77777777" w:rsidR="00096EA3" w:rsidRPr="0068236B" w:rsidRDefault="00096EA3" w:rsidP="00A15F33">
      <w:pPr>
        <w:rPr>
          <w:sz w:val="20"/>
        </w:rPr>
      </w:pPr>
    </w:p>
    <w:p w14:paraId="2B968DC5" w14:textId="77777777" w:rsidR="00A15F33" w:rsidRPr="0068236B" w:rsidRDefault="00A15F33" w:rsidP="0061653B">
      <w:pPr>
        <w:rPr>
          <w:sz w:val="20"/>
        </w:rPr>
      </w:pPr>
    </w:p>
    <w:p w14:paraId="4DC820CC" w14:textId="77777777" w:rsidR="00561F01" w:rsidRPr="0068236B" w:rsidRDefault="00561F01">
      <w:pPr>
        <w:spacing w:before="0" w:after="0" w:line="240" w:lineRule="auto"/>
        <w:jc w:val="left"/>
        <w:rPr>
          <w:rFonts w:ascii="Tahoma Bold" w:hAnsi="Tahoma Bold"/>
          <w:b/>
          <w:color w:val="44697D"/>
          <w:sz w:val="32"/>
          <w:szCs w:val="32"/>
          <w:u w:color="00B050"/>
        </w:rPr>
      </w:pPr>
      <w:bookmarkStart w:id="637" w:name="_Toc24928679"/>
      <w:bookmarkStart w:id="638" w:name="_Toc24974079"/>
      <w:bookmarkStart w:id="639" w:name="_Toc520911388"/>
      <w:bookmarkStart w:id="640" w:name="_Toc24928681"/>
      <w:bookmarkStart w:id="641" w:name="_Toc24974081"/>
      <w:bookmarkStart w:id="642" w:name="_Toc24974093"/>
      <w:bookmarkStart w:id="643" w:name="_Toc24974095"/>
      <w:bookmarkStart w:id="644" w:name="_Toc24974096"/>
      <w:bookmarkStart w:id="645" w:name="_Toc24974097"/>
      <w:bookmarkStart w:id="646" w:name="_Toc24974098"/>
      <w:bookmarkStart w:id="647" w:name="_Toc24974099"/>
      <w:bookmarkStart w:id="648" w:name="_Toc24974100"/>
      <w:bookmarkStart w:id="649" w:name="_Toc24974101"/>
      <w:bookmarkStart w:id="650" w:name="_Toc24974102"/>
      <w:bookmarkStart w:id="651" w:name="_Toc24974103"/>
      <w:bookmarkStart w:id="652" w:name="_Toc24974104"/>
      <w:bookmarkStart w:id="653" w:name="_Toc24974105"/>
      <w:bookmarkStart w:id="654" w:name="_Toc24974106"/>
      <w:bookmarkStart w:id="655" w:name="_Toc24974107"/>
      <w:bookmarkStart w:id="656" w:name="_Toc24974108"/>
      <w:bookmarkStart w:id="657" w:name="_Toc24974109"/>
      <w:bookmarkStart w:id="658" w:name="_Toc24974110"/>
      <w:bookmarkStart w:id="659" w:name="_Toc24974111"/>
      <w:bookmarkStart w:id="660" w:name="_Toc24974112"/>
      <w:bookmarkStart w:id="661" w:name="_Toc24974113"/>
      <w:bookmarkStart w:id="662" w:name="_Toc24974114"/>
      <w:bookmarkStart w:id="663" w:name="_Toc24974115"/>
      <w:bookmarkStart w:id="664" w:name="_Toc24974116"/>
      <w:bookmarkStart w:id="665" w:name="_Toc24974117"/>
      <w:bookmarkStart w:id="666" w:name="_Toc24974118"/>
      <w:bookmarkStart w:id="667" w:name="_Toc24974119"/>
      <w:bookmarkStart w:id="668" w:name="_Toc24974120"/>
      <w:bookmarkStart w:id="669" w:name="_Toc24974121"/>
      <w:bookmarkStart w:id="670" w:name="_Toc24974122"/>
      <w:bookmarkStart w:id="671" w:name="_Toc24974123"/>
      <w:bookmarkStart w:id="672" w:name="_Toc24974124"/>
      <w:bookmarkStart w:id="673" w:name="_Toc24974125"/>
      <w:bookmarkStart w:id="674" w:name="_Toc24974126"/>
      <w:bookmarkStart w:id="675" w:name="_Toc24974127"/>
      <w:bookmarkStart w:id="676" w:name="_Toc24974128"/>
      <w:bookmarkStart w:id="677" w:name="_Toc24974129"/>
      <w:bookmarkStart w:id="678" w:name="_Toc24974130"/>
      <w:bookmarkStart w:id="679" w:name="_Toc24974131"/>
      <w:bookmarkStart w:id="680" w:name="_Toc24974132"/>
      <w:bookmarkStart w:id="681" w:name="_Toc24974133"/>
      <w:bookmarkStart w:id="682" w:name="_Toc24974134"/>
      <w:bookmarkStart w:id="683" w:name="_Toc24974135"/>
      <w:bookmarkStart w:id="684" w:name="_Toc24974136"/>
      <w:bookmarkStart w:id="685" w:name="_Toc24974137"/>
      <w:bookmarkStart w:id="686" w:name="_Toc24974138"/>
      <w:bookmarkStart w:id="687" w:name="_Toc24974139"/>
      <w:bookmarkStart w:id="688" w:name="_Toc24974140"/>
      <w:bookmarkStart w:id="689" w:name="_Toc24974141"/>
      <w:bookmarkStart w:id="690" w:name="_Toc24974142"/>
      <w:bookmarkStart w:id="691" w:name="_Toc24974143"/>
      <w:bookmarkStart w:id="692" w:name="_Toc24974144"/>
      <w:bookmarkStart w:id="693" w:name="_Toc24974145"/>
      <w:bookmarkStart w:id="694" w:name="_Toc24974146"/>
      <w:bookmarkStart w:id="695" w:name="_Toc24974147"/>
      <w:bookmarkStart w:id="696" w:name="_Toc24974148"/>
      <w:bookmarkStart w:id="697" w:name="_Toc24974149"/>
      <w:bookmarkStart w:id="698" w:name="_Toc24974150"/>
      <w:bookmarkStart w:id="699" w:name="_Toc24974151"/>
      <w:bookmarkStart w:id="700" w:name="_Toc24974152"/>
      <w:bookmarkStart w:id="701" w:name="_Toc24974153"/>
      <w:bookmarkStart w:id="702" w:name="_Toc24974154"/>
      <w:bookmarkStart w:id="703" w:name="_Toc24974155"/>
      <w:bookmarkStart w:id="704" w:name="_Toc24974156"/>
      <w:bookmarkStart w:id="705" w:name="_Toc24974157"/>
      <w:bookmarkStart w:id="706" w:name="_Toc24974158"/>
      <w:bookmarkStart w:id="707" w:name="_Toc24974159"/>
      <w:bookmarkStart w:id="708" w:name="_Toc24974160"/>
      <w:bookmarkStart w:id="709" w:name="_Toc24974161"/>
      <w:bookmarkStart w:id="710" w:name="_Toc24974162"/>
      <w:bookmarkStart w:id="711" w:name="_Toc24974163"/>
      <w:bookmarkStart w:id="712" w:name="_Toc24974164"/>
      <w:bookmarkStart w:id="713" w:name="_Toc24974165"/>
      <w:bookmarkStart w:id="714" w:name="_Toc24974166"/>
      <w:bookmarkStart w:id="715" w:name="_Toc24974167"/>
      <w:bookmarkStart w:id="716" w:name="_Toc24974168"/>
      <w:bookmarkStart w:id="717" w:name="_Toc24974169"/>
      <w:bookmarkStart w:id="718" w:name="_Toc24974170"/>
      <w:bookmarkStart w:id="719" w:name="_Toc24974171"/>
      <w:bookmarkStart w:id="720" w:name="_Toc24974172"/>
      <w:bookmarkStart w:id="721" w:name="_Toc24974173"/>
      <w:bookmarkStart w:id="722" w:name="_Toc24974174"/>
      <w:bookmarkStart w:id="723" w:name="_Toc24974175"/>
      <w:bookmarkStart w:id="724" w:name="_Toc24974176"/>
      <w:bookmarkStart w:id="725" w:name="_Toc24974177"/>
      <w:bookmarkStart w:id="726" w:name="_Toc24974178"/>
      <w:bookmarkStart w:id="727" w:name="_Toc24974179"/>
      <w:bookmarkStart w:id="728" w:name="_Toc24974180"/>
      <w:bookmarkStart w:id="729" w:name="_Toc24974181"/>
      <w:bookmarkStart w:id="730" w:name="_Toc24974182"/>
      <w:bookmarkStart w:id="731" w:name="_Toc24974183"/>
      <w:bookmarkStart w:id="732" w:name="_Toc24974184"/>
      <w:bookmarkStart w:id="733" w:name="_Toc24974185"/>
      <w:bookmarkStart w:id="734" w:name="_Toc24974186"/>
      <w:bookmarkStart w:id="735" w:name="_Toc24974187"/>
      <w:bookmarkStart w:id="736" w:name="_Toc24974188"/>
      <w:bookmarkStart w:id="737" w:name="_Toc24974189"/>
      <w:bookmarkStart w:id="738" w:name="_Toc24974190"/>
      <w:bookmarkStart w:id="739" w:name="_Toc24974191"/>
      <w:bookmarkStart w:id="740" w:name="_Toc24974192"/>
      <w:bookmarkStart w:id="741" w:name="_Toc24974193"/>
      <w:bookmarkStart w:id="742" w:name="_Toc24974194"/>
      <w:bookmarkStart w:id="743" w:name="_Toc24974195"/>
      <w:bookmarkStart w:id="744" w:name="_Toc24974196"/>
      <w:bookmarkStart w:id="745" w:name="_Toc24974197"/>
      <w:bookmarkStart w:id="746" w:name="_Toc24974198"/>
      <w:bookmarkStart w:id="747" w:name="_Toc24974199"/>
      <w:bookmarkStart w:id="748" w:name="_Toc24974200"/>
      <w:bookmarkStart w:id="749" w:name="_Toc24974201"/>
      <w:bookmarkStart w:id="750" w:name="_Toc24974202"/>
      <w:bookmarkStart w:id="751" w:name="_Toc24974203"/>
      <w:bookmarkStart w:id="752" w:name="_Toc24974204"/>
      <w:bookmarkStart w:id="753" w:name="_Toc24974205"/>
      <w:bookmarkStart w:id="754" w:name="_Toc24974206"/>
      <w:bookmarkStart w:id="755" w:name="_Toc24974207"/>
      <w:bookmarkStart w:id="756" w:name="_Toc24974208"/>
      <w:bookmarkStart w:id="757" w:name="_Toc24974209"/>
      <w:bookmarkStart w:id="758" w:name="_Toc24974210"/>
      <w:bookmarkStart w:id="759" w:name="_Toc24974211"/>
      <w:bookmarkStart w:id="760" w:name="_Toc24974212"/>
      <w:bookmarkStart w:id="761" w:name="_Toc24974213"/>
      <w:bookmarkStart w:id="762" w:name="_Toc24974214"/>
      <w:bookmarkStart w:id="763" w:name="_Toc24974215"/>
      <w:bookmarkStart w:id="764" w:name="_Toc24974216"/>
      <w:bookmarkStart w:id="765" w:name="_Toc24974217"/>
      <w:bookmarkStart w:id="766" w:name="_Toc24974218"/>
      <w:bookmarkStart w:id="767" w:name="_Toc24974219"/>
      <w:bookmarkStart w:id="768" w:name="_Toc24974220"/>
      <w:bookmarkStart w:id="769" w:name="_Toc24974221"/>
      <w:bookmarkStart w:id="770" w:name="_Toc24974222"/>
      <w:bookmarkStart w:id="771" w:name="_Toc24974223"/>
      <w:bookmarkStart w:id="772" w:name="_Toc24974224"/>
      <w:bookmarkStart w:id="773" w:name="_Toc24974225"/>
      <w:bookmarkStart w:id="774" w:name="_Toc24974226"/>
      <w:bookmarkStart w:id="775" w:name="_Toc24974227"/>
      <w:bookmarkStart w:id="776" w:name="_Toc24974228"/>
      <w:bookmarkStart w:id="777" w:name="_Toc24974229"/>
      <w:bookmarkStart w:id="778" w:name="_Toc24974230"/>
      <w:bookmarkStart w:id="779" w:name="_Toc24974231"/>
      <w:bookmarkStart w:id="780" w:name="_Toc24974232"/>
      <w:bookmarkStart w:id="781" w:name="_Toc24974233"/>
      <w:bookmarkStart w:id="782" w:name="_Toc24974234"/>
      <w:bookmarkStart w:id="783" w:name="_Toc24974235"/>
      <w:bookmarkStart w:id="784" w:name="_Toc24974236"/>
      <w:bookmarkStart w:id="785" w:name="_Toc24974237"/>
      <w:bookmarkStart w:id="786" w:name="_Toc24974238"/>
      <w:bookmarkStart w:id="787" w:name="_Toc24974239"/>
      <w:bookmarkStart w:id="788" w:name="_Toc24974240"/>
      <w:bookmarkStart w:id="789" w:name="_Toc24974241"/>
      <w:bookmarkStart w:id="790" w:name="_Toc24974242"/>
      <w:bookmarkStart w:id="791" w:name="_Toc24974243"/>
      <w:bookmarkStart w:id="792" w:name="_Toc24974244"/>
      <w:bookmarkStart w:id="793" w:name="_Toc24974245"/>
      <w:bookmarkStart w:id="794" w:name="_Toc24974246"/>
      <w:bookmarkStart w:id="795" w:name="_Toc24974247"/>
      <w:bookmarkStart w:id="796" w:name="_Toc24974248"/>
      <w:bookmarkStart w:id="797" w:name="_Toc24974249"/>
      <w:bookmarkStart w:id="798" w:name="_Toc24974250"/>
      <w:bookmarkStart w:id="799" w:name="_Toc24974251"/>
      <w:bookmarkStart w:id="800" w:name="_Toc24974252"/>
      <w:bookmarkStart w:id="801" w:name="_Toc24974253"/>
      <w:bookmarkStart w:id="802" w:name="_Toc24974254"/>
      <w:bookmarkStart w:id="803" w:name="_Toc24974255"/>
      <w:bookmarkStart w:id="804" w:name="_Toc24974256"/>
      <w:bookmarkStart w:id="805" w:name="_Toc24974257"/>
      <w:bookmarkStart w:id="806" w:name="_Toc24974258"/>
      <w:bookmarkStart w:id="807" w:name="_Toc24974259"/>
      <w:bookmarkStart w:id="808" w:name="_Toc24974260"/>
      <w:bookmarkStart w:id="809" w:name="_Toc24974261"/>
      <w:bookmarkStart w:id="810" w:name="_Toc24974262"/>
      <w:bookmarkStart w:id="811" w:name="_Toc24974263"/>
      <w:bookmarkStart w:id="812" w:name="_Toc24974264"/>
      <w:bookmarkStart w:id="813" w:name="_Toc24974265"/>
      <w:bookmarkStart w:id="814" w:name="_Toc24974266"/>
      <w:bookmarkStart w:id="815" w:name="_Toc24974267"/>
      <w:bookmarkStart w:id="816" w:name="_Toc24974268"/>
      <w:bookmarkStart w:id="817" w:name="_Toc24974269"/>
      <w:bookmarkStart w:id="818" w:name="_Toc24974270"/>
      <w:bookmarkStart w:id="819" w:name="_Toc24974271"/>
      <w:bookmarkStart w:id="820" w:name="_Toc24974272"/>
      <w:bookmarkStart w:id="821" w:name="_Toc24974273"/>
      <w:bookmarkStart w:id="822" w:name="_Toc24974274"/>
      <w:bookmarkStart w:id="823" w:name="_Toc24974275"/>
      <w:bookmarkStart w:id="824" w:name="_Toc24974276"/>
      <w:bookmarkStart w:id="825" w:name="_Toc24974277"/>
      <w:bookmarkStart w:id="826" w:name="_Toc24974278"/>
      <w:bookmarkStart w:id="827" w:name="_Toc24974279"/>
      <w:bookmarkStart w:id="828" w:name="_Toc24974280"/>
      <w:bookmarkStart w:id="829" w:name="_Toc24974281"/>
      <w:bookmarkStart w:id="830" w:name="_Toc24974282"/>
      <w:bookmarkStart w:id="831" w:name="_Toc24974283"/>
      <w:bookmarkStart w:id="832" w:name="_Toc24974284"/>
      <w:bookmarkStart w:id="833" w:name="_Toc24974285"/>
      <w:bookmarkStart w:id="834" w:name="_Toc24974286"/>
      <w:bookmarkStart w:id="835" w:name="_Toc24974287"/>
      <w:bookmarkStart w:id="836" w:name="_Toc24974288"/>
      <w:bookmarkStart w:id="837" w:name="_Toc24974289"/>
      <w:bookmarkStart w:id="838" w:name="_Toc24974290"/>
      <w:bookmarkStart w:id="839" w:name="_Toc24974291"/>
      <w:bookmarkStart w:id="840" w:name="_Toc24974292"/>
      <w:bookmarkStart w:id="841" w:name="_Toc24974293"/>
      <w:bookmarkStart w:id="842" w:name="_Toc24974294"/>
      <w:bookmarkStart w:id="843" w:name="_Toc24974295"/>
      <w:bookmarkStart w:id="844" w:name="_Toc24974296"/>
      <w:bookmarkStart w:id="845" w:name="_Toc24974297"/>
      <w:bookmarkStart w:id="846" w:name="_Toc24974298"/>
      <w:bookmarkStart w:id="847" w:name="_Toc24974299"/>
      <w:bookmarkStart w:id="848" w:name="_Toc24974300"/>
      <w:bookmarkStart w:id="849" w:name="_Toc24974301"/>
      <w:bookmarkStart w:id="850" w:name="_Toc24974302"/>
      <w:bookmarkStart w:id="851" w:name="_Toc24974303"/>
      <w:bookmarkStart w:id="852" w:name="_Toc24974304"/>
      <w:bookmarkStart w:id="853" w:name="_Toc24974305"/>
      <w:bookmarkStart w:id="854" w:name="_Toc24974306"/>
      <w:bookmarkStart w:id="855" w:name="_Toc24974307"/>
      <w:bookmarkStart w:id="856" w:name="_Toc24974308"/>
      <w:bookmarkStart w:id="857" w:name="_Toc24974309"/>
      <w:bookmarkStart w:id="858" w:name="_Toc24974310"/>
      <w:bookmarkStart w:id="859" w:name="_Toc24974311"/>
      <w:bookmarkStart w:id="860" w:name="_Toc24974312"/>
      <w:bookmarkStart w:id="861" w:name="_Toc24974313"/>
      <w:bookmarkStart w:id="862" w:name="_Toc24974314"/>
      <w:bookmarkStart w:id="863" w:name="_Toc24974315"/>
      <w:bookmarkStart w:id="864" w:name="_Toc24974316"/>
      <w:bookmarkStart w:id="865" w:name="_Toc24974317"/>
      <w:bookmarkStart w:id="866" w:name="_Toc24974318"/>
      <w:bookmarkStart w:id="867" w:name="_Toc24974319"/>
      <w:bookmarkStart w:id="868" w:name="_Toc24974320"/>
      <w:bookmarkStart w:id="869" w:name="_Toc24974321"/>
      <w:bookmarkStart w:id="870" w:name="_Toc24974322"/>
      <w:bookmarkStart w:id="871" w:name="_Toc24974323"/>
      <w:bookmarkStart w:id="872" w:name="_Toc24974324"/>
      <w:bookmarkStart w:id="873" w:name="_Toc24974325"/>
      <w:bookmarkStart w:id="874" w:name="_Toc24974326"/>
      <w:bookmarkStart w:id="875" w:name="_Toc24974327"/>
      <w:bookmarkStart w:id="876" w:name="_Toc24974328"/>
      <w:bookmarkStart w:id="877" w:name="_Toc24974329"/>
      <w:bookmarkStart w:id="878" w:name="_Toc24974330"/>
      <w:bookmarkStart w:id="879" w:name="_Toc24974331"/>
      <w:bookmarkStart w:id="880" w:name="_Toc24974332"/>
      <w:bookmarkStart w:id="881" w:name="_Toc24974333"/>
      <w:bookmarkStart w:id="882" w:name="_Toc24974334"/>
      <w:bookmarkStart w:id="883" w:name="_Toc24974335"/>
      <w:bookmarkStart w:id="884" w:name="_Toc24974336"/>
      <w:bookmarkStart w:id="885" w:name="_Toc24974337"/>
      <w:bookmarkStart w:id="886" w:name="_Toc24974338"/>
      <w:bookmarkStart w:id="887" w:name="_Toc24974339"/>
      <w:bookmarkStart w:id="888" w:name="_Toc24974340"/>
      <w:bookmarkStart w:id="889" w:name="_Toc24974341"/>
      <w:bookmarkStart w:id="890" w:name="_Toc24974342"/>
      <w:bookmarkStart w:id="891" w:name="_Toc24974343"/>
      <w:bookmarkStart w:id="892" w:name="_Toc24974344"/>
      <w:bookmarkStart w:id="893" w:name="_Toc24974345"/>
      <w:bookmarkStart w:id="894" w:name="_Toc24974346"/>
      <w:bookmarkStart w:id="895" w:name="_Toc24974347"/>
      <w:bookmarkStart w:id="896" w:name="_Toc24974348"/>
      <w:bookmarkStart w:id="897" w:name="_Toc24974349"/>
      <w:bookmarkStart w:id="898" w:name="_Toc24974350"/>
      <w:bookmarkStart w:id="899" w:name="_Toc24974351"/>
      <w:bookmarkStart w:id="900" w:name="_Toc24974352"/>
      <w:bookmarkStart w:id="901" w:name="_Toc24974353"/>
      <w:bookmarkStart w:id="902" w:name="_Toc24974354"/>
      <w:bookmarkStart w:id="903" w:name="_Toc24974355"/>
      <w:bookmarkStart w:id="904" w:name="_Toc24974356"/>
      <w:bookmarkStart w:id="905" w:name="_Toc24974357"/>
      <w:bookmarkStart w:id="906" w:name="_Toc24974358"/>
      <w:bookmarkStart w:id="907" w:name="_Toc24974359"/>
      <w:bookmarkStart w:id="908" w:name="_Toc24974360"/>
      <w:bookmarkStart w:id="909" w:name="_Toc25843006"/>
      <w:bookmarkStart w:id="910" w:name="_Toc25843401"/>
      <w:bookmarkStart w:id="911" w:name="_Toc25843007"/>
      <w:bookmarkStart w:id="912" w:name="_Toc25843402"/>
      <w:bookmarkStart w:id="913" w:name="_Toc25843008"/>
      <w:bookmarkStart w:id="914" w:name="_Toc25843403"/>
      <w:bookmarkStart w:id="915" w:name="_Toc25843009"/>
      <w:bookmarkStart w:id="916" w:name="_Toc25843404"/>
      <w:bookmarkStart w:id="917" w:name="_Toc25843010"/>
      <w:bookmarkStart w:id="918" w:name="_Toc25843405"/>
      <w:bookmarkStart w:id="919" w:name="_Toc25843011"/>
      <w:bookmarkStart w:id="920" w:name="_Toc25843406"/>
      <w:bookmarkStart w:id="921" w:name="_Toc25843012"/>
      <w:bookmarkStart w:id="922" w:name="_Toc25843407"/>
      <w:bookmarkStart w:id="923" w:name="_Toc25843013"/>
      <w:bookmarkStart w:id="924" w:name="_Toc25843408"/>
      <w:bookmarkStart w:id="925" w:name="_Toc25843014"/>
      <w:bookmarkStart w:id="926" w:name="_Toc25843409"/>
      <w:bookmarkStart w:id="927" w:name="_Toc25843015"/>
      <w:bookmarkStart w:id="928" w:name="_Toc25843410"/>
      <w:bookmarkStart w:id="929" w:name="_Toc25843016"/>
      <w:bookmarkStart w:id="930" w:name="_Toc25843411"/>
      <w:bookmarkStart w:id="931" w:name="_Toc25843017"/>
      <w:bookmarkStart w:id="932" w:name="_Toc25843412"/>
      <w:bookmarkStart w:id="933" w:name="_Toc25843018"/>
      <w:bookmarkStart w:id="934" w:name="_Toc25843413"/>
      <w:bookmarkStart w:id="935" w:name="_Toc25843019"/>
      <w:bookmarkStart w:id="936" w:name="_Toc25843414"/>
      <w:bookmarkStart w:id="937" w:name="_Toc25843020"/>
      <w:bookmarkStart w:id="938" w:name="_Toc25843415"/>
      <w:bookmarkStart w:id="939" w:name="_Toc25843021"/>
      <w:bookmarkStart w:id="940" w:name="_Toc25843416"/>
      <w:bookmarkStart w:id="941" w:name="_Toc25843022"/>
      <w:bookmarkStart w:id="942" w:name="_Toc25843417"/>
      <w:bookmarkStart w:id="943" w:name="_Toc25843023"/>
      <w:bookmarkStart w:id="944" w:name="_Toc25843418"/>
      <w:bookmarkStart w:id="945" w:name="_Toc25843024"/>
      <w:bookmarkStart w:id="946" w:name="_Toc25843419"/>
      <w:bookmarkStart w:id="947" w:name="_Toc25843025"/>
      <w:bookmarkStart w:id="948" w:name="_Toc25843420"/>
      <w:bookmarkStart w:id="949" w:name="_Toc25843026"/>
      <w:bookmarkStart w:id="950" w:name="_Toc25843421"/>
      <w:bookmarkStart w:id="951" w:name="_Toc25843027"/>
      <w:bookmarkStart w:id="952" w:name="_Toc25843422"/>
      <w:bookmarkStart w:id="953" w:name="_Toc25843028"/>
      <w:bookmarkStart w:id="954" w:name="_Toc25843423"/>
      <w:bookmarkStart w:id="955" w:name="_Toc25843029"/>
      <w:bookmarkStart w:id="956" w:name="_Toc25843424"/>
      <w:bookmarkStart w:id="957" w:name="_Toc25843030"/>
      <w:bookmarkStart w:id="958" w:name="_Toc25843425"/>
      <w:bookmarkStart w:id="959" w:name="_Toc25843031"/>
      <w:bookmarkStart w:id="960" w:name="_Toc25843426"/>
      <w:bookmarkStart w:id="961" w:name="_Toc25843032"/>
      <w:bookmarkStart w:id="962" w:name="_Toc25843427"/>
      <w:bookmarkStart w:id="963" w:name="_Toc25843033"/>
      <w:bookmarkStart w:id="964" w:name="_Toc25843428"/>
      <w:bookmarkStart w:id="965" w:name="_Toc25843034"/>
      <w:bookmarkStart w:id="966" w:name="_Toc25843429"/>
      <w:bookmarkStart w:id="967" w:name="_Toc25843035"/>
      <w:bookmarkStart w:id="968" w:name="_Toc25843430"/>
      <w:bookmarkStart w:id="969" w:name="_Toc25843036"/>
      <w:bookmarkStart w:id="970" w:name="_Toc25843431"/>
      <w:bookmarkStart w:id="971" w:name="_Toc25843037"/>
      <w:bookmarkStart w:id="972" w:name="_Toc25843432"/>
      <w:bookmarkStart w:id="973" w:name="_Toc25843038"/>
      <w:bookmarkStart w:id="974" w:name="_Toc25843433"/>
      <w:bookmarkStart w:id="975" w:name="_Toc25843039"/>
      <w:bookmarkStart w:id="976" w:name="_Toc25843434"/>
      <w:bookmarkStart w:id="977" w:name="_Toc25843040"/>
      <w:bookmarkStart w:id="978" w:name="_Toc25843435"/>
      <w:bookmarkStart w:id="979" w:name="_Toc25843041"/>
      <w:bookmarkStart w:id="980" w:name="_Toc25843436"/>
      <w:bookmarkStart w:id="981" w:name="_Toc25843042"/>
      <w:bookmarkStart w:id="982" w:name="_Toc25843437"/>
      <w:bookmarkStart w:id="983" w:name="_Toc25843043"/>
      <w:bookmarkStart w:id="984" w:name="_Toc25843438"/>
      <w:bookmarkStart w:id="985" w:name="_Toc25843044"/>
      <w:bookmarkStart w:id="986" w:name="_Toc25843439"/>
      <w:bookmarkStart w:id="987" w:name="_Toc25843045"/>
      <w:bookmarkStart w:id="988" w:name="_Toc25843440"/>
      <w:bookmarkStart w:id="989" w:name="_Toc25843046"/>
      <w:bookmarkStart w:id="990" w:name="_Toc25843441"/>
      <w:bookmarkStart w:id="991" w:name="_Toc25843047"/>
      <w:bookmarkStart w:id="992" w:name="_Toc25843442"/>
      <w:bookmarkStart w:id="993" w:name="_Toc25843048"/>
      <w:bookmarkStart w:id="994" w:name="_Toc25843443"/>
      <w:bookmarkStart w:id="995" w:name="_Toc25843049"/>
      <w:bookmarkStart w:id="996" w:name="_Toc25843444"/>
      <w:bookmarkStart w:id="997" w:name="_Toc25843050"/>
      <w:bookmarkStart w:id="998" w:name="_Toc25843445"/>
      <w:bookmarkStart w:id="999" w:name="_Toc25843051"/>
      <w:bookmarkStart w:id="1000" w:name="_Toc25843446"/>
      <w:bookmarkStart w:id="1001" w:name="_Toc25843052"/>
      <w:bookmarkStart w:id="1002" w:name="_Toc25843447"/>
      <w:bookmarkStart w:id="1003" w:name="_Toc25843053"/>
      <w:bookmarkStart w:id="1004" w:name="_Toc25843448"/>
      <w:bookmarkStart w:id="1005" w:name="_Toc25843054"/>
      <w:bookmarkStart w:id="1006" w:name="_Toc25843449"/>
      <w:bookmarkStart w:id="1007" w:name="_Toc25843055"/>
      <w:bookmarkStart w:id="1008" w:name="_Toc25843450"/>
      <w:bookmarkStart w:id="1009" w:name="_Toc25843056"/>
      <w:bookmarkStart w:id="1010" w:name="_Toc25843451"/>
      <w:bookmarkStart w:id="1011" w:name="_Toc25843057"/>
      <w:bookmarkStart w:id="1012" w:name="_Toc25843452"/>
      <w:bookmarkStart w:id="1013" w:name="_Toc25843058"/>
      <w:bookmarkStart w:id="1014" w:name="_Toc25843453"/>
      <w:bookmarkStart w:id="1015" w:name="_Toc25843059"/>
      <w:bookmarkStart w:id="1016" w:name="_Toc25843454"/>
      <w:bookmarkStart w:id="1017" w:name="_Toc25843060"/>
      <w:bookmarkStart w:id="1018" w:name="_Toc25843455"/>
      <w:bookmarkStart w:id="1019" w:name="_Toc25843061"/>
      <w:bookmarkStart w:id="1020" w:name="_Toc25843456"/>
      <w:bookmarkStart w:id="1021" w:name="_Toc25843062"/>
      <w:bookmarkStart w:id="1022" w:name="_Toc25843457"/>
      <w:bookmarkStart w:id="1023" w:name="_Toc25843063"/>
      <w:bookmarkStart w:id="1024" w:name="_Toc25843458"/>
      <w:bookmarkStart w:id="1025" w:name="_Toc25843064"/>
      <w:bookmarkStart w:id="1026" w:name="_Toc25843459"/>
      <w:bookmarkStart w:id="1027" w:name="_Toc25843065"/>
      <w:bookmarkStart w:id="1028" w:name="_Toc25843460"/>
      <w:bookmarkStart w:id="1029" w:name="_Toc25843066"/>
      <w:bookmarkStart w:id="1030" w:name="_Toc25843461"/>
      <w:bookmarkStart w:id="1031" w:name="_Toc25843067"/>
      <w:bookmarkStart w:id="1032" w:name="_Toc25843462"/>
      <w:bookmarkStart w:id="1033" w:name="_Toc25843068"/>
      <w:bookmarkStart w:id="1034" w:name="_Toc25843463"/>
      <w:bookmarkStart w:id="1035" w:name="_Toc25843069"/>
      <w:bookmarkStart w:id="1036" w:name="_Toc25843464"/>
      <w:bookmarkStart w:id="1037" w:name="_Toc25843070"/>
      <w:bookmarkStart w:id="1038" w:name="_Toc25843465"/>
      <w:bookmarkStart w:id="1039" w:name="_Toc25843071"/>
      <w:bookmarkStart w:id="1040" w:name="_Toc25843466"/>
      <w:bookmarkStart w:id="1041" w:name="_Toc25843072"/>
      <w:bookmarkStart w:id="1042" w:name="_Toc25843467"/>
      <w:bookmarkStart w:id="1043" w:name="_Toc25843073"/>
      <w:bookmarkStart w:id="1044" w:name="_Toc25843468"/>
      <w:bookmarkStart w:id="1045" w:name="_Toc25843074"/>
      <w:bookmarkStart w:id="1046" w:name="_Toc25843469"/>
      <w:bookmarkStart w:id="1047" w:name="_Toc25843075"/>
      <w:bookmarkStart w:id="1048" w:name="_Toc25843470"/>
      <w:bookmarkStart w:id="1049" w:name="_Toc25843076"/>
      <w:bookmarkStart w:id="1050" w:name="_Toc25843471"/>
      <w:bookmarkStart w:id="1051" w:name="_Toc25843077"/>
      <w:bookmarkStart w:id="1052" w:name="_Toc25843472"/>
      <w:bookmarkStart w:id="1053" w:name="_Toc25843078"/>
      <w:bookmarkStart w:id="1054" w:name="_Toc25843473"/>
      <w:bookmarkStart w:id="1055" w:name="_Toc25843079"/>
      <w:bookmarkStart w:id="1056" w:name="_Toc25843474"/>
      <w:bookmarkStart w:id="1057" w:name="_Toc25843080"/>
      <w:bookmarkStart w:id="1058" w:name="_Toc25843475"/>
      <w:bookmarkStart w:id="1059" w:name="_Toc25843081"/>
      <w:bookmarkStart w:id="1060" w:name="_Toc25843476"/>
      <w:bookmarkStart w:id="1061" w:name="_Toc25843082"/>
      <w:bookmarkStart w:id="1062" w:name="_Toc25843477"/>
      <w:bookmarkStart w:id="1063" w:name="_Toc25843083"/>
      <w:bookmarkStart w:id="1064" w:name="_Toc25843478"/>
      <w:bookmarkStart w:id="1065" w:name="_Toc25843084"/>
      <w:bookmarkStart w:id="1066" w:name="_Toc25843479"/>
      <w:bookmarkStart w:id="1067" w:name="_Toc25843085"/>
      <w:bookmarkStart w:id="1068" w:name="_Toc25843480"/>
      <w:bookmarkStart w:id="1069" w:name="_Toc25843086"/>
      <w:bookmarkStart w:id="1070" w:name="_Toc25843481"/>
      <w:bookmarkStart w:id="1071" w:name="_Toc25843087"/>
      <w:bookmarkStart w:id="1072" w:name="_Toc25843482"/>
      <w:bookmarkStart w:id="1073" w:name="_Toc25843088"/>
      <w:bookmarkStart w:id="1074" w:name="_Toc25843483"/>
      <w:bookmarkStart w:id="1075" w:name="_Toc25843089"/>
      <w:bookmarkStart w:id="1076" w:name="_Toc25843484"/>
      <w:bookmarkStart w:id="1077" w:name="_Toc25843090"/>
      <w:bookmarkStart w:id="1078" w:name="_Toc25843485"/>
      <w:bookmarkStart w:id="1079" w:name="_Toc25843091"/>
      <w:bookmarkStart w:id="1080" w:name="_Toc25843486"/>
      <w:bookmarkStart w:id="1081" w:name="_Toc25843092"/>
      <w:bookmarkStart w:id="1082" w:name="_Toc25843487"/>
      <w:bookmarkStart w:id="1083" w:name="_Toc25843093"/>
      <w:bookmarkStart w:id="1084" w:name="_Toc25843488"/>
      <w:bookmarkStart w:id="1085" w:name="_Toc25843094"/>
      <w:bookmarkStart w:id="1086" w:name="_Toc25843489"/>
      <w:bookmarkStart w:id="1087" w:name="_Toc25843095"/>
      <w:bookmarkStart w:id="1088" w:name="_Toc25843490"/>
      <w:bookmarkStart w:id="1089" w:name="_Toc25843096"/>
      <w:bookmarkStart w:id="1090" w:name="_Toc25843491"/>
      <w:bookmarkStart w:id="1091" w:name="_Toc25843097"/>
      <w:bookmarkStart w:id="1092" w:name="_Toc25843492"/>
      <w:bookmarkStart w:id="1093" w:name="_Toc25843098"/>
      <w:bookmarkStart w:id="1094" w:name="_Toc25843493"/>
      <w:bookmarkStart w:id="1095" w:name="_Toc25843099"/>
      <w:bookmarkStart w:id="1096" w:name="_Toc25843494"/>
      <w:bookmarkStart w:id="1097" w:name="_Toc25843100"/>
      <w:bookmarkStart w:id="1098" w:name="_Toc25843495"/>
      <w:bookmarkStart w:id="1099" w:name="_Toc25843101"/>
      <w:bookmarkStart w:id="1100" w:name="_Toc25843496"/>
      <w:bookmarkStart w:id="1101" w:name="_Toc25843102"/>
      <w:bookmarkStart w:id="1102" w:name="_Toc25843497"/>
      <w:bookmarkStart w:id="1103" w:name="_Toc25843103"/>
      <w:bookmarkStart w:id="1104" w:name="_Toc25843498"/>
      <w:bookmarkStart w:id="1105" w:name="_Toc25843104"/>
      <w:bookmarkStart w:id="1106" w:name="_Toc25843499"/>
      <w:bookmarkStart w:id="1107" w:name="_Toc25843105"/>
      <w:bookmarkStart w:id="1108" w:name="_Toc25843500"/>
      <w:bookmarkStart w:id="1109" w:name="_Toc25843106"/>
      <w:bookmarkStart w:id="1110" w:name="_Toc25843501"/>
      <w:bookmarkStart w:id="1111" w:name="_Toc25843107"/>
      <w:bookmarkStart w:id="1112" w:name="_Toc25843502"/>
      <w:bookmarkStart w:id="1113" w:name="_Toc25843108"/>
      <w:bookmarkStart w:id="1114" w:name="_Toc25843503"/>
      <w:bookmarkStart w:id="1115" w:name="_Toc25843109"/>
      <w:bookmarkStart w:id="1116" w:name="_Toc25843504"/>
      <w:bookmarkStart w:id="1117" w:name="_Toc25843110"/>
      <w:bookmarkStart w:id="1118" w:name="_Toc25843505"/>
      <w:bookmarkStart w:id="1119" w:name="_Toc25843111"/>
      <w:bookmarkStart w:id="1120" w:name="_Toc25843506"/>
      <w:bookmarkStart w:id="1121" w:name="_Toc25843112"/>
      <w:bookmarkStart w:id="1122" w:name="_Toc25843507"/>
      <w:bookmarkStart w:id="1123" w:name="_Toc25843113"/>
      <w:bookmarkStart w:id="1124" w:name="_Toc25843508"/>
      <w:bookmarkStart w:id="1125" w:name="_Toc25843114"/>
      <w:bookmarkStart w:id="1126" w:name="_Toc25843509"/>
      <w:bookmarkStart w:id="1127" w:name="_Toc25843115"/>
      <w:bookmarkStart w:id="1128" w:name="_Toc25843510"/>
      <w:bookmarkStart w:id="1129" w:name="_Toc25843116"/>
      <w:bookmarkStart w:id="1130" w:name="_Toc25843511"/>
      <w:bookmarkStart w:id="1131" w:name="_Toc25843117"/>
      <w:bookmarkStart w:id="1132" w:name="_Toc25843512"/>
      <w:bookmarkStart w:id="1133" w:name="_Toc25843118"/>
      <w:bookmarkStart w:id="1134" w:name="_Toc25843513"/>
      <w:bookmarkStart w:id="1135" w:name="_Toc25843119"/>
      <w:bookmarkStart w:id="1136" w:name="_Toc25843514"/>
      <w:bookmarkStart w:id="1137" w:name="_Toc25843120"/>
      <w:bookmarkStart w:id="1138" w:name="_Toc25843515"/>
      <w:bookmarkStart w:id="1139" w:name="_Toc25843121"/>
      <w:bookmarkStart w:id="1140" w:name="_Toc25843516"/>
      <w:bookmarkStart w:id="1141" w:name="_Toc25843122"/>
      <w:bookmarkStart w:id="1142" w:name="_Toc25843517"/>
      <w:bookmarkStart w:id="1143" w:name="_Toc25843123"/>
      <w:bookmarkStart w:id="1144" w:name="_Toc25843518"/>
      <w:bookmarkStart w:id="1145" w:name="_Toc25843124"/>
      <w:bookmarkStart w:id="1146" w:name="_Toc25843519"/>
      <w:bookmarkStart w:id="1147" w:name="_Toc25843125"/>
      <w:bookmarkStart w:id="1148" w:name="_Toc25843520"/>
      <w:bookmarkStart w:id="1149" w:name="_Toc25843126"/>
      <w:bookmarkStart w:id="1150" w:name="_Toc25843521"/>
      <w:bookmarkStart w:id="1151" w:name="_Toc25843127"/>
      <w:bookmarkStart w:id="1152" w:name="_Toc25843522"/>
      <w:bookmarkStart w:id="1153" w:name="_Toc25843128"/>
      <w:bookmarkStart w:id="1154" w:name="_Toc25843523"/>
      <w:bookmarkStart w:id="1155" w:name="_Toc25843129"/>
      <w:bookmarkStart w:id="1156" w:name="_Toc25843524"/>
      <w:bookmarkStart w:id="1157" w:name="_Toc25843130"/>
      <w:bookmarkStart w:id="1158" w:name="_Toc25843525"/>
      <w:bookmarkStart w:id="1159" w:name="_Toc25843131"/>
      <w:bookmarkStart w:id="1160" w:name="_Toc25843526"/>
      <w:bookmarkStart w:id="1161" w:name="_Toc25843132"/>
      <w:bookmarkStart w:id="1162" w:name="_Toc25843527"/>
      <w:bookmarkStart w:id="1163" w:name="_Toc25843133"/>
      <w:bookmarkStart w:id="1164" w:name="_Toc25843528"/>
      <w:bookmarkStart w:id="1165" w:name="_Toc25843134"/>
      <w:bookmarkStart w:id="1166" w:name="_Toc25843529"/>
      <w:bookmarkStart w:id="1167" w:name="_Toc25843135"/>
      <w:bookmarkStart w:id="1168" w:name="_Toc25843530"/>
      <w:bookmarkStart w:id="1169" w:name="_Toc25843136"/>
      <w:bookmarkStart w:id="1170" w:name="_Toc25843531"/>
      <w:bookmarkStart w:id="1171" w:name="_Toc25843137"/>
      <w:bookmarkStart w:id="1172" w:name="_Toc25843532"/>
      <w:bookmarkStart w:id="1173" w:name="_Toc25843138"/>
      <w:bookmarkStart w:id="1174" w:name="_Toc25843533"/>
      <w:bookmarkStart w:id="1175" w:name="_Toc25843139"/>
      <w:bookmarkStart w:id="1176" w:name="_Toc25843534"/>
      <w:bookmarkStart w:id="1177" w:name="_Toc25843140"/>
      <w:bookmarkStart w:id="1178" w:name="_Toc25843535"/>
      <w:bookmarkStart w:id="1179" w:name="_Toc25843141"/>
      <w:bookmarkStart w:id="1180" w:name="_Toc25843536"/>
      <w:bookmarkStart w:id="1181" w:name="_Toc25843142"/>
      <w:bookmarkStart w:id="1182" w:name="_Toc25843537"/>
      <w:bookmarkStart w:id="1183" w:name="_Toc25843143"/>
      <w:bookmarkStart w:id="1184" w:name="_Toc25843538"/>
      <w:bookmarkStart w:id="1185" w:name="_Toc25843144"/>
      <w:bookmarkStart w:id="1186" w:name="_Toc25843539"/>
      <w:bookmarkStart w:id="1187" w:name="_Toc25843145"/>
      <w:bookmarkStart w:id="1188" w:name="_Toc25843540"/>
      <w:bookmarkStart w:id="1189" w:name="_Toc25843146"/>
      <w:bookmarkStart w:id="1190" w:name="_Toc25843541"/>
      <w:bookmarkStart w:id="1191" w:name="_Toc25843147"/>
      <w:bookmarkStart w:id="1192" w:name="_Toc25843542"/>
      <w:bookmarkStart w:id="1193" w:name="_Toc25843148"/>
      <w:bookmarkStart w:id="1194" w:name="_Toc25843543"/>
      <w:bookmarkStart w:id="1195" w:name="_Toc25843149"/>
      <w:bookmarkStart w:id="1196" w:name="_Toc25843544"/>
      <w:bookmarkStart w:id="1197" w:name="_Toc25843150"/>
      <w:bookmarkStart w:id="1198" w:name="_Toc25843545"/>
      <w:bookmarkStart w:id="1199" w:name="_Toc25843151"/>
      <w:bookmarkStart w:id="1200" w:name="_Toc25843546"/>
      <w:bookmarkStart w:id="1201" w:name="_Toc25843152"/>
      <w:bookmarkStart w:id="1202" w:name="_Toc25843547"/>
      <w:bookmarkStart w:id="1203" w:name="_Toc25843153"/>
      <w:bookmarkStart w:id="1204" w:name="_Toc25843548"/>
      <w:bookmarkStart w:id="1205" w:name="_Toc25843154"/>
      <w:bookmarkStart w:id="1206" w:name="_Toc25843549"/>
      <w:bookmarkStart w:id="1207" w:name="_Toc25843155"/>
      <w:bookmarkStart w:id="1208" w:name="_Toc25843550"/>
      <w:bookmarkStart w:id="1209" w:name="_Toc25843156"/>
      <w:bookmarkStart w:id="1210" w:name="_Toc25843551"/>
      <w:bookmarkStart w:id="1211" w:name="_Toc25843157"/>
      <w:bookmarkStart w:id="1212" w:name="_Toc25843552"/>
      <w:bookmarkStart w:id="1213" w:name="_Toc25843158"/>
      <w:bookmarkStart w:id="1214" w:name="_Toc25843553"/>
      <w:bookmarkStart w:id="1215" w:name="_Toc25843159"/>
      <w:bookmarkStart w:id="1216" w:name="_Toc25843554"/>
      <w:bookmarkStart w:id="1217" w:name="_Toc25843160"/>
      <w:bookmarkStart w:id="1218" w:name="_Toc25843555"/>
      <w:bookmarkStart w:id="1219" w:name="_Toc25843161"/>
      <w:bookmarkStart w:id="1220" w:name="_Toc25843556"/>
      <w:bookmarkStart w:id="1221" w:name="_Toc25843162"/>
      <w:bookmarkStart w:id="1222" w:name="_Toc25843557"/>
      <w:bookmarkStart w:id="1223" w:name="_Toc25843163"/>
      <w:bookmarkStart w:id="1224" w:name="_Toc25843558"/>
      <w:bookmarkStart w:id="1225" w:name="_Toc25843164"/>
      <w:bookmarkStart w:id="1226" w:name="_Toc25843559"/>
      <w:bookmarkStart w:id="1227" w:name="_Toc25843165"/>
      <w:bookmarkStart w:id="1228" w:name="_Toc25843560"/>
      <w:bookmarkStart w:id="1229" w:name="_Toc25843166"/>
      <w:bookmarkStart w:id="1230" w:name="_Toc25843561"/>
      <w:bookmarkStart w:id="1231" w:name="_Toc25843167"/>
      <w:bookmarkStart w:id="1232" w:name="_Toc25843562"/>
      <w:bookmarkStart w:id="1233" w:name="_Toc25843168"/>
      <w:bookmarkStart w:id="1234" w:name="_Toc25843563"/>
      <w:bookmarkStart w:id="1235" w:name="_Toc25843169"/>
      <w:bookmarkStart w:id="1236" w:name="_Toc25843564"/>
      <w:bookmarkStart w:id="1237" w:name="_Toc25843170"/>
      <w:bookmarkStart w:id="1238" w:name="_Toc25843565"/>
      <w:bookmarkStart w:id="1239" w:name="_Toc25843171"/>
      <w:bookmarkStart w:id="1240" w:name="_Toc25843566"/>
      <w:bookmarkStart w:id="1241" w:name="_Toc25843172"/>
      <w:bookmarkStart w:id="1242" w:name="_Toc25843567"/>
      <w:bookmarkStart w:id="1243" w:name="_Toc25843173"/>
      <w:bookmarkStart w:id="1244" w:name="_Toc25843568"/>
      <w:bookmarkStart w:id="1245" w:name="_Toc25843174"/>
      <w:bookmarkStart w:id="1246" w:name="_Toc25843569"/>
      <w:bookmarkStart w:id="1247" w:name="_Toc25843175"/>
      <w:bookmarkStart w:id="1248" w:name="_Toc25843570"/>
      <w:bookmarkStart w:id="1249" w:name="_Toc25843176"/>
      <w:bookmarkStart w:id="1250" w:name="_Toc25843571"/>
      <w:bookmarkStart w:id="1251" w:name="_Toc25843177"/>
      <w:bookmarkStart w:id="1252" w:name="_Toc25843572"/>
      <w:bookmarkStart w:id="1253" w:name="_Toc25843178"/>
      <w:bookmarkStart w:id="1254" w:name="_Toc25843573"/>
      <w:bookmarkStart w:id="1255" w:name="_Toc25843179"/>
      <w:bookmarkStart w:id="1256" w:name="_Toc25843574"/>
      <w:bookmarkStart w:id="1257" w:name="_Toc25843180"/>
      <w:bookmarkStart w:id="1258" w:name="_Toc25843575"/>
      <w:bookmarkStart w:id="1259" w:name="_Toc25843181"/>
      <w:bookmarkStart w:id="1260" w:name="_Toc25843576"/>
      <w:bookmarkStart w:id="1261" w:name="_Toc25843182"/>
      <w:bookmarkStart w:id="1262" w:name="_Toc25843577"/>
      <w:bookmarkStart w:id="1263" w:name="_Toc25843183"/>
      <w:bookmarkStart w:id="1264" w:name="_Toc25843578"/>
      <w:bookmarkStart w:id="1265" w:name="_Toc25843184"/>
      <w:bookmarkStart w:id="1266" w:name="_Toc25843579"/>
      <w:bookmarkStart w:id="1267" w:name="_Toc25843185"/>
      <w:bookmarkStart w:id="1268" w:name="_Toc25843580"/>
      <w:bookmarkStart w:id="1269" w:name="_Toc25843186"/>
      <w:bookmarkStart w:id="1270" w:name="_Toc25843581"/>
      <w:bookmarkStart w:id="1271" w:name="_Toc25843187"/>
      <w:bookmarkStart w:id="1272" w:name="_Toc25843582"/>
      <w:bookmarkStart w:id="1273" w:name="_Toc25843188"/>
      <w:bookmarkStart w:id="1274" w:name="_Toc25843583"/>
      <w:bookmarkStart w:id="1275" w:name="_Toc25843189"/>
      <w:bookmarkStart w:id="1276" w:name="_Toc25843584"/>
      <w:bookmarkStart w:id="1277" w:name="_Toc25843190"/>
      <w:bookmarkStart w:id="1278" w:name="_Toc25843585"/>
      <w:bookmarkStart w:id="1279" w:name="_Toc25843191"/>
      <w:bookmarkStart w:id="1280" w:name="_Toc25843586"/>
      <w:bookmarkStart w:id="1281" w:name="_Toc25843192"/>
      <w:bookmarkStart w:id="1282" w:name="_Toc25843587"/>
      <w:bookmarkStart w:id="1283" w:name="_Toc25843193"/>
      <w:bookmarkStart w:id="1284" w:name="_Toc25843588"/>
      <w:bookmarkStart w:id="1285" w:name="_Toc25843194"/>
      <w:bookmarkStart w:id="1286" w:name="_Toc25843589"/>
      <w:bookmarkStart w:id="1287" w:name="_Toc25843195"/>
      <w:bookmarkStart w:id="1288" w:name="_Toc25843590"/>
      <w:bookmarkStart w:id="1289" w:name="_Toc25843196"/>
      <w:bookmarkStart w:id="1290" w:name="_Toc25843591"/>
      <w:bookmarkStart w:id="1291" w:name="_Toc25843197"/>
      <w:bookmarkStart w:id="1292" w:name="_Toc25843592"/>
      <w:bookmarkStart w:id="1293" w:name="_Toc25843198"/>
      <w:bookmarkStart w:id="1294" w:name="_Toc25843593"/>
      <w:bookmarkStart w:id="1295" w:name="_Toc25843199"/>
      <w:bookmarkStart w:id="1296" w:name="_Toc25843594"/>
      <w:bookmarkStart w:id="1297" w:name="_Toc25843200"/>
      <w:bookmarkStart w:id="1298" w:name="_Toc25843595"/>
      <w:bookmarkStart w:id="1299" w:name="_Toc25843201"/>
      <w:bookmarkStart w:id="1300" w:name="_Toc25843596"/>
      <w:bookmarkStart w:id="1301" w:name="_Toc25843202"/>
      <w:bookmarkStart w:id="1302" w:name="_Toc25843597"/>
      <w:bookmarkStart w:id="1303" w:name="_Toc25843203"/>
      <w:bookmarkStart w:id="1304" w:name="_Toc25843598"/>
      <w:bookmarkStart w:id="1305" w:name="_Toc25843204"/>
      <w:bookmarkStart w:id="1306" w:name="_Toc25843599"/>
      <w:bookmarkStart w:id="1307" w:name="_Toc25843205"/>
      <w:bookmarkStart w:id="1308" w:name="_Toc25843600"/>
      <w:bookmarkStart w:id="1309" w:name="_Toc25843206"/>
      <w:bookmarkStart w:id="1310" w:name="_Toc25843601"/>
      <w:bookmarkStart w:id="1311" w:name="_Toc25843207"/>
      <w:bookmarkStart w:id="1312" w:name="_Toc25843602"/>
      <w:bookmarkStart w:id="1313" w:name="_Toc25843208"/>
      <w:bookmarkStart w:id="1314" w:name="_Toc25843603"/>
      <w:bookmarkStart w:id="1315" w:name="_Toc25843209"/>
      <w:bookmarkStart w:id="1316" w:name="_Toc25843604"/>
      <w:bookmarkStart w:id="1317" w:name="_Toc25843210"/>
      <w:bookmarkStart w:id="1318" w:name="_Toc25843605"/>
      <w:bookmarkStart w:id="1319" w:name="_Toc25843211"/>
      <w:bookmarkStart w:id="1320" w:name="_Toc25843606"/>
      <w:bookmarkStart w:id="1321" w:name="_Toc25843212"/>
      <w:bookmarkStart w:id="1322" w:name="_Toc25843607"/>
      <w:bookmarkStart w:id="1323" w:name="_Toc25843213"/>
      <w:bookmarkStart w:id="1324" w:name="_Toc25843608"/>
      <w:bookmarkStart w:id="1325" w:name="_Toc25843214"/>
      <w:bookmarkStart w:id="1326" w:name="_Toc25843609"/>
      <w:bookmarkStart w:id="1327" w:name="_Toc25843215"/>
      <w:bookmarkStart w:id="1328" w:name="_Toc25843610"/>
      <w:bookmarkStart w:id="1329" w:name="_Toc25843216"/>
      <w:bookmarkStart w:id="1330" w:name="_Toc25843611"/>
      <w:bookmarkStart w:id="1331" w:name="_Toc25843217"/>
      <w:bookmarkStart w:id="1332" w:name="_Toc25843612"/>
      <w:bookmarkStart w:id="1333" w:name="_Toc25843218"/>
      <w:bookmarkStart w:id="1334" w:name="_Toc25843613"/>
      <w:bookmarkStart w:id="1335" w:name="_Toc25843219"/>
      <w:bookmarkStart w:id="1336" w:name="_Toc25843614"/>
      <w:bookmarkStart w:id="1337" w:name="_Toc25843220"/>
      <w:bookmarkStart w:id="1338" w:name="_Toc25843615"/>
      <w:bookmarkStart w:id="1339" w:name="_Toc25843221"/>
      <w:bookmarkStart w:id="1340" w:name="_Toc25843616"/>
      <w:bookmarkStart w:id="1341" w:name="_Toc25843222"/>
      <w:bookmarkStart w:id="1342" w:name="_Toc25843617"/>
      <w:bookmarkStart w:id="1343" w:name="_Toc25843223"/>
      <w:bookmarkStart w:id="1344" w:name="_Toc25843618"/>
      <w:bookmarkStart w:id="1345" w:name="_Toc25843224"/>
      <w:bookmarkStart w:id="1346" w:name="_Toc25843619"/>
      <w:bookmarkStart w:id="1347" w:name="_Toc25843225"/>
      <w:bookmarkStart w:id="1348" w:name="_Toc25843620"/>
      <w:bookmarkStart w:id="1349" w:name="_Toc25843226"/>
      <w:bookmarkStart w:id="1350" w:name="_Toc25843621"/>
      <w:bookmarkStart w:id="1351" w:name="_Toc25843227"/>
      <w:bookmarkStart w:id="1352" w:name="_Toc25843622"/>
      <w:bookmarkStart w:id="1353" w:name="_Toc25843228"/>
      <w:bookmarkStart w:id="1354" w:name="_Toc25843623"/>
      <w:bookmarkStart w:id="1355" w:name="_Toc25843229"/>
      <w:bookmarkStart w:id="1356" w:name="_Toc25843624"/>
      <w:bookmarkStart w:id="1357" w:name="_Toc25843230"/>
      <w:bookmarkStart w:id="1358" w:name="_Toc25843625"/>
      <w:bookmarkStart w:id="1359" w:name="_Toc25843231"/>
      <w:bookmarkStart w:id="1360" w:name="_Toc25843626"/>
      <w:bookmarkStart w:id="1361" w:name="_Toc25843232"/>
      <w:bookmarkStart w:id="1362" w:name="_Toc25843627"/>
      <w:bookmarkStart w:id="1363" w:name="_Toc25843233"/>
      <w:bookmarkStart w:id="1364" w:name="_Toc25843628"/>
      <w:bookmarkStart w:id="1365" w:name="_Toc25843234"/>
      <w:bookmarkStart w:id="1366" w:name="_Toc25843629"/>
      <w:bookmarkStart w:id="1367" w:name="_Toc25843235"/>
      <w:bookmarkStart w:id="1368" w:name="_Toc25843630"/>
      <w:bookmarkStart w:id="1369" w:name="_Toc25843236"/>
      <w:bookmarkStart w:id="1370" w:name="_Toc25843631"/>
      <w:bookmarkStart w:id="1371" w:name="_Toc25843237"/>
      <w:bookmarkStart w:id="1372" w:name="_Toc25843632"/>
      <w:bookmarkStart w:id="1373" w:name="_Toc25843238"/>
      <w:bookmarkStart w:id="1374" w:name="_Toc25843633"/>
      <w:bookmarkStart w:id="1375" w:name="_Toc25843239"/>
      <w:bookmarkStart w:id="1376" w:name="_Toc25843634"/>
      <w:bookmarkStart w:id="1377" w:name="_Toc25843240"/>
      <w:bookmarkStart w:id="1378" w:name="_Toc25843635"/>
      <w:bookmarkStart w:id="1379" w:name="_Toc25843241"/>
      <w:bookmarkStart w:id="1380" w:name="_Toc25843636"/>
      <w:bookmarkStart w:id="1381" w:name="_Toc25843242"/>
      <w:bookmarkStart w:id="1382" w:name="_Toc25843637"/>
      <w:bookmarkStart w:id="1383" w:name="_Toc25843243"/>
      <w:bookmarkStart w:id="1384" w:name="_Toc25843638"/>
      <w:bookmarkStart w:id="1385" w:name="_Toc25843244"/>
      <w:bookmarkStart w:id="1386" w:name="_Toc25843639"/>
      <w:bookmarkStart w:id="1387" w:name="_Toc25843245"/>
      <w:bookmarkStart w:id="1388" w:name="_Toc25843640"/>
      <w:bookmarkStart w:id="1389" w:name="_Toc25843246"/>
      <w:bookmarkStart w:id="1390" w:name="_Toc25843641"/>
      <w:bookmarkStart w:id="1391" w:name="_Toc25843247"/>
      <w:bookmarkStart w:id="1392" w:name="_Toc25843642"/>
      <w:bookmarkStart w:id="1393" w:name="_Toc25843248"/>
      <w:bookmarkStart w:id="1394" w:name="_Toc25843643"/>
      <w:bookmarkStart w:id="1395" w:name="_Toc25843249"/>
      <w:bookmarkStart w:id="1396" w:name="_Toc25843644"/>
      <w:bookmarkStart w:id="1397" w:name="_Toc25843250"/>
      <w:bookmarkStart w:id="1398" w:name="_Toc25843645"/>
      <w:bookmarkStart w:id="1399" w:name="_Toc25843251"/>
      <w:bookmarkStart w:id="1400" w:name="_Toc25843646"/>
      <w:bookmarkStart w:id="1401" w:name="_Toc25843252"/>
      <w:bookmarkStart w:id="1402" w:name="_Toc25843647"/>
      <w:bookmarkStart w:id="1403" w:name="_Toc25843253"/>
      <w:bookmarkStart w:id="1404" w:name="_Toc25843648"/>
      <w:bookmarkStart w:id="1405" w:name="_Toc25843254"/>
      <w:bookmarkStart w:id="1406" w:name="_Toc25843649"/>
      <w:bookmarkStart w:id="1407" w:name="_Toc25843255"/>
      <w:bookmarkStart w:id="1408" w:name="_Toc25843650"/>
      <w:bookmarkStart w:id="1409" w:name="_Toc25843256"/>
      <w:bookmarkStart w:id="1410" w:name="_Toc25843651"/>
      <w:bookmarkStart w:id="1411" w:name="_Toc25843257"/>
      <w:bookmarkStart w:id="1412" w:name="_Toc25843652"/>
      <w:bookmarkStart w:id="1413" w:name="_Toc25843258"/>
      <w:bookmarkStart w:id="1414" w:name="_Toc25843653"/>
      <w:bookmarkStart w:id="1415" w:name="_Toc25843259"/>
      <w:bookmarkStart w:id="1416" w:name="_Toc25843654"/>
      <w:bookmarkStart w:id="1417" w:name="_Toc25843260"/>
      <w:bookmarkStart w:id="1418" w:name="_Toc25843655"/>
      <w:bookmarkStart w:id="1419" w:name="_Toc25843261"/>
      <w:bookmarkStart w:id="1420" w:name="_Toc25843656"/>
      <w:bookmarkStart w:id="1421" w:name="_Toc25843262"/>
      <w:bookmarkStart w:id="1422" w:name="_Toc25843657"/>
      <w:bookmarkStart w:id="1423" w:name="_Toc25843263"/>
      <w:bookmarkStart w:id="1424" w:name="_Toc25843658"/>
      <w:bookmarkStart w:id="1425" w:name="_Toc25843264"/>
      <w:bookmarkStart w:id="1426" w:name="_Toc25843659"/>
      <w:bookmarkStart w:id="1427" w:name="_Toc25843265"/>
      <w:bookmarkStart w:id="1428" w:name="_Toc25843660"/>
      <w:bookmarkStart w:id="1429" w:name="_Toc25843266"/>
      <w:bookmarkStart w:id="1430" w:name="_Toc25843661"/>
      <w:bookmarkStart w:id="1431" w:name="_Toc25843267"/>
      <w:bookmarkStart w:id="1432" w:name="_Toc25843662"/>
      <w:bookmarkStart w:id="1433" w:name="_Toc25843268"/>
      <w:bookmarkStart w:id="1434" w:name="_Toc25843663"/>
      <w:bookmarkStart w:id="1435" w:name="_Toc25843269"/>
      <w:bookmarkStart w:id="1436" w:name="_Toc25843664"/>
      <w:bookmarkStart w:id="1437" w:name="_Toc25843270"/>
      <w:bookmarkStart w:id="1438" w:name="_Toc25843665"/>
      <w:bookmarkStart w:id="1439" w:name="_Toc25843271"/>
      <w:bookmarkStart w:id="1440" w:name="_Toc25843666"/>
      <w:bookmarkStart w:id="1441" w:name="_Toc25843272"/>
      <w:bookmarkStart w:id="1442" w:name="_Toc25843667"/>
      <w:bookmarkStart w:id="1443" w:name="_Toc25843273"/>
      <w:bookmarkStart w:id="1444" w:name="_Toc25843668"/>
      <w:bookmarkStart w:id="1445" w:name="_Toc25843274"/>
      <w:bookmarkStart w:id="1446" w:name="_Toc25843669"/>
      <w:bookmarkStart w:id="1447" w:name="_Toc25843275"/>
      <w:bookmarkStart w:id="1448" w:name="_Toc25843670"/>
      <w:bookmarkStart w:id="1449" w:name="_Toc25843276"/>
      <w:bookmarkStart w:id="1450" w:name="_Toc25843671"/>
      <w:bookmarkStart w:id="1451" w:name="_Toc25843277"/>
      <w:bookmarkStart w:id="1452" w:name="_Toc25843672"/>
      <w:bookmarkStart w:id="1453" w:name="_Toc25843278"/>
      <w:bookmarkStart w:id="1454" w:name="_Toc25843673"/>
      <w:bookmarkStart w:id="1455" w:name="_Toc25843279"/>
      <w:bookmarkStart w:id="1456" w:name="_Toc25843674"/>
      <w:bookmarkStart w:id="1457" w:name="_Toc25843280"/>
      <w:bookmarkStart w:id="1458" w:name="_Toc25843675"/>
      <w:bookmarkStart w:id="1459" w:name="_Toc522784804"/>
      <w:bookmarkStart w:id="1460" w:name="_Toc522784805"/>
      <w:bookmarkStart w:id="1461" w:name="_Toc472427662"/>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r w:rsidRPr="0068236B">
        <w:br w:type="page"/>
      </w:r>
    </w:p>
    <w:p w14:paraId="49C97D22" w14:textId="542FEDF1" w:rsidR="0061653B" w:rsidRPr="0068236B" w:rsidRDefault="0061653B" w:rsidP="00E44ED8">
      <w:pPr>
        <w:pStyle w:val="Heading1"/>
      </w:pPr>
      <w:bookmarkStart w:id="1462" w:name="_Toc112852328"/>
      <w:r w:rsidRPr="0068236B">
        <w:lastRenderedPageBreak/>
        <w:t>Annexes</w:t>
      </w:r>
      <w:bookmarkEnd w:id="1461"/>
      <w:bookmarkEnd w:id="1462"/>
    </w:p>
    <w:p w14:paraId="51D24E87" w14:textId="4B91AE00" w:rsidR="00643372" w:rsidRPr="0068236B" w:rsidRDefault="00643372" w:rsidP="00643372">
      <w:pPr>
        <w:rPr>
          <w:sz w:val="20"/>
        </w:rPr>
      </w:pPr>
      <w:r w:rsidRPr="0068236B">
        <w:rPr>
          <w:sz w:val="20"/>
        </w:rPr>
        <w:t xml:space="preserve">Annex 1: </w:t>
      </w:r>
      <w:r w:rsidR="004B1CA5" w:rsidRPr="0068236B">
        <w:rPr>
          <w:sz w:val="20"/>
        </w:rPr>
        <w:t>Project Map</w:t>
      </w:r>
    </w:p>
    <w:p w14:paraId="0C1B6E55" w14:textId="77777777" w:rsidR="00643372" w:rsidRPr="0068236B" w:rsidRDefault="008D3818" w:rsidP="00643372">
      <w:pPr>
        <w:rPr>
          <w:sz w:val="20"/>
        </w:rPr>
      </w:pPr>
      <w:r w:rsidRPr="0068236B">
        <w:rPr>
          <w:sz w:val="20"/>
        </w:rPr>
        <w:t xml:space="preserve">Annex </w:t>
      </w:r>
      <w:r w:rsidR="00455D0A" w:rsidRPr="0068236B">
        <w:rPr>
          <w:sz w:val="20"/>
        </w:rPr>
        <w:t>2</w:t>
      </w:r>
      <w:r w:rsidR="007B4267" w:rsidRPr="0068236B">
        <w:rPr>
          <w:sz w:val="20"/>
        </w:rPr>
        <w:t>: Project Options and Alternatives with High-level Environmental Constraints</w:t>
      </w:r>
    </w:p>
    <w:p w14:paraId="13646BD4" w14:textId="77777777" w:rsidR="007B4267" w:rsidRPr="0068236B" w:rsidRDefault="007B4267" w:rsidP="00643372">
      <w:pPr>
        <w:rPr>
          <w:sz w:val="20"/>
        </w:rPr>
      </w:pPr>
      <w:r w:rsidRPr="0068236B">
        <w:rPr>
          <w:sz w:val="20"/>
        </w:rPr>
        <w:t>Annex 3: Key Social Sensitivities associated with the Project</w:t>
      </w:r>
    </w:p>
    <w:p w14:paraId="461CB6FD" w14:textId="4F3593ED" w:rsidR="004B1CA5" w:rsidRPr="0068236B" w:rsidRDefault="004B1CA5" w:rsidP="004B1CA5">
      <w:pPr>
        <w:rPr>
          <w:sz w:val="20"/>
        </w:rPr>
      </w:pPr>
      <w:r w:rsidRPr="0068236B">
        <w:rPr>
          <w:sz w:val="20"/>
        </w:rPr>
        <w:t>Annex 4: Geological Map</w:t>
      </w:r>
    </w:p>
    <w:p w14:paraId="0E89594B" w14:textId="545F30A0" w:rsidR="00136DA7" w:rsidRPr="0068236B" w:rsidRDefault="008F76A2" w:rsidP="00136DA7">
      <w:pPr>
        <w:rPr>
          <w:sz w:val="20"/>
        </w:rPr>
      </w:pPr>
      <w:r w:rsidRPr="0068236B">
        <w:rPr>
          <w:sz w:val="20"/>
        </w:rPr>
        <w:t xml:space="preserve">Annex </w:t>
      </w:r>
      <w:r w:rsidR="00EC022C" w:rsidRPr="0068236B">
        <w:rPr>
          <w:sz w:val="20"/>
        </w:rPr>
        <w:t>5</w:t>
      </w:r>
      <w:r w:rsidR="00136DA7" w:rsidRPr="0068236B">
        <w:rPr>
          <w:sz w:val="20"/>
        </w:rPr>
        <w:t xml:space="preserve">: </w:t>
      </w:r>
      <w:r w:rsidRPr="0068236B">
        <w:rPr>
          <w:sz w:val="20"/>
        </w:rPr>
        <w:t>Summary of Stakeholder Engagement Activities to date</w:t>
      </w:r>
    </w:p>
    <w:p w14:paraId="2CCC3CFA" w14:textId="324C1D56" w:rsidR="00923457" w:rsidRPr="0068236B" w:rsidRDefault="00923457" w:rsidP="00136DA7">
      <w:pPr>
        <w:rPr>
          <w:sz w:val="20"/>
          <w:szCs w:val="20"/>
        </w:rPr>
      </w:pPr>
      <w:r w:rsidRPr="0068236B">
        <w:rPr>
          <w:sz w:val="20"/>
          <w:szCs w:val="20"/>
        </w:rPr>
        <w:t xml:space="preserve">Annex 6: </w:t>
      </w:r>
      <w:r w:rsidRPr="0068236B">
        <w:rPr>
          <w:rFonts w:cs="Tahoma"/>
          <w:sz w:val="20"/>
          <w:szCs w:val="20"/>
        </w:rPr>
        <w:t>Names of those Responsible for Preparing the Environmental and Social Assessment</w:t>
      </w:r>
    </w:p>
    <w:p w14:paraId="46334B57" w14:textId="77777777" w:rsidR="00136DA7" w:rsidRPr="0068236B" w:rsidRDefault="00136DA7" w:rsidP="00643372">
      <w:pPr>
        <w:rPr>
          <w:sz w:val="20"/>
        </w:rPr>
      </w:pPr>
    </w:p>
    <w:p w14:paraId="38DE322E" w14:textId="77777777" w:rsidR="00643372" w:rsidRPr="0068236B" w:rsidRDefault="00643372" w:rsidP="008D3818">
      <w:pPr>
        <w:pStyle w:val="NumberedParagraph"/>
        <w:jc w:val="left"/>
        <w:rPr>
          <w:sz w:val="20"/>
        </w:rPr>
      </w:pPr>
    </w:p>
    <w:p w14:paraId="3F37E5EE" w14:textId="77777777" w:rsidR="0061653B" w:rsidRPr="0068236B" w:rsidRDefault="0061653B" w:rsidP="0061653B">
      <w:pPr>
        <w:spacing w:before="0" w:after="0"/>
        <w:jc w:val="left"/>
        <w:rPr>
          <w:sz w:val="20"/>
        </w:rPr>
      </w:pPr>
      <w:r w:rsidRPr="0068236B">
        <w:rPr>
          <w:sz w:val="20"/>
        </w:rPr>
        <w:br w:type="page"/>
      </w:r>
    </w:p>
    <w:p w14:paraId="6DFCC268" w14:textId="77900290" w:rsidR="008D3818" w:rsidRPr="0068236B" w:rsidRDefault="008D3818" w:rsidP="008D3818">
      <w:pPr>
        <w:pStyle w:val="Heading2"/>
        <w:numPr>
          <w:ilvl w:val="0"/>
          <w:numId w:val="0"/>
        </w:numPr>
        <w:ind w:left="360"/>
        <w:rPr>
          <w:rFonts w:asciiTheme="minorHAnsi" w:hAnsiTheme="minorHAnsi"/>
        </w:rPr>
      </w:pPr>
      <w:bookmarkStart w:id="1463" w:name="_Toc112852329"/>
      <w:r w:rsidRPr="0068236B">
        <w:lastRenderedPageBreak/>
        <w:t>Annex 1:</w:t>
      </w:r>
      <w:r w:rsidR="00455D0A" w:rsidRPr="0068236B">
        <w:t xml:space="preserve"> </w:t>
      </w:r>
      <w:r w:rsidR="0039745A" w:rsidRPr="0068236B">
        <w:t>Project Map</w:t>
      </w:r>
      <w:bookmarkEnd w:id="1463"/>
    </w:p>
    <w:p w14:paraId="14BAF743" w14:textId="77777777" w:rsidR="008D3818" w:rsidRPr="0068236B" w:rsidRDefault="008D3818" w:rsidP="00455D0A">
      <w:pPr>
        <w:ind w:firstLine="720"/>
        <w:rPr>
          <w:sz w:val="20"/>
        </w:rPr>
      </w:pPr>
      <w:r w:rsidRPr="0068236B">
        <w:rPr>
          <w:sz w:val="20"/>
        </w:rPr>
        <w:t>(given under separate cover)</w:t>
      </w:r>
    </w:p>
    <w:p w14:paraId="63AC72F8" w14:textId="77777777" w:rsidR="00F534E2" w:rsidRPr="0068236B" w:rsidRDefault="00F534E2" w:rsidP="00746BB5">
      <w:pPr>
        <w:rPr>
          <w:sz w:val="20"/>
        </w:rPr>
      </w:pPr>
    </w:p>
    <w:p w14:paraId="69C385AF" w14:textId="77777777" w:rsidR="008D3818" w:rsidRPr="0068236B" w:rsidRDefault="008D3818" w:rsidP="008D3818">
      <w:pPr>
        <w:pStyle w:val="Heading2"/>
        <w:numPr>
          <w:ilvl w:val="0"/>
          <w:numId w:val="0"/>
        </w:numPr>
        <w:ind w:left="360"/>
      </w:pPr>
      <w:bookmarkStart w:id="1464" w:name="_Toc112852330"/>
      <w:r w:rsidRPr="0068236B">
        <w:t xml:space="preserve">Annex </w:t>
      </w:r>
      <w:r w:rsidR="00455D0A" w:rsidRPr="0068236B">
        <w:t>2</w:t>
      </w:r>
      <w:r w:rsidRPr="0068236B">
        <w:t xml:space="preserve">: </w:t>
      </w:r>
      <w:r w:rsidR="00B72CF5" w:rsidRPr="0068236B">
        <w:t>Project Options and Alternatives with High-level Env</w:t>
      </w:r>
      <w:r w:rsidR="00B72CF5" w:rsidRPr="0068236B">
        <w:t>i</w:t>
      </w:r>
      <w:r w:rsidR="00B72CF5" w:rsidRPr="0068236B">
        <w:t>ronmental Constraints</w:t>
      </w:r>
      <w:bookmarkEnd w:id="1464"/>
      <w:r w:rsidR="00B72CF5" w:rsidRPr="0068236B">
        <w:t xml:space="preserve"> </w:t>
      </w:r>
    </w:p>
    <w:p w14:paraId="0CEC7281" w14:textId="77777777" w:rsidR="008D3818" w:rsidRPr="0068236B" w:rsidRDefault="008D3818" w:rsidP="00455D0A">
      <w:pPr>
        <w:pStyle w:val="NumberedParagraph"/>
        <w:ind w:left="567"/>
        <w:jc w:val="left"/>
        <w:rPr>
          <w:sz w:val="20"/>
        </w:rPr>
      </w:pPr>
      <w:r w:rsidRPr="0068236B">
        <w:rPr>
          <w:sz w:val="20"/>
        </w:rPr>
        <w:t>(given under separate cover)</w:t>
      </w:r>
    </w:p>
    <w:p w14:paraId="65F16FDD" w14:textId="77777777" w:rsidR="00864A3F" w:rsidRPr="0068236B" w:rsidRDefault="00864A3F" w:rsidP="0061653B">
      <w:pPr>
        <w:rPr>
          <w:sz w:val="20"/>
        </w:rPr>
      </w:pPr>
    </w:p>
    <w:p w14:paraId="7A5D698B" w14:textId="77777777" w:rsidR="00B72CF5" w:rsidRPr="0068236B" w:rsidRDefault="00B72CF5" w:rsidP="00B72CF5">
      <w:pPr>
        <w:pStyle w:val="Heading2"/>
        <w:numPr>
          <w:ilvl w:val="0"/>
          <w:numId w:val="0"/>
        </w:numPr>
        <w:ind w:left="360"/>
      </w:pPr>
      <w:bookmarkStart w:id="1465" w:name="_Toc112852331"/>
      <w:r w:rsidRPr="0068236B">
        <w:t>Annex 3: Key Social Sensitivities associated with the Project</w:t>
      </w:r>
      <w:bookmarkEnd w:id="1465"/>
      <w:r w:rsidRPr="0068236B">
        <w:t xml:space="preserve"> </w:t>
      </w:r>
    </w:p>
    <w:p w14:paraId="6CA6E7CA" w14:textId="77777777" w:rsidR="00B72CF5" w:rsidRPr="0068236B" w:rsidRDefault="00B72CF5" w:rsidP="00B72CF5">
      <w:pPr>
        <w:pStyle w:val="NumberedParagraph"/>
        <w:ind w:left="567"/>
        <w:jc w:val="left"/>
        <w:rPr>
          <w:sz w:val="20"/>
        </w:rPr>
      </w:pPr>
      <w:r w:rsidRPr="0068236B">
        <w:rPr>
          <w:sz w:val="20"/>
        </w:rPr>
        <w:t>(given under separate cover)</w:t>
      </w:r>
    </w:p>
    <w:p w14:paraId="5A17189B" w14:textId="77777777" w:rsidR="0096122E" w:rsidRPr="0068236B" w:rsidRDefault="0096122E" w:rsidP="00B72CF5">
      <w:pPr>
        <w:pStyle w:val="NumberedParagraph"/>
        <w:ind w:left="567"/>
        <w:jc w:val="left"/>
        <w:rPr>
          <w:sz w:val="20"/>
        </w:rPr>
      </w:pPr>
    </w:p>
    <w:p w14:paraId="32B38E65" w14:textId="4B232B4F" w:rsidR="00F8548D" w:rsidRPr="0068236B" w:rsidRDefault="00F8548D" w:rsidP="00F8548D">
      <w:pPr>
        <w:pStyle w:val="Heading2"/>
        <w:numPr>
          <w:ilvl w:val="0"/>
          <w:numId w:val="0"/>
        </w:numPr>
        <w:ind w:left="360"/>
      </w:pPr>
      <w:bookmarkStart w:id="1466" w:name="_Toc112852332"/>
      <w:r w:rsidRPr="0068236B">
        <w:t>Annex 4: Geological Map</w:t>
      </w:r>
      <w:bookmarkEnd w:id="1466"/>
      <w:r w:rsidRPr="0068236B">
        <w:t xml:space="preserve"> </w:t>
      </w:r>
    </w:p>
    <w:p w14:paraId="3A60E810" w14:textId="62D94F6D" w:rsidR="00F8548D" w:rsidRPr="0068236B" w:rsidRDefault="00EC022C" w:rsidP="00EC022C">
      <w:pPr>
        <w:pStyle w:val="NumberedParagraph"/>
        <w:ind w:left="567"/>
        <w:jc w:val="left"/>
        <w:rPr>
          <w:sz w:val="20"/>
        </w:rPr>
      </w:pPr>
      <w:r w:rsidRPr="0068236B">
        <w:rPr>
          <w:sz w:val="20"/>
        </w:rPr>
        <w:t>(given under separate cover)</w:t>
      </w:r>
    </w:p>
    <w:p w14:paraId="45C8F89E" w14:textId="77777777" w:rsidR="00EC022C" w:rsidRPr="0068236B" w:rsidRDefault="00EC022C" w:rsidP="00EC022C">
      <w:pPr>
        <w:pStyle w:val="NumberedParagraph"/>
        <w:ind w:left="567"/>
        <w:jc w:val="left"/>
        <w:rPr>
          <w:sz w:val="20"/>
        </w:rPr>
      </w:pPr>
    </w:p>
    <w:p w14:paraId="4317E5A0" w14:textId="4CB7FA2E" w:rsidR="0096122E" w:rsidRPr="0068236B" w:rsidRDefault="0096122E" w:rsidP="0096122E">
      <w:pPr>
        <w:pStyle w:val="Heading2"/>
        <w:numPr>
          <w:ilvl w:val="0"/>
          <w:numId w:val="0"/>
        </w:numPr>
        <w:ind w:left="360"/>
      </w:pPr>
      <w:bookmarkStart w:id="1467" w:name="_Toc112852333"/>
      <w:r w:rsidRPr="0068236B">
        <w:t xml:space="preserve">Annex </w:t>
      </w:r>
      <w:r w:rsidR="00EC022C" w:rsidRPr="0068236B">
        <w:t>5</w:t>
      </w:r>
      <w:r w:rsidRPr="0068236B">
        <w:t xml:space="preserve">: </w:t>
      </w:r>
      <w:r w:rsidR="008F76A2" w:rsidRPr="0068236B">
        <w:t>Summary of Stakeholder Engagement Activities to date</w:t>
      </w:r>
      <w:bookmarkEnd w:id="1467"/>
      <w:r w:rsidRPr="0068236B">
        <w:t xml:space="preserve"> </w:t>
      </w:r>
    </w:p>
    <w:p w14:paraId="06D0F382" w14:textId="77777777" w:rsidR="0096122E" w:rsidRPr="0068236B" w:rsidRDefault="0096122E" w:rsidP="0096122E">
      <w:pPr>
        <w:pStyle w:val="NumberedParagraph"/>
        <w:ind w:left="567"/>
        <w:jc w:val="left"/>
        <w:rPr>
          <w:sz w:val="20"/>
        </w:rPr>
      </w:pPr>
      <w:r w:rsidRPr="0068236B">
        <w:rPr>
          <w:sz w:val="20"/>
        </w:rPr>
        <w:t>(given under separate cover)</w:t>
      </w:r>
    </w:p>
    <w:p w14:paraId="191A878A" w14:textId="77777777" w:rsidR="0096122E" w:rsidRPr="0068236B" w:rsidRDefault="0096122E" w:rsidP="0096122E">
      <w:pPr>
        <w:pStyle w:val="NumberedParagraph"/>
        <w:rPr>
          <w:sz w:val="20"/>
        </w:rPr>
      </w:pPr>
    </w:p>
    <w:p w14:paraId="29CE6D49" w14:textId="77777777" w:rsidR="0096122E" w:rsidRPr="0068236B" w:rsidRDefault="0096122E" w:rsidP="00B72CF5">
      <w:pPr>
        <w:pStyle w:val="NumberedParagraph"/>
        <w:ind w:left="567"/>
        <w:jc w:val="left"/>
        <w:rPr>
          <w:sz w:val="20"/>
        </w:rPr>
      </w:pPr>
    </w:p>
    <w:p w14:paraId="6F434D2D" w14:textId="326D295B" w:rsidR="00334D2B" w:rsidRPr="0068236B" w:rsidRDefault="00334D2B">
      <w:pPr>
        <w:spacing w:before="0" w:after="0" w:line="240" w:lineRule="auto"/>
        <w:jc w:val="left"/>
        <w:rPr>
          <w:sz w:val="20"/>
        </w:rPr>
      </w:pPr>
      <w:bookmarkStart w:id="1468" w:name="_GoBack"/>
      <w:bookmarkEnd w:id="1468"/>
      <w:r w:rsidRPr="0068236B">
        <w:rPr>
          <w:sz w:val="20"/>
        </w:rPr>
        <w:br w:type="page"/>
      </w:r>
    </w:p>
    <w:p w14:paraId="3174E4B5" w14:textId="16C4B35E" w:rsidR="00334D2B" w:rsidRPr="0068236B" w:rsidRDefault="00334D2B" w:rsidP="00334D2B">
      <w:pPr>
        <w:pStyle w:val="Heading2"/>
        <w:numPr>
          <w:ilvl w:val="0"/>
          <w:numId w:val="0"/>
        </w:numPr>
        <w:ind w:left="360"/>
        <w:rPr>
          <w:rFonts w:asciiTheme="minorHAnsi" w:hAnsiTheme="minorHAnsi"/>
        </w:rPr>
      </w:pPr>
      <w:bookmarkStart w:id="1469" w:name="_Toc112852334"/>
      <w:bookmarkStart w:id="1470" w:name="_Toc93086039"/>
      <w:r w:rsidRPr="0068236B">
        <w:lastRenderedPageBreak/>
        <w:t xml:space="preserve">Annex 6: </w:t>
      </w:r>
      <w:r w:rsidRPr="0068236B">
        <w:rPr>
          <w:rFonts w:cs="Tahoma"/>
          <w:szCs w:val="28"/>
        </w:rPr>
        <w:t>Names of those Responsible for Preparing the Enviro</w:t>
      </w:r>
      <w:r w:rsidRPr="0068236B">
        <w:rPr>
          <w:rFonts w:cs="Tahoma"/>
          <w:szCs w:val="28"/>
        </w:rPr>
        <w:t>n</w:t>
      </w:r>
      <w:r w:rsidRPr="0068236B">
        <w:rPr>
          <w:rFonts w:cs="Tahoma"/>
          <w:szCs w:val="28"/>
        </w:rPr>
        <w:t>mental and Social Assessment</w:t>
      </w:r>
      <w:bookmarkEnd w:id="1469"/>
    </w:p>
    <w:bookmarkEnd w:id="1470"/>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5528"/>
      </w:tblGrid>
      <w:tr w:rsidR="00334D2B" w:rsidRPr="0068236B" w14:paraId="122AAD4B" w14:textId="77777777" w:rsidTr="00C46838">
        <w:tc>
          <w:tcPr>
            <w:tcW w:w="9072" w:type="dxa"/>
            <w:gridSpan w:val="2"/>
            <w:tcBorders>
              <w:top w:val="nil"/>
              <w:left w:val="nil"/>
              <w:bottom w:val="single" w:sz="12" w:space="0" w:color="auto"/>
              <w:right w:val="nil"/>
            </w:tcBorders>
          </w:tcPr>
          <w:p w14:paraId="310F88C1" w14:textId="77777777" w:rsidR="00334D2B" w:rsidRPr="0068236B" w:rsidRDefault="00334D2B" w:rsidP="00334D2B">
            <w:pPr>
              <w:spacing w:after="0"/>
              <w:rPr>
                <w:rFonts w:cs="Tahoma"/>
                <w:sz w:val="20"/>
                <w:szCs w:val="20"/>
              </w:rPr>
            </w:pPr>
          </w:p>
          <w:p w14:paraId="27A8CF6F" w14:textId="2BE1F6C5" w:rsidR="00334D2B" w:rsidRPr="0068236B" w:rsidRDefault="00334D2B" w:rsidP="00334D2B">
            <w:pPr>
              <w:spacing w:after="0"/>
              <w:rPr>
                <w:rFonts w:cs="Tahoma"/>
                <w:sz w:val="20"/>
                <w:szCs w:val="20"/>
              </w:rPr>
            </w:pPr>
            <w:r w:rsidRPr="0068236B">
              <w:rPr>
                <w:rFonts w:cs="Tahoma"/>
                <w:sz w:val="20"/>
                <w:szCs w:val="20"/>
              </w:rPr>
              <w:t>Responsible expert for preparing the Environment and Social Assessment:</w:t>
            </w:r>
          </w:p>
        </w:tc>
      </w:tr>
      <w:tr w:rsidR="00334D2B" w:rsidRPr="0068236B" w14:paraId="0F05A25B" w14:textId="77777777" w:rsidTr="00C46838">
        <w:tc>
          <w:tcPr>
            <w:tcW w:w="3544" w:type="dxa"/>
            <w:tcBorders>
              <w:top w:val="single" w:sz="12" w:space="0" w:color="auto"/>
              <w:left w:val="nil"/>
              <w:bottom w:val="nil"/>
              <w:right w:val="nil"/>
            </w:tcBorders>
          </w:tcPr>
          <w:p w14:paraId="0A46D32B" w14:textId="77777777" w:rsidR="00334D2B" w:rsidRPr="0068236B" w:rsidRDefault="00334D2B" w:rsidP="00C46838">
            <w:pPr>
              <w:spacing w:after="0"/>
              <w:jc w:val="right"/>
              <w:rPr>
                <w:rFonts w:cs="Tahoma"/>
                <w:sz w:val="20"/>
                <w:szCs w:val="20"/>
              </w:rPr>
            </w:pPr>
            <w:r w:rsidRPr="0068236B">
              <w:rPr>
                <w:rFonts w:cs="Tahoma"/>
                <w:sz w:val="20"/>
                <w:szCs w:val="20"/>
              </w:rPr>
              <w:t>Name and surname:</w:t>
            </w:r>
          </w:p>
        </w:tc>
        <w:tc>
          <w:tcPr>
            <w:tcW w:w="5528" w:type="dxa"/>
            <w:tcBorders>
              <w:top w:val="single" w:sz="12" w:space="0" w:color="auto"/>
              <w:left w:val="nil"/>
              <w:bottom w:val="nil"/>
              <w:right w:val="nil"/>
            </w:tcBorders>
          </w:tcPr>
          <w:p w14:paraId="5A1FBF95" w14:textId="77777777" w:rsidR="00334D2B" w:rsidRPr="0068236B" w:rsidRDefault="00334D2B" w:rsidP="00C46838">
            <w:pPr>
              <w:spacing w:after="0"/>
              <w:rPr>
                <w:rFonts w:cs="Tahoma"/>
                <w:sz w:val="20"/>
                <w:szCs w:val="20"/>
              </w:rPr>
            </w:pPr>
            <w:r w:rsidRPr="0068236B">
              <w:rPr>
                <w:rFonts w:cs="Tahoma"/>
                <w:sz w:val="20"/>
                <w:szCs w:val="20"/>
              </w:rPr>
              <w:t>Konstantin Siderovski, MSc</w:t>
            </w:r>
          </w:p>
        </w:tc>
      </w:tr>
      <w:tr w:rsidR="00334D2B" w:rsidRPr="0068236B" w14:paraId="141B7F7D" w14:textId="77777777" w:rsidTr="00C46838">
        <w:tc>
          <w:tcPr>
            <w:tcW w:w="3544" w:type="dxa"/>
            <w:tcBorders>
              <w:top w:val="nil"/>
              <w:left w:val="nil"/>
              <w:bottom w:val="nil"/>
              <w:right w:val="nil"/>
            </w:tcBorders>
          </w:tcPr>
          <w:p w14:paraId="66322DC3" w14:textId="77777777" w:rsidR="00334D2B" w:rsidRPr="0068236B" w:rsidRDefault="00334D2B" w:rsidP="00C46838">
            <w:pPr>
              <w:spacing w:after="0"/>
              <w:jc w:val="right"/>
              <w:rPr>
                <w:rFonts w:cs="Tahoma"/>
                <w:sz w:val="20"/>
                <w:szCs w:val="20"/>
              </w:rPr>
            </w:pPr>
            <w:r w:rsidRPr="0068236B">
              <w:rPr>
                <w:rFonts w:cs="Tahoma"/>
                <w:sz w:val="20"/>
                <w:szCs w:val="20"/>
              </w:rPr>
              <w:t>Position:</w:t>
            </w:r>
          </w:p>
        </w:tc>
        <w:tc>
          <w:tcPr>
            <w:tcW w:w="5528" w:type="dxa"/>
            <w:tcBorders>
              <w:top w:val="nil"/>
              <w:left w:val="nil"/>
              <w:bottom w:val="nil"/>
              <w:right w:val="nil"/>
            </w:tcBorders>
          </w:tcPr>
          <w:p w14:paraId="2E126E3A" w14:textId="39EDAB73" w:rsidR="00334D2B" w:rsidRPr="0068236B" w:rsidRDefault="00334D2B" w:rsidP="007410F1">
            <w:pPr>
              <w:spacing w:after="0"/>
              <w:rPr>
                <w:rFonts w:cs="Tahoma"/>
                <w:sz w:val="20"/>
                <w:szCs w:val="20"/>
              </w:rPr>
            </w:pPr>
            <w:r w:rsidRPr="0068236B">
              <w:rPr>
                <w:rFonts w:cs="Tahoma"/>
                <w:sz w:val="20"/>
                <w:szCs w:val="20"/>
              </w:rPr>
              <w:t>Lead Project E</w:t>
            </w:r>
            <w:r w:rsidR="00BB421B" w:rsidRPr="0068236B">
              <w:rPr>
                <w:rFonts w:cs="Tahoma"/>
                <w:sz w:val="20"/>
                <w:szCs w:val="20"/>
              </w:rPr>
              <w:t>&amp;</w:t>
            </w:r>
            <w:r w:rsidR="007410F1" w:rsidRPr="0068236B">
              <w:rPr>
                <w:rFonts w:cs="Tahoma"/>
                <w:sz w:val="20"/>
                <w:szCs w:val="20"/>
              </w:rPr>
              <w:t>S</w:t>
            </w:r>
            <w:r w:rsidRPr="0068236B">
              <w:rPr>
                <w:rFonts w:cs="Tahoma"/>
                <w:sz w:val="20"/>
                <w:szCs w:val="20"/>
              </w:rPr>
              <w:t xml:space="preserve"> Expert</w:t>
            </w:r>
          </w:p>
        </w:tc>
      </w:tr>
      <w:tr w:rsidR="00334D2B" w:rsidRPr="0068236B" w14:paraId="24CDD44D" w14:textId="77777777" w:rsidTr="00C46838">
        <w:tc>
          <w:tcPr>
            <w:tcW w:w="3544" w:type="dxa"/>
            <w:tcBorders>
              <w:top w:val="nil"/>
              <w:left w:val="nil"/>
              <w:bottom w:val="nil"/>
              <w:right w:val="nil"/>
            </w:tcBorders>
          </w:tcPr>
          <w:p w14:paraId="7DF69EC5" w14:textId="77777777" w:rsidR="00334D2B" w:rsidRPr="0068236B" w:rsidRDefault="00334D2B" w:rsidP="00C46838">
            <w:pPr>
              <w:spacing w:after="0"/>
              <w:jc w:val="right"/>
              <w:rPr>
                <w:rFonts w:cs="Tahoma"/>
                <w:b/>
                <w:sz w:val="20"/>
                <w:szCs w:val="20"/>
              </w:rPr>
            </w:pPr>
          </w:p>
        </w:tc>
        <w:tc>
          <w:tcPr>
            <w:tcW w:w="5528" w:type="dxa"/>
            <w:tcBorders>
              <w:top w:val="nil"/>
              <w:left w:val="nil"/>
              <w:bottom w:val="nil"/>
              <w:right w:val="nil"/>
            </w:tcBorders>
          </w:tcPr>
          <w:p w14:paraId="7935ECE4" w14:textId="77777777" w:rsidR="00334D2B" w:rsidRPr="0068236B" w:rsidRDefault="00334D2B" w:rsidP="00C46838">
            <w:pPr>
              <w:spacing w:after="0"/>
              <w:rPr>
                <w:rFonts w:cs="Tahoma"/>
                <w:sz w:val="20"/>
                <w:szCs w:val="20"/>
                <w:lang w:val="de-DE"/>
              </w:rPr>
            </w:pPr>
            <w:r w:rsidRPr="0068236B">
              <w:rPr>
                <w:rFonts w:cs="Tahoma"/>
                <w:sz w:val="20"/>
                <w:szCs w:val="20"/>
                <w:lang w:val="de-DE"/>
              </w:rPr>
              <w:t>e-mail: k.siderovski@gmail.com</w:t>
            </w:r>
          </w:p>
        </w:tc>
      </w:tr>
    </w:tbl>
    <w:p w14:paraId="07564FFD" w14:textId="77777777" w:rsidR="00334D2B" w:rsidRPr="0068236B" w:rsidRDefault="00334D2B" w:rsidP="00334D2B">
      <w:pPr>
        <w:spacing w:after="0" w:line="23" w:lineRule="atLeast"/>
        <w:rPr>
          <w:rFonts w:cs="Tahoma"/>
          <w:sz w:val="20"/>
          <w:szCs w:val="20"/>
          <w:lang w:val="de-DE"/>
        </w:rPr>
      </w:pPr>
    </w:p>
    <w:p w14:paraId="1547515D" w14:textId="77777777" w:rsidR="00334D2B" w:rsidRPr="0068236B" w:rsidRDefault="00334D2B" w:rsidP="00334D2B">
      <w:pPr>
        <w:spacing w:after="0" w:line="23" w:lineRule="atLeast"/>
        <w:rPr>
          <w:rFonts w:cs="Tahoma"/>
          <w:sz w:val="20"/>
          <w:szCs w:val="20"/>
          <w:lang w:val="de-DE"/>
        </w:rPr>
      </w:pPr>
    </w:p>
    <w:tbl>
      <w:tblPr>
        <w:tblW w:w="0" w:type="auto"/>
        <w:tblInd w:w="108" w:type="dxa"/>
        <w:tblLook w:val="01E0" w:firstRow="1" w:lastRow="1" w:firstColumn="1" w:lastColumn="1" w:noHBand="0" w:noVBand="0"/>
      </w:tblPr>
      <w:tblGrid>
        <w:gridCol w:w="3544"/>
        <w:gridCol w:w="5528"/>
      </w:tblGrid>
      <w:tr w:rsidR="00334D2B" w:rsidRPr="0068236B" w14:paraId="339C222F" w14:textId="77777777" w:rsidTr="00C46838">
        <w:tc>
          <w:tcPr>
            <w:tcW w:w="9072" w:type="dxa"/>
            <w:gridSpan w:val="2"/>
            <w:tcBorders>
              <w:top w:val="nil"/>
              <w:left w:val="nil"/>
              <w:bottom w:val="single" w:sz="4" w:space="0" w:color="auto"/>
              <w:right w:val="nil"/>
            </w:tcBorders>
          </w:tcPr>
          <w:p w14:paraId="6C0915F4" w14:textId="38151606" w:rsidR="00334D2B" w:rsidRPr="0068236B" w:rsidRDefault="00334D2B" w:rsidP="00923457">
            <w:pPr>
              <w:spacing w:after="0"/>
              <w:rPr>
                <w:rFonts w:cs="Tahoma"/>
                <w:sz w:val="20"/>
                <w:szCs w:val="20"/>
              </w:rPr>
            </w:pPr>
            <w:r w:rsidRPr="0068236B">
              <w:rPr>
                <w:rFonts w:cs="Tahoma"/>
                <w:sz w:val="20"/>
                <w:szCs w:val="20"/>
              </w:rPr>
              <w:t>Team of experts for preparation of the Environment and Social Assessment:</w:t>
            </w:r>
          </w:p>
        </w:tc>
      </w:tr>
      <w:tr w:rsidR="00334D2B" w:rsidRPr="0068236B" w14:paraId="62E57A70" w14:textId="77777777" w:rsidTr="00C46838">
        <w:tc>
          <w:tcPr>
            <w:tcW w:w="3544" w:type="dxa"/>
            <w:tcBorders>
              <w:top w:val="single" w:sz="12" w:space="0" w:color="auto"/>
              <w:left w:val="nil"/>
              <w:bottom w:val="single" w:sz="4" w:space="0" w:color="auto"/>
              <w:right w:val="nil"/>
            </w:tcBorders>
          </w:tcPr>
          <w:p w14:paraId="07D8382C" w14:textId="77777777" w:rsidR="00334D2B" w:rsidRPr="0068236B" w:rsidRDefault="00334D2B" w:rsidP="00C46838">
            <w:pPr>
              <w:spacing w:after="0"/>
              <w:rPr>
                <w:rFonts w:cs="Tahoma"/>
                <w:sz w:val="20"/>
                <w:szCs w:val="20"/>
              </w:rPr>
            </w:pPr>
            <w:r w:rsidRPr="0068236B">
              <w:rPr>
                <w:rFonts w:cs="Tahoma"/>
                <w:sz w:val="20"/>
                <w:szCs w:val="20"/>
              </w:rPr>
              <w:t>Expert</w:t>
            </w:r>
          </w:p>
        </w:tc>
        <w:tc>
          <w:tcPr>
            <w:tcW w:w="5528" w:type="dxa"/>
            <w:tcBorders>
              <w:top w:val="single" w:sz="12" w:space="0" w:color="auto"/>
              <w:left w:val="nil"/>
              <w:bottom w:val="single" w:sz="4" w:space="0" w:color="auto"/>
              <w:right w:val="nil"/>
            </w:tcBorders>
          </w:tcPr>
          <w:p w14:paraId="0CEFB453" w14:textId="77777777" w:rsidR="00334D2B" w:rsidRPr="0068236B" w:rsidRDefault="00334D2B" w:rsidP="00C46838">
            <w:pPr>
              <w:spacing w:after="0"/>
              <w:rPr>
                <w:rFonts w:cs="Tahoma"/>
                <w:sz w:val="20"/>
                <w:szCs w:val="20"/>
              </w:rPr>
            </w:pPr>
            <w:r w:rsidRPr="0068236B">
              <w:rPr>
                <w:rFonts w:cs="Tahoma"/>
                <w:sz w:val="20"/>
                <w:szCs w:val="20"/>
              </w:rPr>
              <w:t>Position / Project component</w:t>
            </w:r>
          </w:p>
        </w:tc>
      </w:tr>
      <w:tr w:rsidR="00334D2B" w:rsidRPr="0068236B" w14:paraId="27DA860F" w14:textId="77777777" w:rsidTr="00C46838">
        <w:tc>
          <w:tcPr>
            <w:tcW w:w="3544" w:type="dxa"/>
            <w:tcBorders>
              <w:top w:val="single" w:sz="4" w:space="0" w:color="auto"/>
              <w:left w:val="nil"/>
              <w:bottom w:val="nil"/>
              <w:right w:val="nil"/>
            </w:tcBorders>
          </w:tcPr>
          <w:p w14:paraId="189713ED" w14:textId="77777777" w:rsidR="00334D2B" w:rsidRPr="0068236B" w:rsidRDefault="00334D2B" w:rsidP="00C46838">
            <w:pPr>
              <w:spacing w:after="0"/>
              <w:rPr>
                <w:rFonts w:cs="Tahoma"/>
                <w:sz w:val="20"/>
                <w:szCs w:val="20"/>
              </w:rPr>
            </w:pPr>
            <w:r w:rsidRPr="0068236B">
              <w:rPr>
                <w:rFonts w:cs="Tahoma"/>
                <w:sz w:val="20"/>
                <w:szCs w:val="20"/>
              </w:rPr>
              <w:t>Boris Stipcarov, MSc</w:t>
            </w:r>
          </w:p>
        </w:tc>
        <w:tc>
          <w:tcPr>
            <w:tcW w:w="5528" w:type="dxa"/>
            <w:tcBorders>
              <w:top w:val="single" w:sz="4" w:space="0" w:color="auto"/>
              <w:left w:val="nil"/>
              <w:bottom w:val="nil"/>
              <w:right w:val="nil"/>
            </w:tcBorders>
          </w:tcPr>
          <w:p w14:paraId="76E41A86" w14:textId="77777777" w:rsidR="00334D2B" w:rsidRPr="0068236B" w:rsidRDefault="00334D2B" w:rsidP="00C46838">
            <w:pPr>
              <w:spacing w:after="0"/>
              <w:rPr>
                <w:rFonts w:cs="Tahoma"/>
                <w:sz w:val="20"/>
                <w:szCs w:val="20"/>
              </w:rPr>
            </w:pPr>
            <w:r w:rsidRPr="0068236B">
              <w:rPr>
                <w:rFonts w:cs="Tahoma"/>
                <w:sz w:val="20"/>
                <w:szCs w:val="20"/>
              </w:rPr>
              <w:t>Lead Social and Resettlement Expert</w:t>
            </w:r>
          </w:p>
        </w:tc>
      </w:tr>
      <w:tr w:rsidR="00334D2B" w:rsidRPr="0068236B" w14:paraId="76D0FBC8" w14:textId="77777777" w:rsidTr="00C46838">
        <w:tc>
          <w:tcPr>
            <w:tcW w:w="3544" w:type="dxa"/>
            <w:tcBorders>
              <w:left w:val="nil"/>
              <w:right w:val="nil"/>
            </w:tcBorders>
            <w:vAlign w:val="center"/>
          </w:tcPr>
          <w:p w14:paraId="0555BF33" w14:textId="77777777" w:rsidR="00334D2B" w:rsidRPr="0068236B" w:rsidRDefault="00334D2B" w:rsidP="00C46838">
            <w:pPr>
              <w:spacing w:after="0"/>
              <w:rPr>
                <w:rFonts w:cs="Tahoma"/>
                <w:sz w:val="20"/>
                <w:szCs w:val="20"/>
              </w:rPr>
            </w:pPr>
            <w:r w:rsidRPr="0068236B">
              <w:rPr>
                <w:rFonts w:cs="Tahoma"/>
                <w:sz w:val="20"/>
                <w:szCs w:val="20"/>
              </w:rPr>
              <w:t>Prof. Slavcho Hristovski, PhD</w:t>
            </w:r>
          </w:p>
        </w:tc>
        <w:tc>
          <w:tcPr>
            <w:tcW w:w="5528" w:type="dxa"/>
            <w:tcBorders>
              <w:left w:val="nil"/>
              <w:right w:val="nil"/>
            </w:tcBorders>
            <w:vAlign w:val="center"/>
          </w:tcPr>
          <w:p w14:paraId="4594C186" w14:textId="77777777" w:rsidR="00334D2B" w:rsidRPr="0068236B" w:rsidRDefault="00334D2B" w:rsidP="00C46838">
            <w:pPr>
              <w:spacing w:after="0"/>
              <w:rPr>
                <w:rFonts w:cs="Tahoma"/>
                <w:sz w:val="20"/>
                <w:szCs w:val="20"/>
              </w:rPr>
            </w:pPr>
            <w:r w:rsidRPr="0068236B">
              <w:rPr>
                <w:rFonts w:cs="Tahoma"/>
                <w:sz w:val="20"/>
                <w:szCs w:val="20"/>
              </w:rPr>
              <w:t>Expert on Nature, Biodiversity and Landscape</w:t>
            </w:r>
          </w:p>
        </w:tc>
      </w:tr>
      <w:tr w:rsidR="00923457" w:rsidRPr="0068236B" w14:paraId="2D3092EE" w14:textId="77777777" w:rsidTr="00C46838">
        <w:tc>
          <w:tcPr>
            <w:tcW w:w="3544" w:type="dxa"/>
            <w:tcBorders>
              <w:left w:val="nil"/>
              <w:right w:val="nil"/>
            </w:tcBorders>
            <w:vAlign w:val="center"/>
          </w:tcPr>
          <w:p w14:paraId="4AE30DA5" w14:textId="4735C415" w:rsidR="00923457" w:rsidRPr="0068236B" w:rsidRDefault="00923457" w:rsidP="00C46838">
            <w:pPr>
              <w:spacing w:after="0"/>
              <w:rPr>
                <w:rFonts w:cs="Tahoma"/>
                <w:sz w:val="20"/>
                <w:szCs w:val="20"/>
              </w:rPr>
            </w:pPr>
            <w:r w:rsidRPr="0068236B">
              <w:rPr>
                <w:rFonts w:cs="Tahoma"/>
                <w:sz w:val="20"/>
                <w:szCs w:val="20"/>
              </w:rPr>
              <w:t>Mitko Dimov, MSc</w:t>
            </w:r>
          </w:p>
        </w:tc>
        <w:tc>
          <w:tcPr>
            <w:tcW w:w="5528" w:type="dxa"/>
            <w:tcBorders>
              <w:left w:val="nil"/>
              <w:right w:val="nil"/>
            </w:tcBorders>
            <w:vAlign w:val="center"/>
          </w:tcPr>
          <w:p w14:paraId="038F5806" w14:textId="2C67D187" w:rsidR="00923457" w:rsidRPr="0068236B" w:rsidRDefault="00923457" w:rsidP="00C46838">
            <w:pPr>
              <w:spacing w:after="0"/>
              <w:rPr>
                <w:rFonts w:cs="Tahoma"/>
                <w:sz w:val="20"/>
                <w:szCs w:val="20"/>
              </w:rPr>
            </w:pPr>
            <w:r w:rsidRPr="0068236B">
              <w:rPr>
                <w:rFonts w:cs="Tahoma"/>
                <w:sz w:val="20"/>
                <w:szCs w:val="20"/>
              </w:rPr>
              <w:t>Geological and Water Environment</w:t>
            </w:r>
          </w:p>
        </w:tc>
      </w:tr>
      <w:tr w:rsidR="00334D2B" w:rsidRPr="0068236B" w14:paraId="7F47929D" w14:textId="77777777" w:rsidTr="00C46838">
        <w:trPr>
          <w:trHeight w:val="413"/>
        </w:trPr>
        <w:tc>
          <w:tcPr>
            <w:tcW w:w="3544" w:type="dxa"/>
            <w:tcBorders>
              <w:left w:val="nil"/>
              <w:bottom w:val="nil"/>
              <w:right w:val="nil"/>
            </w:tcBorders>
            <w:vAlign w:val="center"/>
          </w:tcPr>
          <w:p w14:paraId="4A581A25" w14:textId="77777777" w:rsidR="00334D2B" w:rsidRPr="0068236B" w:rsidRDefault="00334D2B" w:rsidP="00C46838">
            <w:pPr>
              <w:spacing w:after="0"/>
              <w:rPr>
                <w:rFonts w:cs="Tahoma"/>
                <w:sz w:val="20"/>
                <w:szCs w:val="20"/>
              </w:rPr>
            </w:pPr>
            <w:r w:rsidRPr="0068236B">
              <w:rPr>
                <w:rFonts w:cs="Tahoma"/>
                <w:sz w:val="20"/>
                <w:szCs w:val="20"/>
              </w:rPr>
              <w:t>Vasko Avukatov</w:t>
            </w:r>
          </w:p>
        </w:tc>
        <w:tc>
          <w:tcPr>
            <w:tcW w:w="5528" w:type="dxa"/>
            <w:tcBorders>
              <w:left w:val="nil"/>
              <w:bottom w:val="nil"/>
              <w:right w:val="nil"/>
            </w:tcBorders>
            <w:vAlign w:val="center"/>
          </w:tcPr>
          <w:p w14:paraId="30EFEC43" w14:textId="77777777" w:rsidR="00334D2B" w:rsidRPr="0068236B" w:rsidRDefault="00334D2B" w:rsidP="00C46838">
            <w:pPr>
              <w:spacing w:after="0"/>
              <w:rPr>
                <w:rFonts w:cs="Tahoma"/>
                <w:sz w:val="20"/>
                <w:szCs w:val="20"/>
              </w:rPr>
            </w:pPr>
            <w:r w:rsidRPr="0068236B">
              <w:rPr>
                <w:rFonts w:cs="Tahoma"/>
                <w:sz w:val="20"/>
                <w:szCs w:val="20"/>
              </w:rPr>
              <w:t>Expert on Geographic Information System</w:t>
            </w:r>
          </w:p>
        </w:tc>
      </w:tr>
    </w:tbl>
    <w:p w14:paraId="77D08DCA" w14:textId="77777777" w:rsidR="00334D2B" w:rsidRPr="0068236B" w:rsidRDefault="00334D2B" w:rsidP="00334D2B">
      <w:pPr>
        <w:spacing w:after="0" w:line="23" w:lineRule="atLeast"/>
        <w:rPr>
          <w:rFonts w:cs="Tahoma"/>
          <w:sz w:val="20"/>
          <w:szCs w:val="20"/>
        </w:rPr>
      </w:pPr>
    </w:p>
    <w:p w14:paraId="16DC68DC" w14:textId="77777777" w:rsidR="00334D2B" w:rsidRPr="0068236B" w:rsidRDefault="00334D2B" w:rsidP="00334D2B">
      <w:pPr>
        <w:spacing w:after="0" w:line="23" w:lineRule="atLeast"/>
        <w:rPr>
          <w:rFonts w:cs="Tahoma"/>
          <w:sz w:val="20"/>
          <w:szCs w:val="20"/>
        </w:rPr>
      </w:pPr>
    </w:p>
    <w:tbl>
      <w:tblPr>
        <w:tblW w:w="0" w:type="auto"/>
        <w:tblInd w:w="108" w:type="dxa"/>
        <w:tblLook w:val="01E0" w:firstRow="1" w:lastRow="1" w:firstColumn="1" w:lastColumn="1" w:noHBand="0" w:noVBand="0"/>
      </w:tblPr>
      <w:tblGrid>
        <w:gridCol w:w="3544"/>
        <w:gridCol w:w="5528"/>
      </w:tblGrid>
      <w:tr w:rsidR="00334D2B" w:rsidRPr="0068236B" w14:paraId="06919A3B" w14:textId="77777777" w:rsidTr="00C46838">
        <w:tc>
          <w:tcPr>
            <w:tcW w:w="9072" w:type="dxa"/>
            <w:gridSpan w:val="2"/>
            <w:tcBorders>
              <w:top w:val="nil"/>
              <w:left w:val="nil"/>
              <w:bottom w:val="single" w:sz="4" w:space="0" w:color="auto"/>
              <w:right w:val="nil"/>
            </w:tcBorders>
          </w:tcPr>
          <w:p w14:paraId="20AF77BF" w14:textId="1BFAA7C4" w:rsidR="00334D2B" w:rsidRPr="0068236B" w:rsidRDefault="00334D2B" w:rsidP="00923457">
            <w:pPr>
              <w:spacing w:after="0"/>
              <w:rPr>
                <w:rFonts w:cs="Tahoma"/>
                <w:sz w:val="20"/>
                <w:szCs w:val="20"/>
              </w:rPr>
            </w:pPr>
            <w:r w:rsidRPr="0068236B">
              <w:rPr>
                <w:rFonts w:cs="Tahoma"/>
                <w:sz w:val="20"/>
                <w:szCs w:val="20"/>
              </w:rPr>
              <w:t>Team of technical experts for preparation of the Environment and Social Assessment:</w:t>
            </w:r>
          </w:p>
        </w:tc>
      </w:tr>
      <w:tr w:rsidR="00334D2B" w:rsidRPr="0068236B" w14:paraId="17305A60" w14:textId="77777777" w:rsidTr="00C46838">
        <w:tc>
          <w:tcPr>
            <w:tcW w:w="3544" w:type="dxa"/>
            <w:tcBorders>
              <w:top w:val="single" w:sz="12" w:space="0" w:color="auto"/>
              <w:left w:val="nil"/>
              <w:bottom w:val="single" w:sz="4" w:space="0" w:color="auto"/>
              <w:right w:val="nil"/>
            </w:tcBorders>
          </w:tcPr>
          <w:p w14:paraId="1AD6739F" w14:textId="77777777" w:rsidR="00334D2B" w:rsidRPr="0068236B" w:rsidRDefault="00334D2B" w:rsidP="00C46838">
            <w:pPr>
              <w:spacing w:after="0"/>
              <w:rPr>
                <w:rFonts w:cs="Tahoma"/>
                <w:sz w:val="20"/>
                <w:szCs w:val="20"/>
              </w:rPr>
            </w:pPr>
            <w:r w:rsidRPr="0068236B">
              <w:rPr>
                <w:rFonts w:cs="Tahoma"/>
                <w:sz w:val="20"/>
                <w:szCs w:val="20"/>
              </w:rPr>
              <w:t>Expert</w:t>
            </w:r>
          </w:p>
        </w:tc>
        <w:tc>
          <w:tcPr>
            <w:tcW w:w="5528" w:type="dxa"/>
            <w:tcBorders>
              <w:top w:val="single" w:sz="12" w:space="0" w:color="auto"/>
              <w:left w:val="nil"/>
              <w:bottom w:val="single" w:sz="4" w:space="0" w:color="auto"/>
              <w:right w:val="nil"/>
            </w:tcBorders>
          </w:tcPr>
          <w:p w14:paraId="301E585B" w14:textId="77777777" w:rsidR="00334D2B" w:rsidRPr="0068236B" w:rsidRDefault="00334D2B" w:rsidP="00C46838">
            <w:pPr>
              <w:spacing w:after="0"/>
              <w:rPr>
                <w:rFonts w:cs="Tahoma"/>
                <w:sz w:val="20"/>
                <w:szCs w:val="20"/>
              </w:rPr>
            </w:pPr>
            <w:r w:rsidRPr="0068236B">
              <w:rPr>
                <w:rFonts w:cs="Tahoma"/>
                <w:sz w:val="20"/>
                <w:szCs w:val="20"/>
              </w:rPr>
              <w:t>Position</w:t>
            </w:r>
          </w:p>
        </w:tc>
      </w:tr>
      <w:tr w:rsidR="00334D2B" w:rsidRPr="0068236B" w14:paraId="377E4C50" w14:textId="77777777" w:rsidTr="00C46838">
        <w:tc>
          <w:tcPr>
            <w:tcW w:w="3544" w:type="dxa"/>
            <w:tcBorders>
              <w:top w:val="single" w:sz="4" w:space="0" w:color="auto"/>
              <w:left w:val="nil"/>
              <w:bottom w:val="nil"/>
              <w:right w:val="nil"/>
            </w:tcBorders>
            <w:vAlign w:val="center"/>
          </w:tcPr>
          <w:p w14:paraId="3507DB02" w14:textId="0FDE77D1" w:rsidR="00334D2B" w:rsidRPr="0068236B" w:rsidRDefault="00923457" w:rsidP="00923457">
            <w:pPr>
              <w:spacing w:after="0"/>
              <w:rPr>
                <w:rFonts w:cs="Tahoma"/>
                <w:sz w:val="20"/>
                <w:szCs w:val="20"/>
              </w:rPr>
            </w:pPr>
            <w:r w:rsidRPr="0068236B">
              <w:rPr>
                <w:rFonts w:cs="Tahoma"/>
                <w:sz w:val="20"/>
                <w:szCs w:val="20"/>
              </w:rPr>
              <w:t>Rubin Atanasoski</w:t>
            </w:r>
          </w:p>
        </w:tc>
        <w:tc>
          <w:tcPr>
            <w:tcW w:w="5528" w:type="dxa"/>
            <w:tcBorders>
              <w:top w:val="single" w:sz="4" w:space="0" w:color="auto"/>
              <w:left w:val="nil"/>
              <w:bottom w:val="nil"/>
              <w:right w:val="nil"/>
            </w:tcBorders>
            <w:vAlign w:val="center"/>
          </w:tcPr>
          <w:p w14:paraId="0969B62B" w14:textId="4A480A75" w:rsidR="00334D2B" w:rsidRPr="0068236B" w:rsidRDefault="00923457" w:rsidP="00C46838">
            <w:pPr>
              <w:spacing w:after="0"/>
              <w:rPr>
                <w:rFonts w:cs="Tahoma"/>
                <w:sz w:val="20"/>
                <w:szCs w:val="20"/>
              </w:rPr>
            </w:pPr>
            <w:r w:rsidRPr="0068236B">
              <w:rPr>
                <w:rFonts w:cs="Tahoma"/>
                <w:color w:val="000000"/>
                <w:sz w:val="20"/>
                <w:szCs w:val="20"/>
              </w:rPr>
              <w:t>Transmission Construction Engineer</w:t>
            </w:r>
          </w:p>
        </w:tc>
      </w:tr>
      <w:tr w:rsidR="00334D2B" w:rsidRPr="0068236B" w14:paraId="1F559C09" w14:textId="77777777" w:rsidTr="00C46838">
        <w:tc>
          <w:tcPr>
            <w:tcW w:w="3544" w:type="dxa"/>
            <w:tcBorders>
              <w:left w:val="nil"/>
              <w:bottom w:val="nil"/>
              <w:right w:val="nil"/>
            </w:tcBorders>
            <w:vAlign w:val="center"/>
          </w:tcPr>
          <w:p w14:paraId="034277DA" w14:textId="2A3E56DF" w:rsidR="00334D2B" w:rsidRPr="0068236B" w:rsidRDefault="00923457" w:rsidP="00923457">
            <w:pPr>
              <w:spacing w:after="0"/>
              <w:rPr>
                <w:rFonts w:cs="Tahoma"/>
                <w:sz w:val="20"/>
                <w:szCs w:val="20"/>
              </w:rPr>
            </w:pPr>
            <w:r w:rsidRPr="0068236B">
              <w:rPr>
                <w:rFonts w:cs="Tahoma"/>
                <w:color w:val="000000"/>
                <w:sz w:val="20"/>
                <w:szCs w:val="20"/>
              </w:rPr>
              <w:t>Marija Petroska Pashoska</w:t>
            </w:r>
          </w:p>
        </w:tc>
        <w:tc>
          <w:tcPr>
            <w:tcW w:w="5528" w:type="dxa"/>
            <w:tcBorders>
              <w:left w:val="nil"/>
              <w:bottom w:val="nil"/>
              <w:right w:val="nil"/>
            </w:tcBorders>
            <w:vAlign w:val="center"/>
          </w:tcPr>
          <w:p w14:paraId="27FC910E" w14:textId="5D893609" w:rsidR="00334D2B" w:rsidRPr="0068236B" w:rsidRDefault="00923457" w:rsidP="00C46838">
            <w:pPr>
              <w:spacing w:after="0"/>
              <w:jc w:val="left"/>
              <w:rPr>
                <w:rFonts w:cs="Tahoma"/>
                <w:color w:val="000000"/>
                <w:sz w:val="20"/>
                <w:szCs w:val="20"/>
              </w:rPr>
            </w:pPr>
            <w:r w:rsidRPr="0068236B">
              <w:rPr>
                <w:rFonts w:cs="Tahoma"/>
                <w:color w:val="000000"/>
                <w:sz w:val="20"/>
                <w:szCs w:val="20"/>
              </w:rPr>
              <w:t>Substation Engineer</w:t>
            </w:r>
          </w:p>
        </w:tc>
      </w:tr>
      <w:tr w:rsidR="00334D2B" w:rsidRPr="004754E9" w14:paraId="5712351E" w14:textId="77777777" w:rsidTr="00C46838">
        <w:tc>
          <w:tcPr>
            <w:tcW w:w="3544" w:type="dxa"/>
            <w:tcBorders>
              <w:left w:val="nil"/>
              <w:bottom w:val="nil"/>
              <w:right w:val="nil"/>
            </w:tcBorders>
            <w:vAlign w:val="center"/>
          </w:tcPr>
          <w:p w14:paraId="324FB680" w14:textId="65B8D115" w:rsidR="00334D2B" w:rsidRPr="0068236B" w:rsidRDefault="00923457" w:rsidP="00C46838">
            <w:pPr>
              <w:spacing w:after="0"/>
              <w:rPr>
                <w:rFonts w:cs="Tahoma"/>
                <w:sz w:val="20"/>
                <w:szCs w:val="20"/>
              </w:rPr>
            </w:pPr>
            <w:r w:rsidRPr="0068236B">
              <w:rPr>
                <w:rFonts w:cs="Tahoma"/>
                <w:sz w:val="20"/>
                <w:szCs w:val="20"/>
              </w:rPr>
              <w:t>Aleksandar Dimitrovski</w:t>
            </w:r>
          </w:p>
        </w:tc>
        <w:tc>
          <w:tcPr>
            <w:tcW w:w="5528" w:type="dxa"/>
            <w:tcBorders>
              <w:left w:val="nil"/>
              <w:bottom w:val="nil"/>
              <w:right w:val="nil"/>
            </w:tcBorders>
            <w:vAlign w:val="center"/>
          </w:tcPr>
          <w:p w14:paraId="37190CF0" w14:textId="39ADE8D8" w:rsidR="00334D2B" w:rsidRPr="004754E9" w:rsidRDefault="00334D2B" w:rsidP="00923457">
            <w:pPr>
              <w:spacing w:after="0"/>
              <w:rPr>
                <w:rFonts w:cs="Tahoma"/>
                <w:sz w:val="20"/>
                <w:szCs w:val="20"/>
              </w:rPr>
            </w:pPr>
            <w:r w:rsidRPr="0068236B">
              <w:rPr>
                <w:rFonts w:cs="Tahoma"/>
                <w:color w:val="000000"/>
                <w:sz w:val="20"/>
                <w:szCs w:val="20"/>
              </w:rPr>
              <w:t xml:space="preserve">Overhead Line </w:t>
            </w:r>
            <w:r w:rsidR="00923457" w:rsidRPr="0068236B">
              <w:rPr>
                <w:rFonts w:cs="Tahoma"/>
                <w:color w:val="000000"/>
                <w:sz w:val="20"/>
                <w:szCs w:val="20"/>
              </w:rPr>
              <w:t>Engineer</w:t>
            </w:r>
          </w:p>
        </w:tc>
      </w:tr>
    </w:tbl>
    <w:p w14:paraId="20D865B9" w14:textId="77777777" w:rsidR="00B72CF5" w:rsidRPr="004754E9" w:rsidRDefault="00B72CF5" w:rsidP="0061653B">
      <w:pPr>
        <w:rPr>
          <w:sz w:val="20"/>
        </w:rPr>
      </w:pPr>
    </w:p>
    <w:sectPr w:rsidR="00B72CF5" w:rsidRPr="004754E9" w:rsidSect="0077048A">
      <w:headerReference w:type="even" r:id="rId152"/>
      <w:headerReference w:type="default" r:id="rId153"/>
      <w:footerReference w:type="default" r:id="rId154"/>
      <w:headerReference w:type="first" r:id="rId155"/>
      <w:pgSz w:w="11906" w:h="16838"/>
      <w:pgMar w:top="1134" w:right="1134" w:bottom="1080" w:left="1134" w:header="403" w:footer="403"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9DB5736" w14:textId="77777777" w:rsidR="00FD548C" w:rsidRDefault="00FD548C" w:rsidP="00895F56">
      <w:r>
        <w:separator/>
      </w:r>
    </w:p>
  </w:endnote>
  <w:endnote w:type="continuationSeparator" w:id="0">
    <w:p w14:paraId="2EA82794" w14:textId="77777777" w:rsidR="00FD548C" w:rsidRDefault="00FD548C" w:rsidP="00895F56">
      <w:r>
        <w:continuationSeparator/>
      </w:r>
    </w:p>
  </w:endnote>
  <w:endnote w:type="continuationNotice" w:id="1">
    <w:p w14:paraId="09DBB46F" w14:textId="77777777" w:rsidR="00FD548C" w:rsidRDefault="00FD548C">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Wingdings 2">
    <w:panose1 w:val="050201020105070707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HelveticaNeueLTStd-Roman">
    <w:altName w:val="Arial"/>
    <w:panose1 w:val="00000000000000000000"/>
    <w:charset w:val="00"/>
    <w:family w:val="swiss"/>
    <w:notTrueType/>
    <w:pitch w:val="default"/>
    <w:sig w:usb0="00000003" w:usb1="00000000" w:usb2="00000000" w:usb3="00000000" w:csb0="00000001" w:csb1="00000000"/>
  </w:font>
  <w:font w:name="ヒラギノ角ゴ Pro W3">
    <w:altName w:val="Times New Roman"/>
    <w:charset w:val="00"/>
    <w:family w:val="roman"/>
    <w:pitch w:val="default"/>
  </w:font>
  <w:font w:name="Calibri Light">
    <w:panose1 w:val="020F0302020204030204"/>
    <w:charset w:val="CC"/>
    <w:family w:val="swiss"/>
    <w:pitch w:val="variable"/>
    <w:sig w:usb0="E4002EFF" w:usb1="C000247B" w:usb2="00000009" w:usb3="00000000" w:csb0="000001FF" w:csb1="00000000"/>
  </w:font>
  <w:font w:name="Swis721 LtEx BT">
    <w:altName w:val="Arial"/>
    <w:charset w:val="00"/>
    <w:family w:val="swiss"/>
    <w:pitch w:val="variable"/>
    <w:sig w:usb0="800000AF" w:usb1="1000204A" w:usb2="00000000" w:usb3="00000000" w:csb0="00000011" w:csb1="00000000"/>
  </w:font>
  <w:font w:name="Tahoma Bold">
    <w:panose1 w:val="020B0804030504040204"/>
    <w:charset w:val="00"/>
    <w:family w:val="auto"/>
    <w:pitch w:val="variable"/>
  </w:font>
  <w:font w:name="Cambria">
    <w:panose1 w:val="02040503050406030204"/>
    <w:charset w:val="CC"/>
    <w:family w:val="roman"/>
    <w:pitch w:val="variable"/>
    <w:sig w:usb0="E00006FF" w:usb1="420024FF" w:usb2="02000000" w:usb3="00000000" w:csb0="0000019F" w:csb1="00000000"/>
  </w:font>
  <w:font w:name="Times Regular">
    <w:panose1 w:val="00000000000000000000"/>
    <w:charset w:val="00"/>
    <w:family w:val="auto"/>
    <w:notTrueType/>
    <w:pitch w:val="default"/>
    <w:sig w:usb0="00000003" w:usb1="00000000" w:usb2="00000000" w:usb3="00000000" w:csb0="00000001" w:csb1="00000000"/>
  </w:font>
  <w:font w:name="Century Gothic">
    <w:panose1 w:val="020B0502020202020204"/>
    <w:charset w:val="CC"/>
    <w:family w:val="swiss"/>
    <w:pitch w:val="variable"/>
    <w:sig w:usb0="00000287" w:usb1="00000000" w:usb2="00000000" w:usb3="00000000" w:csb0="0000009F" w:csb1="00000000"/>
  </w:font>
  <w:font w:name="Arial Bold">
    <w:altName w:val="Arial"/>
    <w:panose1 w:val="020B0704020202020204"/>
    <w:charset w:val="EE"/>
    <w:family w:val="roman"/>
    <w:pitch w:val="variable"/>
  </w:font>
  <w:font w:name="Constantia">
    <w:panose1 w:val="02030602050306030303"/>
    <w:charset w:val="CC"/>
    <w:family w:val="roman"/>
    <w:pitch w:val="variable"/>
    <w:sig w:usb0="A00002EF" w:usb1="4000204B" w:usb2="00000000" w:usb3="00000000" w:csb0="0000019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FranklinGothicBookCmpITC">
    <w:altName w:val="Arial"/>
    <w:panose1 w:val="00000000000000000000"/>
    <w:charset w:val="00"/>
    <w:family w:val="swiss"/>
    <w:notTrueType/>
    <w:pitch w:val="default"/>
    <w:sig w:usb0="00000003" w:usb1="00000000" w:usb2="00000000" w:usb3="00000000" w:csb0="00000001" w:csb1="00000000"/>
  </w:font>
  <w:font w:name="ITC Franklin Gothic Std Book">
    <w:altName w:val="Calibri"/>
    <w:panose1 w:val="00000000000000000000"/>
    <w:charset w:val="00"/>
    <w:family w:val="swiss"/>
    <w:notTrueType/>
    <w:pitch w:val="default"/>
    <w:sig w:usb0="00000003" w:usb1="00000000" w:usb2="00000000" w:usb3="00000000" w:csb0="00000001" w:csb1="00000000"/>
  </w:font>
  <w:font w:name="Trebuchet MS">
    <w:panose1 w:val="020B0603020202020204"/>
    <w:charset w:val="CC"/>
    <w:family w:val="swiss"/>
    <w:pitch w:val="variable"/>
    <w:sig w:usb0="00000687" w:usb1="00000000" w:usb2="00000000" w:usb3="00000000" w:csb0="0000009F" w:csb1="00000000"/>
  </w:font>
  <w:font w:name="Liberation Sans">
    <w:altName w:val="Arial"/>
    <w:charset w:val="01"/>
    <w:family w:val="swiss"/>
    <w:pitch w:val="variable"/>
  </w:font>
  <w:font w:name="TheSans B3 Light">
    <w:altName w:val="Arial"/>
    <w:panose1 w:val="00000000000000000000"/>
    <w:charset w:val="00"/>
    <w:family w:val="swiss"/>
    <w:notTrueType/>
    <w:pitch w:val="default"/>
    <w:sig w:usb0="00000003" w:usb1="00000000" w:usb2="00000000" w:usb3="00000000" w:csb0="00000001" w:csb1="00000000"/>
  </w:font>
  <w:font w:name="TheSans B6 SemiBold">
    <w:altName w:val="Arial"/>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46xmh">
    <w:altName w:val="MS Mincho"/>
    <w:panose1 w:val="00000000000000000000"/>
    <w:charset w:val="80"/>
    <w:family w:val="auto"/>
    <w:notTrueType/>
    <w:pitch w:val="default"/>
    <w:sig w:usb0="00000000" w:usb1="08070000" w:usb2="00000010" w:usb3="00000000" w:csb0="00020000" w:csb1="00000000"/>
  </w:font>
  <w:font w:name="ArialMT">
    <w:altName w:val="MS Gothic"/>
    <w:panose1 w:val="00000000000000000000"/>
    <w:charset w:val="00"/>
    <w:family w:val="swiss"/>
    <w:notTrueType/>
    <w:pitch w:val="default"/>
    <w:sig w:usb0="00000003" w:usb1="08070000" w:usb2="00000010" w:usb3="00000000" w:csb0="00020001"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9B5852" w14:textId="77777777" w:rsidR="00AB2D8F" w:rsidRDefault="00AB2D8F" w:rsidP="001A12CC">
    <w:pPr>
      <w:pStyle w:val="Footer"/>
      <w:tabs>
        <w:tab w:val="clear" w:pos="4513"/>
        <w:tab w:val="clear" w:pos="9026"/>
        <w:tab w:val="right" w:pos="21546"/>
      </w:tabs>
      <w:spacing w:before="60" w:after="60"/>
      <w:rPr>
        <w:rFonts w:cs="Tahoma"/>
        <w:bCs/>
        <w:color w:val="44697D"/>
        <w:szCs w:val="20"/>
      </w:rPr>
    </w:pPr>
    <w:r w:rsidRPr="00AA32AF">
      <w:rPr>
        <w:rStyle w:val="PageNumber"/>
        <w:rFonts w:cs="Tahoma"/>
        <w:color w:val="44697D"/>
        <w:spacing w:val="20"/>
        <w:sz w:val="12"/>
        <w:szCs w:val="12"/>
      </w:rPr>
      <w:t>• • • • • •</w:t>
    </w:r>
    <w:r>
      <w:rPr>
        <w:rStyle w:val="PageNumber"/>
        <w:rFonts w:cs="Tahoma"/>
        <w:color w:val="44697D"/>
        <w:spacing w:val="20"/>
        <w:sz w:val="12"/>
        <w:szCs w:val="12"/>
      </w:rPr>
      <w:t xml:space="preserve"> </w:t>
    </w:r>
    <w:r w:rsidRPr="00AA32AF">
      <w:rPr>
        <w:rStyle w:val="PageNumber"/>
        <w:rFonts w:cs="Tahoma"/>
        <w:color w:val="44697D"/>
        <w:spacing w:val="20"/>
        <w:sz w:val="12"/>
        <w:szCs w:val="12"/>
      </w:rPr>
      <w:t>• • • • •</w:t>
    </w:r>
    <w:r>
      <w:rPr>
        <w:rStyle w:val="PageNumber"/>
        <w:rFonts w:cs="Tahoma"/>
        <w:color w:val="44697D"/>
        <w:spacing w:val="20"/>
        <w:sz w:val="12"/>
        <w:szCs w:val="12"/>
      </w:rPr>
      <w:t xml:space="preserve"> </w:t>
    </w:r>
    <w:r w:rsidRPr="00AA32AF">
      <w:rPr>
        <w:rStyle w:val="PageNumber"/>
        <w:rFonts w:cs="Tahoma"/>
        <w:color w:val="44697D"/>
        <w:spacing w:val="20"/>
        <w:sz w:val="12"/>
        <w:szCs w:val="12"/>
      </w:rPr>
      <w:t>• • • • • • • •</w:t>
    </w:r>
    <w:r>
      <w:rPr>
        <w:rStyle w:val="PageNumber"/>
        <w:rFonts w:cs="Tahoma"/>
        <w:color w:val="44697D"/>
        <w:spacing w:val="20"/>
        <w:sz w:val="12"/>
        <w:szCs w:val="12"/>
      </w:rPr>
      <w:t xml:space="preserve"> • </w:t>
    </w:r>
    <w:r w:rsidRPr="00AA32AF">
      <w:rPr>
        <w:rStyle w:val="PageNumber"/>
        <w:rFonts w:cs="Tahoma"/>
        <w:color w:val="44697D"/>
        <w:spacing w:val="20"/>
        <w:sz w:val="12"/>
        <w:szCs w:val="12"/>
      </w:rPr>
      <w:t>•</w:t>
    </w:r>
    <w:r>
      <w:rPr>
        <w:rStyle w:val="PageNumber"/>
        <w:rFonts w:cs="Tahoma"/>
        <w:color w:val="44697D"/>
        <w:spacing w:val="20"/>
        <w:sz w:val="12"/>
        <w:szCs w:val="12"/>
      </w:rPr>
      <w:t xml:space="preserve"> • </w:t>
    </w:r>
    <w:r w:rsidRPr="00AA32AF">
      <w:rPr>
        <w:rStyle w:val="PageNumber"/>
        <w:rFonts w:cs="Tahoma"/>
        <w:color w:val="44697D"/>
        <w:spacing w:val="20"/>
        <w:sz w:val="12"/>
        <w:szCs w:val="12"/>
      </w:rPr>
      <w:t>• • • • • • • • • • • • • • • • • • • • • • • •</w:t>
    </w:r>
    <w:r>
      <w:rPr>
        <w:rStyle w:val="PageNumber"/>
        <w:rFonts w:cs="Tahoma"/>
        <w:color w:val="44697D"/>
        <w:spacing w:val="20"/>
        <w:sz w:val="12"/>
        <w:szCs w:val="12"/>
      </w:rPr>
      <w:t xml:space="preserve"> </w:t>
    </w:r>
    <w:r w:rsidRPr="00AA32AF">
      <w:rPr>
        <w:rStyle w:val="PageNumber"/>
        <w:rFonts w:cs="Tahoma"/>
        <w:color w:val="44697D"/>
        <w:spacing w:val="20"/>
        <w:sz w:val="12"/>
        <w:szCs w:val="12"/>
      </w:rPr>
      <w:t>• • • • •</w:t>
    </w:r>
    <w:r>
      <w:rPr>
        <w:rStyle w:val="PageNumber"/>
        <w:rFonts w:cs="Tahoma"/>
        <w:color w:val="44697D"/>
        <w:spacing w:val="20"/>
        <w:sz w:val="12"/>
        <w:szCs w:val="12"/>
      </w:rPr>
      <w:t xml:space="preserve"> </w:t>
    </w:r>
    <w:r w:rsidRPr="00AA32AF">
      <w:rPr>
        <w:rStyle w:val="PageNumber"/>
        <w:rFonts w:cs="Tahoma"/>
        <w:color w:val="44697D"/>
        <w:spacing w:val="20"/>
        <w:sz w:val="12"/>
        <w:szCs w:val="12"/>
      </w:rPr>
      <w:t>•</w:t>
    </w:r>
    <w:r>
      <w:rPr>
        <w:rStyle w:val="PageNumber"/>
        <w:rFonts w:cs="Tahoma"/>
        <w:color w:val="44697D"/>
        <w:spacing w:val="20"/>
        <w:sz w:val="12"/>
        <w:szCs w:val="12"/>
      </w:rPr>
      <w:t xml:space="preserve"> </w:t>
    </w:r>
    <w:r w:rsidRPr="00AA32AF">
      <w:rPr>
        <w:rStyle w:val="PageNumber"/>
        <w:rFonts w:cs="Tahoma"/>
        <w:color w:val="44697D"/>
        <w:spacing w:val="20"/>
        <w:sz w:val="12"/>
        <w:szCs w:val="12"/>
      </w:rPr>
      <w:t>•</w:t>
    </w:r>
    <w:r>
      <w:rPr>
        <w:rStyle w:val="PageNumber"/>
        <w:rFonts w:cs="Tahoma"/>
        <w:color w:val="44697D"/>
        <w:spacing w:val="20"/>
        <w:sz w:val="12"/>
        <w:szCs w:val="12"/>
      </w:rPr>
      <w:t xml:space="preserve"> • </w:t>
    </w:r>
    <w:r w:rsidRPr="00AA32AF">
      <w:rPr>
        <w:rStyle w:val="PageNumber"/>
        <w:rFonts w:cs="Tahoma"/>
        <w:color w:val="44697D"/>
        <w:spacing w:val="20"/>
        <w:sz w:val="12"/>
        <w:szCs w:val="12"/>
      </w:rPr>
      <w:t>• • • • • • • •</w:t>
    </w:r>
    <w:r>
      <w:rPr>
        <w:rStyle w:val="PageNumber"/>
        <w:rFonts w:cs="Tahoma"/>
        <w:color w:val="44697D"/>
        <w:spacing w:val="20"/>
        <w:sz w:val="12"/>
        <w:szCs w:val="12"/>
      </w:rPr>
      <w:t xml:space="preserve"> • • • • • • • • • • • </w:t>
    </w:r>
  </w:p>
  <w:p w14:paraId="77980BE4" w14:textId="77777777" w:rsidR="00AB2D8F" w:rsidRDefault="00AB2D8F" w:rsidP="001A12CC">
    <w:pPr>
      <w:pStyle w:val="Footer"/>
      <w:tabs>
        <w:tab w:val="clear" w:pos="4513"/>
        <w:tab w:val="clear" w:pos="9026"/>
        <w:tab w:val="right" w:pos="21546"/>
      </w:tabs>
    </w:pPr>
    <w:r>
      <w:rPr>
        <w:noProof/>
        <w:lang w:val="mk-MK" w:eastAsia="mk-MK"/>
      </w:rPr>
      <w:drawing>
        <wp:anchor distT="0" distB="0" distL="114300" distR="114300" simplePos="0" relativeHeight="251658245" behindDoc="1" locked="0" layoutInCell="1" allowOverlap="1" wp14:anchorId="3A86A3DB" wp14:editId="5A48E7B7">
          <wp:simplePos x="0" y="0"/>
          <wp:positionH relativeFrom="column">
            <wp:posOffset>702945</wp:posOffset>
          </wp:positionH>
          <wp:positionV relativeFrom="paragraph">
            <wp:posOffset>2768600</wp:posOffset>
          </wp:positionV>
          <wp:extent cx="6151245" cy="60960"/>
          <wp:effectExtent l="0" t="0" r="0" b="0"/>
          <wp:wrapNone/>
          <wp:docPr id="205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44" behindDoc="1" locked="0" layoutInCell="1" allowOverlap="1" wp14:anchorId="39EE4B8C" wp14:editId="05D4FB33">
          <wp:simplePos x="0" y="0"/>
          <wp:positionH relativeFrom="column">
            <wp:posOffset>702945</wp:posOffset>
          </wp:positionH>
          <wp:positionV relativeFrom="paragraph">
            <wp:posOffset>2768600</wp:posOffset>
          </wp:positionV>
          <wp:extent cx="6151245" cy="60960"/>
          <wp:effectExtent l="0" t="0" r="0" b="0"/>
          <wp:wrapNone/>
          <wp:docPr id="205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43" behindDoc="1" locked="0" layoutInCell="1" allowOverlap="1" wp14:anchorId="56B595FD" wp14:editId="0F47E92C">
          <wp:simplePos x="0" y="0"/>
          <wp:positionH relativeFrom="column">
            <wp:posOffset>702945</wp:posOffset>
          </wp:positionH>
          <wp:positionV relativeFrom="paragraph">
            <wp:posOffset>2768600</wp:posOffset>
          </wp:positionV>
          <wp:extent cx="6151245" cy="60960"/>
          <wp:effectExtent l="0" t="0" r="0" b="0"/>
          <wp:wrapNone/>
          <wp:docPr id="205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rFonts w:cs="Tahoma"/>
        <w:bCs/>
        <w:color w:val="44697D"/>
        <w:szCs w:val="20"/>
      </w:rPr>
      <w:t>Inception Report</w:t>
    </w:r>
    <w:r>
      <w:rPr>
        <w:rFonts w:cs="Tahoma"/>
        <w:bCs/>
        <w:color w:val="44697D"/>
        <w:szCs w:val="20"/>
      </w:rPr>
      <w:tab/>
    </w:r>
    <w:r w:rsidRPr="00FF7586">
      <w:rPr>
        <w:rFonts w:cs="Tahoma"/>
        <w:bCs/>
        <w:color w:val="7F7F7F"/>
        <w:spacing w:val="60"/>
        <w:szCs w:val="20"/>
      </w:rPr>
      <w:t>Page</w:t>
    </w:r>
    <w:r w:rsidRPr="00FF7586">
      <w:rPr>
        <w:rFonts w:cs="Tahoma"/>
        <w:bCs/>
        <w:color w:val="44697D"/>
        <w:szCs w:val="20"/>
      </w:rPr>
      <w:t xml:space="preserve"> | </w:t>
    </w:r>
    <w:r w:rsidRPr="00FF7586">
      <w:rPr>
        <w:rFonts w:cs="Tahoma"/>
        <w:bCs/>
        <w:color w:val="44697D"/>
        <w:szCs w:val="20"/>
      </w:rPr>
      <w:fldChar w:fldCharType="begin"/>
    </w:r>
    <w:r w:rsidRPr="00FF7586">
      <w:rPr>
        <w:rFonts w:cs="Tahoma"/>
        <w:bCs/>
        <w:color w:val="44697D"/>
        <w:szCs w:val="20"/>
      </w:rPr>
      <w:instrText xml:space="preserve"> PAGE   \* MERGEFORMAT </w:instrText>
    </w:r>
    <w:r w:rsidRPr="00FF7586">
      <w:rPr>
        <w:rFonts w:cs="Tahoma"/>
        <w:bCs/>
        <w:color w:val="44697D"/>
        <w:szCs w:val="20"/>
      </w:rPr>
      <w:fldChar w:fldCharType="separate"/>
    </w:r>
    <w:r w:rsidRPr="00EF778D">
      <w:rPr>
        <w:rFonts w:cs="Tahoma"/>
        <w:b/>
        <w:bCs/>
        <w:noProof/>
        <w:color w:val="44697D"/>
        <w:szCs w:val="20"/>
      </w:rPr>
      <w:t>2</w:t>
    </w:r>
    <w:r w:rsidRPr="00FF7586">
      <w:rPr>
        <w:rFonts w:cs="Tahoma"/>
        <w:b/>
        <w:bCs/>
        <w:noProof/>
        <w:color w:val="44697D"/>
        <w:szCs w:val="20"/>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B969E5" w14:textId="7D16B304" w:rsidR="00AB2D8F" w:rsidRPr="00F62229" w:rsidRDefault="00AB2D8F" w:rsidP="00F62229">
    <w:pPr>
      <w:pStyle w:val="Footer"/>
      <w:tabs>
        <w:tab w:val="clear" w:pos="4513"/>
        <w:tab w:val="clear" w:pos="9026"/>
        <w:tab w:val="right" w:pos="9638"/>
      </w:tabs>
      <w:rPr>
        <w:color w:val="44697D"/>
      </w:rPr>
    </w:pPr>
    <w:r>
      <w:rPr>
        <w:noProof/>
        <w:lang w:val="mk-MK" w:eastAsia="mk-MK"/>
      </w:rPr>
      <w:drawing>
        <wp:anchor distT="0" distB="0" distL="114300" distR="114300" simplePos="0" relativeHeight="251663412" behindDoc="1" locked="0" layoutInCell="1" allowOverlap="1" wp14:anchorId="488ACB46" wp14:editId="0FA522A3">
          <wp:simplePos x="0" y="0"/>
          <wp:positionH relativeFrom="column">
            <wp:posOffset>51435</wp:posOffset>
          </wp:positionH>
          <wp:positionV relativeFrom="paragraph">
            <wp:posOffset>-98728</wp:posOffset>
          </wp:positionV>
          <wp:extent cx="9001125" cy="89203"/>
          <wp:effectExtent l="0" t="0" r="0" b="0"/>
          <wp:wrapNone/>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54431" cy="128381"/>
                  </a:xfrm>
                  <a:prstGeom prst="rect">
                    <a:avLst/>
                  </a:prstGeom>
                  <a:noFill/>
                  <a:ln>
                    <a:noFill/>
                  </a:ln>
                </pic:spPr>
              </pic:pic>
            </a:graphicData>
          </a:graphic>
        </wp:anchor>
      </w:drawing>
    </w:r>
    <w:r w:rsidRPr="00D24BAA">
      <w:rPr>
        <w:rFonts w:cs="Tahoma"/>
        <w:bCs/>
        <w:color w:val="44697D"/>
        <w:szCs w:val="20"/>
      </w:rPr>
      <w:t xml:space="preserve"> </w:t>
    </w:r>
    <w:r>
      <w:rPr>
        <w:rFonts w:cs="Tahoma"/>
        <w:bCs/>
        <w:color w:val="44697D"/>
        <w:szCs w:val="20"/>
      </w:rPr>
      <w:t>WB21-MKD</w:t>
    </w:r>
    <w:r w:rsidRPr="00AE532B">
      <w:rPr>
        <w:rFonts w:cs="Tahoma"/>
        <w:bCs/>
        <w:color w:val="44697D"/>
        <w:szCs w:val="20"/>
      </w:rPr>
      <w:t>-ENE-0</w:t>
    </w:r>
    <w:r>
      <w:rPr>
        <w:rFonts w:cs="Tahoma"/>
        <w:bCs/>
        <w:color w:val="44697D"/>
        <w:szCs w:val="20"/>
      </w:rPr>
      <w:t>3 C1 E&amp;S Assessment Report</w:t>
    </w:r>
    <w:r w:rsidRPr="00161C7C">
      <w:rPr>
        <w:color w:val="44697D"/>
        <w:spacing w:val="60"/>
      </w:rPr>
      <w:tab/>
    </w:r>
    <w:r>
      <w:rPr>
        <w:color w:val="44697D"/>
        <w:spacing w:val="60"/>
      </w:rPr>
      <w:tab/>
    </w:r>
    <w:r>
      <w:rPr>
        <w:color w:val="44697D"/>
        <w:spacing w:val="60"/>
      </w:rPr>
      <w:tab/>
    </w:r>
    <w:r>
      <w:rPr>
        <w:color w:val="44697D"/>
        <w:spacing w:val="60"/>
      </w:rPr>
      <w:tab/>
    </w:r>
    <w:r>
      <w:rPr>
        <w:color w:val="44697D"/>
        <w:spacing w:val="60"/>
      </w:rPr>
      <w:tab/>
    </w:r>
    <w:r>
      <w:rPr>
        <w:color w:val="44697D"/>
        <w:spacing w:val="60"/>
      </w:rPr>
      <w:tab/>
    </w:r>
    <w:r w:rsidRPr="00161C7C">
      <w:rPr>
        <w:color w:val="44697D"/>
        <w:spacing w:val="60"/>
      </w:rPr>
      <w:t>Page</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9A2ABE">
      <w:rPr>
        <w:noProof/>
        <w:color w:val="44697D"/>
      </w:rPr>
      <w:t>215</w:t>
    </w:r>
    <w:r w:rsidRPr="00161C7C">
      <w:rPr>
        <w:b/>
        <w:bCs/>
        <w:noProof/>
        <w:color w:val="44697D"/>
      </w:rPr>
      <w:fldChar w:fldCharType="end"/>
    </w:r>
    <w:r>
      <w:rPr>
        <w:noProof/>
        <w:lang w:val="mk-MK" w:eastAsia="mk-MK"/>
      </w:rPr>
      <w:drawing>
        <wp:anchor distT="0" distB="0" distL="114300" distR="114300" simplePos="0" relativeHeight="251662388" behindDoc="1" locked="0" layoutInCell="1" allowOverlap="1" wp14:anchorId="4D2E7166" wp14:editId="09C13A03">
          <wp:simplePos x="0" y="0"/>
          <wp:positionH relativeFrom="column">
            <wp:posOffset>702945</wp:posOffset>
          </wp:positionH>
          <wp:positionV relativeFrom="paragraph">
            <wp:posOffset>2768600</wp:posOffset>
          </wp:positionV>
          <wp:extent cx="6151245" cy="60960"/>
          <wp:effectExtent l="0" t="0" r="0" b="0"/>
          <wp:wrapNone/>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9EB4A0" w14:textId="78FFBAF8" w:rsidR="00AB2D8F" w:rsidRPr="00F62229" w:rsidRDefault="00AB2D8F" w:rsidP="00F62229">
    <w:pPr>
      <w:pStyle w:val="Footer"/>
      <w:tabs>
        <w:tab w:val="clear" w:pos="4513"/>
        <w:tab w:val="clear" w:pos="9026"/>
        <w:tab w:val="right" w:pos="9638"/>
      </w:tabs>
      <w:rPr>
        <w:color w:val="44697D"/>
      </w:rPr>
    </w:pPr>
    <w:r>
      <w:rPr>
        <w:noProof/>
        <w:lang w:val="mk-MK" w:eastAsia="mk-MK"/>
      </w:rPr>
      <w:drawing>
        <wp:anchor distT="0" distB="0" distL="114300" distR="114300" simplePos="0" relativeHeight="251658280" behindDoc="1" locked="0" layoutInCell="1" allowOverlap="1" wp14:anchorId="361927ED" wp14:editId="7E1D76CD">
          <wp:simplePos x="0" y="0"/>
          <wp:positionH relativeFrom="column">
            <wp:posOffset>54610</wp:posOffset>
          </wp:positionH>
          <wp:positionV relativeFrom="paragraph">
            <wp:posOffset>-71120</wp:posOffset>
          </wp:positionV>
          <wp:extent cx="6151245" cy="60960"/>
          <wp:effectExtent l="0" t="0" r="0" b="0"/>
          <wp:wrapNone/>
          <wp:docPr id="2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rFonts w:cs="Tahoma"/>
        <w:bCs/>
        <w:color w:val="44697D"/>
        <w:szCs w:val="20"/>
      </w:rPr>
      <w:t>WB21-MKD</w:t>
    </w:r>
    <w:r w:rsidRPr="00AE532B">
      <w:rPr>
        <w:rFonts w:cs="Tahoma"/>
        <w:bCs/>
        <w:color w:val="44697D"/>
        <w:szCs w:val="20"/>
      </w:rPr>
      <w:t>-ENE-0</w:t>
    </w:r>
    <w:r>
      <w:rPr>
        <w:rFonts w:cs="Tahoma"/>
        <w:bCs/>
        <w:color w:val="44697D"/>
        <w:szCs w:val="20"/>
      </w:rPr>
      <w:t>3 C1 E&amp;S Assessment Report</w:t>
    </w:r>
    <w:r w:rsidRPr="00161C7C">
      <w:rPr>
        <w:color w:val="44697D"/>
        <w:spacing w:val="60"/>
      </w:rPr>
      <w:tab/>
      <w:t>Page</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9A2ABE">
      <w:rPr>
        <w:noProof/>
        <w:color w:val="44697D"/>
      </w:rPr>
      <w:t>220</w:t>
    </w:r>
    <w:r w:rsidRPr="00161C7C">
      <w:rPr>
        <w:b/>
        <w:bCs/>
        <w:noProof/>
        <w:color w:val="44697D"/>
      </w:rPr>
      <w:fldChar w:fldCharType="end"/>
    </w:r>
    <w:r>
      <w:rPr>
        <w:noProof/>
        <w:lang w:val="mk-MK" w:eastAsia="mk-MK"/>
      </w:rPr>
      <w:drawing>
        <wp:anchor distT="0" distB="0" distL="114300" distR="114300" simplePos="0" relativeHeight="251658279" behindDoc="1" locked="0" layoutInCell="1" allowOverlap="1" wp14:anchorId="4B639B9F" wp14:editId="4755F40F">
          <wp:simplePos x="0" y="0"/>
          <wp:positionH relativeFrom="column">
            <wp:posOffset>702945</wp:posOffset>
          </wp:positionH>
          <wp:positionV relativeFrom="paragraph">
            <wp:posOffset>2768600</wp:posOffset>
          </wp:positionV>
          <wp:extent cx="6151245" cy="60960"/>
          <wp:effectExtent l="0" t="0" r="0" b="0"/>
          <wp:wrapNone/>
          <wp:docPr id="2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B96F96" w14:textId="77777777" w:rsidR="00AB2D8F" w:rsidRDefault="00AB2D8F">
    <w:pPr>
      <w:pStyle w:val="Footer"/>
    </w:pPr>
    <w:r>
      <w:rPr>
        <w:noProof/>
        <w:lang w:val="mk-MK" w:eastAsia="mk-MK"/>
      </w:rPr>
      <w:drawing>
        <wp:anchor distT="0" distB="0" distL="114300" distR="114300" simplePos="0" relativeHeight="251658246" behindDoc="0" locked="0" layoutInCell="1" allowOverlap="1" wp14:anchorId="176C9740" wp14:editId="3BF3267A">
          <wp:simplePos x="0" y="0"/>
          <wp:positionH relativeFrom="page">
            <wp:posOffset>5140960</wp:posOffset>
          </wp:positionH>
          <wp:positionV relativeFrom="page">
            <wp:posOffset>8943975</wp:posOffset>
          </wp:positionV>
          <wp:extent cx="1695450" cy="523875"/>
          <wp:effectExtent l="0" t="0" r="0" b="0"/>
          <wp:wrapNone/>
          <wp:docPr id="2061" name="Picture 217"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descr="Hill Consortium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95450" cy="523875"/>
                  </a:xfrm>
                  <a:prstGeom prst="rect">
                    <a:avLst/>
                  </a:prstGeom>
                  <a:noFill/>
                  <a:ln>
                    <a:noFill/>
                  </a:ln>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812B97" w14:textId="77777777" w:rsidR="00AB2D8F" w:rsidRPr="003B4A9A" w:rsidRDefault="00AB2D8F" w:rsidP="00D5364E">
    <w:pPr>
      <w:rPr>
        <w:sz w:val="20"/>
      </w:rPr>
    </w:pPr>
  </w:p>
  <w:p w14:paraId="57721379" w14:textId="77777777" w:rsidR="00AB2D8F" w:rsidRPr="005F20C3" w:rsidRDefault="00AB2D8F" w:rsidP="00D5364E">
    <w:pPr>
      <w:pStyle w:val="Footer"/>
      <w:tabs>
        <w:tab w:val="clear" w:pos="4513"/>
        <w:tab w:val="clear" w:pos="9026"/>
        <w:tab w:val="right" w:pos="9638"/>
      </w:tabs>
      <w:rPr>
        <w:color w:val="44697D"/>
      </w:rPr>
    </w:pPr>
    <w:r>
      <w:rPr>
        <w:noProof/>
        <w:lang w:val="mk-MK" w:eastAsia="mk-MK"/>
      </w:rPr>
      <w:drawing>
        <wp:anchor distT="0" distB="0" distL="114300" distR="114300" simplePos="0" relativeHeight="251658261" behindDoc="1" locked="0" layoutInCell="1" allowOverlap="1" wp14:anchorId="7E87A4DC" wp14:editId="34CC75CC">
          <wp:simplePos x="0" y="0"/>
          <wp:positionH relativeFrom="column">
            <wp:posOffset>702945</wp:posOffset>
          </wp:positionH>
          <wp:positionV relativeFrom="paragraph">
            <wp:posOffset>2768600</wp:posOffset>
          </wp:positionV>
          <wp:extent cx="6151245" cy="60960"/>
          <wp:effectExtent l="0" t="0" r="0" b="0"/>
          <wp:wrapNone/>
          <wp:docPr id="206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60" behindDoc="1" locked="0" layoutInCell="1" allowOverlap="1" wp14:anchorId="22CFDFEA" wp14:editId="1BCDCE74">
          <wp:simplePos x="0" y="0"/>
          <wp:positionH relativeFrom="column">
            <wp:posOffset>702945</wp:posOffset>
          </wp:positionH>
          <wp:positionV relativeFrom="paragraph">
            <wp:posOffset>2768600</wp:posOffset>
          </wp:positionV>
          <wp:extent cx="6151245" cy="60960"/>
          <wp:effectExtent l="0" t="0" r="0" b="0"/>
          <wp:wrapNone/>
          <wp:docPr id="206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59" behindDoc="1" locked="0" layoutInCell="1" allowOverlap="1" wp14:anchorId="417605B1" wp14:editId="67C53110">
          <wp:simplePos x="0" y="0"/>
          <wp:positionH relativeFrom="column">
            <wp:posOffset>702945</wp:posOffset>
          </wp:positionH>
          <wp:positionV relativeFrom="paragraph">
            <wp:posOffset>2768600</wp:posOffset>
          </wp:positionV>
          <wp:extent cx="6151245" cy="60960"/>
          <wp:effectExtent l="0" t="0" r="0" b="0"/>
          <wp:wrapNone/>
          <wp:docPr id="206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674BF9">
      <w:rPr>
        <w:rFonts w:cs="Tahoma"/>
        <w:bCs/>
        <w:color w:val="44697D"/>
        <w:szCs w:val="20"/>
        <w:highlight w:val="lightGray"/>
      </w:rPr>
      <w:t>Inception/Progress/Final</w:t>
    </w:r>
    <w:r w:rsidRPr="00161C7C">
      <w:rPr>
        <w:rFonts w:cs="Tahoma"/>
        <w:bCs/>
        <w:color w:val="44697D"/>
        <w:szCs w:val="20"/>
      </w:rPr>
      <w:t xml:space="preserve"> Report</w:t>
    </w:r>
    <w:r>
      <w:rPr>
        <w:noProof/>
        <w:lang w:val="mk-MK" w:eastAsia="mk-MK"/>
      </w:rPr>
      <w:drawing>
        <wp:anchor distT="0" distB="0" distL="114300" distR="114300" simplePos="0" relativeHeight="251658264" behindDoc="1" locked="0" layoutInCell="1" allowOverlap="1" wp14:anchorId="12F823E2" wp14:editId="54854C3F">
          <wp:simplePos x="0" y="0"/>
          <wp:positionH relativeFrom="column">
            <wp:posOffset>-19050</wp:posOffset>
          </wp:positionH>
          <wp:positionV relativeFrom="paragraph">
            <wp:posOffset>-95885</wp:posOffset>
          </wp:positionV>
          <wp:extent cx="6151245" cy="60960"/>
          <wp:effectExtent l="0" t="0" r="0" b="0"/>
          <wp:wrapNone/>
          <wp:docPr id="2068"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62" behindDoc="1" locked="0" layoutInCell="1" allowOverlap="1" wp14:anchorId="18CB011A" wp14:editId="3EF611B8">
          <wp:simplePos x="0" y="0"/>
          <wp:positionH relativeFrom="column">
            <wp:posOffset>702945</wp:posOffset>
          </wp:positionH>
          <wp:positionV relativeFrom="paragraph">
            <wp:posOffset>2768600</wp:posOffset>
          </wp:positionV>
          <wp:extent cx="6151245" cy="60960"/>
          <wp:effectExtent l="0" t="0" r="0" b="0"/>
          <wp:wrapNone/>
          <wp:docPr id="206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rFonts w:cs="Tahoma"/>
        <w:bCs/>
        <w:color w:val="44697D"/>
        <w:szCs w:val="20"/>
      </w:rPr>
      <w:tab/>
    </w:r>
  </w:p>
  <w:p w14:paraId="4E61FE12" w14:textId="77777777" w:rsidR="00AB2D8F" w:rsidRDefault="00AB2D8F">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72CB40" w14:textId="77777777" w:rsidR="00AB2D8F" w:rsidRPr="009F244B" w:rsidRDefault="00AB2D8F" w:rsidP="00D5364E">
    <w:pPr>
      <w:pStyle w:val="Header"/>
    </w:pPr>
  </w:p>
  <w:p w14:paraId="05EC1365" w14:textId="77777777" w:rsidR="00AB2D8F" w:rsidRPr="003B4A9A" w:rsidRDefault="00AB2D8F" w:rsidP="00D5364E">
    <w:pPr>
      <w:rPr>
        <w:sz w:val="20"/>
      </w:rPr>
    </w:pPr>
  </w:p>
  <w:p w14:paraId="4CB0C58F" w14:textId="77777777" w:rsidR="00AB2D8F" w:rsidRPr="00D31B0E" w:rsidRDefault="00AB2D8F" w:rsidP="00D5364E">
    <w:pPr>
      <w:pStyle w:val="Footer"/>
      <w:tabs>
        <w:tab w:val="clear" w:pos="4513"/>
        <w:tab w:val="clear" w:pos="9026"/>
        <w:tab w:val="right" w:pos="9638"/>
      </w:tabs>
      <w:rPr>
        <w:color w:val="44697D"/>
      </w:rPr>
    </w:pPr>
    <w:r>
      <w:rPr>
        <w:noProof/>
        <w:lang w:val="mk-MK" w:eastAsia="mk-MK"/>
      </w:rPr>
      <w:drawing>
        <wp:anchor distT="0" distB="0" distL="114300" distR="114300" simplePos="0" relativeHeight="251658267" behindDoc="1" locked="0" layoutInCell="1" allowOverlap="1" wp14:anchorId="0112A06E" wp14:editId="42A1549B">
          <wp:simplePos x="0" y="0"/>
          <wp:positionH relativeFrom="column">
            <wp:posOffset>702945</wp:posOffset>
          </wp:positionH>
          <wp:positionV relativeFrom="paragraph">
            <wp:posOffset>2768600</wp:posOffset>
          </wp:positionV>
          <wp:extent cx="6151245" cy="60960"/>
          <wp:effectExtent l="0" t="0" r="0" b="0"/>
          <wp:wrapNone/>
          <wp:docPr id="207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66" behindDoc="1" locked="0" layoutInCell="1" allowOverlap="1" wp14:anchorId="4237A470" wp14:editId="6BAC31BB">
          <wp:simplePos x="0" y="0"/>
          <wp:positionH relativeFrom="column">
            <wp:posOffset>702945</wp:posOffset>
          </wp:positionH>
          <wp:positionV relativeFrom="paragraph">
            <wp:posOffset>2768600</wp:posOffset>
          </wp:positionV>
          <wp:extent cx="6151245" cy="60960"/>
          <wp:effectExtent l="0" t="0" r="0" b="0"/>
          <wp:wrapNone/>
          <wp:docPr id="207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65" behindDoc="1" locked="0" layoutInCell="1" allowOverlap="1" wp14:anchorId="47FCB2FE" wp14:editId="446B8F04">
          <wp:simplePos x="0" y="0"/>
          <wp:positionH relativeFrom="column">
            <wp:posOffset>702945</wp:posOffset>
          </wp:positionH>
          <wp:positionV relativeFrom="paragraph">
            <wp:posOffset>2768600</wp:posOffset>
          </wp:positionV>
          <wp:extent cx="6151245" cy="60960"/>
          <wp:effectExtent l="0" t="0" r="0" b="0"/>
          <wp:wrapNone/>
          <wp:docPr id="20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674BF9">
      <w:rPr>
        <w:rFonts w:cs="Tahoma"/>
        <w:bCs/>
        <w:color w:val="44697D"/>
        <w:szCs w:val="20"/>
        <w:highlight w:val="lightGray"/>
      </w:rPr>
      <w:t>Inception/Progress/Final</w:t>
    </w:r>
    <w:r w:rsidRPr="00161C7C">
      <w:rPr>
        <w:rFonts w:cs="Tahoma"/>
        <w:bCs/>
        <w:color w:val="44697D"/>
        <w:szCs w:val="20"/>
      </w:rPr>
      <w:t xml:space="preserve"> Report</w:t>
    </w:r>
    <w:r>
      <w:rPr>
        <w:noProof/>
        <w:lang w:val="mk-MK" w:eastAsia="mk-MK"/>
      </w:rPr>
      <w:drawing>
        <wp:anchor distT="0" distB="0" distL="114300" distR="114300" simplePos="0" relativeHeight="251658269" behindDoc="1" locked="0" layoutInCell="1" allowOverlap="1" wp14:anchorId="6D5A7700" wp14:editId="42942014">
          <wp:simplePos x="0" y="0"/>
          <wp:positionH relativeFrom="column">
            <wp:posOffset>-19050</wp:posOffset>
          </wp:positionH>
          <wp:positionV relativeFrom="paragraph">
            <wp:posOffset>-95885</wp:posOffset>
          </wp:positionV>
          <wp:extent cx="6151245" cy="60960"/>
          <wp:effectExtent l="0" t="0" r="0" b="0"/>
          <wp:wrapNone/>
          <wp:docPr id="207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68" behindDoc="1" locked="0" layoutInCell="1" allowOverlap="1" wp14:anchorId="479F7A74" wp14:editId="4C299027">
          <wp:simplePos x="0" y="0"/>
          <wp:positionH relativeFrom="column">
            <wp:posOffset>702945</wp:posOffset>
          </wp:positionH>
          <wp:positionV relativeFrom="paragraph">
            <wp:posOffset>2768600</wp:posOffset>
          </wp:positionV>
          <wp:extent cx="6151245" cy="60960"/>
          <wp:effectExtent l="0" t="0" r="0" b="0"/>
          <wp:wrapNone/>
          <wp:docPr id="207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rFonts w:cs="Tahoma"/>
        <w:bCs/>
        <w:color w:val="44697D"/>
        <w:szCs w:val="20"/>
      </w:rPr>
      <w:tab/>
    </w:r>
    <w:r w:rsidRPr="00FF7586">
      <w:rPr>
        <w:rFonts w:cs="Tahoma"/>
        <w:bCs/>
        <w:color w:val="7F7F7F"/>
        <w:spacing w:val="60"/>
        <w:szCs w:val="20"/>
      </w:rPr>
      <w:t>Page</w:t>
    </w:r>
    <w:r w:rsidRPr="00FF7586">
      <w:rPr>
        <w:rFonts w:cs="Tahoma"/>
        <w:bCs/>
        <w:color w:val="44697D"/>
        <w:szCs w:val="20"/>
      </w:rPr>
      <w:t xml:space="preserve"> | </w:t>
    </w:r>
    <w:r w:rsidRPr="00FF7586">
      <w:rPr>
        <w:rFonts w:cs="Tahoma"/>
        <w:bCs/>
        <w:color w:val="44697D"/>
        <w:szCs w:val="20"/>
      </w:rPr>
      <w:fldChar w:fldCharType="begin"/>
    </w:r>
    <w:r w:rsidRPr="00FF7586">
      <w:rPr>
        <w:rFonts w:cs="Tahoma"/>
        <w:bCs/>
        <w:color w:val="44697D"/>
        <w:szCs w:val="20"/>
      </w:rPr>
      <w:instrText xml:space="preserve"> PAGE   \* MERGEFORMAT </w:instrText>
    </w:r>
    <w:r w:rsidRPr="00FF7586">
      <w:rPr>
        <w:rFonts w:cs="Tahoma"/>
        <w:bCs/>
        <w:color w:val="44697D"/>
        <w:szCs w:val="20"/>
      </w:rPr>
      <w:fldChar w:fldCharType="separate"/>
    </w:r>
    <w:r w:rsidRPr="00333C83">
      <w:rPr>
        <w:rFonts w:cs="Tahoma"/>
        <w:b/>
        <w:bCs/>
        <w:noProof/>
        <w:color w:val="44697D"/>
        <w:szCs w:val="20"/>
      </w:rPr>
      <w:t>2</w:t>
    </w:r>
    <w:r w:rsidRPr="00FF7586">
      <w:rPr>
        <w:rFonts w:cs="Tahoma"/>
        <w:b/>
        <w:bCs/>
        <w:noProof/>
        <w:color w:val="44697D"/>
        <w:szCs w:val="20"/>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2BB552" w14:textId="4055D24D" w:rsidR="00AB2D8F" w:rsidRPr="00F62229" w:rsidRDefault="00AB2D8F" w:rsidP="00754D22">
    <w:pPr>
      <w:pStyle w:val="Footer"/>
      <w:tabs>
        <w:tab w:val="right" w:pos="9638"/>
      </w:tabs>
      <w:rPr>
        <w:color w:val="44697D"/>
      </w:rPr>
    </w:pPr>
    <w:r>
      <w:rPr>
        <w:rFonts w:cs="Tahoma"/>
        <w:bCs/>
        <w:color w:val="44697D"/>
        <w:szCs w:val="20"/>
      </w:rPr>
      <w:t>WB21-MKD</w:t>
    </w:r>
    <w:r w:rsidRPr="00AE532B">
      <w:rPr>
        <w:rFonts w:cs="Tahoma"/>
        <w:bCs/>
        <w:color w:val="44697D"/>
        <w:szCs w:val="20"/>
      </w:rPr>
      <w:t>-ENE-0</w:t>
    </w:r>
    <w:r>
      <w:rPr>
        <w:rFonts w:cs="Tahoma"/>
        <w:bCs/>
        <w:color w:val="44697D"/>
        <w:szCs w:val="20"/>
      </w:rPr>
      <w:t>3 C1 E&amp;S Assessment Report</w:t>
    </w:r>
    <w:r w:rsidRPr="00161C7C">
      <w:rPr>
        <w:color w:val="44697D"/>
        <w:spacing w:val="60"/>
      </w:rPr>
      <w:tab/>
    </w:r>
    <w:r>
      <w:rPr>
        <w:color w:val="44697D"/>
        <w:spacing w:val="60"/>
      </w:rPr>
      <w:tab/>
    </w:r>
    <w:r w:rsidRPr="00161C7C">
      <w:rPr>
        <w:color w:val="44697D"/>
        <w:spacing w:val="60"/>
      </w:rPr>
      <w:t>Page</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9A2ABE" w:rsidRPr="009A2ABE">
      <w:rPr>
        <w:b/>
        <w:bCs/>
        <w:noProof/>
        <w:color w:val="44697D"/>
      </w:rPr>
      <w:t>1</w:t>
    </w:r>
    <w:r w:rsidRPr="00161C7C">
      <w:rPr>
        <w:b/>
        <w:bCs/>
        <w:noProof/>
        <w:color w:val="44697D"/>
      </w:rPr>
      <w:fldChar w:fldCharType="end"/>
    </w:r>
    <w:r>
      <w:rPr>
        <w:noProof/>
        <w:lang w:val="mk-MK" w:eastAsia="mk-MK"/>
      </w:rPr>
      <w:drawing>
        <wp:anchor distT="0" distB="0" distL="114300" distR="114300" simplePos="0" relativeHeight="251658271" behindDoc="1" locked="0" layoutInCell="1" allowOverlap="1" wp14:anchorId="1E9CFA63" wp14:editId="073E614A">
          <wp:simplePos x="0" y="0"/>
          <wp:positionH relativeFrom="column">
            <wp:posOffset>-19050</wp:posOffset>
          </wp:positionH>
          <wp:positionV relativeFrom="paragraph">
            <wp:posOffset>-95885</wp:posOffset>
          </wp:positionV>
          <wp:extent cx="6151245" cy="60960"/>
          <wp:effectExtent l="0" t="0" r="0" b="0"/>
          <wp:wrapNone/>
          <wp:docPr id="207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70" behindDoc="1" locked="0" layoutInCell="1" allowOverlap="1" wp14:anchorId="7F2705A2" wp14:editId="17100912">
          <wp:simplePos x="0" y="0"/>
          <wp:positionH relativeFrom="column">
            <wp:posOffset>702945</wp:posOffset>
          </wp:positionH>
          <wp:positionV relativeFrom="paragraph">
            <wp:posOffset>2768600</wp:posOffset>
          </wp:positionV>
          <wp:extent cx="6151245" cy="60960"/>
          <wp:effectExtent l="0" t="0" r="0" b="0"/>
          <wp:wrapNone/>
          <wp:docPr id="207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871051" w14:textId="77777777" w:rsidR="00AB2D8F" w:rsidRPr="003B4A9A" w:rsidRDefault="00AB2D8F" w:rsidP="00D5364E">
    <w:pPr>
      <w:rPr>
        <w:sz w:val="20"/>
      </w:rPr>
    </w:pPr>
  </w:p>
  <w:p w14:paraId="0189CC5F" w14:textId="77777777" w:rsidR="00AB2D8F" w:rsidRPr="005F20C3" w:rsidRDefault="00AB2D8F" w:rsidP="00D5364E">
    <w:pPr>
      <w:pStyle w:val="Footer"/>
      <w:tabs>
        <w:tab w:val="clear" w:pos="4513"/>
        <w:tab w:val="clear" w:pos="9026"/>
        <w:tab w:val="right" w:pos="9638"/>
      </w:tabs>
      <w:rPr>
        <w:color w:val="44697D"/>
      </w:rPr>
    </w:pPr>
    <w:r>
      <w:rPr>
        <w:noProof/>
        <w:lang w:val="mk-MK" w:eastAsia="mk-MK"/>
      </w:rPr>
      <w:drawing>
        <wp:anchor distT="0" distB="0" distL="114300" distR="114300" simplePos="0" relativeHeight="251658250" behindDoc="1" locked="0" layoutInCell="1" allowOverlap="1" wp14:anchorId="45018A3A" wp14:editId="6720B5D3">
          <wp:simplePos x="0" y="0"/>
          <wp:positionH relativeFrom="column">
            <wp:posOffset>702945</wp:posOffset>
          </wp:positionH>
          <wp:positionV relativeFrom="paragraph">
            <wp:posOffset>2768600</wp:posOffset>
          </wp:positionV>
          <wp:extent cx="6151245" cy="60960"/>
          <wp:effectExtent l="0" t="0" r="0" b="0"/>
          <wp:wrapNone/>
          <wp:docPr id="4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49" behindDoc="1" locked="0" layoutInCell="1" allowOverlap="1" wp14:anchorId="6CEC48ED" wp14:editId="3FB68DCE">
          <wp:simplePos x="0" y="0"/>
          <wp:positionH relativeFrom="column">
            <wp:posOffset>702945</wp:posOffset>
          </wp:positionH>
          <wp:positionV relativeFrom="paragraph">
            <wp:posOffset>2768600</wp:posOffset>
          </wp:positionV>
          <wp:extent cx="6151245" cy="60960"/>
          <wp:effectExtent l="0" t="0" r="0" b="0"/>
          <wp:wrapNone/>
          <wp:docPr id="4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47" behindDoc="1" locked="0" layoutInCell="1" allowOverlap="1" wp14:anchorId="596AEC47" wp14:editId="75F754D4">
          <wp:simplePos x="0" y="0"/>
          <wp:positionH relativeFrom="column">
            <wp:posOffset>702945</wp:posOffset>
          </wp:positionH>
          <wp:positionV relativeFrom="paragraph">
            <wp:posOffset>2768600</wp:posOffset>
          </wp:positionV>
          <wp:extent cx="6151245" cy="60960"/>
          <wp:effectExtent l="0" t="0" r="0" b="0"/>
          <wp:wrapNone/>
          <wp:docPr id="5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AD0310">
      <w:rPr>
        <w:rFonts w:cs="Tahoma"/>
        <w:bCs/>
        <w:color w:val="44697D"/>
        <w:szCs w:val="20"/>
      </w:rPr>
      <w:t>Inception/Progress/Final</w:t>
    </w:r>
    <w:r w:rsidRPr="00161C7C">
      <w:rPr>
        <w:rFonts w:cs="Tahoma"/>
        <w:bCs/>
        <w:color w:val="44697D"/>
        <w:szCs w:val="20"/>
      </w:rPr>
      <w:t xml:space="preserve"> Report</w:t>
    </w:r>
    <w:r>
      <w:rPr>
        <w:noProof/>
        <w:lang w:val="mk-MK" w:eastAsia="mk-MK"/>
      </w:rPr>
      <w:drawing>
        <wp:anchor distT="0" distB="0" distL="114300" distR="114300" simplePos="0" relativeHeight="251658254" behindDoc="1" locked="0" layoutInCell="1" allowOverlap="1" wp14:anchorId="2C7E3E94" wp14:editId="02338D75">
          <wp:simplePos x="0" y="0"/>
          <wp:positionH relativeFrom="column">
            <wp:posOffset>-19050</wp:posOffset>
          </wp:positionH>
          <wp:positionV relativeFrom="paragraph">
            <wp:posOffset>-95885</wp:posOffset>
          </wp:positionV>
          <wp:extent cx="6151245" cy="60960"/>
          <wp:effectExtent l="0" t="0" r="0" b="0"/>
          <wp:wrapNone/>
          <wp:docPr id="51"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52" behindDoc="1" locked="0" layoutInCell="1" allowOverlap="1" wp14:anchorId="0EC6853E" wp14:editId="70F256CB">
          <wp:simplePos x="0" y="0"/>
          <wp:positionH relativeFrom="column">
            <wp:posOffset>702945</wp:posOffset>
          </wp:positionH>
          <wp:positionV relativeFrom="paragraph">
            <wp:posOffset>2768600</wp:posOffset>
          </wp:positionV>
          <wp:extent cx="6151245" cy="60960"/>
          <wp:effectExtent l="0" t="0" r="0" b="0"/>
          <wp:wrapNone/>
          <wp:docPr id="52"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rFonts w:cs="Tahoma"/>
        <w:bCs/>
        <w:color w:val="44697D"/>
        <w:szCs w:val="20"/>
      </w:rPr>
      <w:tab/>
    </w:r>
  </w:p>
  <w:p w14:paraId="1E71FCEE" w14:textId="77777777" w:rsidR="00AB2D8F" w:rsidRDefault="00AB2D8F">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B3A6FF" w14:textId="0E84C5BA" w:rsidR="00AB2D8F" w:rsidRPr="00F62229" w:rsidRDefault="00AB2D8F" w:rsidP="00F62229">
    <w:pPr>
      <w:pStyle w:val="Footer"/>
      <w:tabs>
        <w:tab w:val="clear" w:pos="4513"/>
        <w:tab w:val="clear" w:pos="9026"/>
        <w:tab w:val="right" w:pos="9638"/>
      </w:tabs>
      <w:rPr>
        <w:color w:val="44697D"/>
      </w:rPr>
    </w:pPr>
    <w:r>
      <w:rPr>
        <w:noProof/>
        <w:lang w:val="mk-MK" w:eastAsia="mk-MK"/>
      </w:rPr>
      <w:drawing>
        <wp:anchor distT="0" distB="0" distL="114300" distR="114300" simplePos="0" relativeHeight="251658276" behindDoc="1" locked="0" layoutInCell="1" allowOverlap="1" wp14:anchorId="1BF88E3A" wp14:editId="297510E0">
          <wp:simplePos x="0" y="0"/>
          <wp:positionH relativeFrom="column">
            <wp:posOffset>54610</wp:posOffset>
          </wp:positionH>
          <wp:positionV relativeFrom="paragraph">
            <wp:posOffset>-71120</wp:posOffset>
          </wp:positionV>
          <wp:extent cx="6151245" cy="60960"/>
          <wp:effectExtent l="0" t="0" r="0" b="0"/>
          <wp:wrapNone/>
          <wp:docPr id="53"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B6357F">
      <w:rPr>
        <w:rFonts w:cs="Tahoma"/>
        <w:bCs/>
        <w:color w:val="44697D"/>
        <w:szCs w:val="20"/>
      </w:rPr>
      <w:t xml:space="preserve"> </w:t>
    </w:r>
    <w:r>
      <w:rPr>
        <w:rFonts w:cs="Tahoma"/>
        <w:bCs/>
        <w:color w:val="44697D"/>
        <w:szCs w:val="20"/>
      </w:rPr>
      <w:t>WB21-MKD</w:t>
    </w:r>
    <w:r w:rsidRPr="00AE532B">
      <w:rPr>
        <w:rFonts w:cs="Tahoma"/>
        <w:bCs/>
        <w:color w:val="44697D"/>
        <w:szCs w:val="20"/>
      </w:rPr>
      <w:t>-ENE-0</w:t>
    </w:r>
    <w:r>
      <w:rPr>
        <w:rFonts w:cs="Tahoma"/>
        <w:bCs/>
        <w:color w:val="44697D"/>
        <w:szCs w:val="20"/>
      </w:rPr>
      <w:t>3 C1 E&amp;S Assessment Report</w:t>
    </w:r>
    <w:r w:rsidRPr="00161C7C">
      <w:rPr>
        <w:color w:val="44697D"/>
        <w:spacing w:val="60"/>
      </w:rPr>
      <w:tab/>
      <w:t>Page</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9A2ABE">
      <w:rPr>
        <w:noProof/>
        <w:color w:val="44697D"/>
      </w:rPr>
      <w:t>74</w:t>
    </w:r>
    <w:r w:rsidRPr="00161C7C">
      <w:rPr>
        <w:b/>
        <w:bCs/>
        <w:noProof/>
        <w:color w:val="44697D"/>
      </w:rPr>
      <w:fldChar w:fldCharType="end"/>
    </w:r>
    <w:r>
      <w:rPr>
        <w:noProof/>
        <w:lang w:val="mk-MK" w:eastAsia="mk-MK"/>
      </w:rPr>
      <w:drawing>
        <wp:anchor distT="0" distB="0" distL="114300" distR="114300" simplePos="0" relativeHeight="251658263" behindDoc="1" locked="0" layoutInCell="1" allowOverlap="1" wp14:anchorId="0B1537FF" wp14:editId="4811E437">
          <wp:simplePos x="0" y="0"/>
          <wp:positionH relativeFrom="column">
            <wp:posOffset>702945</wp:posOffset>
          </wp:positionH>
          <wp:positionV relativeFrom="paragraph">
            <wp:posOffset>2768600</wp:posOffset>
          </wp:positionV>
          <wp:extent cx="6151245" cy="60960"/>
          <wp:effectExtent l="0" t="0" r="0" b="0"/>
          <wp:wrapNone/>
          <wp:docPr id="54"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6E6676" w14:textId="1C79C5F9" w:rsidR="00AB2D8F" w:rsidRPr="00F62229" w:rsidRDefault="00AB2D8F" w:rsidP="00F62229">
    <w:pPr>
      <w:pStyle w:val="Footer"/>
      <w:tabs>
        <w:tab w:val="clear" w:pos="4513"/>
        <w:tab w:val="clear" w:pos="9026"/>
        <w:tab w:val="right" w:pos="9638"/>
      </w:tabs>
      <w:rPr>
        <w:color w:val="44697D"/>
      </w:rPr>
    </w:pPr>
    <w:r>
      <w:rPr>
        <w:rFonts w:cs="Tahoma"/>
        <w:bCs/>
        <w:color w:val="44697D"/>
        <w:szCs w:val="20"/>
      </w:rPr>
      <w:t>WB21-MKD</w:t>
    </w:r>
    <w:r w:rsidRPr="00AE532B">
      <w:rPr>
        <w:rFonts w:cs="Tahoma"/>
        <w:bCs/>
        <w:color w:val="44697D"/>
        <w:szCs w:val="20"/>
      </w:rPr>
      <w:t>-ENE-0</w:t>
    </w:r>
    <w:r>
      <w:rPr>
        <w:rFonts w:cs="Tahoma"/>
        <w:bCs/>
        <w:color w:val="44697D"/>
        <w:szCs w:val="20"/>
      </w:rPr>
      <w:t>3 C1 E&amp;S Assessment Report</w:t>
    </w:r>
    <w:r w:rsidRPr="00161C7C">
      <w:rPr>
        <w:color w:val="44697D"/>
        <w:spacing w:val="60"/>
      </w:rPr>
      <w:tab/>
      <w:t>Page</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9A2ABE" w:rsidRPr="009A2ABE">
      <w:rPr>
        <w:b/>
        <w:bCs/>
        <w:noProof/>
        <w:color w:val="44697D"/>
      </w:rPr>
      <w:t>1</w:t>
    </w:r>
    <w:r w:rsidRPr="00161C7C">
      <w:rPr>
        <w:b/>
        <w:bCs/>
        <w:noProof/>
        <w:color w:val="44697D"/>
      </w:rPr>
      <w:fldChar w:fldCharType="end"/>
    </w:r>
    <w:r>
      <w:rPr>
        <w:noProof/>
        <w:lang w:val="mk-MK" w:eastAsia="mk-MK"/>
      </w:rPr>
      <w:drawing>
        <wp:anchor distT="0" distB="0" distL="114300" distR="114300" simplePos="0" relativeHeight="251658241" behindDoc="1" locked="0" layoutInCell="1" allowOverlap="1" wp14:anchorId="1064B052" wp14:editId="01CCF849">
          <wp:simplePos x="0" y="0"/>
          <wp:positionH relativeFrom="column">
            <wp:posOffset>-19050</wp:posOffset>
          </wp:positionH>
          <wp:positionV relativeFrom="paragraph">
            <wp:posOffset>-95885</wp:posOffset>
          </wp:positionV>
          <wp:extent cx="6151245" cy="60960"/>
          <wp:effectExtent l="0" t="0" r="0" b="0"/>
          <wp:wrapNone/>
          <wp:docPr id="57"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Pr>
        <w:noProof/>
        <w:lang w:val="mk-MK" w:eastAsia="mk-MK"/>
      </w:rPr>
      <w:drawing>
        <wp:anchor distT="0" distB="0" distL="114300" distR="114300" simplePos="0" relativeHeight="251658240" behindDoc="1" locked="0" layoutInCell="1" allowOverlap="1" wp14:anchorId="2F5DA85E" wp14:editId="3710D932">
          <wp:simplePos x="0" y="0"/>
          <wp:positionH relativeFrom="column">
            <wp:posOffset>702945</wp:posOffset>
          </wp:positionH>
          <wp:positionV relativeFrom="paragraph">
            <wp:posOffset>2768600</wp:posOffset>
          </wp:positionV>
          <wp:extent cx="6151245" cy="60960"/>
          <wp:effectExtent l="0" t="0" r="0" b="0"/>
          <wp:wrapNone/>
          <wp:docPr id="58"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5EE9F6" w14:textId="177169A5" w:rsidR="00AB2D8F" w:rsidRPr="00F62229" w:rsidRDefault="00AB2D8F" w:rsidP="00F62229">
    <w:pPr>
      <w:pStyle w:val="Footer"/>
      <w:tabs>
        <w:tab w:val="clear" w:pos="4513"/>
        <w:tab w:val="clear" w:pos="9026"/>
        <w:tab w:val="right" w:pos="9638"/>
      </w:tabs>
      <w:rPr>
        <w:color w:val="44697D"/>
      </w:rPr>
    </w:pPr>
    <w:r>
      <w:rPr>
        <w:noProof/>
        <w:lang w:val="mk-MK" w:eastAsia="mk-MK"/>
      </w:rPr>
      <w:drawing>
        <wp:anchor distT="0" distB="0" distL="114300" distR="114300" simplePos="0" relativeHeight="251661364" behindDoc="1" locked="0" layoutInCell="1" allowOverlap="1" wp14:anchorId="50429FA3" wp14:editId="26F314EC">
          <wp:simplePos x="0" y="0"/>
          <wp:positionH relativeFrom="column">
            <wp:posOffset>54610</wp:posOffset>
          </wp:positionH>
          <wp:positionV relativeFrom="paragraph">
            <wp:posOffset>-71120</wp:posOffset>
          </wp:positionV>
          <wp:extent cx="6151245" cy="60960"/>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r w:rsidRPr="00CE2A61">
      <w:rPr>
        <w:rFonts w:cs="Tahoma"/>
        <w:bCs/>
        <w:color w:val="44697D"/>
        <w:szCs w:val="20"/>
      </w:rPr>
      <w:t xml:space="preserve"> </w:t>
    </w:r>
    <w:r>
      <w:rPr>
        <w:rFonts w:cs="Tahoma"/>
        <w:bCs/>
        <w:color w:val="44697D"/>
        <w:szCs w:val="20"/>
      </w:rPr>
      <w:t>WB21-MKD</w:t>
    </w:r>
    <w:r w:rsidRPr="00AE532B">
      <w:rPr>
        <w:rFonts w:cs="Tahoma"/>
        <w:bCs/>
        <w:color w:val="44697D"/>
        <w:szCs w:val="20"/>
      </w:rPr>
      <w:t>-ENE-0</w:t>
    </w:r>
    <w:r>
      <w:rPr>
        <w:rFonts w:cs="Tahoma"/>
        <w:bCs/>
        <w:color w:val="44697D"/>
        <w:szCs w:val="20"/>
      </w:rPr>
      <w:t>3 C1 E&amp;S Assessment Report</w:t>
    </w:r>
    <w:r w:rsidRPr="00161C7C">
      <w:rPr>
        <w:color w:val="44697D"/>
        <w:spacing w:val="60"/>
      </w:rPr>
      <w:tab/>
      <w:t>Page</w:t>
    </w:r>
    <w:r w:rsidRPr="00161C7C">
      <w:rPr>
        <w:color w:val="44697D"/>
      </w:rPr>
      <w:t xml:space="preserve"> | </w:t>
    </w:r>
    <w:r w:rsidRPr="00161C7C">
      <w:rPr>
        <w:color w:val="44697D"/>
      </w:rPr>
      <w:fldChar w:fldCharType="begin"/>
    </w:r>
    <w:r w:rsidRPr="00161C7C">
      <w:rPr>
        <w:color w:val="44697D"/>
      </w:rPr>
      <w:instrText xml:space="preserve"> PAGE   \* MERGEFORMAT </w:instrText>
    </w:r>
    <w:r w:rsidRPr="00161C7C">
      <w:rPr>
        <w:color w:val="44697D"/>
      </w:rPr>
      <w:fldChar w:fldCharType="separate"/>
    </w:r>
    <w:r w:rsidR="009A2ABE">
      <w:rPr>
        <w:noProof/>
        <w:color w:val="44697D"/>
      </w:rPr>
      <w:t>214</w:t>
    </w:r>
    <w:r w:rsidRPr="00161C7C">
      <w:rPr>
        <w:b/>
        <w:bCs/>
        <w:noProof/>
        <w:color w:val="44697D"/>
      </w:rPr>
      <w:fldChar w:fldCharType="end"/>
    </w:r>
    <w:r>
      <w:rPr>
        <w:noProof/>
        <w:lang w:val="mk-MK" w:eastAsia="mk-MK"/>
      </w:rPr>
      <w:drawing>
        <wp:anchor distT="0" distB="0" distL="114300" distR="114300" simplePos="0" relativeHeight="251660340" behindDoc="1" locked="0" layoutInCell="1" allowOverlap="1" wp14:anchorId="56765A01" wp14:editId="1567C204">
          <wp:simplePos x="0" y="0"/>
          <wp:positionH relativeFrom="column">
            <wp:posOffset>702945</wp:posOffset>
          </wp:positionH>
          <wp:positionV relativeFrom="paragraph">
            <wp:posOffset>2768600</wp:posOffset>
          </wp:positionV>
          <wp:extent cx="6151245" cy="60960"/>
          <wp:effectExtent l="0" t="0" r="0" b="0"/>
          <wp:wrapNone/>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51245" cy="60960"/>
                  </a:xfrm>
                  <a:prstGeom prst="rect">
                    <a:avLst/>
                  </a:prstGeom>
                  <a:noFill/>
                  <a:ln>
                    <a:noFill/>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FDE7426" w14:textId="77777777" w:rsidR="00FD548C" w:rsidRDefault="00FD548C" w:rsidP="00895F56">
      <w:r>
        <w:separator/>
      </w:r>
    </w:p>
  </w:footnote>
  <w:footnote w:type="continuationSeparator" w:id="0">
    <w:p w14:paraId="2DAECBAD" w14:textId="77777777" w:rsidR="00FD548C" w:rsidRDefault="00FD548C" w:rsidP="00895F56">
      <w:r>
        <w:continuationSeparator/>
      </w:r>
    </w:p>
  </w:footnote>
  <w:footnote w:type="continuationNotice" w:id="1">
    <w:p w14:paraId="17CEED59" w14:textId="77777777" w:rsidR="00FD548C" w:rsidRDefault="00FD548C">
      <w:pPr>
        <w:spacing w:before="0" w:after="0" w:line="240" w:lineRule="auto"/>
      </w:pPr>
    </w:p>
  </w:footnote>
  <w:footnote w:id="2">
    <w:p w14:paraId="00B98582" w14:textId="5F9CF57A"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lang w:val="en-US"/>
        </w:rPr>
        <w:t xml:space="preserve">As noted, the </w:t>
      </w:r>
      <w:r w:rsidRPr="007A3354">
        <w:rPr>
          <w:rFonts w:ascii="Tahoma" w:hAnsi="Tahoma" w:cs="Tahoma"/>
          <w:sz w:val="18"/>
          <w:szCs w:val="18"/>
        </w:rPr>
        <w:t>wider development scheme for strengthening the transmission network in the Southeast Region of North Macedonia comprises of two components:</w:t>
      </w:r>
    </w:p>
    <w:p w14:paraId="4DF1E0F7" w14:textId="62BEED0C" w:rsidR="00AB2D8F" w:rsidRPr="007A3354" w:rsidRDefault="00AB2D8F" w:rsidP="007A3354">
      <w:pPr>
        <w:pStyle w:val="BodyText0"/>
        <w:numPr>
          <w:ilvl w:val="0"/>
          <w:numId w:val="37"/>
        </w:numPr>
        <w:spacing w:before="60" w:after="0" w:line="240" w:lineRule="auto"/>
        <w:ind w:left="714" w:hanging="357"/>
        <w:rPr>
          <w:rFonts w:ascii="Tahoma" w:hAnsi="Tahoma" w:cs="Tahoma"/>
          <w:sz w:val="18"/>
          <w:szCs w:val="18"/>
        </w:rPr>
      </w:pPr>
      <w:r w:rsidRPr="007A3354">
        <w:rPr>
          <w:rFonts w:ascii="Tahoma" w:hAnsi="Tahoma" w:cs="Tahoma"/>
          <w:sz w:val="18"/>
          <w:szCs w:val="18"/>
        </w:rPr>
        <w:t>Component 1 (Sub-project 1): Design, construction and operation of a new 400/110 kV substation Miletkovo with connection to the existing 400 kV and 110 kV transmission network (subject to this E&amp;S Assessment), and</w:t>
      </w:r>
    </w:p>
    <w:p w14:paraId="023FB6B3" w14:textId="75BF646E" w:rsidR="00AB2D8F" w:rsidRPr="007A3354" w:rsidRDefault="00AB2D8F" w:rsidP="007A3354">
      <w:pPr>
        <w:pStyle w:val="BodyText0"/>
        <w:numPr>
          <w:ilvl w:val="0"/>
          <w:numId w:val="37"/>
        </w:numPr>
        <w:spacing w:before="60" w:after="0" w:line="240" w:lineRule="auto"/>
        <w:ind w:left="714" w:hanging="357"/>
        <w:rPr>
          <w:rFonts w:ascii="Tahoma" w:hAnsi="Tahoma" w:cs="Tahoma"/>
          <w:sz w:val="18"/>
          <w:szCs w:val="18"/>
        </w:rPr>
      </w:pPr>
      <w:r w:rsidRPr="007A3354">
        <w:rPr>
          <w:rFonts w:ascii="Tahoma" w:hAnsi="Tahoma" w:cs="Tahoma"/>
          <w:sz w:val="18"/>
          <w:szCs w:val="18"/>
        </w:rPr>
        <w:t>Component 2 (Sub-project 2): Reconstruction of the existing 110 kV overhead line Valandovo – Strumica 2 – Strumica 1 (subject to separate E&amp;S Assessment).</w:t>
      </w:r>
    </w:p>
  </w:footnote>
  <w:footnote w:id="3">
    <w:p w14:paraId="23E14D84" w14:textId="5261EB4C"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The EBRD Environmental and Social Policy (2019)</w:t>
      </w:r>
    </w:p>
  </w:footnote>
  <w:footnote w:id="4">
    <w:p w14:paraId="35530EC6"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For more details see: </w:t>
      </w:r>
      <w:r w:rsidRPr="007A3354">
        <w:rPr>
          <w:rFonts w:ascii="Tahoma" w:hAnsi="Tahoma" w:cs="Tahoma"/>
          <w:sz w:val="18"/>
          <w:szCs w:val="18"/>
          <w:lang w:eastAsia="en-US"/>
        </w:rPr>
        <w:t xml:space="preserve">WB21-MKD-ENE-03 North Macedonia, Strengthening the Transmission Network in the Southeast Region of North Macedonia - Component 1; </w:t>
      </w:r>
      <w:r w:rsidRPr="007A3354">
        <w:rPr>
          <w:rFonts w:ascii="Tahoma" w:hAnsi="Tahoma" w:cs="Tahoma"/>
          <w:bCs/>
          <w:sz w:val="18"/>
          <w:szCs w:val="18"/>
        </w:rPr>
        <w:t>ESIA Scoping Report, January 2022 [Ref.6]</w:t>
      </w:r>
    </w:p>
  </w:footnote>
  <w:footnote w:id="5">
    <w:p w14:paraId="5A2FFF09"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lang w:eastAsia="en-US"/>
        </w:rPr>
        <w:t>WB21-MKD-ENE-03 North Macedonia, Strengthening the Transmission Network in the Southeast Region of North Ma</w:t>
      </w:r>
      <w:r w:rsidRPr="007A3354">
        <w:rPr>
          <w:rFonts w:ascii="Tahoma" w:hAnsi="Tahoma" w:cs="Tahoma"/>
          <w:sz w:val="18"/>
          <w:szCs w:val="18"/>
          <w:lang w:eastAsia="en-US"/>
        </w:rPr>
        <w:t>c</w:t>
      </w:r>
      <w:r w:rsidRPr="007A3354">
        <w:rPr>
          <w:rFonts w:ascii="Tahoma" w:hAnsi="Tahoma" w:cs="Tahoma"/>
          <w:sz w:val="18"/>
          <w:szCs w:val="18"/>
          <w:lang w:eastAsia="en-US"/>
        </w:rPr>
        <w:t xml:space="preserve">edonia - Component 1; </w:t>
      </w:r>
      <w:r w:rsidRPr="007A3354">
        <w:rPr>
          <w:rFonts w:ascii="Tahoma" w:hAnsi="Tahoma" w:cs="Tahoma"/>
          <w:sz w:val="18"/>
          <w:szCs w:val="18"/>
        </w:rPr>
        <w:t>Detailed Technical Assessment of Preferred Option</w:t>
      </w:r>
      <w:r w:rsidRPr="007A3354">
        <w:rPr>
          <w:rFonts w:ascii="Tahoma" w:hAnsi="Tahoma" w:cs="Tahoma"/>
          <w:bCs/>
          <w:sz w:val="18"/>
          <w:szCs w:val="18"/>
        </w:rPr>
        <w:t>, January 2022 [Ref.7]</w:t>
      </w:r>
    </w:p>
  </w:footnote>
  <w:footnote w:id="6">
    <w:p w14:paraId="1A7D0DA7" w14:textId="77777777" w:rsidR="00AB2D8F" w:rsidRPr="007A3354" w:rsidRDefault="00AB2D8F" w:rsidP="007A3354">
      <w:pPr>
        <w:spacing w:before="60" w:after="0" w:line="240" w:lineRule="auto"/>
        <w:jc w:val="left"/>
        <w:rPr>
          <w:rFonts w:cs="Tahoma"/>
          <w:sz w:val="18"/>
          <w:szCs w:val="18"/>
        </w:rPr>
      </w:pPr>
      <w:r w:rsidRPr="007A3354">
        <w:rPr>
          <w:rStyle w:val="FootnoteReference"/>
          <w:rFonts w:cs="Tahoma"/>
          <w:sz w:val="18"/>
          <w:szCs w:val="18"/>
        </w:rPr>
        <w:footnoteRef/>
      </w:r>
      <w:r w:rsidRPr="007A3354">
        <w:rPr>
          <w:rFonts w:cs="Tahoma"/>
          <w:sz w:val="18"/>
          <w:szCs w:val="18"/>
        </w:rPr>
        <w:t xml:space="preserve"> Law on Construction (Official Gazette of RM no. 130/09 and its amendments) and associated by-laws</w:t>
      </w:r>
    </w:p>
  </w:footnote>
  <w:footnote w:id="7">
    <w:p w14:paraId="6594A6A1" w14:textId="7D570EBC"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lang w:val="mk-MK"/>
        </w:rPr>
        <w:t>Концептуално решение</w:t>
      </w:r>
      <w:r w:rsidRPr="007A3354">
        <w:rPr>
          <w:rFonts w:ascii="Tahoma" w:hAnsi="Tahoma" w:cs="Tahoma"/>
          <w:sz w:val="18"/>
          <w:szCs w:val="18"/>
          <w:lang w:val="en-US"/>
        </w:rPr>
        <w:t>”</w:t>
      </w:r>
    </w:p>
  </w:footnote>
  <w:footnote w:id="8">
    <w:p w14:paraId="31606C41" w14:textId="364471CC"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lang w:val="en-US"/>
        </w:rPr>
        <w:t>EVP – Electric Traction Plant (in Macedonian ‘</w:t>
      </w:r>
      <w:r w:rsidRPr="007A3354">
        <w:rPr>
          <w:rFonts w:ascii="Tahoma" w:hAnsi="Tahoma" w:cs="Tahoma"/>
          <w:i/>
          <w:sz w:val="18"/>
          <w:szCs w:val="18"/>
          <w:lang w:val="mk-MK"/>
        </w:rPr>
        <w:t>Електровлечно построение</w:t>
      </w:r>
      <w:r w:rsidRPr="007A3354">
        <w:rPr>
          <w:rFonts w:ascii="Tahoma" w:hAnsi="Tahoma" w:cs="Tahoma"/>
          <w:sz w:val="18"/>
          <w:szCs w:val="18"/>
          <w:lang w:val="en-US"/>
        </w:rPr>
        <w:t>’). It is an electrical substation that converts the power to an appropriate voltage, current type and frequency to supply railway system(s) with traction current.</w:t>
      </w:r>
    </w:p>
  </w:footnote>
  <w:footnote w:id="9">
    <w:p w14:paraId="5B25C37E" w14:textId="77777777" w:rsidR="00AB2D8F" w:rsidRPr="007A3354" w:rsidRDefault="00AB2D8F" w:rsidP="007A3354">
      <w:pPr>
        <w:pStyle w:val="BodyText"/>
        <w:spacing w:after="0" w:line="240" w:lineRule="auto"/>
        <w:ind w:left="0"/>
        <w:jc w:val="both"/>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Depending on their position in the transmission line, the types of towers could be:</w:t>
      </w:r>
    </w:p>
    <w:p w14:paraId="52C9965C" w14:textId="77777777" w:rsidR="00AB2D8F" w:rsidRPr="007A3354" w:rsidRDefault="00AB2D8F" w:rsidP="007A3354">
      <w:pPr>
        <w:pStyle w:val="ListBullet2"/>
        <w:numPr>
          <w:ilvl w:val="0"/>
          <w:numId w:val="51"/>
        </w:numPr>
        <w:spacing w:before="60" w:after="0" w:line="240" w:lineRule="auto"/>
        <w:ind w:left="641" w:hanging="357"/>
        <w:contextualSpacing w:val="0"/>
        <w:rPr>
          <w:rFonts w:cs="Tahoma"/>
          <w:sz w:val="18"/>
          <w:szCs w:val="18"/>
        </w:rPr>
      </w:pPr>
      <w:r w:rsidRPr="007A3354">
        <w:rPr>
          <w:rFonts w:cs="Tahoma"/>
          <w:sz w:val="18"/>
          <w:szCs w:val="18"/>
        </w:rPr>
        <w:t xml:space="preserve">Suspension towers, </w:t>
      </w:r>
    </w:p>
    <w:p w14:paraId="1A9A1C3E" w14:textId="77777777" w:rsidR="00AB2D8F" w:rsidRPr="007A3354" w:rsidRDefault="00AB2D8F" w:rsidP="007A3354">
      <w:pPr>
        <w:pStyle w:val="ListBullet2"/>
        <w:numPr>
          <w:ilvl w:val="0"/>
          <w:numId w:val="51"/>
        </w:numPr>
        <w:spacing w:before="60" w:after="0" w:line="240" w:lineRule="auto"/>
        <w:ind w:left="641" w:hanging="357"/>
        <w:contextualSpacing w:val="0"/>
        <w:rPr>
          <w:rFonts w:cs="Tahoma"/>
          <w:sz w:val="18"/>
          <w:szCs w:val="18"/>
          <w:lang w:val="en-US"/>
        </w:rPr>
      </w:pPr>
      <w:r w:rsidRPr="007A3354">
        <w:rPr>
          <w:rFonts w:cs="Tahoma"/>
          <w:sz w:val="18"/>
          <w:szCs w:val="18"/>
        </w:rPr>
        <w:t>Angle (tension) towers, used where the line changes direction or for special loading cases along the line,</w:t>
      </w:r>
    </w:p>
    <w:p w14:paraId="253A41AE" w14:textId="77777777" w:rsidR="00AB2D8F" w:rsidRPr="007A3354" w:rsidRDefault="00AB2D8F" w:rsidP="007A3354">
      <w:pPr>
        <w:pStyle w:val="ListBullet2"/>
        <w:numPr>
          <w:ilvl w:val="0"/>
          <w:numId w:val="51"/>
        </w:numPr>
        <w:spacing w:before="60" w:after="0" w:line="240" w:lineRule="auto"/>
        <w:ind w:left="641" w:hanging="357"/>
        <w:contextualSpacing w:val="0"/>
        <w:rPr>
          <w:rFonts w:cs="Tahoma"/>
          <w:sz w:val="18"/>
          <w:szCs w:val="18"/>
          <w:lang w:val="en-US"/>
        </w:rPr>
      </w:pPr>
      <w:r w:rsidRPr="007A3354">
        <w:rPr>
          <w:rFonts w:cs="Tahoma"/>
          <w:sz w:val="18"/>
          <w:szCs w:val="18"/>
        </w:rPr>
        <w:t>Terminal towers, used when the line is connected to a substation.</w:t>
      </w:r>
    </w:p>
  </w:footnote>
  <w:footnote w:id="10">
    <w:p w14:paraId="740C63F8"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Rulebook for Construction of Overhead Lines with rated Voltage from 1 kV to 400 kV (Official Gazette of RM no.25, from 1.2.2019)</w:t>
      </w:r>
    </w:p>
  </w:footnote>
  <w:footnote w:id="11">
    <w:p w14:paraId="1A64043A" w14:textId="358E934D" w:rsidR="00AB2D8F" w:rsidRPr="007A3354" w:rsidRDefault="00AB2D8F" w:rsidP="007A3354">
      <w:pPr>
        <w:pStyle w:val="FootnoteText"/>
        <w:spacing w:before="60" w:line="240" w:lineRule="auto"/>
        <w:rPr>
          <w:rFonts w:ascii="Tahoma" w:hAnsi="Tahoma" w:cs="Tahoma"/>
          <w:sz w:val="18"/>
          <w:szCs w:val="18"/>
          <w:lang w:val="mk-MK"/>
        </w:rPr>
      </w:pPr>
      <w:r w:rsidRPr="007A3354">
        <w:rPr>
          <w:rStyle w:val="FootnoteReference"/>
          <w:rFonts w:ascii="Tahoma" w:hAnsi="Tahoma" w:cs="Tahoma"/>
          <w:sz w:val="18"/>
          <w:szCs w:val="18"/>
        </w:rPr>
        <w:footnoteRef/>
      </w:r>
      <w:r w:rsidRPr="007A3354">
        <w:rPr>
          <w:rFonts w:ascii="Tahoma" w:hAnsi="Tahoma" w:cs="Tahoma"/>
          <w:sz w:val="18"/>
          <w:szCs w:val="18"/>
        </w:rPr>
        <w:t xml:space="preserve"> MEPSO Grid Code (2021) [Ref.9]</w:t>
      </w:r>
    </w:p>
  </w:footnote>
  <w:footnote w:id="12">
    <w:p w14:paraId="05698AAF"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lang w:val="en-US"/>
        </w:rPr>
        <w:t>According to the applicable regulation, t</w:t>
      </w:r>
      <w:r w:rsidRPr="007A3354">
        <w:rPr>
          <w:rFonts w:ascii="Tahoma" w:hAnsi="Tahoma" w:cs="Tahoma"/>
          <w:sz w:val="18"/>
          <w:szCs w:val="18"/>
        </w:rPr>
        <w:t>he minimum</w:t>
      </w:r>
      <w:r w:rsidRPr="007A3354">
        <w:rPr>
          <w:rFonts w:ascii="Tahoma" w:hAnsi="Tahoma" w:cs="Tahoma"/>
          <w:sz w:val="18"/>
          <w:szCs w:val="18"/>
          <w:lang w:val="en-US"/>
        </w:rPr>
        <w:t xml:space="preserve"> vertical</w:t>
      </w:r>
      <w:r w:rsidRPr="007A3354">
        <w:rPr>
          <w:rFonts w:ascii="Tahoma" w:hAnsi="Tahoma" w:cs="Tahoma"/>
          <w:sz w:val="18"/>
          <w:szCs w:val="18"/>
        </w:rPr>
        <w:t xml:space="preserve"> clearance </w:t>
      </w:r>
      <w:r w:rsidRPr="007A3354">
        <w:rPr>
          <w:rFonts w:ascii="Tahoma" w:hAnsi="Tahoma" w:cs="Tahoma"/>
          <w:sz w:val="18"/>
          <w:szCs w:val="18"/>
          <w:lang w:val="en-US"/>
        </w:rPr>
        <w:t xml:space="preserve">for an operational transmission line </w:t>
      </w:r>
      <w:r w:rsidRPr="007A3354">
        <w:rPr>
          <w:rFonts w:ascii="Tahoma" w:hAnsi="Tahoma" w:cs="Tahoma"/>
          <w:sz w:val="18"/>
          <w:szCs w:val="18"/>
        </w:rPr>
        <w:t xml:space="preserve">in regard </w:t>
      </w:r>
      <w:r w:rsidRPr="007A3354">
        <w:rPr>
          <w:rFonts w:ascii="Tahoma" w:hAnsi="Tahoma" w:cs="Tahoma"/>
          <w:sz w:val="18"/>
          <w:szCs w:val="18"/>
          <w:lang w:val="en-US"/>
        </w:rPr>
        <w:t>vegetation,</w:t>
      </w:r>
      <w:r w:rsidRPr="007A3354">
        <w:rPr>
          <w:rFonts w:ascii="Tahoma" w:hAnsi="Tahoma" w:cs="Tahoma"/>
          <w:sz w:val="18"/>
          <w:szCs w:val="18"/>
        </w:rPr>
        <w:t xml:space="preserve"> trees</w:t>
      </w:r>
      <w:r w:rsidRPr="007A3354">
        <w:rPr>
          <w:rFonts w:ascii="Tahoma" w:hAnsi="Tahoma" w:cs="Tahoma"/>
          <w:sz w:val="18"/>
          <w:szCs w:val="18"/>
          <w:lang w:val="en-US"/>
        </w:rPr>
        <w:t xml:space="preserve">, etc. </w:t>
      </w:r>
      <w:r w:rsidRPr="007A3354">
        <w:rPr>
          <w:rFonts w:ascii="Tahoma" w:hAnsi="Tahoma" w:cs="Tahoma"/>
          <w:sz w:val="18"/>
          <w:szCs w:val="18"/>
        </w:rPr>
        <w:t>is set to 3.0 metres.</w:t>
      </w:r>
      <w:r w:rsidRPr="007A3354">
        <w:rPr>
          <w:rFonts w:ascii="Tahoma" w:hAnsi="Tahoma" w:cs="Tahoma"/>
          <w:sz w:val="18"/>
          <w:szCs w:val="18"/>
          <w:lang w:val="en-US"/>
        </w:rPr>
        <w:t xml:space="preserve"> </w:t>
      </w:r>
    </w:p>
  </w:footnote>
  <w:footnote w:id="13">
    <w:p w14:paraId="0A02E48A"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Rulebook for Construction of Overhead Lines with rated Voltage from 1 kV to 400 kV (Official Gazette of RM no.25, from 1.2.2019)</w:t>
      </w:r>
    </w:p>
  </w:footnote>
  <w:footnote w:id="14">
    <w:p w14:paraId="0FDCC0B7" w14:textId="643C8DB6"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lang w:val="en-US"/>
        </w:rPr>
        <w:t>For more details see:</w:t>
      </w:r>
    </w:p>
    <w:p w14:paraId="22D9E4D4" w14:textId="77777777" w:rsidR="00AB2D8F" w:rsidRPr="007A3354" w:rsidRDefault="00AB2D8F" w:rsidP="007A3354">
      <w:pPr>
        <w:pStyle w:val="ListParagraph"/>
        <w:numPr>
          <w:ilvl w:val="0"/>
          <w:numId w:val="57"/>
        </w:numPr>
        <w:spacing w:before="60" w:after="0" w:line="240" w:lineRule="auto"/>
        <w:ind w:left="567" w:hanging="283"/>
        <w:contextualSpacing w:val="0"/>
        <w:jc w:val="left"/>
        <w:rPr>
          <w:rFonts w:cs="Tahoma"/>
          <w:sz w:val="18"/>
          <w:szCs w:val="18"/>
        </w:rPr>
      </w:pPr>
      <w:r w:rsidRPr="007A3354">
        <w:rPr>
          <w:rFonts w:cs="Tahoma"/>
          <w:sz w:val="18"/>
          <w:szCs w:val="18"/>
        </w:rPr>
        <w:t>WB21-MKD-ENE-03 North Macedonia, Strengthening the Transmission Network in the Southeast Region of North Macedonia - Component 1; Selection of the preferred Option, October 2021 [Ref.4]</w:t>
      </w:r>
    </w:p>
    <w:p w14:paraId="1C2C6346" w14:textId="77777777" w:rsidR="00AB2D8F" w:rsidRPr="007A3354" w:rsidRDefault="00AB2D8F" w:rsidP="007A3354">
      <w:pPr>
        <w:pStyle w:val="ListParagraph"/>
        <w:numPr>
          <w:ilvl w:val="0"/>
          <w:numId w:val="57"/>
        </w:numPr>
        <w:spacing w:before="60" w:after="0" w:line="240" w:lineRule="auto"/>
        <w:ind w:left="567" w:hanging="283"/>
        <w:contextualSpacing w:val="0"/>
        <w:jc w:val="left"/>
        <w:rPr>
          <w:rFonts w:cs="Tahoma"/>
          <w:sz w:val="18"/>
          <w:szCs w:val="18"/>
        </w:rPr>
      </w:pPr>
      <w:r w:rsidRPr="007A3354">
        <w:rPr>
          <w:rFonts w:cs="Tahoma"/>
          <w:sz w:val="18"/>
          <w:szCs w:val="18"/>
          <w:lang w:eastAsia="en-US"/>
        </w:rPr>
        <w:t xml:space="preserve">WB21-MKD-ENE-03 North Macedonia, Strengthening the Transmission Network in the Southeast Region of North Macedonia - Component 1; </w:t>
      </w:r>
      <w:r w:rsidRPr="007A3354">
        <w:rPr>
          <w:rFonts w:cs="Tahoma"/>
          <w:bCs/>
          <w:sz w:val="18"/>
          <w:szCs w:val="18"/>
        </w:rPr>
        <w:t>ESIA Scoping Report, January 2022 [Ref.7]</w:t>
      </w:r>
    </w:p>
  </w:footnote>
  <w:footnote w:id="15">
    <w:p w14:paraId="4E2235D5" w14:textId="77777777" w:rsidR="00AB2D8F" w:rsidRPr="007A3354" w:rsidRDefault="00AB2D8F" w:rsidP="007A3354">
      <w:pPr>
        <w:pStyle w:val="FootnoteText"/>
        <w:spacing w:before="60" w:line="240" w:lineRule="auto"/>
        <w:rPr>
          <w:rFonts w:ascii="Tahoma" w:hAnsi="Tahoma" w:cs="Tahoma"/>
          <w:sz w:val="18"/>
          <w:szCs w:val="18"/>
          <w:lang w:val="mk-MK"/>
        </w:rPr>
      </w:pPr>
      <w:r w:rsidRPr="007A3354">
        <w:rPr>
          <w:rStyle w:val="FootnoteReference"/>
          <w:rFonts w:ascii="Tahoma" w:hAnsi="Tahoma" w:cs="Tahoma"/>
          <w:sz w:val="18"/>
          <w:szCs w:val="18"/>
        </w:rPr>
        <w:footnoteRef/>
      </w:r>
      <w:r w:rsidRPr="007A3354">
        <w:rPr>
          <w:rFonts w:ascii="Tahoma" w:hAnsi="Tahoma" w:cs="Tahoma"/>
          <w:sz w:val="18"/>
          <w:szCs w:val="18"/>
        </w:rPr>
        <w:t xml:space="preserve"> MEPSO Grid Code (2019) [Ref.7]</w:t>
      </w:r>
    </w:p>
  </w:footnote>
  <w:footnote w:id="16">
    <w:p w14:paraId="4945A24F" w14:textId="77777777" w:rsidR="00AB2D8F" w:rsidRPr="007A3354" w:rsidRDefault="00AB2D8F" w:rsidP="007A3354">
      <w:pPr>
        <w:pStyle w:val="FootnoteText"/>
        <w:tabs>
          <w:tab w:val="left" w:pos="3686"/>
        </w:tabs>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The site proposed for protection - Demir Kapija Gorge (Demirkapiska Klisura) geographically includes the existing Monuments of Nature Demir Kapija and Iberliska Reka, as well as several other sites recognised for future protection: Klisurska Reka, Bela Voda cave, Goren Zmejovec cave, Krastovec, Shtuder and Mala Javorica. </w:t>
      </w:r>
    </w:p>
  </w:footnote>
  <w:footnote w:id="17">
    <w:p w14:paraId="0CCB88D4"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WB21-MKD-ENE-03 North Macedonia, Strengthening the Transmission Network in the Southeast Region of North Ma</w:t>
      </w:r>
      <w:r w:rsidRPr="007A3354">
        <w:rPr>
          <w:rFonts w:ascii="Tahoma" w:hAnsi="Tahoma" w:cs="Tahoma"/>
          <w:sz w:val="18"/>
          <w:szCs w:val="18"/>
        </w:rPr>
        <w:t>c</w:t>
      </w:r>
      <w:r w:rsidRPr="007A3354">
        <w:rPr>
          <w:rFonts w:ascii="Tahoma" w:hAnsi="Tahoma" w:cs="Tahoma"/>
          <w:sz w:val="18"/>
          <w:szCs w:val="18"/>
        </w:rPr>
        <w:t>edonia - Component 1; Selection of the preferred Option, September 2021 [Ref.4]</w:t>
      </w:r>
    </w:p>
  </w:footnote>
  <w:footnote w:id="18">
    <w:p w14:paraId="3400DDE7" w14:textId="5E20BF89"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lang w:val="en-US"/>
        </w:rPr>
        <w:t xml:space="preserve">For more details see: </w:t>
      </w:r>
      <w:r w:rsidRPr="007A3354">
        <w:rPr>
          <w:rFonts w:ascii="Tahoma" w:hAnsi="Tahoma" w:cs="Tahoma"/>
          <w:sz w:val="18"/>
          <w:szCs w:val="18"/>
        </w:rPr>
        <w:t>WB21-MKD-ENE-03 North Macedonia, Strengthening the Transmission Network in the Southeast Region of North Macedonia - Component 1; Stakeholder Engagement Plan, March 2022 [Ref.5]</w:t>
      </w:r>
    </w:p>
  </w:footnote>
  <w:footnote w:id="19">
    <w:p w14:paraId="27DF3C79"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Projects are classified as Category A when the project receiving EBRD funding could result in potentially significant adverse future environmental and/or social impacts which, at the time of screening, cannot readily be identified or a</w:t>
      </w:r>
      <w:r w:rsidRPr="007A3354">
        <w:rPr>
          <w:rFonts w:ascii="Tahoma" w:hAnsi="Tahoma" w:cs="Tahoma"/>
          <w:sz w:val="18"/>
          <w:szCs w:val="18"/>
        </w:rPr>
        <w:t>s</w:t>
      </w:r>
      <w:r w:rsidRPr="007A3354">
        <w:rPr>
          <w:rFonts w:ascii="Tahoma" w:hAnsi="Tahoma" w:cs="Tahoma"/>
          <w:sz w:val="18"/>
          <w:szCs w:val="18"/>
        </w:rPr>
        <w:t>sessed. [Source: The EBRD Environmental and Social Policy (2019)]</w:t>
      </w:r>
    </w:p>
  </w:footnote>
  <w:footnote w:id="20">
    <w:p w14:paraId="6164B781" w14:textId="4D37DE9D" w:rsidR="00AB2D8F" w:rsidRPr="007A3354" w:rsidRDefault="00AB2D8F" w:rsidP="007A3354">
      <w:pPr>
        <w:autoSpaceDE w:val="0"/>
        <w:autoSpaceDN w:val="0"/>
        <w:adjustRightInd w:val="0"/>
        <w:spacing w:before="60" w:after="0" w:line="240" w:lineRule="auto"/>
        <w:jc w:val="left"/>
        <w:rPr>
          <w:rFonts w:cs="Tahoma"/>
          <w:sz w:val="18"/>
          <w:szCs w:val="18"/>
          <w:lang w:val="en-US"/>
        </w:rPr>
      </w:pPr>
      <w:r w:rsidRPr="007A3354">
        <w:rPr>
          <w:rStyle w:val="FootnoteReference"/>
          <w:rFonts w:cs="Tahoma"/>
          <w:sz w:val="18"/>
          <w:szCs w:val="18"/>
        </w:rPr>
        <w:footnoteRef/>
      </w:r>
      <w:r w:rsidRPr="007A3354">
        <w:rPr>
          <w:rFonts w:cs="Tahoma"/>
          <w:sz w:val="18"/>
          <w:szCs w:val="18"/>
        </w:rPr>
        <w:t xml:space="preserve"> The new 400 kV OHL, considered as Category A project according to the EBRD ESP (2019) - Appendix 2: ‘Category A Projects’ (item 24 - </w:t>
      </w:r>
      <w:r w:rsidRPr="007A3354">
        <w:rPr>
          <w:rFonts w:cs="Tahoma"/>
          <w:sz w:val="18"/>
          <w:szCs w:val="18"/>
          <w:lang w:val="mk-MK" w:eastAsia="en-US"/>
        </w:rPr>
        <w:t>Construction of high voltage overhead</w:t>
      </w:r>
      <w:r w:rsidRPr="007A3354">
        <w:rPr>
          <w:rFonts w:cs="Tahoma"/>
          <w:sz w:val="18"/>
          <w:szCs w:val="18"/>
          <w:lang w:val="en-US" w:eastAsia="en-US"/>
        </w:rPr>
        <w:t xml:space="preserve"> </w:t>
      </w:r>
      <w:r w:rsidRPr="007A3354">
        <w:rPr>
          <w:rFonts w:cs="Tahoma"/>
          <w:sz w:val="18"/>
          <w:szCs w:val="18"/>
          <w:lang w:val="mk-MK" w:eastAsia="en-US"/>
        </w:rPr>
        <w:t>electrical power lines</w:t>
      </w:r>
      <w:r w:rsidRPr="007A3354">
        <w:rPr>
          <w:rFonts w:cs="Tahoma"/>
          <w:sz w:val="18"/>
          <w:szCs w:val="18"/>
          <w:lang w:val="en-US" w:eastAsia="en-US"/>
        </w:rPr>
        <w:t>)</w:t>
      </w:r>
      <w:r w:rsidRPr="007A3354">
        <w:rPr>
          <w:rFonts w:cs="Tahoma"/>
          <w:sz w:val="18"/>
          <w:szCs w:val="18"/>
        </w:rPr>
        <w:t>, is very short (approx. 500 metres) and no major environmental and social sensitivities will occur. Therefore, Category A criteria according to EBRD ESP is not triggered.</w:t>
      </w:r>
    </w:p>
  </w:footnote>
  <w:footnote w:id="21">
    <w:p w14:paraId="6FE0B05E"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Projects are classified as Category B when the project receiving EBRD funding could result in future environmental impacts which are less adverse than those of Category A projects. These impacts are typically site-specific, and/or read</w:t>
      </w:r>
      <w:r w:rsidRPr="007A3354">
        <w:rPr>
          <w:rFonts w:ascii="Tahoma" w:hAnsi="Tahoma" w:cs="Tahoma"/>
          <w:sz w:val="18"/>
          <w:szCs w:val="18"/>
        </w:rPr>
        <w:t>i</w:t>
      </w:r>
      <w:r w:rsidRPr="007A3354">
        <w:rPr>
          <w:rFonts w:ascii="Tahoma" w:hAnsi="Tahoma" w:cs="Tahoma"/>
          <w:sz w:val="18"/>
          <w:szCs w:val="18"/>
        </w:rPr>
        <w:t>ly identified and addressed through effective mitigation measures and therefore no formalised and participatory ESIA is required.</w:t>
      </w:r>
    </w:p>
  </w:footnote>
  <w:footnote w:id="22">
    <w:p w14:paraId="168770AC" w14:textId="10F5EDF2"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lang w:val="en-US"/>
        </w:rPr>
        <w:t xml:space="preserve">For more details see: </w:t>
      </w:r>
      <w:r w:rsidRPr="007A3354">
        <w:rPr>
          <w:rFonts w:ascii="Tahoma" w:hAnsi="Tahoma" w:cs="Tahoma"/>
          <w:sz w:val="18"/>
          <w:szCs w:val="18"/>
        </w:rPr>
        <w:t xml:space="preserve">WB21-MKD-ENE-03 North Macedonia, Strengthening the Transmission Network in the Southeast Region of North Macedonia - Component 1; </w:t>
      </w:r>
      <w:r w:rsidRPr="007A3354">
        <w:rPr>
          <w:rFonts w:ascii="Tahoma" w:hAnsi="Tahoma" w:cs="Tahoma"/>
          <w:bCs/>
          <w:sz w:val="18"/>
          <w:szCs w:val="18"/>
        </w:rPr>
        <w:t>ESIA Scoping Report, January 2022</w:t>
      </w:r>
      <w:r w:rsidRPr="007A3354">
        <w:rPr>
          <w:rFonts w:ascii="Tahoma" w:hAnsi="Tahoma" w:cs="Tahoma"/>
          <w:sz w:val="18"/>
          <w:szCs w:val="18"/>
        </w:rPr>
        <w:t xml:space="preserve"> [Ref.6]</w:t>
      </w:r>
    </w:p>
  </w:footnote>
  <w:footnote w:id="23">
    <w:p w14:paraId="3940776C"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lang w:val="en-US"/>
        </w:rPr>
        <w:t xml:space="preserve">For more details see: </w:t>
      </w:r>
      <w:r w:rsidRPr="007A3354">
        <w:rPr>
          <w:rFonts w:ascii="Tahoma" w:hAnsi="Tahoma" w:cs="Tahoma"/>
          <w:sz w:val="18"/>
          <w:szCs w:val="18"/>
        </w:rPr>
        <w:t xml:space="preserve">WB21-MKD-ENE-03 North Macedonia, Strengthening the Transmission Network in the Southeast Region of North Macedonia - Component 1; </w:t>
      </w:r>
      <w:r w:rsidRPr="007A3354">
        <w:rPr>
          <w:rFonts w:ascii="Tahoma" w:hAnsi="Tahoma" w:cs="Tahoma"/>
          <w:bCs/>
          <w:sz w:val="18"/>
          <w:szCs w:val="18"/>
        </w:rPr>
        <w:t>ESIA Scoping Report, January 2022</w:t>
      </w:r>
      <w:r w:rsidRPr="007A3354">
        <w:rPr>
          <w:rFonts w:ascii="Tahoma" w:hAnsi="Tahoma" w:cs="Tahoma"/>
          <w:sz w:val="18"/>
          <w:szCs w:val="18"/>
        </w:rPr>
        <w:t xml:space="preserve"> [Ref.6]</w:t>
      </w:r>
    </w:p>
  </w:footnote>
  <w:footnote w:id="24">
    <w:p w14:paraId="1B405553"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lang w:val="en-US"/>
        </w:rPr>
        <w:t xml:space="preserve">For more details see: </w:t>
      </w:r>
      <w:r w:rsidRPr="007A3354">
        <w:rPr>
          <w:rFonts w:ascii="Tahoma" w:hAnsi="Tahoma" w:cs="Tahoma"/>
          <w:sz w:val="18"/>
          <w:szCs w:val="18"/>
        </w:rPr>
        <w:t xml:space="preserve">WB21-MKD-ENE-03 North Macedonia, Strengthening the Transmission Network in the Southeast Region of North Macedonia - Component 1; </w:t>
      </w:r>
      <w:r w:rsidRPr="007A3354">
        <w:rPr>
          <w:rFonts w:ascii="Tahoma" w:hAnsi="Tahoma" w:cs="Tahoma"/>
          <w:bCs/>
          <w:sz w:val="18"/>
          <w:szCs w:val="18"/>
        </w:rPr>
        <w:t>ESIA Scoping Report, January 2022</w:t>
      </w:r>
      <w:r w:rsidRPr="007A3354">
        <w:rPr>
          <w:rFonts w:ascii="Tahoma" w:hAnsi="Tahoma" w:cs="Tahoma"/>
          <w:sz w:val="18"/>
          <w:szCs w:val="18"/>
        </w:rPr>
        <w:t xml:space="preserve"> [Ref.6]</w:t>
      </w:r>
    </w:p>
  </w:footnote>
  <w:footnote w:id="25">
    <w:p w14:paraId="1DFCA706"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lang w:val="en-US"/>
        </w:rPr>
        <w:t xml:space="preserve">For more details see: </w:t>
      </w:r>
      <w:r w:rsidRPr="007A3354">
        <w:rPr>
          <w:rFonts w:ascii="Tahoma" w:hAnsi="Tahoma" w:cs="Tahoma"/>
          <w:sz w:val="18"/>
          <w:szCs w:val="18"/>
        </w:rPr>
        <w:t xml:space="preserve">WB21-MKD-ENE-03 North Macedonia, Strengthening the Transmission Network in the Southeast Region of North Macedonia - Component 1; </w:t>
      </w:r>
      <w:r w:rsidRPr="007A3354">
        <w:rPr>
          <w:rFonts w:ascii="Tahoma" w:hAnsi="Tahoma" w:cs="Tahoma"/>
          <w:bCs/>
          <w:sz w:val="18"/>
          <w:szCs w:val="18"/>
        </w:rPr>
        <w:t>ESIA Scoping Report, January 2022</w:t>
      </w:r>
      <w:r w:rsidRPr="007A3354">
        <w:rPr>
          <w:rFonts w:ascii="Tahoma" w:hAnsi="Tahoma" w:cs="Tahoma"/>
          <w:sz w:val="18"/>
          <w:szCs w:val="18"/>
        </w:rPr>
        <w:t xml:space="preserve"> [Ref.6]</w:t>
      </w:r>
    </w:p>
  </w:footnote>
  <w:footnote w:id="26">
    <w:p w14:paraId="33BFC191" w14:textId="77777777"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eastAsiaTheme="minorHAnsi" w:hAnsi="Tahoma" w:cs="Tahoma"/>
          <w:sz w:val="18"/>
          <w:szCs w:val="18"/>
          <w:lang w:eastAsia="en-US"/>
        </w:rPr>
        <w:t>IEC 61467:2008 - Insulators for overhead lines - Insulator strings and sets for lines with a</w:t>
      </w:r>
      <w:r w:rsidRPr="007A3354">
        <w:rPr>
          <w:rFonts w:ascii="Tahoma" w:hAnsi="Tahoma" w:cs="Tahoma"/>
          <w:sz w:val="18"/>
          <w:szCs w:val="18"/>
        </w:rPr>
        <w:t xml:space="preserve"> nominal voltage greater than 1</w:t>
      </w:r>
      <w:r w:rsidRPr="007A3354">
        <w:rPr>
          <w:rFonts w:ascii="Tahoma" w:eastAsiaTheme="minorHAnsi" w:hAnsi="Tahoma" w:cs="Tahoma"/>
          <w:sz w:val="18"/>
          <w:szCs w:val="18"/>
          <w:lang w:eastAsia="en-US"/>
        </w:rPr>
        <w:t>000 V</w:t>
      </w:r>
      <w:r w:rsidRPr="007A3354">
        <w:rPr>
          <w:rFonts w:ascii="Tahoma" w:hAnsi="Tahoma" w:cs="Tahoma"/>
          <w:sz w:val="18"/>
          <w:szCs w:val="18"/>
          <w:lang w:val="en-US"/>
        </w:rPr>
        <w:t xml:space="preserve"> as well as (1) </w:t>
      </w:r>
      <w:r w:rsidRPr="007A3354">
        <w:rPr>
          <w:rFonts w:ascii="Tahoma" w:eastAsiaTheme="minorHAnsi" w:hAnsi="Tahoma" w:cs="Tahoma"/>
          <w:sz w:val="18"/>
          <w:szCs w:val="18"/>
          <w:lang w:eastAsia="en-US"/>
        </w:rPr>
        <w:t>IEC 60433:2021 - insulators for ove</w:t>
      </w:r>
      <w:r w:rsidRPr="007A3354">
        <w:rPr>
          <w:rFonts w:ascii="Tahoma" w:eastAsiaTheme="minorHAnsi" w:hAnsi="Tahoma" w:cs="Tahoma"/>
          <w:sz w:val="18"/>
          <w:szCs w:val="18"/>
          <w:lang w:eastAsia="en-US"/>
        </w:rPr>
        <w:t>r</w:t>
      </w:r>
      <w:r w:rsidRPr="007A3354">
        <w:rPr>
          <w:rFonts w:ascii="Tahoma" w:eastAsiaTheme="minorHAnsi" w:hAnsi="Tahoma" w:cs="Tahoma"/>
          <w:sz w:val="18"/>
          <w:szCs w:val="18"/>
          <w:lang w:eastAsia="en-US"/>
        </w:rPr>
        <w:t>head lines with a nominal voltage above 1000 </w:t>
      </w:r>
      <w:r w:rsidRPr="007A3354">
        <w:rPr>
          <w:rFonts w:ascii="Tahoma" w:eastAsiaTheme="minorHAnsi" w:hAnsi="Tahoma" w:cs="Tahoma"/>
          <w:sz w:val="18"/>
          <w:szCs w:val="18"/>
          <w:lang w:val="mk-MK" w:eastAsia="en-US"/>
        </w:rPr>
        <w:t>V</w:t>
      </w:r>
      <w:r w:rsidRPr="007A3354">
        <w:rPr>
          <w:rFonts w:ascii="Tahoma" w:eastAsiaTheme="minorHAnsi" w:hAnsi="Tahoma" w:cs="Tahoma"/>
          <w:sz w:val="18"/>
          <w:szCs w:val="18"/>
          <w:lang w:eastAsia="en-US"/>
        </w:rPr>
        <w:t> - </w:t>
      </w:r>
      <w:r w:rsidRPr="007A3354">
        <w:rPr>
          <w:rFonts w:ascii="Tahoma" w:eastAsiaTheme="minorHAnsi" w:hAnsi="Tahoma" w:cs="Tahoma"/>
          <w:sz w:val="18"/>
          <w:szCs w:val="18"/>
          <w:lang w:val="mk-MK" w:eastAsia="en-US"/>
        </w:rPr>
        <w:t>C</w:t>
      </w:r>
      <w:r w:rsidRPr="007A3354">
        <w:rPr>
          <w:rFonts w:ascii="Tahoma" w:eastAsiaTheme="minorHAnsi" w:hAnsi="Tahoma" w:cs="Tahoma"/>
          <w:sz w:val="18"/>
          <w:szCs w:val="18"/>
          <w:lang w:eastAsia="en-US"/>
        </w:rPr>
        <w:t>eramic insulators for ac systems - </w:t>
      </w:r>
      <w:r w:rsidRPr="007A3354">
        <w:rPr>
          <w:rFonts w:ascii="Tahoma" w:eastAsiaTheme="minorHAnsi" w:hAnsi="Tahoma" w:cs="Tahoma"/>
          <w:sz w:val="18"/>
          <w:szCs w:val="18"/>
          <w:lang w:val="mk-MK" w:eastAsia="en-US"/>
        </w:rPr>
        <w:t>C</w:t>
      </w:r>
      <w:r w:rsidRPr="007A3354">
        <w:rPr>
          <w:rFonts w:ascii="Tahoma" w:eastAsiaTheme="minorHAnsi" w:hAnsi="Tahoma" w:cs="Tahoma"/>
          <w:sz w:val="18"/>
          <w:szCs w:val="18"/>
          <w:lang w:eastAsia="en-US"/>
        </w:rPr>
        <w:t>haracteristics of insulator units of the long rod type</w:t>
      </w:r>
      <w:r w:rsidRPr="007A3354">
        <w:rPr>
          <w:rFonts w:ascii="Tahoma" w:hAnsi="Tahoma" w:cs="Tahoma"/>
          <w:sz w:val="18"/>
          <w:szCs w:val="18"/>
          <w:lang w:val="en-US"/>
        </w:rPr>
        <w:t xml:space="preserve"> and (2) </w:t>
      </w:r>
      <w:r w:rsidRPr="007A3354">
        <w:rPr>
          <w:rFonts w:ascii="Tahoma" w:eastAsiaTheme="minorHAnsi" w:hAnsi="Tahoma" w:cs="Tahoma"/>
          <w:sz w:val="18"/>
          <w:szCs w:val="18"/>
          <w:lang w:eastAsia="en-US"/>
        </w:rPr>
        <w:t>IEC 60305</w:t>
      </w:r>
      <w:r w:rsidRPr="007A3354">
        <w:rPr>
          <w:rFonts w:ascii="Tahoma" w:eastAsiaTheme="minorHAnsi" w:hAnsi="Tahoma" w:cs="Tahoma"/>
          <w:sz w:val="18"/>
          <w:szCs w:val="18"/>
          <w:lang w:val="mk-MK" w:eastAsia="en-US"/>
        </w:rPr>
        <w:t>:2021</w:t>
      </w:r>
      <w:r w:rsidRPr="007A3354">
        <w:rPr>
          <w:rFonts w:ascii="Tahoma" w:eastAsiaTheme="minorHAnsi" w:hAnsi="Tahoma" w:cs="Tahoma"/>
          <w:sz w:val="18"/>
          <w:szCs w:val="18"/>
          <w:lang w:eastAsia="en-US"/>
        </w:rPr>
        <w:t> - Insulators for overhead lines with a nominal voltage above 1 000 V – Ceramic or glass insulator units for a.c. systems – Characteristics of insulator units of the cap and pin type.</w:t>
      </w:r>
    </w:p>
  </w:footnote>
  <w:footnote w:id="27">
    <w:p w14:paraId="5E1BCE8B"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lang w:val="en-US"/>
        </w:rPr>
        <w:t xml:space="preserve">For more details see: </w:t>
      </w:r>
      <w:r w:rsidRPr="007A3354">
        <w:rPr>
          <w:rFonts w:ascii="Tahoma" w:hAnsi="Tahoma" w:cs="Tahoma"/>
          <w:sz w:val="18"/>
          <w:szCs w:val="18"/>
        </w:rPr>
        <w:t xml:space="preserve">WB21-MKD-ENE-03 North Macedonia, Strengthening the Transmission Network in the Southeast Region of North Macedonia - Component 1; </w:t>
      </w:r>
      <w:r w:rsidRPr="007A3354">
        <w:rPr>
          <w:rFonts w:ascii="Tahoma" w:hAnsi="Tahoma" w:cs="Tahoma"/>
          <w:bCs/>
          <w:sz w:val="18"/>
          <w:szCs w:val="18"/>
        </w:rPr>
        <w:t>ESIA Scoping Report, January 2022</w:t>
      </w:r>
      <w:r w:rsidRPr="007A3354">
        <w:rPr>
          <w:rFonts w:ascii="Tahoma" w:hAnsi="Tahoma" w:cs="Tahoma"/>
          <w:sz w:val="18"/>
          <w:szCs w:val="18"/>
        </w:rPr>
        <w:t xml:space="preserve"> [Ref.6]</w:t>
      </w:r>
    </w:p>
  </w:footnote>
  <w:footnote w:id="28">
    <w:p w14:paraId="7205E539"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lang w:val="en-US"/>
        </w:rPr>
        <w:t xml:space="preserve">For more details see: </w:t>
      </w:r>
      <w:r w:rsidRPr="007A3354">
        <w:rPr>
          <w:rFonts w:ascii="Tahoma" w:hAnsi="Tahoma" w:cs="Tahoma"/>
          <w:sz w:val="18"/>
          <w:szCs w:val="18"/>
        </w:rPr>
        <w:t xml:space="preserve">WB21-MKD-ENE-03 North Macedonia, Strengthening the Transmission Network in the Southeast Region of North Macedonia - Component 1; </w:t>
      </w:r>
      <w:r w:rsidRPr="007A3354">
        <w:rPr>
          <w:rFonts w:ascii="Tahoma" w:hAnsi="Tahoma" w:cs="Tahoma"/>
          <w:bCs/>
          <w:sz w:val="18"/>
          <w:szCs w:val="18"/>
        </w:rPr>
        <w:t>ESIA Scoping Report, January 2022</w:t>
      </w:r>
      <w:r w:rsidRPr="007A3354">
        <w:rPr>
          <w:rFonts w:ascii="Tahoma" w:hAnsi="Tahoma" w:cs="Tahoma"/>
          <w:sz w:val="18"/>
          <w:szCs w:val="18"/>
        </w:rPr>
        <w:t xml:space="preserve"> [Ref.6]</w:t>
      </w:r>
    </w:p>
  </w:footnote>
  <w:footnote w:id="29">
    <w:p w14:paraId="2973B867" w14:textId="3F153DFE" w:rsidR="00AB2D8F" w:rsidRPr="007A3354" w:rsidRDefault="00AB2D8F" w:rsidP="007A3354">
      <w:pPr>
        <w:autoSpaceDE w:val="0"/>
        <w:autoSpaceDN w:val="0"/>
        <w:adjustRightInd w:val="0"/>
        <w:spacing w:before="60" w:after="0" w:line="240" w:lineRule="auto"/>
        <w:jc w:val="left"/>
        <w:rPr>
          <w:rFonts w:cs="Tahoma"/>
          <w:sz w:val="18"/>
          <w:szCs w:val="18"/>
        </w:rPr>
      </w:pPr>
      <w:r w:rsidRPr="007A3354">
        <w:rPr>
          <w:rStyle w:val="FootnoteReference"/>
          <w:rFonts w:cs="Tahoma"/>
          <w:sz w:val="18"/>
          <w:szCs w:val="18"/>
        </w:rPr>
        <w:footnoteRef/>
      </w:r>
      <w:r w:rsidRPr="007A3354">
        <w:rPr>
          <w:rFonts w:cs="Tahoma"/>
          <w:sz w:val="18"/>
          <w:szCs w:val="18"/>
        </w:rPr>
        <w:t xml:space="preserve"> MEPSO has an IMS, incorporating quality, environment and health &amp; safety, certified under respective international standards - ISO 9001 (Quality Management System), ISO 14001 (Environmental Management System) and OHSAS 18001 (Occupational Health and Safety Management System), as well as ISO 50001 (Energy Management System). Note: some of these certificates require renewal.</w:t>
      </w:r>
    </w:p>
  </w:footnote>
  <w:footnote w:id="30">
    <w:p w14:paraId="169354B9" w14:textId="1468F52A"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For more details see: </w:t>
      </w:r>
      <w:r w:rsidRPr="007A3354">
        <w:rPr>
          <w:rFonts w:ascii="Tahoma" w:hAnsi="Tahoma" w:cs="Tahoma"/>
          <w:sz w:val="18"/>
          <w:szCs w:val="18"/>
          <w:lang w:eastAsia="en-US"/>
        </w:rPr>
        <w:t xml:space="preserve">WB21-MKD-ENE-03 North Macedonia, Strengthening the Transmission Network in the Southeast Region of North Macedonia - Component 1; </w:t>
      </w:r>
      <w:r w:rsidRPr="007A3354">
        <w:rPr>
          <w:rFonts w:ascii="Tahoma" w:hAnsi="Tahoma" w:cs="Tahoma"/>
          <w:bCs/>
          <w:sz w:val="18"/>
          <w:szCs w:val="18"/>
        </w:rPr>
        <w:t>ESIA Scoping Report, January 2022 [Ref.6]</w:t>
      </w:r>
    </w:p>
  </w:footnote>
  <w:footnote w:id="31">
    <w:p w14:paraId="766C3C52"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lang w:val="en-US"/>
        </w:rPr>
        <w:t xml:space="preserve"> EVP – Electric Traction Plant (in Macedonian ‘</w:t>
      </w:r>
      <w:r w:rsidRPr="007A3354">
        <w:rPr>
          <w:rFonts w:ascii="Tahoma" w:hAnsi="Tahoma" w:cs="Tahoma"/>
          <w:i/>
          <w:sz w:val="18"/>
          <w:szCs w:val="18"/>
          <w:lang w:val="mk-MK"/>
        </w:rPr>
        <w:t>Електровлечно построение</w:t>
      </w:r>
      <w:r w:rsidRPr="007A3354">
        <w:rPr>
          <w:rFonts w:ascii="Tahoma" w:hAnsi="Tahoma" w:cs="Tahoma"/>
          <w:sz w:val="18"/>
          <w:szCs w:val="18"/>
          <w:lang w:val="en-US"/>
        </w:rPr>
        <w:t>’). It is a electrical substation that converts the power to an appropriate voltage, current type and frequency to supply railway system(s) with traction current.</w:t>
      </w:r>
    </w:p>
  </w:footnote>
  <w:footnote w:id="32">
    <w:p w14:paraId="31530DAD" w14:textId="77777777" w:rsidR="00AB2D8F" w:rsidRPr="007A3354" w:rsidRDefault="00AB2D8F" w:rsidP="007A3354">
      <w:pPr>
        <w:pStyle w:val="FootnoteText"/>
        <w:spacing w:before="60" w:line="240" w:lineRule="auto"/>
        <w:rPr>
          <w:rFonts w:ascii="Tahoma" w:hAnsi="Tahoma" w:cs="Tahoma"/>
          <w:sz w:val="18"/>
          <w:szCs w:val="18"/>
          <w:lang w:val="mk-MK"/>
        </w:rPr>
      </w:pPr>
      <w:r w:rsidRPr="007A3354">
        <w:rPr>
          <w:rStyle w:val="FootnoteReference"/>
          <w:rFonts w:ascii="Tahoma" w:hAnsi="Tahoma" w:cs="Tahoma"/>
          <w:sz w:val="18"/>
          <w:szCs w:val="18"/>
        </w:rPr>
        <w:footnoteRef/>
      </w:r>
      <w:r w:rsidRPr="007A3354">
        <w:rPr>
          <w:rFonts w:ascii="Tahoma" w:hAnsi="Tahoma" w:cs="Tahoma"/>
          <w:sz w:val="18"/>
          <w:szCs w:val="18"/>
        </w:rPr>
        <w:t xml:space="preserve"> Rulebook for Construction of Overhead Lines with rated Voltage from 1 kV to 400 kV (Official Gazette of RM no.25, from 1.2.2019)</w:t>
      </w:r>
    </w:p>
  </w:footnote>
  <w:footnote w:id="33">
    <w:p w14:paraId="5A40714D"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shd w:val="clear" w:color="auto" w:fill="FFFFFF"/>
        </w:rPr>
        <w:t>MKS EN 50341 - Overhead electrical lines exceeding AC 1 kV</w:t>
      </w:r>
    </w:p>
  </w:footnote>
  <w:footnote w:id="34">
    <w:p w14:paraId="6615517B"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Rulebook for Construction of Overhead Lines with rated Voltage from 1 kV to 400 kV (Official Gazette of RM no.25, from 1.2.2019)</w:t>
      </w:r>
    </w:p>
  </w:footnote>
  <w:footnote w:id="35">
    <w:p w14:paraId="5AE3DA80" w14:textId="77777777" w:rsidR="00AB2D8F" w:rsidRPr="007A3354" w:rsidRDefault="00AB2D8F" w:rsidP="007A3354">
      <w:pPr>
        <w:pStyle w:val="FootnoteText"/>
        <w:spacing w:before="60" w:line="240" w:lineRule="auto"/>
        <w:rPr>
          <w:rFonts w:ascii="Tahoma" w:hAnsi="Tahoma" w:cs="Tahoma"/>
          <w:sz w:val="18"/>
          <w:szCs w:val="18"/>
          <w:lang w:val="mk-MK"/>
        </w:rPr>
      </w:pPr>
      <w:r w:rsidRPr="007A3354">
        <w:rPr>
          <w:rStyle w:val="FootnoteReference"/>
          <w:rFonts w:ascii="Tahoma" w:hAnsi="Tahoma" w:cs="Tahoma"/>
          <w:sz w:val="18"/>
          <w:szCs w:val="18"/>
        </w:rPr>
        <w:footnoteRef/>
      </w:r>
      <w:r w:rsidRPr="007A3354">
        <w:rPr>
          <w:rFonts w:ascii="Tahoma" w:hAnsi="Tahoma" w:cs="Tahoma"/>
          <w:sz w:val="18"/>
          <w:szCs w:val="18"/>
        </w:rPr>
        <w:t xml:space="preserve"> MEPSO Grid Code (2019) [Ref.7]</w:t>
      </w:r>
    </w:p>
  </w:footnote>
  <w:footnote w:id="36">
    <w:p w14:paraId="24B181F0"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lang w:val="en-US"/>
        </w:rPr>
        <w:t>According to the applicable regulation, t</w:t>
      </w:r>
      <w:r w:rsidRPr="007A3354">
        <w:rPr>
          <w:rFonts w:ascii="Tahoma" w:hAnsi="Tahoma" w:cs="Tahoma"/>
          <w:sz w:val="18"/>
          <w:szCs w:val="18"/>
        </w:rPr>
        <w:t>he minimum</w:t>
      </w:r>
      <w:r w:rsidRPr="007A3354">
        <w:rPr>
          <w:rFonts w:ascii="Tahoma" w:hAnsi="Tahoma" w:cs="Tahoma"/>
          <w:sz w:val="18"/>
          <w:szCs w:val="18"/>
          <w:lang w:val="en-US"/>
        </w:rPr>
        <w:t xml:space="preserve"> vertical</w:t>
      </w:r>
      <w:r w:rsidRPr="007A3354">
        <w:rPr>
          <w:rFonts w:ascii="Tahoma" w:hAnsi="Tahoma" w:cs="Tahoma"/>
          <w:sz w:val="18"/>
          <w:szCs w:val="18"/>
        </w:rPr>
        <w:t xml:space="preserve"> clearance </w:t>
      </w:r>
      <w:r w:rsidRPr="007A3354">
        <w:rPr>
          <w:rFonts w:ascii="Tahoma" w:hAnsi="Tahoma" w:cs="Tahoma"/>
          <w:sz w:val="18"/>
          <w:szCs w:val="18"/>
          <w:lang w:val="en-US"/>
        </w:rPr>
        <w:t xml:space="preserve">for an operational transmission line </w:t>
      </w:r>
      <w:r w:rsidRPr="007A3354">
        <w:rPr>
          <w:rFonts w:ascii="Tahoma" w:hAnsi="Tahoma" w:cs="Tahoma"/>
          <w:sz w:val="18"/>
          <w:szCs w:val="18"/>
        </w:rPr>
        <w:t xml:space="preserve">in regard </w:t>
      </w:r>
      <w:r w:rsidRPr="007A3354">
        <w:rPr>
          <w:rFonts w:ascii="Tahoma" w:hAnsi="Tahoma" w:cs="Tahoma"/>
          <w:sz w:val="18"/>
          <w:szCs w:val="18"/>
          <w:lang w:val="en-US"/>
        </w:rPr>
        <w:t>vegetation,</w:t>
      </w:r>
      <w:r w:rsidRPr="007A3354">
        <w:rPr>
          <w:rFonts w:ascii="Tahoma" w:hAnsi="Tahoma" w:cs="Tahoma"/>
          <w:sz w:val="18"/>
          <w:szCs w:val="18"/>
        </w:rPr>
        <w:t xml:space="preserve"> trees</w:t>
      </w:r>
      <w:r w:rsidRPr="007A3354">
        <w:rPr>
          <w:rFonts w:ascii="Tahoma" w:hAnsi="Tahoma" w:cs="Tahoma"/>
          <w:sz w:val="18"/>
          <w:szCs w:val="18"/>
          <w:lang w:val="en-US"/>
        </w:rPr>
        <w:t xml:space="preserve">, etc. </w:t>
      </w:r>
      <w:r w:rsidRPr="007A3354">
        <w:rPr>
          <w:rFonts w:ascii="Tahoma" w:hAnsi="Tahoma" w:cs="Tahoma"/>
          <w:sz w:val="18"/>
          <w:szCs w:val="18"/>
        </w:rPr>
        <w:t>is set to 3.0 metres.</w:t>
      </w:r>
      <w:r w:rsidRPr="007A3354">
        <w:rPr>
          <w:rFonts w:ascii="Tahoma" w:hAnsi="Tahoma" w:cs="Tahoma"/>
          <w:sz w:val="18"/>
          <w:szCs w:val="18"/>
          <w:lang w:val="en-US"/>
        </w:rPr>
        <w:t xml:space="preserve"> </w:t>
      </w:r>
    </w:p>
  </w:footnote>
  <w:footnote w:id="37">
    <w:p w14:paraId="72423790"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Rulebook for Construction of Overhead Lines with rated Voltage from 1 kV to 400 kV (Official Gazette of RM no.25, from 1.2.2019)</w:t>
      </w:r>
    </w:p>
  </w:footnote>
  <w:footnote w:id="38">
    <w:p w14:paraId="136752B9"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color w:val="202124"/>
          <w:sz w:val="18"/>
          <w:szCs w:val="18"/>
          <w:shd w:val="clear" w:color="auto" w:fill="FFFFFF"/>
        </w:rPr>
        <w:t>Aluminium-conductor steel-reinforced (ACSR) conductor</w:t>
      </w:r>
    </w:p>
  </w:footnote>
  <w:footnote w:id="39">
    <w:p w14:paraId="07E1AD40" w14:textId="1345E306"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All aluminium alloy conductor (AAAC)</w:t>
      </w:r>
    </w:p>
  </w:footnote>
  <w:footnote w:id="40">
    <w:p w14:paraId="4F639640" w14:textId="77777777" w:rsidR="00AB2D8F" w:rsidRPr="007A3354" w:rsidRDefault="00AB2D8F" w:rsidP="007A3354">
      <w:pPr>
        <w:spacing w:before="60" w:after="0" w:line="240" w:lineRule="auto"/>
        <w:rPr>
          <w:rFonts w:cs="Tahoma"/>
          <w:sz w:val="18"/>
          <w:szCs w:val="18"/>
        </w:rPr>
      </w:pPr>
      <w:r w:rsidRPr="007A3354">
        <w:rPr>
          <w:rStyle w:val="FootnoteReference"/>
          <w:rFonts w:cs="Tahoma"/>
          <w:sz w:val="18"/>
          <w:szCs w:val="18"/>
        </w:rPr>
        <w:footnoteRef/>
      </w:r>
      <w:r w:rsidRPr="007A3354">
        <w:rPr>
          <w:rFonts w:cs="Tahoma"/>
          <w:sz w:val="18"/>
          <w:szCs w:val="18"/>
        </w:rPr>
        <w:t xml:space="preserve"> These are:</w:t>
      </w:r>
    </w:p>
    <w:p w14:paraId="3A8801E6" w14:textId="77777777" w:rsidR="00AB2D8F" w:rsidRPr="007A3354" w:rsidRDefault="00AB2D8F" w:rsidP="007A3354">
      <w:pPr>
        <w:pStyle w:val="ListParagraph"/>
        <w:numPr>
          <w:ilvl w:val="0"/>
          <w:numId w:val="88"/>
        </w:numPr>
        <w:spacing w:before="60" w:after="0" w:line="240" w:lineRule="auto"/>
        <w:ind w:left="426" w:hanging="284"/>
        <w:rPr>
          <w:rFonts w:cs="Tahoma"/>
          <w:sz w:val="18"/>
          <w:szCs w:val="18"/>
          <w:lang w:val="en-US"/>
        </w:rPr>
      </w:pPr>
      <w:r w:rsidRPr="007A3354">
        <w:rPr>
          <w:rFonts w:cs="Tahoma"/>
          <w:sz w:val="18"/>
          <w:szCs w:val="18"/>
        </w:rPr>
        <w:t xml:space="preserve">the extension of the existing 110 kV OHL SS Valandovo – SS ‘EVP’ Miletkovo to the new 400/110 kV SS Miletkovo, and </w:t>
      </w:r>
    </w:p>
    <w:p w14:paraId="0EBD9692" w14:textId="77777777" w:rsidR="00AB2D8F" w:rsidRPr="007A3354" w:rsidRDefault="00AB2D8F" w:rsidP="007A3354">
      <w:pPr>
        <w:pStyle w:val="FootnoteText"/>
        <w:numPr>
          <w:ilvl w:val="0"/>
          <w:numId w:val="88"/>
        </w:numPr>
        <w:spacing w:before="60" w:line="240" w:lineRule="auto"/>
        <w:ind w:left="426" w:hanging="284"/>
        <w:rPr>
          <w:rFonts w:ascii="Tahoma" w:hAnsi="Tahoma" w:cs="Tahoma"/>
          <w:sz w:val="18"/>
          <w:szCs w:val="18"/>
          <w:lang w:val="en-US"/>
        </w:rPr>
      </w:pPr>
      <w:r w:rsidRPr="007A3354">
        <w:rPr>
          <w:rFonts w:ascii="Tahoma" w:hAnsi="Tahoma" w:cs="Tahoma"/>
          <w:sz w:val="18"/>
          <w:szCs w:val="18"/>
        </w:rPr>
        <w:t>the new 2x110 kV OHL 400/110 kV SS Miletkovo - SS ‘EVP’ Miletkovo</w:t>
      </w:r>
    </w:p>
  </w:footnote>
  <w:footnote w:id="41">
    <w:p w14:paraId="1A46137E"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Rulebook for Construction of Overhead Lines with rated Voltage from 1 kV to 400 kV (Official Gazette of RM no.25, from 1.2.2019)</w:t>
      </w:r>
    </w:p>
  </w:footnote>
  <w:footnote w:id="42">
    <w:p w14:paraId="0D6681F2" w14:textId="77777777"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EBRD/IFC Workers’ Accommodation: Processes and Standards’ A guidance note by IFC and the EBRD, August 2009 https://www.ebrd.com/downloads/about/sustainability/Workers_accomodation.pdf</w:t>
      </w:r>
    </w:p>
  </w:footnote>
  <w:footnote w:id="43">
    <w:p w14:paraId="3093EB18" w14:textId="77777777" w:rsidR="00AB2D8F" w:rsidRPr="007A3354" w:rsidRDefault="00AB2D8F" w:rsidP="007A3354">
      <w:pPr>
        <w:autoSpaceDE w:val="0"/>
        <w:autoSpaceDN w:val="0"/>
        <w:adjustRightInd w:val="0"/>
        <w:spacing w:before="60" w:after="0" w:line="240" w:lineRule="auto"/>
        <w:jc w:val="left"/>
        <w:rPr>
          <w:rFonts w:cs="Tahoma"/>
          <w:sz w:val="18"/>
          <w:szCs w:val="18"/>
          <w:lang w:val="en-US"/>
        </w:rPr>
      </w:pPr>
      <w:r w:rsidRPr="007A3354">
        <w:rPr>
          <w:rStyle w:val="FootnoteReference"/>
          <w:rFonts w:cs="Tahoma"/>
          <w:sz w:val="18"/>
          <w:szCs w:val="18"/>
        </w:rPr>
        <w:footnoteRef/>
      </w:r>
      <w:r w:rsidRPr="007A3354">
        <w:rPr>
          <w:rFonts w:cs="Tahoma"/>
          <w:sz w:val="18"/>
          <w:szCs w:val="18"/>
        </w:rPr>
        <w:t xml:space="preserve"> </w:t>
      </w:r>
      <w:r w:rsidRPr="007A3354">
        <w:rPr>
          <w:rFonts w:cs="Tahoma"/>
          <w:sz w:val="18"/>
          <w:szCs w:val="18"/>
          <w:lang w:val="en-US"/>
        </w:rPr>
        <w:t>International Finance Corporation (IFC) – Environmental, Health and Safety Guidelines for Electric Power Transmission and Distribution, April 2007 (</w:t>
      </w:r>
      <w:r w:rsidRPr="007A3354">
        <w:rPr>
          <w:rFonts w:cs="Tahoma"/>
          <w:sz w:val="18"/>
          <w:szCs w:val="18"/>
        </w:rPr>
        <w:t>http://www.ifc.org/ehsguidelines)</w:t>
      </w:r>
    </w:p>
  </w:footnote>
  <w:footnote w:id="44">
    <w:p w14:paraId="3A2C4DE1" w14:textId="33E126DF"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lang w:val="en-US"/>
        </w:rPr>
        <w:t xml:space="preserve">As noted, the </w:t>
      </w:r>
      <w:r w:rsidRPr="007A3354">
        <w:rPr>
          <w:rFonts w:ascii="Tahoma" w:hAnsi="Tahoma" w:cs="Tahoma"/>
          <w:sz w:val="18"/>
          <w:szCs w:val="18"/>
        </w:rPr>
        <w:t>wider development scheme for strengthening the transmission network in the Southeast Region of North Macedonia comprises of two components:</w:t>
      </w:r>
    </w:p>
    <w:p w14:paraId="71A4995A" w14:textId="77777777" w:rsidR="00AB2D8F" w:rsidRPr="007A3354" w:rsidRDefault="00AB2D8F" w:rsidP="007A3354">
      <w:pPr>
        <w:pStyle w:val="BodyText0"/>
        <w:numPr>
          <w:ilvl w:val="0"/>
          <w:numId w:val="56"/>
        </w:numPr>
        <w:spacing w:before="60" w:after="0" w:line="240" w:lineRule="auto"/>
        <w:rPr>
          <w:rFonts w:ascii="Tahoma" w:hAnsi="Tahoma" w:cs="Tahoma"/>
          <w:sz w:val="18"/>
          <w:szCs w:val="18"/>
        </w:rPr>
      </w:pPr>
      <w:r w:rsidRPr="007A3354">
        <w:rPr>
          <w:rFonts w:ascii="Tahoma" w:hAnsi="Tahoma" w:cs="Tahoma"/>
          <w:sz w:val="18"/>
          <w:szCs w:val="18"/>
        </w:rPr>
        <w:t>Component 1 (Sub-project 1): Design, construction and operation of a new 400/110 kV substation Miletkovo with connection to the existing 400 kV and 110 kV transmission network (subject to this E&amp;S Assessment), and</w:t>
      </w:r>
    </w:p>
    <w:p w14:paraId="3A829270" w14:textId="07F6D2F6" w:rsidR="00AB2D8F" w:rsidRPr="007A3354" w:rsidRDefault="00AB2D8F" w:rsidP="007A3354">
      <w:pPr>
        <w:pStyle w:val="BodyText0"/>
        <w:numPr>
          <w:ilvl w:val="0"/>
          <w:numId w:val="56"/>
        </w:numPr>
        <w:spacing w:before="60" w:after="0" w:line="240" w:lineRule="auto"/>
        <w:rPr>
          <w:rFonts w:ascii="Tahoma" w:hAnsi="Tahoma" w:cs="Tahoma"/>
          <w:sz w:val="18"/>
          <w:szCs w:val="18"/>
        </w:rPr>
      </w:pPr>
      <w:r w:rsidRPr="007A3354">
        <w:rPr>
          <w:rFonts w:ascii="Tahoma" w:hAnsi="Tahoma" w:cs="Tahoma"/>
          <w:sz w:val="18"/>
          <w:szCs w:val="18"/>
        </w:rPr>
        <w:t>Component 2 (Sub-project 2): Reconstruction of the existing 110 kV overhead line Valandovo – Strumica 2 – Strumica 1 (subject to separate E&amp;S Assessment).</w:t>
      </w:r>
    </w:p>
  </w:footnote>
  <w:footnote w:id="45">
    <w:p w14:paraId="17BDB669" w14:textId="6E5E08CE"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Environmental and Social Policy, EBRD, April 2019 [Ref.15]</w:t>
      </w:r>
    </w:p>
  </w:footnote>
  <w:footnote w:id="46">
    <w:p w14:paraId="6386648A" w14:textId="0BF37349"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lang w:val="en-US"/>
        </w:rPr>
        <w:t>For more details see:</w:t>
      </w:r>
    </w:p>
    <w:p w14:paraId="777E6FEB" w14:textId="02CC3D6B" w:rsidR="00AB2D8F" w:rsidRPr="007A3354" w:rsidRDefault="00AB2D8F" w:rsidP="007A3354">
      <w:pPr>
        <w:pStyle w:val="ListParagraph"/>
        <w:numPr>
          <w:ilvl w:val="0"/>
          <w:numId w:val="57"/>
        </w:numPr>
        <w:spacing w:before="60" w:after="0" w:line="240" w:lineRule="auto"/>
        <w:ind w:left="567" w:hanging="283"/>
        <w:contextualSpacing w:val="0"/>
        <w:jc w:val="left"/>
        <w:rPr>
          <w:rFonts w:cs="Tahoma"/>
          <w:sz w:val="18"/>
          <w:szCs w:val="18"/>
        </w:rPr>
      </w:pPr>
      <w:r w:rsidRPr="007A3354">
        <w:rPr>
          <w:rFonts w:cs="Tahoma"/>
          <w:sz w:val="18"/>
          <w:szCs w:val="18"/>
        </w:rPr>
        <w:t>WB21-MKD-ENE-03 North Macedonia, Strengthening the Transmission Network in the Southeast Region of North Macedonia - Component 1; Selection of the preferred Option, October 2021 [Ref.4]</w:t>
      </w:r>
    </w:p>
    <w:p w14:paraId="2213A22E" w14:textId="63617E5B" w:rsidR="00AB2D8F" w:rsidRPr="007A3354" w:rsidRDefault="00AB2D8F" w:rsidP="007A3354">
      <w:pPr>
        <w:pStyle w:val="ListParagraph"/>
        <w:numPr>
          <w:ilvl w:val="0"/>
          <w:numId w:val="57"/>
        </w:numPr>
        <w:spacing w:before="60" w:after="0" w:line="240" w:lineRule="auto"/>
        <w:ind w:left="567" w:hanging="283"/>
        <w:contextualSpacing w:val="0"/>
        <w:jc w:val="left"/>
        <w:rPr>
          <w:rFonts w:cs="Tahoma"/>
          <w:sz w:val="18"/>
          <w:szCs w:val="18"/>
        </w:rPr>
      </w:pPr>
      <w:r w:rsidRPr="007A3354">
        <w:rPr>
          <w:rFonts w:cs="Tahoma"/>
          <w:sz w:val="18"/>
          <w:szCs w:val="18"/>
          <w:lang w:eastAsia="en-US"/>
        </w:rPr>
        <w:t xml:space="preserve">WB21-MKD-ENE-03 North Macedonia, Strengthening the Transmission Network in the Southeast Region of North Macedonia - Component 1; </w:t>
      </w:r>
      <w:r w:rsidRPr="007A3354">
        <w:rPr>
          <w:rFonts w:cs="Tahoma"/>
          <w:bCs/>
          <w:sz w:val="18"/>
          <w:szCs w:val="18"/>
        </w:rPr>
        <w:t>ESIA Scoping Report, January 2022 [Ref.7]</w:t>
      </w:r>
    </w:p>
  </w:footnote>
  <w:footnote w:id="47">
    <w:p w14:paraId="640BA6CC" w14:textId="77777777" w:rsidR="00AB2D8F" w:rsidRPr="007A3354" w:rsidRDefault="00AB2D8F" w:rsidP="007A3354">
      <w:pPr>
        <w:pStyle w:val="FootnoteText"/>
        <w:tabs>
          <w:tab w:val="left" w:pos="3686"/>
        </w:tabs>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The site proposed for protection - Demir Kapija Gorge (Demirkapiska Klisura) geographically includes the existing Monuments of Nature Demir Kapija and Iberliska Reka, as well as several other sites recognised for future protection: Klisurska Reka, Bela Voda cave, Goren Zmejovec cave, Krastovec, Shtuder and Mala Javorica. </w:t>
      </w:r>
    </w:p>
  </w:footnote>
  <w:footnote w:id="48">
    <w:p w14:paraId="2E0AC9FC" w14:textId="77777777" w:rsidR="00AB2D8F" w:rsidRPr="007A3354" w:rsidRDefault="00AB2D8F" w:rsidP="007A3354">
      <w:pPr>
        <w:pStyle w:val="FootnoteText"/>
        <w:spacing w:before="60" w:line="240" w:lineRule="auto"/>
        <w:rPr>
          <w:rStyle w:val="tlid-translation"/>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Capital expenditure (CAPEX). </w:t>
      </w:r>
      <w:r w:rsidRPr="007A3354">
        <w:rPr>
          <w:rStyle w:val="tlid-translation"/>
          <w:rFonts w:ascii="Tahoma" w:hAnsi="Tahoma" w:cs="Tahoma"/>
          <w:sz w:val="18"/>
          <w:szCs w:val="18"/>
        </w:rPr>
        <w:t>This indicator reports the capital expenditure of a project, which includes elements such as the cost of obtaining permits, conducting studies, obtaining rights-of-way, ground, preparatory work, designing, di</w:t>
      </w:r>
      <w:r w:rsidRPr="007A3354">
        <w:rPr>
          <w:rStyle w:val="tlid-translation"/>
          <w:rFonts w:ascii="Tahoma" w:hAnsi="Tahoma" w:cs="Tahoma"/>
          <w:sz w:val="18"/>
          <w:szCs w:val="18"/>
        </w:rPr>
        <w:t>s</w:t>
      </w:r>
      <w:r w:rsidRPr="007A3354">
        <w:rPr>
          <w:rStyle w:val="tlid-translation"/>
          <w:rFonts w:ascii="Tahoma" w:hAnsi="Tahoma" w:cs="Tahoma"/>
          <w:sz w:val="18"/>
          <w:szCs w:val="18"/>
        </w:rPr>
        <w:t>mantling, equipment purchase and installation.</w:t>
      </w:r>
    </w:p>
    <w:p w14:paraId="6EF39545"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tlid-translation"/>
          <w:rFonts w:ascii="Tahoma" w:hAnsi="Tahoma" w:cs="Tahoma"/>
          <w:sz w:val="18"/>
          <w:szCs w:val="18"/>
        </w:rPr>
        <w:t>Operational expenditure (OPEX). These expenses are based on project operating and maintenance costs.</w:t>
      </w:r>
    </w:p>
  </w:footnote>
  <w:footnote w:id="49">
    <w:p w14:paraId="6DD08C81" w14:textId="647EE8D2"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Socio-economic welfare (SEW) is characterized by the ability of a power system to reduce congestion and thus provide an adequate Change of Evacuation Capacity (GTC) so that electricity markets can trade power in an economically eff</w:t>
      </w:r>
      <w:r w:rsidRPr="007A3354">
        <w:rPr>
          <w:rFonts w:ascii="Tahoma" w:hAnsi="Tahoma" w:cs="Tahoma"/>
          <w:sz w:val="18"/>
          <w:szCs w:val="18"/>
        </w:rPr>
        <w:t>i</w:t>
      </w:r>
      <w:r w:rsidRPr="007A3354">
        <w:rPr>
          <w:rFonts w:ascii="Tahoma" w:hAnsi="Tahoma" w:cs="Tahoma"/>
          <w:sz w:val="18"/>
          <w:szCs w:val="18"/>
        </w:rPr>
        <w:t>cient manner. The reduction of congestions is an indicator of social and economic welfare assuming equitable distrib</w:t>
      </w:r>
      <w:r w:rsidRPr="007A3354">
        <w:rPr>
          <w:rFonts w:ascii="Tahoma" w:hAnsi="Tahoma" w:cs="Tahoma"/>
          <w:sz w:val="18"/>
          <w:szCs w:val="18"/>
        </w:rPr>
        <w:t>u</w:t>
      </w:r>
      <w:r w:rsidRPr="007A3354">
        <w:rPr>
          <w:rFonts w:ascii="Tahoma" w:hAnsi="Tahoma" w:cs="Tahoma"/>
          <w:sz w:val="18"/>
          <w:szCs w:val="18"/>
        </w:rPr>
        <w:t>tion of benefits under the goal of the European Union to develop an integrated market (perfect market assumption). [Ref.7]</w:t>
      </w:r>
    </w:p>
  </w:footnote>
  <w:footnote w:id="50">
    <w:p w14:paraId="11B27846"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WB21-MKD-ENE-03 North Macedonia, Strengthening the Transmission Network in the Southeast Region of North Ma</w:t>
      </w:r>
      <w:r w:rsidRPr="007A3354">
        <w:rPr>
          <w:rFonts w:ascii="Tahoma" w:hAnsi="Tahoma" w:cs="Tahoma"/>
          <w:sz w:val="18"/>
          <w:szCs w:val="18"/>
        </w:rPr>
        <w:t>c</w:t>
      </w:r>
      <w:r w:rsidRPr="007A3354">
        <w:rPr>
          <w:rFonts w:ascii="Tahoma" w:hAnsi="Tahoma" w:cs="Tahoma"/>
          <w:sz w:val="18"/>
          <w:szCs w:val="18"/>
        </w:rPr>
        <w:t>edonia - Component 1; Selection of the preferred Option, September 2021 [Ref.4]</w:t>
      </w:r>
    </w:p>
  </w:footnote>
  <w:footnote w:id="51">
    <w:p w14:paraId="0C44D95B"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lang w:val="en-US"/>
        </w:rPr>
        <w:t xml:space="preserve">For more details see: </w:t>
      </w:r>
      <w:r w:rsidRPr="007A3354">
        <w:rPr>
          <w:rFonts w:ascii="Tahoma" w:hAnsi="Tahoma" w:cs="Tahoma"/>
          <w:sz w:val="18"/>
          <w:szCs w:val="18"/>
        </w:rPr>
        <w:t>WB21-MKD-ENE-03 North Macedonia, Strengthening the Transmission Network in the Southeast Region of North Macedonia - Component 1; Stakeholder Engagement Plan, March 2022 [Ref.5]</w:t>
      </w:r>
    </w:p>
  </w:footnote>
  <w:footnote w:id="52">
    <w:p w14:paraId="706332AC"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bookmarkStart w:id="137" w:name="content"/>
      <w:r w:rsidRPr="007A3354">
        <w:rPr>
          <w:rFonts w:ascii="Tahoma" w:hAnsi="Tahoma" w:cs="Tahoma"/>
          <w:bCs/>
          <w:sz w:val="18"/>
          <w:szCs w:val="18"/>
        </w:rPr>
        <w:t>Council Directive on the assessment of the effects of certain public and private projects on the environment</w:t>
      </w:r>
      <w:bookmarkEnd w:id="137"/>
      <w:r w:rsidRPr="007A3354">
        <w:rPr>
          <w:rFonts w:ascii="Tahoma" w:hAnsi="Tahoma" w:cs="Tahoma"/>
          <w:bCs/>
          <w:sz w:val="18"/>
          <w:szCs w:val="18"/>
        </w:rPr>
        <w:t xml:space="preserve"> (Council Directive on the assessment of the effects of certain public and private projects on the environment)</w:t>
      </w:r>
    </w:p>
  </w:footnote>
  <w:footnote w:id="53">
    <w:p w14:paraId="41BE5D82" w14:textId="77777777" w:rsidR="00AB2D8F" w:rsidRPr="007A3354" w:rsidRDefault="00AB2D8F" w:rsidP="007A3354">
      <w:pPr>
        <w:pStyle w:val="FootnoteText"/>
        <w:spacing w:before="60" w:line="240" w:lineRule="auto"/>
        <w:rPr>
          <w:rFonts w:ascii="Tahoma" w:hAnsi="Tahoma" w:cs="Tahoma"/>
          <w:sz w:val="18"/>
          <w:szCs w:val="18"/>
          <w:lang w:val="ru-RU"/>
        </w:rPr>
      </w:pPr>
      <w:r w:rsidRPr="007A3354">
        <w:rPr>
          <w:rStyle w:val="FootnoteReference"/>
          <w:rFonts w:ascii="Tahoma" w:hAnsi="Tahoma" w:cs="Tahoma"/>
          <w:sz w:val="18"/>
          <w:szCs w:val="18"/>
        </w:rPr>
        <w:footnoteRef/>
      </w:r>
      <w:r w:rsidRPr="007A3354">
        <w:rPr>
          <w:rFonts w:ascii="Tahoma" w:hAnsi="Tahoma" w:cs="Tahoma"/>
          <w:sz w:val="18"/>
          <w:szCs w:val="18"/>
          <w:lang w:val="ru-RU"/>
        </w:rPr>
        <w:t xml:space="preserve"> </w:t>
      </w:r>
      <w:r w:rsidRPr="007A3354">
        <w:rPr>
          <w:rFonts w:ascii="Tahoma" w:hAnsi="Tahoma" w:cs="Tahoma"/>
          <w:sz w:val="18"/>
          <w:szCs w:val="18"/>
          <w:lang w:val="en-US"/>
        </w:rPr>
        <w:t>In</w:t>
      </w:r>
      <w:r w:rsidRPr="007A3354">
        <w:rPr>
          <w:rFonts w:ascii="Tahoma" w:hAnsi="Tahoma" w:cs="Tahoma"/>
          <w:sz w:val="18"/>
          <w:szCs w:val="18"/>
          <w:lang w:val="ru-RU"/>
        </w:rPr>
        <w:t xml:space="preserve"> </w:t>
      </w:r>
      <w:r w:rsidRPr="007A3354">
        <w:rPr>
          <w:rFonts w:ascii="Tahoma" w:hAnsi="Tahoma" w:cs="Tahoma"/>
          <w:sz w:val="18"/>
          <w:szCs w:val="18"/>
          <w:lang w:val="en-US"/>
        </w:rPr>
        <w:t>Macedonian</w:t>
      </w:r>
      <w:r w:rsidRPr="007A3354">
        <w:rPr>
          <w:rFonts w:ascii="Tahoma" w:hAnsi="Tahoma" w:cs="Tahoma"/>
          <w:sz w:val="18"/>
          <w:szCs w:val="18"/>
          <w:lang w:val="ru-RU"/>
        </w:rPr>
        <w:t>: ‘</w:t>
      </w:r>
      <w:r w:rsidRPr="007A3354">
        <w:rPr>
          <w:rFonts w:ascii="Tahoma" w:hAnsi="Tahoma" w:cs="Tahoma"/>
          <w:sz w:val="18"/>
          <w:szCs w:val="18"/>
          <w:lang w:val="mk-MK"/>
        </w:rPr>
        <w:t>Елаборат за заштита на животната средина</w:t>
      </w:r>
      <w:r w:rsidRPr="007A3354">
        <w:rPr>
          <w:rFonts w:ascii="Tahoma" w:hAnsi="Tahoma" w:cs="Tahoma"/>
          <w:sz w:val="18"/>
          <w:szCs w:val="18"/>
          <w:lang w:val="ru-RU"/>
        </w:rPr>
        <w:t>’.</w:t>
      </w:r>
    </w:p>
  </w:footnote>
  <w:footnote w:id="54">
    <w:p w14:paraId="155B051B" w14:textId="77777777" w:rsidR="00AB2D8F" w:rsidRPr="007A3354" w:rsidRDefault="00AB2D8F" w:rsidP="007A3354">
      <w:pPr>
        <w:autoSpaceDE w:val="0"/>
        <w:autoSpaceDN w:val="0"/>
        <w:adjustRightInd w:val="0"/>
        <w:spacing w:before="60" w:after="0" w:line="240" w:lineRule="auto"/>
        <w:jc w:val="left"/>
        <w:rPr>
          <w:rFonts w:cs="Tahoma"/>
          <w:sz w:val="18"/>
          <w:szCs w:val="18"/>
          <w:lang w:val="en-US"/>
        </w:rPr>
      </w:pPr>
      <w:r w:rsidRPr="007A3354">
        <w:rPr>
          <w:rStyle w:val="FootnoteReference"/>
          <w:rFonts w:cs="Tahoma"/>
          <w:sz w:val="18"/>
          <w:szCs w:val="18"/>
        </w:rPr>
        <w:footnoteRef/>
      </w:r>
      <w:r w:rsidRPr="007A3354">
        <w:rPr>
          <w:rFonts w:cs="Tahoma"/>
          <w:sz w:val="18"/>
          <w:szCs w:val="18"/>
        </w:rPr>
        <w:t xml:space="preserve"> Section 17 of the national EIA Decree’s Annex I: ‘Overhead t</w:t>
      </w:r>
      <w:r w:rsidRPr="007A3354">
        <w:rPr>
          <w:rFonts w:cs="Tahoma"/>
          <w:sz w:val="18"/>
          <w:szCs w:val="18"/>
          <w:lang w:val="mk-MK"/>
        </w:rPr>
        <w:t xml:space="preserve">ransmission lines of </w:t>
      </w:r>
      <w:r w:rsidRPr="007A3354">
        <w:rPr>
          <w:rFonts w:cs="Tahoma"/>
          <w:sz w:val="18"/>
          <w:szCs w:val="18"/>
        </w:rPr>
        <w:t>110</w:t>
      </w:r>
      <w:r w:rsidRPr="007A3354">
        <w:rPr>
          <w:rFonts w:cs="Tahoma"/>
          <w:sz w:val="18"/>
          <w:szCs w:val="18"/>
          <w:lang w:val="mk-MK"/>
        </w:rPr>
        <w:t xml:space="preserve"> kV voltage o</w:t>
      </w:r>
      <w:r w:rsidRPr="007A3354">
        <w:rPr>
          <w:rFonts w:cs="Tahoma"/>
          <w:sz w:val="18"/>
          <w:szCs w:val="18"/>
        </w:rPr>
        <w:t>r</w:t>
      </w:r>
      <w:r w:rsidRPr="007A3354">
        <w:rPr>
          <w:rFonts w:cs="Tahoma"/>
          <w:sz w:val="18"/>
          <w:szCs w:val="18"/>
          <w:lang w:val="mk-MK"/>
        </w:rPr>
        <w:t xml:space="preserve"> higher, and longer than 15 km</w:t>
      </w:r>
      <w:r w:rsidRPr="007A3354">
        <w:rPr>
          <w:rFonts w:cs="Tahoma"/>
          <w:sz w:val="18"/>
          <w:szCs w:val="18"/>
        </w:rPr>
        <w:t>’.</w:t>
      </w:r>
    </w:p>
  </w:footnote>
  <w:footnote w:id="55">
    <w:p w14:paraId="5FDF99E0" w14:textId="77777777" w:rsidR="00AB2D8F" w:rsidRPr="007A3354" w:rsidRDefault="00AB2D8F" w:rsidP="007A3354">
      <w:pPr>
        <w:spacing w:before="60" w:after="0" w:line="240" w:lineRule="auto"/>
        <w:rPr>
          <w:rFonts w:cs="Tahoma"/>
          <w:sz w:val="18"/>
          <w:szCs w:val="18"/>
          <w:lang w:val="mk-MK"/>
        </w:rPr>
      </w:pPr>
      <w:r w:rsidRPr="007A3354">
        <w:rPr>
          <w:rStyle w:val="FootnoteReference"/>
          <w:rFonts w:cs="Tahoma"/>
          <w:sz w:val="18"/>
          <w:szCs w:val="18"/>
        </w:rPr>
        <w:footnoteRef/>
      </w:r>
      <w:r w:rsidRPr="007A3354">
        <w:rPr>
          <w:rFonts w:cs="Tahoma"/>
          <w:sz w:val="18"/>
          <w:szCs w:val="18"/>
        </w:rPr>
        <w:t xml:space="preserve"> ‘Notification of intent to implement a project’. The scope of this document is legally determined by the ‘</w:t>
      </w:r>
      <w:r w:rsidRPr="007A3354">
        <w:rPr>
          <w:rFonts w:cs="Tahoma"/>
          <w:sz w:val="18"/>
          <w:szCs w:val="18"/>
          <w:lang w:val="en-US"/>
        </w:rPr>
        <w:t xml:space="preserve">Rulebook </w:t>
      </w:r>
      <w:r w:rsidRPr="007A3354">
        <w:rPr>
          <w:rFonts w:cs="Tahoma"/>
          <w:sz w:val="18"/>
          <w:szCs w:val="18"/>
        </w:rPr>
        <w:t>on the information contained in the notification of intent to undertake a project and the procedure for establishing the need for environmental impact assessment of a project’ (</w:t>
      </w:r>
      <w:r w:rsidRPr="007A3354">
        <w:rPr>
          <w:rFonts w:cs="Tahoma"/>
          <w:sz w:val="18"/>
          <w:szCs w:val="18"/>
          <w:lang w:val="mk-MK"/>
        </w:rPr>
        <w:t>2006</w:t>
      </w:r>
      <w:r w:rsidRPr="007A3354">
        <w:rPr>
          <w:rFonts w:cs="Tahoma"/>
          <w:sz w:val="18"/>
          <w:szCs w:val="18"/>
        </w:rPr>
        <w:t>).</w:t>
      </w:r>
    </w:p>
  </w:footnote>
  <w:footnote w:id="56">
    <w:p w14:paraId="0D10B23A"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For more details, see: </w:t>
      </w:r>
      <w:r w:rsidRPr="007A3354">
        <w:rPr>
          <w:rFonts w:ascii="Tahoma" w:hAnsi="Tahoma" w:cs="Tahoma"/>
          <w:sz w:val="18"/>
          <w:szCs w:val="18"/>
          <w:lang w:eastAsia="en-US"/>
        </w:rPr>
        <w:t xml:space="preserve">WB21-MKD-ENE-03 North Macedonia, Strengthening the Transmission Network in the Southeast Region of North Macedonia - Component 1; </w:t>
      </w:r>
      <w:r w:rsidRPr="007A3354">
        <w:rPr>
          <w:rFonts w:ascii="Tahoma" w:hAnsi="Tahoma" w:cs="Tahoma"/>
          <w:bCs/>
          <w:sz w:val="18"/>
          <w:szCs w:val="18"/>
        </w:rPr>
        <w:t>ESIA Scoping Report, January 2022 [Ref.6]</w:t>
      </w:r>
    </w:p>
  </w:footnote>
  <w:footnote w:id="57">
    <w:p w14:paraId="547E6995" w14:textId="77777777"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Directive 2014/52/EU of the European Parliament and of the Council of 16 April 2014 on the assessment of the effects of certain public and private projects on the environment, Official Journal of the European Union</w:t>
      </w:r>
    </w:p>
  </w:footnote>
  <w:footnote w:id="58">
    <w:p w14:paraId="560BAD29"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https://eur-lex.europa.eu/legal-content/EN/TXT/?uri=CELEX:32009L0147</w:t>
      </w:r>
    </w:p>
  </w:footnote>
  <w:footnote w:id="59">
    <w:p w14:paraId="41D6CB77"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https://eur-lex.europa.eu/legal-content/EN/TXT/?uri=CELEX:31992L0043</w:t>
      </w:r>
    </w:p>
  </w:footnote>
  <w:footnote w:id="60">
    <w:p w14:paraId="6DC2410A"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https://eur-lex.europa.eu/legal-content/EN/TXT/?uri=celex%3A32018L0851</w:t>
      </w:r>
    </w:p>
  </w:footnote>
  <w:footnote w:id="61">
    <w:p w14:paraId="75F95EB5" w14:textId="4C67B93C"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https://eur-lex.europa.eu/legal-content/EN/TXT/?uri=CELEX:32012L0019</w:t>
      </w:r>
    </w:p>
  </w:footnote>
  <w:footnote w:id="62">
    <w:p w14:paraId="3527ABED"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https://eur-lex.europa.eu/legal-content/EN/TXT/?uri=CELEX:32000L0060</w:t>
      </w:r>
    </w:p>
  </w:footnote>
  <w:footnote w:id="63">
    <w:p w14:paraId="6E106404" w14:textId="77777777" w:rsidR="00AB2D8F" w:rsidRPr="007A3354" w:rsidRDefault="00AB2D8F" w:rsidP="007A3354">
      <w:pPr>
        <w:spacing w:before="60" w:after="0" w:line="240" w:lineRule="auto"/>
        <w:jc w:val="left"/>
        <w:rPr>
          <w:rFonts w:cs="Tahoma"/>
          <w:sz w:val="18"/>
          <w:szCs w:val="18"/>
        </w:rPr>
      </w:pPr>
      <w:r w:rsidRPr="007A3354">
        <w:rPr>
          <w:rStyle w:val="FootnoteReference"/>
          <w:rFonts w:cs="Tahoma"/>
          <w:sz w:val="18"/>
          <w:szCs w:val="18"/>
        </w:rPr>
        <w:footnoteRef/>
      </w:r>
      <w:r w:rsidRPr="007A3354">
        <w:rPr>
          <w:rFonts w:cs="Tahoma"/>
          <w:sz w:val="18"/>
          <w:szCs w:val="18"/>
        </w:rPr>
        <w:t xml:space="preserve"> Law on Construction (Official Gazette of RM no. 130/09 and its amendments) and associated by-laws</w:t>
      </w:r>
    </w:p>
  </w:footnote>
  <w:footnote w:id="64">
    <w:p w14:paraId="05D9CEB7"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lang w:val="mk-MK"/>
        </w:rPr>
        <w:t>Концептуално решение</w:t>
      </w:r>
      <w:r w:rsidRPr="007A3354">
        <w:rPr>
          <w:rFonts w:ascii="Tahoma" w:hAnsi="Tahoma" w:cs="Tahoma"/>
          <w:sz w:val="18"/>
          <w:szCs w:val="18"/>
          <w:lang w:val="en-US"/>
        </w:rPr>
        <w:t>”</w:t>
      </w:r>
    </w:p>
  </w:footnote>
  <w:footnote w:id="65">
    <w:p w14:paraId="7475D144"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lang w:eastAsia="en-US"/>
        </w:rPr>
        <w:t>WB21-MKD-ENE-03 North Macedonia, Strengthening the Transmission Network in the Southeast Region of North Ma</w:t>
      </w:r>
      <w:r w:rsidRPr="007A3354">
        <w:rPr>
          <w:rFonts w:ascii="Tahoma" w:hAnsi="Tahoma" w:cs="Tahoma"/>
          <w:sz w:val="18"/>
          <w:szCs w:val="18"/>
          <w:lang w:eastAsia="en-US"/>
        </w:rPr>
        <w:t>c</w:t>
      </w:r>
      <w:r w:rsidRPr="007A3354">
        <w:rPr>
          <w:rFonts w:ascii="Tahoma" w:hAnsi="Tahoma" w:cs="Tahoma"/>
          <w:sz w:val="18"/>
          <w:szCs w:val="18"/>
          <w:lang w:eastAsia="en-US"/>
        </w:rPr>
        <w:t xml:space="preserve">edonia - Component 1; </w:t>
      </w:r>
      <w:r w:rsidRPr="007A3354">
        <w:rPr>
          <w:rFonts w:ascii="Tahoma" w:hAnsi="Tahoma" w:cs="Tahoma"/>
          <w:sz w:val="18"/>
          <w:szCs w:val="18"/>
        </w:rPr>
        <w:t>Detailed Technical Assessment of Preferred Option</w:t>
      </w:r>
      <w:r w:rsidRPr="007A3354">
        <w:rPr>
          <w:rFonts w:ascii="Tahoma" w:hAnsi="Tahoma" w:cs="Tahoma"/>
          <w:bCs/>
          <w:sz w:val="18"/>
          <w:szCs w:val="18"/>
        </w:rPr>
        <w:t>, January 2022 [Ref.7]</w:t>
      </w:r>
    </w:p>
  </w:footnote>
  <w:footnote w:id="66">
    <w:p w14:paraId="77A95792"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lang w:eastAsia="en-US"/>
        </w:rPr>
        <w:t>WB21-MKD-ENE-03 North Macedonia, Strengthening the Transmission Network in the Southeast Region of North Ma</w:t>
      </w:r>
      <w:r w:rsidRPr="007A3354">
        <w:rPr>
          <w:rFonts w:ascii="Tahoma" w:hAnsi="Tahoma" w:cs="Tahoma"/>
          <w:sz w:val="18"/>
          <w:szCs w:val="18"/>
          <w:lang w:eastAsia="en-US"/>
        </w:rPr>
        <w:t>c</w:t>
      </w:r>
      <w:r w:rsidRPr="007A3354">
        <w:rPr>
          <w:rFonts w:ascii="Tahoma" w:hAnsi="Tahoma" w:cs="Tahoma"/>
          <w:sz w:val="18"/>
          <w:szCs w:val="18"/>
          <w:lang w:eastAsia="en-US"/>
        </w:rPr>
        <w:t xml:space="preserve">edonia - Component 1; </w:t>
      </w:r>
      <w:r w:rsidRPr="007A3354">
        <w:rPr>
          <w:rFonts w:ascii="Tahoma" w:hAnsi="Tahoma" w:cs="Tahoma"/>
          <w:sz w:val="18"/>
          <w:szCs w:val="18"/>
        </w:rPr>
        <w:t>Detailed Technical Assessment of Preferred Option</w:t>
      </w:r>
      <w:r w:rsidRPr="007A3354">
        <w:rPr>
          <w:rFonts w:ascii="Tahoma" w:hAnsi="Tahoma" w:cs="Tahoma"/>
          <w:bCs/>
          <w:sz w:val="18"/>
          <w:szCs w:val="18"/>
        </w:rPr>
        <w:t>, January 2022 [Ref.7]</w:t>
      </w:r>
    </w:p>
  </w:footnote>
  <w:footnote w:id="67">
    <w:p w14:paraId="2D73A532" w14:textId="4ED0149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lang w:val="fr-FR"/>
        </w:rPr>
        <w:t xml:space="preserve"> </w:t>
      </w:r>
      <w:r w:rsidRPr="007A3354">
        <w:rPr>
          <w:rFonts w:ascii="Tahoma" w:hAnsi="Tahoma" w:cs="Tahoma"/>
          <w:sz w:val="18"/>
          <w:szCs w:val="18"/>
          <w:shd w:val="clear" w:color="auto" w:fill="FFFFFF"/>
          <w:lang w:val="fr-FR"/>
        </w:rPr>
        <w:t xml:space="preserve">Filipovski, G., Rizovski, R., &amp; Ristevski, P. (1996). </w:t>
      </w:r>
      <w:r w:rsidRPr="007A3354">
        <w:rPr>
          <w:rFonts w:ascii="Tahoma" w:hAnsi="Tahoma" w:cs="Tahoma"/>
          <w:sz w:val="18"/>
          <w:szCs w:val="18"/>
          <w:shd w:val="clear" w:color="auto" w:fill="FFFFFF"/>
        </w:rPr>
        <w:t>Characteristics of climate-vegetative-soil zones in the Republic of Macedonia. </w:t>
      </w:r>
      <w:r w:rsidRPr="007A3354">
        <w:rPr>
          <w:rFonts w:ascii="Tahoma" w:hAnsi="Tahoma" w:cs="Tahoma"/>
          <w:sz w:val="18"/>
          <w:szCs w:val="18"/>
          <w:shd w:val="clear" w:color="auto" w:fill="FFFFFF"/>
          <w:lang w:val="ru-RU"/>
        </w:rPr>
        <w:t>(</w:t>
      </w:r>
      <w:r w:rsidRPr="007A3354">
        <w:rPr>
          <w:rFonts w:ascii="Tahoma" w:hAnsi="Tahoma" w:cs="Tahoma"/>
          <w:i/>
          <w:iCs/>
          <w:sz w:val="18"/>
          <w:szCs w:val="18"/>
          <w:shd w:val="clear" w:color="auto" w:fill="FFFFFF"/>
        </w:rPr>
        <w:t>Macedonian</w:t>
      </w:r>
      <w:r w:rsidRPr="007A3354">
        <w:rPr>
          <w:rFonts w:ascii="Tahoma" w:hAnsi="Tahoma" w:cs="Tahoma"/>
          <w:i/>
          <w:iCs/>
          <w:sz w:val="18"/>
          <w:szCs w:val="18"/>
          <w:shd w:val="clear" w:color="auto" w:fill="FFFFFF"/>
          <w:lang w:val="ru-RU"/>
        </w:rPr>
        <w:t xml:space="preserve">: Карактеристики на климатско-вегетацископочвените зони (региони) во Република Македонија. </w:t>
      </w:r>
      <w:r w:rsidRPr="007A3354">
        <w:rPr>
          <w:rFonts w:ascii="Tahoma" w:hAnsi="Tahoma" w:cs="Tahoma"/>
          <w:i/>
          <w:iCs/>
          <w:sz w:val="18"/>
          <w:szCs w:val="18"/>
          <w:shd w:val="clear" w:color="auto" w:fill="FFFFFF"/>
        </w:rPr>
        <w:t>МАНУ)</w:t>
      </w:r>
      <w:r w:rsidRPr="007A3354">
        <w:rPr>
          <w:rFonts w:ascii="Tahoma" w:hAnsi="Tahoma" w:cs="Tahoma"/>
          <w:i/>
          <w:iCs/>
          <w:sz w:val="18"/>
          <w:szCs w:val="18"/>
          <w:shd w:val="clear" w:color="auto" w:fill="FFFFFF"/>
          <w:lang w:val="en-US"/>
        </w:rPr>
        <w:t>;</w:t>
      </w:r>
      <w:r w:rsidRPr="007A3354">
        <w:rPr>
          <w:rFonts w:ascii="Tahoma" w:hAnsi="Tahoma" w:cs="Tahoma"/>
          <w:i/>
          <w:iCs/>
          <w:sz w:val="18"/>
          <w:szCs w:val="18"/>
          <w:shd w:val="clear" w:color="auto" w:fill="FFFFFF"/>
        </w:rPr>
        <w:t xml:space="preserve"> Macedonian academy of science and art, Skopje</w:t>
      </w:r>
      <w:r w:rsidRPr="007A3354">
        <w:rPr>
          <w:rFonts w:ascii="Tahoma" w:hAnsi="Tahoma" w:cs="Tahoma"/>
          <w:sz w:val="18"/>
          <w:szCs w:val="18"/>
          <w:shd w:val="clear" w:color="auto" w:fill="FFFFFF"/>
        </w:rPr>
        <w:t>.</w:t>
      </w:r>
    </w:p>
  </w:footnote>
  <w:footnote w:id="68">
    <w:p w14:paraId="3BC99C1D"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lang w:val="en-US"/>
        </w:rPr>
        <w:t>FOLU sector – Forestry and Other Land Uses</w:t>
      </w:r>
    </w:p>
  </w:footnote>
  <w:footnote w:id="69">
    <w:p w14:paraId="14178CF3" w14:textId="77777777" w:rsidR="00AB2D8F" w:rsidRPr="007A3354" w:rsidRDefault="00AB2D8F" w:rsidP="007A3354">
      <w:pPr>
        <w:spacing w:before="60" w:after="0" w:line="240" w:lineRule="auto"/>
        <w:jc w:val="left"/>
        <w:rPr>
          <w:rFonts w:cs="Tahoma"/>
          <w:sz w:val="18"/>
          <w:szCs w:val="18"/>
        </w:rPr>
      </w:pPr>
      <w:r w:rsidRPr="007A3354">
        <w:rPr>
          <w:rStyle w:val="FootnoteReference"/>
          <w:rFonts w:cs="Tahoma"/>
          <w:sz w:val="18"/>
          <w:szCs w:val="18"/>
        </w:rPr>
        <w:footnoteRef/>
      </w:r>
      <w:r w:rsidRPr="007A3354">
        <w:rPr>
          <w:rFonts w:cs="Tahoma"/>
          <w:sz w:val="18"/>
          <w:szCs w:val="18"/>
        </w:rPr>
        <w:t xml:space="preserve"> World Bank (2021) Macedonia Climate Change Projections (https://climateknowledgeportal.worldbank.org/country/north-macedonia/climate-data-projections)</w:t>
      </w:r>
    </w:p>
  </w:footnote>
  <w:footnote w:id="70">
    <w:p w14:paraId="6686FD59" w14:textId="79D3D56A" w:rsidR="00AB2D8F" w:rsidRPr="007A3354" w:rsidRDefault="00AB2D8F" w:rsidP="007A3354">
      <w:pPr>
        <w:spacing w:before="60" w:after="0" w:line="240" w:lineRule="auto"/>
        <w:jc w:val="left"/>
        <w:rPr>
          <w:rFonts w:cs="Tahoma"/>
          <w:sz w:val="18"/>
          <w:szCs w:val="18"/>
        </w:rPr>
      </w:pPr>
      <w:r w:rsidRPr="007A3354">
        <w:rPr>
          <w:rFonts w:cs="Tahoma"/>
          <w:sz w:val="18"/>
          <w:szCs w:val="18"/>
          <w:vertAlign w:val="superscript"/>
        </w:rPr>
        <w:footnoteRef/>
      </w:r>
      <w:r w:rsidRPr="007A3354">
        <w:rPr>
          <w:rFonts w:cs="Tahoma"/>
          <w:sz w:val="18"/>
          <w:szCs w:val="18"/>
          <w:vertAlign w:val="superscript"/>
        </w:rPr>
        <w:t xml:space="preserve"> </w:t>
      </w:r>
      <w:r w:rsidRPr="007A3354">
        <w:rPr>
          <w:rFonts w:cs="Tahoma"/>
          <w:sz w:val="18"/>
          <w:szCs w:val="18"/>
        </w:rPr>
        <w:t xml:space="preserve">The Shared Socioeconomic Pathways (SSP1 to SSP5) describe a range of plausible trends in the evolution of </w:t>
      </w:r>
      <w:r w:rsidRPr="007A3354">
        <w:rPr>
          <w:rFonts w:cs="Tahoma"/>
          <w:sz w:val="18"/>
          <w:szCs w:val="18"/>
          <w:lang w:val="en-US"/>
        </w:rPr>
        <w:t>s</w:t>
      </w:r>
      <w:r w:rsidRPr="007A3354">
        <w:rPr>
          <w:rFonts w:cs="Tahoma"/>
          <w:sz w:val="18"/>
          <w:szCs w:val="18"/>
        </w:rPr>
        <w:t>ociety over the 21</w:t>
      </w:r>
      <w:r w:rsidRPr="007A3354">
        <w:rPr>
          <w:rFonts w:cs="Tahoma"/>
          <w:sz w:val="18"/>
          <w:szCs w:val="18"/>
          <w:vertAlign w:val="superscript"/>
        </w:rPr>
        <w:t>st</w:t>
      </w:r>
      <w:r w:rsidRPr="007A3354">
        <w:rPr>
          <w:rFonts w:cs="Tahoma"/>
          <w:sz w:val="18"/>
          <w:szCs w:val="18"/>
          <w:lang w:val="en-US"/>
        </w:rPr>
        <w:t xml:space="preserve"> </w:t>
      </w:r>
      <w:r w:rsidRPr="007A3354">
        <w:rPr>
          <w:rFonts w:cs="Tahoma"/>
          <w:sz w:val="18"/>
          <w:szCs w:val="18"/>
        </w:rPr>
        <w:t>century. Each pathway is an internally consistent, plausible and integrated description of a socio-economic future, but these socio-economic futures do not account for the effects of climate change, and no new climate policies are assumed. Broadly, the five SSPs represent ‘sustainability’ (SSP1), a ‘middle of the road’ path (SSP2), ‘regional 20 rivalry’ (SSP3), ‘inequality’ (SSP4), and ‘fossil fuel intensive’ development (SSP5). Source: IPCC, 2021: Climate Change 2021: The Physical Science Basis. Contribution of Working Group I to the Sixth Assessment Report of the Intergover</w:t>
      </w:r>
      <w:r w:rsidRPr="007A3354">
        <w:rPr>
          <w:rFonts w:cs="Tahoma"/>
          <w:sz w:val="18"/>
          <w:szCs w:val="18"/>
        </w:rPr>
        <w:t>n</w:t>
      </w:r>
      <w:r w:rsidRPr="007A3354">
        <w:rPr>
          <w:rFonts w:cs="Tahoma"/>
          <w:sz w:val="18"/>
          <w:szCs w:val="18"/>
        </w:rPr>
        <w:t>mental Panel on Climate Change (https://www.ipcc.ch/report/ar6/wg1/downloads/report/IPCC_AR6_WGI_Full_Report.pdf)</w:t>
      </w:r>
    </w:p>
  </w:footnote>
  <w:footnote w:id="71">
    <w:p w14:paraId="66F1F016" w14:textId="52766B55"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SSP5-8.5 is the highest CO</w:t>
      </w:r>
      <w:r w:rsidRPr="007A3354">
        <w:rPr>
          <w:rFonts w:ascii="Tahoma" w:hAnsi="Tahoma" w:cs="Tahoma"/>
          <w:sz w:val="18"/>
          <w:szCs w:val="18"/>
          <w:vertAlign w:val="subscript"/>
        </w:rPr>
        <w:t>2</w:t>
      </w:r>
      <w:r w:rsidRPr="007A3354">
        <w:rPr>
          <w:rFonts w:ascii="Tahoma" w:hAnsi="Tahoma" w:cs="Tahoma"/>
          <w:sz w:val="18"/>
          <w:szCs w:val="18"/>
        </w:rPr>
        <w:t xml:space="preserve"> emission scenario, corresponding to the RCP8.5 - formerly used Representative Conce</w:t>
      </w:r>
      <w:r w:rsidRPr="007A3354">
        <w:rPr>
          <w:rFonts w:ascii="Tahoma" w:hAnsi="Tahoma" w:cs="Tahoma"/>
          <w:sz w:val="18"/>
          <w:szCs w:val="18"/>
        </w:rPr>
        <w:t>n</w:t>
      </w:r>
      <w:r w:rsidRPr="007A3354">
        <w:rPr>
          <w:rFonts w:ascii="Tahoma" w:hAnsi="Tahoma" w:cs="Tahoma"/>
          <w:sz w:val="18"/>
          <w:szCs w:val="18"/>
        </w:rPr>
        <w:t>tration Pathway (RCP) or ‘high emissions’ scenario. RCP8.5 is the highest RCP reaching a </w:t>
      </w:r>
      <w:hyperlink r:id="rId1" w:tooltip="Learn more about Radiative Forcing from ScienceDirect's AI-generated Topic Pages" w:history="1">
        <w:r w:rsidRPr="007A3354">
          <w:rPr>
            <w:rStyle w:val="Hyperlink"/>
            <w:rFonts w:ascii="Tahoma" w:hAnsi="Tahoma" w:cs="Tahoma"/>
            <w:color w:val="auto"/>
            <w:sz w:val="18"/>
            <w:szCs w:val="18"/>
            <w:u w:val="none"/>
          </w:rPr>
          <w:t>radiative forcing</w:t>
        </w:r>
      </w:hyperlink>
      <w:r w:rsidRPr="007A3354">
        <w:rPr>
          <w:rFonts w:ascii="Tahoma" w:hAnsi="Tahoma" w:cs="Tahoma"/>
          <w:sz w:val="18"/>
          <w:szCs w:val="18"/>
        </w:rPr>
        <w:t> of 8.5 W/m</w:t>
      </w:r>
      <w:r w:rsidRPr="007A3354">
        <w:rPr>
          <w:rFonts w:ascii="Tahoma" w:hAnsi="Tahoma" w:cs="Tahoma"/>
          <w:sz w:val="18"/>
          <w:szCs w:val="18"/>
          <w:vertAlign w:val="superscript"/>
        </w:rPr>
        <w:t>2</w:t>
      </w:r>
      <w:r w:rsidRPr="007A3354">
        <w:rPr>
          <w:rFonts w:ascii="Tahoma" w:hAnsi="Tahoma" w:cs="Tahoma"/>
          <w:sz w:val="18"/>
          <w:szCs w:val="18"/>
        </w:rPr>
        <w:t> by the end of the century.</w:t>
      </w:r>
    </w:p>
  </w:footnote>
  <w:footnote w:id="72">
    <w:p w14:paraId="63B22C93" w14:textId="77777777"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Source: IPCC, 2021: Climate Change 2021: The Physical Science Basis. Contribution of Working Group I to the Sixth Assessment Report of the Intergovernmental Panel on Climate Change (https://www.ipcc.ch/report/ar6/wg1/downloads/report/IPCC_AR6_WGI_Full_Report.pdf)</w:t>
      </w:r>
    </w:p>
  </w:footnote>
  <w:footnote w:id="73">
    <w:p w14:paraId="117A1C46" w14:textId="73007754" w:rsidR="00AB2D8F" w:rsidRPr="007A3354" w:rsidRDefault="00AB2D8F" w:rsidP="007A3354">
      <w:pPr>
        <w:pStyle w:val="FootnoteText"/>
        <w:spacing w:before="60" w:line="240" w:lineRule="auto"/>
        <w:rPr>
          <w:rFonts w:ascii="Tahoma" w:hAnsi="Tahoma" w:cs="Tahoma"/>
          <w:sz w:val="18"/>
          <w:szCs w:val="18"/>
          <w:lang w:val="fr-FR"/>
        </w:rPr>
      </w:pPr>
      <w:r w:rsidRPr="007A3354">
        <w:rPr>
          <w:rStyle w:val="FootnoteReference"/>
          <w:rFonts w:ascii="Tahoma" w:hAnsi="Tahoma" w:cs="Tahoma"/>
          <w:sz w:val="18"/>
          <w:szCs w:val="18"/>
        </w:rPr>
        <w:footnoteRef/>
      </w:r>
      <w:r w:rsidRPr="007A3354">
        <w:rPr>
          <w:rFonts w:ascii="Tahoma" w:hAnsi="Tahoma" w:cs="Tahoma"/>
          <w:sz w:val="18"/>
          <w:szCs w:val="18"/>
          <w:lang w:val="fr-FR"/>
        </w:rPr>
        <w:t xml:space="preserve"> Source: https://climateknowledgeportal.worldbank.org/country/north-macedonia/vulnerability</w:t>
      </w:r>
    </w:p>
  </w:footnote>
  <w:footnote w:id="74">
    <w:p w14:paraId="6038E093" w14:textId="77777777" w:rsidR="00AB2D8F" w:rsidRPr="007A3354" w:rsidRDefault="00AB2D8F" w:rsidP="007A3354">
      <w:pPr>
        <w:pStyle w:val="FootnoteText"/>
        <w:spacing w:before="60" w:line="240" w:lineRule="auto"/>
        <w:rPr>
          <w:rFonts w:ascii="Tahoma" w:hAnsi="Tahoma" w:cs="Tahoma"/>
          <w:sz w:val="18"/>
          <w:szCs w:val="18"/>
          <w:lang w:val="fr-FR"/>
        </w:rPr>
      </w:pPr>
      <w:r w:rsidRPr="007A3354">
        <w:rPr>
          <w:rStyle w:val="FootnoteReference"/>
          <w:rFonts w:ascii="Tahoma" w:hAnsi="Tahoma" w:cs="Tahoma"/>
          <w:sz w:val="18"/>
          <w:szCs w:val="18"/>
        </w:rPr>
        <w:footnoteRef/>
      </w:r>
      <w:r w:rsidRPr="007A3354">
        <w:rPr>
          <w:rFonts w:ascii="Tahoma" w:hAnsi="Tahoma" w:cs="Tahoma"/>
          <w:sz w:val="18"/>
          <w:szCs w:val="18"/>
          <w:lang w:val="fr-FR"/>
        </w:rPr>
        <w:t xml:space="preserve"> Source: https://climateknowledgeportal.worldbank.org/country/north-macedonia/vulnerability</w:t>
      </w:r>
    </w:p>
  </w:footnote>
  <w:footnote w:id="75">
    <w:p w14:paraId="5506CFAF" w14:textId="2C349BD1"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VFSP - </w:t>
      </w:r>
      <w:r w:rsidRPr="007A3354">
        <w:rPr>
          <w:rFonts w:ascii="Tahoma" w:hAnsi="Tahoma" w:cs="Tahoma"/>
          <w:sz w:val="18"/>
          <w:szCs w:val="18"/>
          <w:lang w:val="en-US"/>
        </w:rPr>
        <w:t>Vardar Field Sampling Point</w:t>
      </w:r>
    </w:p>
  </w:footnote>
  <w:footnote w:id="76">
    <w:p w14:paraId="2443E33A" w14:textId="1B95127A"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Stafilov, T., &amp; Levkov, Z. (2017). Summary of Vardar River Basin Field Survey. European Agency for Reconstruction and Ministry of Environment &amp; Physical Planning of the Republic of Macedonia, Skopje, Macedonia</w:t>
      </w:r>
    </w:p>
  </w:footnote>
  <w:footnote w:id="77">
    <w:p w14:paraId="09360F0F" w14:textId="3231D1E6"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Macedonian Information Center for Environment (2022). </w:t>
      </w:r>
      <w:r w:rsidRPr="007A3354">
        <w:rPr>
          <w:rFonts w:ascii="Tahoma" w:hAnsi="Tahoma" w:cs="Tahoma"/>
          <w:sz w:val="18"/>
          <w:szCs w:val="18"/>
          <w:lang w:val="en-US"/>
        </w:rPr>
        <w:t xml:space="preserve">Annual report for the processed data on the quality of the environment for 2021. </w:t>
      </w:r>
      <w:r w:rsidRPr="007A3354">
        <w:rPr>
          <w:rFonts w:ascii="Tahoma" w:hAnsi="Tahoma" w:cs="Tahoma"/>
          <w:sz w:val="18"/>
          <w:szCs w:val="18"/>
        </w:rPr>
        <w:t>Ministry  of Envronment and Physical Planning, Skopje,144 pp.</w:t>
      </w:r>
    </w:p>
  </w:footnote>
  <w:footnote w:id="78">
    <w:p w14:paraId="760F24B0"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These are: City of Skopje (fourteen stations), Bitola (eight stations), Kumanovo (ten stations) and Kicevo (seven st</w:t>
      </w:r>
      <w:r w:rsidRPr="007A3354">
        <w:rPr>
          <w:rFonts w:ascii="Tahoma" w:hAnsi="Tahoma" w:cs="Tahoma"/>
          <w:sz w:val="18"/>
          <w:szCs w:val="18"/>
        </w:rPr>
        <w:t>a</w:t>
      </w:r>
      <w:r w:rsidRPr="007A3354">
        <w:rPr>
          <w:rFonts w:ascii="Tahoma" w:hAnsi="Tahoma" w:cs="Tahoma"/>
          <w:sz w:val="18"/>
          <w:szCs w:val="18"/>
        </w:rPr>
        <w:t>tions).</w:t>
      </w:r>
    </w:p>
  </w:footnote>
  <w:footnote w:id="79">
    <w:p w14:paraId="3DFF6D79" w14:textId="54B74F6E"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Rulebook on environmental noise level limit values (Official Gazette of RM no. 147/08)</w:t>
      </w:r>
    </w:p>
  </w:footnote>
  <w:footnote w:id="80">
    <w:p w14:paraId="208C409D"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bCs/>
          <w:sz w:val="18"/>
          <w:szCs w:val="18"/>
        </w:rPr>
        <w:t>The CORINE Land Cover (CLC) inventory was initiated in 1985 (reference year 1990) to standardize data collection on land in Europe to support environmental policy development. </w:t>
      </w:r>
    </w:p>
  </w:footnote>
  <w:footnote w:id="81">
    <w:p w14:paraId="700709B1" w14:textId="056CCC6B" w:rsidR="00AB2D8F" w:rsidRPr="007A3354" w:rsidRDefault="00AB2D8F" w:rsidP="007A3354">
      <w:pPr>
        <w:pStyle w:val="FootnoteText"/>
        <w:spacing w:before="60" w:line="240" w:lineRule="auto"/>
        <w:rPr>
          <w:rFonts w:ascii="Tahoma" w:hAnsi="Tahoma" w:cs="Tahoma"/>
          <w:sz w:val="18"/>
          <w:szCs w:val="18"/>
          <w:lang w:val="mk-MK"/>
        </w:rPr>
      </w:pPr>
      <w:r w:rsidRPr="007A3354">
        <w:rPr>
          <w:rStyle w:val="FootnoteReference"/>
          <w:rFonts w:ascii="Tahoma" w:hAnsi="Tahoma" w:cs="Tahoma"/>
          <w:sz w:val="18"/>
          <w:szCs w:val="18"/>
        </w:rPr>
        <w:footnoteRef/>
      </w:r>
      <w:r w:rsidRPr="007A3354">
        <w:rPr>
          <w:rFonts w:ascii="Tahoma" w:hAnsi="Tahoma" w:cs="Tahoma"/>
          <w:sz w:val="18"/>
          <w:szCs w:val="18"/>
        </w:rPr>
        <w:t xml:space="preserve"> https://emerald.eea.europa.eu/</w:t>
      </w:r>
    </w:p>
  </w:footnote>
  <w:footnote w:id="82">
    <w:p w14:paraId="0E51DC25" w14:textId="0AE99D62" w:rsidR="00AB2D8F" w:rsidRPr="007A3354" w:rsidRDefault="00AB2D8F" w:rsidP="007A3354">
      <w:pPr>
        <w:pStyle w:val="FootnoteText"/>
        <w:spacing w:before="60" w:line="240" w:lineRule="auto"/>
        <w:rPr>
          <w:rFonts w:ascii="Tahoma" w:hAnsi="Tahoma" w:cs="Tahoma"/>
          <w:sz w:val="18"/>
          <w:szCs w:val="18"/>
          <w:lang w:val="mk-MK"/>
        </w:rPr>
      </w:pPr>
      <w:r w:rsidRPr="007A3354">
        <w:rPr>
          <w:rStyle w:val="FootnoteReference"/>
          <w:rFonts w:ascii="Tahoma" w:hAnsi="Tahoma" w:cs="Tahoma"/>
          <w:sz w:val="18"/>
          <w:szCs w:val="18"/>
        </w:rPr>
        <w:footnoteRef/>
      </w:r>
      <w:r w:rsidRPr="007A3354">
        <w:rPr>
          <w:rFonts w:ascii="Tahoma" w:hAnsi="Tahoma" w:cs="Tahoma"/>
          <w:sz w:val="18"/>
          <w:szCs w:val="18"/>
          <w:lang w:val="mk-MK"/>
        </w:rPr>
        <w:t xml:space="preserve"> https://www.ramsar.org/</w:t>
      </w:r>
    </w:p>
  </w:footnote>
  <w:footnote w:id="83">
    <w:p w14:paraId="342D5D9C" w14:textId="4563DD2A" w:rsidR="00AB2D8F" w:rsidRPr="007A3354" w:rsidRDefault="00AB2D8F" w:rsidP="007A3354">
      <w:pPr>
        <w:pStyle w:val="FootnoteText"/>
        <w:spacing w:before="60" w:line="240" w:lineRule="auto"/>
        <w:rPr>
          <w:rFonts w:ascii="Tahoma" w:hAnsi="Tahoma" w:cs="Tahoma"/>
          <w:sz w:val="18"/>
          <w:szCs w:val="18"/>
          <w:lang w:val="mk-MK"/>
        </w:rPr>
      </w:pPr>
      <w:r w:rsidRPr="007A3354">
        <w:rPr>
          <w:rStyle w:val="FootnoteReference"/>
          <w:rFonts w:ascii="Tahoma" w:hAnsi="Tahoma" w:cs="Tahoma"/>
          <w:sz w:val="18"/>
          <w:szCs w:val="18"/>
        </w:rPr>
        <w:footnoteRef/>
      </w:r>
      <w:r w:rsidRPr="007A3354">
        <w:rPr>
          <w:rFonts w:ascii="Tahoma" w:hAnsi="Tahoma" w:cs="Tahoma"/>
          <w:sz w:val="18"/>
          <w:szCs w:val="18"/>
          <w:lang w:val="mk-MK"/>
        </w:rPr>
        <w:t xml:space="preserve"> https://www.plantlife.org.uk/international/important-plant-areas-international</w:t>
      </w:r>
    </w:p>
  </w:footnote>
  <w:footnote w:id="84">
    <w:p w14:paraId="1122A982" w14:textId="7129A2E6" w:rsidR="00AB2D8F" w:rsidRPr="007A3354" w:rsidRDefault="00AB2D8F" w:rsidP="007A3354">
      <w:pPr>
        <w:pStyle w:val="FootnoteText"/>
        <w:spacing w:before="60" w:line="240" w:lineRule="auto"/>
        <w:rPr>
          <w:rFonts w:ascii="Tahoma" w:hAnsi="Tahoma" w:cs="Tahoma"/>
          <w:sz w:val="18"/>
          <w:szCs w:val="18"/>
          <w:lang w:val="mk-MK"/>
        </w:rPr>
      </w:pPr>
      <w:r w:rsidRPr="007A3354">
        <w:rPr>
          <w:rStyle w:val="FootnoteReference"/>
          <w:rFonts w:ascii="Tahoma" w:hAnsi="Tahoma" w:cs="Tahoma"/>
          <w:sz w:val="18"/>
          <w:szCs w:val="18"/>
        </w:rPr>
        <w:footnoteRef/>
      </w:r>
      <w:r w:rsidRPr="007A3354">
        <w:rPr>
          <w:rFonts w:ascii="Tahoma" w:hAnsi="Tahoma" w:cs="Tahoma"/>
          <w:sz w:val="18"/>
          <w:szCs w:val="18"/>
          <w:lang w:val="mk-MK"/>
        </w:rPr>
        <w:t xml:space="preserve"> </w:t>
      </w:r>
      <w:hyperlink r:id="rId2" w:history="1">
        <w:r w:rsidRPr="007A3354">
          <w:rPr>
            <w:rStyle w:val="Hyperlink"/>
            <w:rFonts w:ascii="Tahoma" w:hAnsi="Tahoma" w:cs="Tahoma"/>
            <w:color w:val="auto"/>
            <w:sz w:val="18"/>
            <w:szCs w:val="18"/>
            <w:u w:val="none"/>
            <w:lang w:val="mk-MK"/>
          </w:rPr>
          <w:t>http://datazone.birdlife.org/site/mapsearch</w:t>
        </w:r>
      </w:hyperlink>
    </w:p>
  </w:footnote>
  <w:footnote w:id="85">
    <w:p w14:paraId="511E062B"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shd w:val="clear" w:color="auto" w:fill="FFFFFF"/>
        </w:rPr>
        <w:t>van Swaay, C. A., &amp; Warren, M. S. (2006). Prime butterfly areas of Europe: an initial selection of priority sitesfor co</w:t>
      </w:r>
      <w:r w:rsidRPr="007A3354">
        <w:rPr>
          <w:rFonts w:ascii="Tahoma" w:hAnsi="Tahoma" w:cs="Tahoma"/>
          <w:sz w:val="18"/>
          <w:szCs w:val="18"/>
          <w:shd w:val="clear" w:color="auto" w:fill="FFFFFF"/>
        </w:rPr>
        <w:t>n</w:t>
      </w:r>
      <w:r w:rsidRPr="007A3354">
        <w:rPr>
          <w:rFonts w:ascii="Tahoma" w:hAnsi="Tahoma" w:cs="Tahoma"/>
          <w:sz w:val="18"/>
          <w:szCs w:val="18"/>
          <w:shd w:val="clear" w:color="auto" w:fill="FFFFFF"/>
        </w:rPr>
        <w:t>servation. </w:t>
      </w:r>
      <w:r w:rsidRPr="007A3354">
        <w:rPr>
          <w:rFonts w:ascii="Tahoma" w:hAnsi="Tahoma" w:cs="Tahoma"/>
          <w:i/>
          <w:iCs/>
          <w:sz w:val="18"/>
          <w:szCs w:val="18"/>
          <w:shd w:val="clear" w:color="auto" w:fill="FFFFFF"/>
        </w:rPr>
        <w:t>Journal of Insect Conservation</w:t>
      </w:r>
      <w:r w:rsidRPr="007A3354">
        <w:rPr>
          <w:rFonts w:ascii="Tahoma" w:hAnsi="Tahoma" w:cs="Tahoma"/>
          <w:sz w:val="18"/>
          <w:szCs w:val="18"/>
          <w:shd w:val="clear" w:color="auto" w:fill="FFFFFF"/>
        </w:rPr>
        <w:t>, </w:t>
      </w:r>
      <w:r w:rsidRPr="007A3354">
        <w:rPr>
          <w:rFonts w:ascii="Tahoma" w:hAnsi="Tahoma" w:cs="Tahoma"/>
          <w:i/>
          <w:iCs/>
          <w:sz w:val="18"/>
          <w:szCs w:val="18"/>
          <w:shd w:val="clear" w:color="auto" w:fill="FFFFFF"/>
        </w:rPr>
        <w:t>10</w:t>
      </w:r>
      <w:r w:rsidRPr="007A3354">
        <w:rPr>
          <w:rFonts w:ascii="Tahoma" w:hAnsi="Tahoma" w:cs="Tahoma"/>
          <w:sz w:val="18"/>
          <w:szCs w:val="18"/>
          <w:shd w:val="clear" w:color="auto" w:fill="FFFFFF"/>
        </w:rPr>
        <w:t>(1), 5-11.</w:t>
      </w:r>
    </w:p>
  </w:footnote>
  <w:footnote w:id="86">
    <w:p w14:paraId="07DF774A"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shd w:val="clear" w:color="auto" w:fill="FFFFFF"/>
        </w:rPr>
        <w:t>Melovski, L., Velevski, M., Matevski, V., Avukato</w:t>
      </w:r>
      <w:r w:rsidRPr="007A3354">
        <w:rPr>
          <w:rFonts w:ascii="Tahoma" w:hAnsi="Tahoma" w:cs="Tahoma"/>
          <w:color w:val="222222"/>
          <w:sz w:val="18"/>
          <w:szCs w:val="18"/>
          <w:shd w:val="clear" w:color="auto" w:fill="FFFFFF"/>
        </w:rPr>
        <w:t>v, V., &amp; Sarov, A. (2012). Using important plant areas and important bird areas to identify Key Biodiversity Areas in the Republic of Macedonia. </w:t>
      </w:r>
      <w:r w:rsidRPr="007A3354">
        <w:rPr>
          <w:rFonts w:ascii="Tahoma" w:hAnsi="Tahoma" w:cs="Tahoma"/>
          <w:i/>
          <w:iCs/>
          <w:color w:val="222222"/>
          <w:sz w:val="18"/>
          <w:szCs w:val="18"/>
          <w:shd w:val="clear" w:color="auto" w:fill="FFFFFF"/>
        </w:rPr>
        <w:t>Journal of Threatened Taxa</w:t>
      </w:r>
      <w:r w:rsidRPr="007A3354">
        <w:rPr>
          <w:rFonts w:ascii="Tahoma" w:hAnsi="Tahoma" w:cs="Tahoma"/>
          <w:color w:val="222222"/>
          <w:sz w:val="18"/>
          <w:szCs w:val="18"/>
          <w:shd w:val="clear" w:color="auto" w:fill="FFFFFF"/>
        </w:rPr>
        <w:t>, 2766-2778.</w:t>
      </w:r>
    </w:p>
  </w:footnote>
  <w:footnote w:id="87">
    <w:p w14:paraId="68BC39B5" w14:textId="77777777"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European Nature Information System (https://eunis.eea.europa.eu/habitats-code-browser.jsp)</w:t>
      </w:r>
    </w:p>
  </w:footnote>
  <w:footnote w:id="88">
    <w:p w14:paraId="17FED3D6" w14:textId="77777777"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Council Directive 92/43/EEC of 21 May 1992 on the conservation of natural habitats and of wild fauna and flora (https://eur-lex.europa.eu/legal-content/EN/TXT/?uri=celex%3A31992L0043)</w:t>
      </w:r>
    </w:p>
  </w:footnote>
  <w:footnote w:id="89">
    <w:p w14:paraId="1E7F59B0" w14:textId="77777777" w:rsidR="00AB2D8F" w:rsidRPr="007A3354" w:rsidRDefault="00AB2D8F" w:rsidP="007A3354">
      <w:pPr>
        <w:pStyle w:val="FootnoteText"/>
        <w:spacing w:before="60" w:line="240" w:lineRule="auto"/>
        <w:rPr>
          <w:rFonts w:ascii="Tahoma" w:hAnsi="Tahoma" w:cs="Tahoma"/>
          <w:sz w:val="18"/>
          <w:szCs w:val="18"/>
          <w:lang w:val="fr-FR"/>
        </w:rPr>
      </w:pPr>
      <w:r w:rsidRPr="007A3354">
        <w:rPr>
          <w:rStyle w:val="FootnoteReference"/>
          <w:rFonts w:ascii="Tahoma" w:hAnsi="Tahoma" w:cs="Tahoma"/>
          <w:sz w:val="18"/>
          <w:szCs w:val="18"/>
        </w:rPr>
        <w:footnoteRef/>
      </w:r>
      <w:r w:rsidRPr="007A3354">
        <w:rPr>
          <w:rFonts w:ascii="Tahoma" w:hAnsi="Tahoma" w:cs="Tahoma"/>
          <w:sz w:val="18"/>
          <w:szCs w:val="18"/>
          <w:lang w:val="fr-FR"/>
        </w:rPr>
        <w:t xml:space="preserve"> </w:t>
      </w:r>
      <w:hyperlink r:id="rId3" w:history="1">
        <w:r w:rsidRPr="007A3354">
          <w:rPr>
            <w:rStyle w:val="Hyperlink"/>
            <w:rFonts w:ascii="Tahoma" w:hAnsi="Tahoma" w:cs="Tahoma"/>
            <w:color w:val="auto"/>
            <w:sz w:val="18"/>
            <w:szCs w:val="18"/>
            <w:lang w:val="fr-FR"/>
          </w:rPr>
          <w:t>https://www.moepp.gov.mk/wp-content/uploads/2014/09/Listi%20za%20utvrduvanje%20na%20strogo%20</w:t>
        </w:r>
      </w:hyperlink>
      <w:r w:rsidRPr="007A3354">
        <w:rPr>
          <w:rFonts w:ascii="Tahoma" w:hAnsi="Tahoma" w:cs="Tahoma"/>
          <w:sz w:val="18"/>
          <w:szCs w:val="18"/>
          <w:lang w:val="fr-FR"/>
        </w:rPr>
        <w:t xml:space="preserve"> zast</w:t>
      </w:r>
      <w:r w:rsidRPr="007A3354">
        <w:rPr>
          <w:rFonts w:ascii="Tahoma" w:hAnsi="Tahoma" w:cs="Tahoma"/>
          <w:sz w:val="18"/>
          <w:szCs w:val="18"/>
          <w:lang w:val="fr-FR"/>
        </w:rPr>
        <w:t>i</w:t>
      </w:r>
      <w:r w:rsidRPr="007A3354">
        <w:rPr>
          <w:rFonts w:ascii="Tahoma" w:hAnsi="Tahoma" w:cs="Tahoma"/>
          <w:sz w:val="18"/>
          <w:szCs w:val="18"/>
          <w:lang w:val="fr-FR"/>
        </w:rPr>
        <w:t>teni%20i%20zastiteni%20divi%20vidovi.pdf</w:t>
      </w:r>
    </w:p>
  </w:footnote>
  <w:footnote w:id="90">
    <w:p w14:paraId="5F2E06E3" w14:textId="5C8C3016"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color w:val="777777"/>
          <w:sz w:val="18"/>
          <w:szCs w:val="18"/>
          <w:shd w:val="clear" w:color="auto" w:fill="FFFFFF"/>
        </w:rPr>
        <w:t>The Macedonian Ecological Society (MES) is a civil society organization actively working in the areas of ecology and environmental protection.</w:t>
      </w:r>
      <w:r w:rsidRPr="007A3354">
        <w:rPr>
          <w:rFonts w:ascii="Tahoma" w:hAnsi="Tahoma" w:cs="Tahoma"/>
          <w:sz w:val="18"/>
          <w:szCs w:val="18"/>
        </w:rPr>
        <w:t xml:space="preserve">https://mes.org.mk/; email: </w:t>
      </w:r>
      <w:hyperlink r:id="rId4" w:history="1">
        <w:r w:rsidRPr="007A3354">
          <w:rPr>
            <w:rStyle w:val="Hyperlink"/>
            <w:rFonts w:ascii="Tahoma" w:hAnsi="Tahoma" w:cs="Tahoma"/>
            <w:color w:val="2E2E2E"/>
            <w:sz w:val="18"/>
            <w:szCs w:val="18"/>
            <w:bdr w:val="none" w:sz="0" w:space="0" w:color="auto" w:frame="1"/>
            <w:shd w:val="clear" w:color="auto" w:fill="FFFFFF"/>
          </w:rPr>
          <w:t>contact@mes.org.mk</w:t>
        </w:r>
      </w:hyperlink>
    </w:p>
  </w:footnote>
  <w:footnote w:id="91">
    <w:p w14:paraId="5E01B8EB" w14:textId="77777777" w:rsidR="00AB2D8F" w:rsidRPr="007A3354" w:rsidRDefault="00AB2D8F" w:rsidP="007A3354">
      <w:pPr>
        <w:pStyle w:val="FootnoteText"/>
        <w:spacing w:before="60" w:line="240" w:lineRule="auto"/>
        <w:rPr>
          <w:rFonts w:ascii="Tahoma" w:hAnsi="Tahoma" w:cs="Tahoma"/>
          <w:sz w:val="18"/>
          <w:szCs w:val="18"/>
          <w:lang w:val="fr-FR"/>
        </w:rPr>
      </w:pPr>
      <w:r w:rsidRPr="007A3354">
        <w:rPr>
          <w:rStyle w:val="FootnoteReference"/>
          <w:rFonts w:ascii="Tahoma" w:hAnsi="Tahoma" w:cs="Tahoma"/>
          <w:sz w:val="18"/>
          <w:szCs w:val="18"/>
        </w:rPr>
        <w:footnoteRef/>
      </w:r>
      <w:r w:rsidRPr="007A3354">
        <w:rPr>
          <w:rFonts w:ascii="Tahoma" w:hAnsi="Tahoma" w:cs="Tahoma"/>
          <w:sz w:val="18"/>
          <w:szCs w:val="18"/>
          <w:lang w:val="fr-FR"/>
        </w:rPr>
        <w:t xml:space="preserve"> https://www.eea.europa.eu/data-and-maps/figures/migration-routes-for-selected-bird-species</w:t>
      </w:r>
    </w:p>
  </w:footnote>
  <w:footnote w:id="92">
    <w:p w14:paraId="1392FD30" w14:textId="77777777"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Guidance Note: EBRD Performance Requirement 6. Biodiversity Conservation and Sustainable Management of Living Natural Resources. https://www.ebrd.com/environment/pdf-guidance-note-ebrd-performance-requirement-6.pdf</w:t>
      </w:r>
    </w:p>
  </w:footnote>
  <w:footnote w:id="93">
    <w:p w14:paraId="0907CF44" w14:textId="77777777"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Distribution maps for species of amphibians and reptiles are taken from the national red list assessment (</w:t>
      </w:r>
      <w:hyperlink r:id="rId5" w:history="1">
        <w:r w:rsidRPr="007A3354">
          <w:rPr>
            <w:rStyle w:val="Hyperlink"/>
            <w:rFonts w:ascii="Tahoma" w:hAnsi="Tahoma" w:cs="Tahoma"/>
            <w:sz w:val="18"/>
            <w:szCs w:val="18"/>
          </w:rPr>
          <w:t>http://redlist.moepp.gov.mk/</w:t>
        </w:r>
      </w:hyperlink>
      <w:r w:rsidRPr="007A3354">
        <w:rPr>
          <w:rFonts w:ascii="Tahoma" w:hAnsi="Tahoma" w:cs="Tahoma"/>
          <w:sz w:val="18"/>
          <w:szCs w:val="18"/>
        </w:rPr>
        <w:t xml:space="preserve">). </w:t>
      </w:r>
    </w:p>
  </w:footnote>
  <w:footnote w:id="94">
    <w:p w14:paraId="0BA7195B" w14:textId="77777777"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Distribution maps are taken from the following sources: lowland riparian vegetation from the Report: Mapping of ec</w:t>
      </w:r>
      <w:r w:rsidRPr="007A3354">
        <w:rPr>
          <w:rFonts w:ascii="Tahoma" w:hAnsi="Tahoma" w:cs="Tahoma"/>
          <w:sz w:val="18"/>
          <w:szCs w:val="18"/>
        </w:rPr>
        <w:t>o</w:t>
      </w:r>
      <w:r w:rsidRPr="007A3354">
        <w:rPr>
          <w:rFonts w:ascii="Tahoma" w:hAnsi="Tahoma" w:cs="Tahoma"/>
          <w:sz w:val="18"/>
          <w:szCs w:val="18"/>
        </w:rPr>
        <w:t xml:space="preserve">systems and assessment of their condition (Nature Conservation Programme in North Macedonia); bird species from The European Breeding Bird Atlas – EBBA2 (https://ebba2.info/maps/). </w:t>
      </w:r>
    </w:p>
  </w:footnote>
  <w:footnote w:id="95">
    <w:p w14:paraId="24846DA2" w14:textId="77777777"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Velevski, M., Hallmann, B., Grubač, B., Lisičanec, T., Stoynov, E., Lisičanec, E., … &amp; Stumberger, B. (2010). Important bird areas in Macedonia: Sites of global and European importance. Acrocephalus, 31(147), 181-282.</w:t>
      </w:r>
    </w:p>
  </w:footnote>
  <w:footnote w:id="96">
    <w:p w14:paraId="2D380570" w14:textId="77777777"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Guidance Note 6: Biodiversity Conservation and Sustainable Management of Living Natural Resources (v. January 1, 2020)</w:t>
      </w:r>
    </w:p>
  </w:footnote>
  <w:footnote w:id="97">
    <w:p w14:paraId="59355A46" w14:textId="77777777"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Nature Conservation Programme in North Macedonia – phase 2</w:t>
      </w:r>
    </w:p>
  </w:footnote>
  <w:footnote w:id="98">
    <w:p w14:paraId="0F2E8B50" w14:textId="420EB3D9" w:rsidR="00AB2D8F" w:rsidRPr="007A3354" w:rsidRDefault="00AB2D8F" w:rsidP="007A3354">
      <w:pPr>
        <w:spacing w:before="60" w:after="0" w:line="240" w:lineRule="auto"/>
        <w:jc w:val="left"/>
        <w:rPr>
          <w:rFonts w:cs="Tahoma"/>
          <w:sz w:val="18"/>
          <w:szCs w:val="18"/>
          <w:lang w:val="mk-MK"/>
        </w:rPr>
      </w:pPr>
      <w:r w:rsidRPr="007A3354">
        <w:rPr>
          <w:rStyle w:val="FootnoteReference"/>
          <w:rFonts w:cs="Tahoma"/>
          <w:sz w:val="18"/>
          <w:szCs w:val="18"/>
        </w:rPr>
        <w:footnoteRef/>
      </w:r>
      <w:r w:rsidRPr="007A3354">
        <w:rPr>
          <w:rFonts w:cs="Tahoma"/>
          <w:sz w:val="18"/>
          <w:szCs w:val="18"/>
        </w:rPr>
        <w:t xml:space="preserve"> National Institution Institute for Protection of Cultural Monuments an</w:t>
      </w:r>
      <w:r w:rsidRPr="007A3354">
        <w:rPr>
          <w:rFonts w:cs="Tahoma"/>
          <w:sz w:val="18"/>
          <w:szCs w:val="18"/>
          <w:lang w:val="mk-MK"/>
        </w:rPr>
        <w:t xml:space="preserve">д </w:t>
      </w:r>
      <w:r w:rsidRPr="007A3354">
        <w:rPr>
          <w:rFonts w:cs="Tahoma"/>
          <w:sz w:val="18"/>
          <w:szCs w:val="18"/>
        </w:rPr>
        <w:t>Museum - Strumica (‘</w:t>
      </w:r>
      <w:r w:rsidRPr="007A3354">
        <w:rPr>
          <w:rFonts w:cs="Tahoma"/>
          <w:sz w:val="18"/>
          <w:szCs w:val="18"/>
          <w:lang w:val="mk-MK"/>
        </w:rPr>
        <w:t>НУ Завод за заштита на спомениците на културата и Музеј - Струмица</w:t>
      </w:r>
      <w:r w:rsidRPr="007A3354">
        <w:rPr>
          <w:rFonts w:cs="Tahoma"/>
          <w:sz w:val="18"/>
          <w:szCs w:val="18"/>
          <w:lang w:val="en-US"/>
        </w:rPr>
        <w:t>’</w:t>
      </w:r>
      <w:r w:rsidRPr="007A3354">
        <w:rPr>
          <w:rFonts w:cs="Tahoma"/>
          <w:sz w:val="18"/>
          <w:szCs w:val="18"/>
          <w:lang w:val="mk-MK"/>
        </w:rPr>
        <w:t>)</w:t>
      </w:r>
      <w:r w:rsidRPr="007A3354">
        <w:rPr>
          <w:rFonts w:cs="Tahoma"/>
          <w:sz w:val="18"/>
          <w:szCs w:val="18"/>
        </w:rPr>
        <w:t xml:space="preserve"> and National Museum of Gevgelija (</w:t>
      </w:r>
      <w:r w:rsidRPr="007A3354">
        <w:rPr>
          <w:rFonts w:cs="Tahoma"/>
          <w:sz w:val="18"/>
          <w:szCs w:val="18"/>
          <w:lang w:val="mk-MK"/>
        </w:rPr>
        <w:t>Национален музеј Гевгелија)</w:t>
      </w:r>
    </w:p>
  </w:footnote>
  <w:footnote w:id="99">
    <w:p w14:paraId="122A357B" w14:textId="77777777" w:rsidR="00AB2D8F" w:rsidRPr="007A3354" w:rsidRDefault="00AB2D8F" w:rsidP="007A3354">
      <w:pPr>
        <w:pStyle w:val="FootnoteText"/>
        <w:spacing w:before="60" w:line="240" w:lineRule="auto"/>
        <w:rPr>
          <w:rFonts w:ascii="Tahoma" w:hAnsi="Tahoma" w:cs="Tahoma"/>
          <w:sz w:val="18"/>
          <w:szCs w:val="18"/>
          <w:lang w:val="mk-MK"/>
        </w:rPr>
      </w:pPr>
      <w:r w:rsidRPr="007A3354">
        <w:rPr>
          <w:rStyle w:val="FootnoteReference"/>
          <w:rFonts w:ascii="Tahoma" w:hAnsi="Tahoma" w:cs="Tahoma"/>
          <w:sz w:val="18"/>
          <w:szCs w:val="18"/>
        </w:rPr>
        <w:footnoteRef/>
      </w:r>
      <w:r w:rsidRPr="007A3354">
        <w:rPr>
          <w:rFonts w:ascii="Tahoma" w:hAnsi="Tahoma" w:cs="Tahoma"/>
          <w:sz w:val="18"/>
          <w:szCs w:val="18"/>
          <w:lang w:val="de-DE"/>
        </w:rPr>
        <w:t xml:space="preserve"> </w:t>
      </w:r>
      <w:hyperlink r:id="rId6" w:history="1">
        <w:r w:rsidRPr="007A3354">
          <w:rPr>
            <w:rStyle w:val="Hyperlink"/>
            <w:rFonts w:ascii="Tahoma" w:hAnsi="Tahoma" w:cs="Tahoma"/>
            <w:color w:val="auto"/>
            <w:sz w:val="18"/>
            <w:szCs w:val="18"/>
            <w:u w:val="none"/>
            <w:lang w:val="de-DE"/>
          </w:rPr>
          <w:t>http://kultura.gov.mk/wp-content/uploads/2020/10/</w:t>
        </w:r>
      </w:hyperlink>
      <w:r w:rsidRPr="007A3354">
        <w:rPr>
          <w:rFonts w:ascii="Tahoma" w:hAnsi="Tahoma" w:cs="Tahoma"/>
          <w:sz w:val="18"/>
          <w:szCs w:val="18"/>
          <w:lang w:val="de-DE"/>
        </w:rPr>
        <w:t xml:space="preserve"> NACIONALEN_REGISTAR_NA_OBJEKTI_KOI_SE_ZASTITENO_KULT_NASLEDSTVO_31122012-3-1.doc</w:t>
      </w:r>
    </w:p>
  </w:footnote>
  <w:footnote w:id="100">
    <w:p w14:paraId="46FC9EC8" w14:textId="77777777" w:rsidR="00AB2D8F" w:rsidRPr="007A3354" w:rsidRDefault="00AB2D8F" w:rsidP="007A3354">
      <w:pPr>
        <w:pStyle w:val="FootnoteText"/>
        <w:spacing w:before="60" w:line="240" w:lineRule="auto"/>
        <w:rPr>
          <w:rFonts w:ascii="Tahoma" w:hAnsi="Tahoma" w:cs="Tahoma"/>
          <w:sz w:val="18"/>
          <w:szCs w:val="18"/>
          <w:lang w:val="mk-MK"/>
        </w:rPr>
      </w:pPr>
      <w:r w:rsidRPr="007A3354">
        <w:rPr>
          <w:rStyle w:val="FootnoteReference"/>
          <w:rFonts w:ascii="Tahoma" w:hAnsi="Tahoma" w:cs="Tahoma"/>
          <w:sz w:val="18"/>
          <w:szCs w:val="18"/>
        </w:rPr>
        <w:footnoteRef/>
      </w:r>
      <w:r w:rsidRPr="007A3354">
        <w:rPr>
          <w:rFonts w:ascii="Tahoma" w:hAnsi="Tahoma" w:cs="Tahoma"/>
          <w:sz w:val="18"/>
          <w:szCs w:val="18"/>
          <w:lang w:val="mk-MK"/>
        </w:rPr>
        <w:t xml:space="preserve"> https://www.wcrp-climate.org/wgcm-cmip/wgcm-cmip6</w:t>
      </w:r>
    </w:p>
  </w:footnote>
  <w:footnote w:id="101">
    <w:p w14:paraId="64642CF4" w14:textId="77777777" w:rsidR="00AB2D8F" w:rsidRPr="007A3354" w:rsidRDefault="00AB2D8F" w:rsidP="007A3354">
      <w:pPr>
        <w:pStyle w:val="FootnoteText"/>
        <w:spacing w:before="60" w:line="240" w:lineRule="auto"/>
        <w:rPr>
          <w:rFonts w:ascii="Tahoma" w:hAnsi="Tahoma" w:cs="Tahoma"/>
          <w:sz w:val="18"/>
          <w:szCs w:val="18"/>
          <w:lang w:val="mk-MK"/>
        </w:rPr>
      </w:pPr>
      <w:r w:rsidRPr="007A3354">
        <w:rPr>
          <w:rStyle w:val="FootnoteReference"/>
          <w:rFonts w:ascii="Tahoma" w:hAnsi="Tahoma" w:cs="Tahoma"/>
          <w:sz w:val="18"/>
          <w:szCs w:val="18"/>
        </w:rPr>
        <w:footnoteRef/>
      </w:r>
      <w:r w:rsidRPr="007A3354">
        <w:rPr>
          <w:rFonts w:ascii="Tahoma" w:hAnsi="Tahoma" w:cs="Tahoma"/>
          <w:sz w:val="18"/>
          <w:szCs w:val="18"/>
          <w:lang w:val="mk-MK"/>
        </w:rPr>
        <w:t xml:space="preserve"> https://www.ipcc.ch/assessment-report/ar6/</w:t>
      </w:r>
    </w:p>
  </w:footnote>
  <w:footnote w:id="102">
    <w:p w14:paraId="4EE95CA3" w14:textId="77777777"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eastAsiaTheme="majorEastAsia" w:hAnsi="Tahoma" w:cs="Tahoma"/>
          <w:sz w:val="18"/>
          <w:szCs w:val="18"/>
        </w:rPr>
        <w:footnoteRef/>
      </w:r>
      <w:r w:rsidRPr="007A3354">
        <w:rPr>
          <w:rFonts w:ascii="Tahoma" w:hAnsi="Tahoma" w:cs="Tahoma"/>
          <w:sz w:val="18"/>
          <w:szCs w:val="18"/>
          <w:vertAlign w:val="superscript"/>
        </w:rPr>
        <w:t>)</w:t>
      </w:r>
      <w:r w:rsidRPr="007A3354">
        <w:rPr>
          <w:rFonts w:ascii="Tahoma" w:hAnsi="Tahoma" w:cs="Tahoma"/>
          <w:sz w:val="18"/>
          <w:szCs w:val="18"/>
        </w:rPr>
        <w:t xml:space="preserve"> Source: IPCC Fifth Assessment Report (AR5)</w:t>
      </w:r>
    </w:p>
  </w:footnote>
  <w:footnote w:id="103">
    <w:p w14:paraId="5F6C14EF" w14:textId="4BEA4BD8"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vertAlign w:val="superscript"/>
        </w:rPr>
        <w:t>)</w:t>
      </w:r>
      <w:r w:rsidRPr="007A3354">
        <w:rPr>
          <w:rFonts w:ascii="Tahoma" w:hAnsi="Tahoma" w:cs="Tahoma"/>
          <w:sz w:val="18"/>
          <w:szCs w:val="18"/>
        </w:rPr>
        <w:t xml:space="preserve"> For more details see: Rulebook for Construction of Overhead Lines with rated Voltage from 1 kV to 400 kV (Official Gazette of RM no.25, from 1.2.2019)</w:t>
      </w:r>
    </w:p>
  </w:footnote>
  <w:footnote w:id="104">
    <w:p w14:paraId="24442718" w14:textId="11A3EFE6"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vertAlign w:val="superscript"/>
        </w:rPr>
        <w:t>)</w:t>
      </w:r>
      <w:r w:rsidRPr="007A3354">
        <w:rPr>
          <w:rFonts w:ascii="Tahoma" w:hAnsi="Tahoma" w:cs="Tahoma"/>
          <w:sz w:val="18"/>
          <w:szCs w:val="18"/>
        </w:rPr>
        <w:t xml:space="preserve"> For more details see: Rulebook for Construction of Overhead Lines with rated Voltage from 1 kV to 400 kV (Official Gazette of RM no.25, from 1.2.2019)</w:t>
      </w:r>
    </w:p>
  </w:footnote>
  <w:footnote w:id="105">
    <w:p w14:paraId="633AF3AF" w14:textId="1C63F116"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shd w:val="clear" w:color="auto" w:fill="FFFFFF"/>
        </w:rPr>
        <w:t>The</w:t>
      </w:r>
      <w:r w:rsidRPr="007A3354">
        <w:rPr>
          <w:rStyle w:val="apple-converted-space"/>
          <w:rFonts w:ascii="Tahoma" w:hAnsi="Tahoma" w:cs="Tahoma"/>
          <w:sz w:val="18"/>
          <w:szCs w:val="18"/>
          <w:shd w:val="clear" w:color="auto" w:fill="FFFFFF"/>
        </w:rPr>
        <w:t> </w:t>
      </w:r>
      <w:r w:rsidRPr="007A3354">
        <w:rPr>
          <w:rFonts w:ascii="Tahoma" w:hAnsi="Tahoma" w:cs="Tahoma"/>
          <w:bCs/>
          <w:sz w:val="18"/>
          <w:szCs w:val="18"/>
          <w:shd w:val="clear" w:color="auto" w:fill="FFFFFF"/>
        </w:rPr>
        <w:t>Beaufort wind scale</w:t>
      </w:r>
      <w:r w:rsidRPr="007A3354">
        <w:rPr>
          <w:rStyle w:val="apple-converted-space"/>
          <w:rFonts w:ascii="Tahoma" w:hAnsi="Tahoma" w:cs="Tahoma"/>
          <w:sz w:val="18"/>
          <w:szCs w:val="18"/>
          <w:shd w:val="clear" w:color="auto" w:fill="FFFFFF"/>
        </w:rPr>
        <w:t> </w:t>
      </w:r>
      <w:r w:rsidRPr="007A3354">
        <w:rPr>
          <w:rFonts w:ascii="Tahoma" w:hAnsi="Tahoma" w:cs="Tahoma"/>
          <w:sz w:val="18"/>
          <w:szCs w:val="18"/>
          <w:shd w:val="clear" w:color="auto" w:fill="FFFFFF"/>
        </w:rPr>
        <w:t>is a standard scale, running from force 0 for calm to force 12 for hurricane and above for description of</w:t>
      </w:r>
      <w:r w:rsidRPr="007A3354">
        <w:rPr>
          <w:rStyle w:val="apple-converted-space"/>
          <w:rFonts w:ascii="Tahoma" w:hAnsi="Tahoma" w:cs="Tahoma"/>
          <w:sz w:val="18"/>
          <w:szCs w:val="18"/>
          <w:shd w:val="clear" w:color="auto" w:fill="FFFFFF"/>
        </w:rPr>
        <w:t> </w:t>
      </w:r>
      <w:hyperlink r:id="rId7" w:tgtFrame="_top" w:history="1">
        <w:r w:rsidRPr="007A3354">
          <w:rPr>
            <w:rStyle w:val="Hyperlink"/>
            <w:rFonts w:ascii="Tahoma" w:hAnsi="Tahoma" w:cs="Tahoma"/>
            <w:bCs/>
            <w:color w:val="auto"/>
            <w:sz w:val="18"/>
            <w:szCs w:val="18"/>
            <w:u w:val="none"/>
            <w:shd w:val="clear" w:color="auto" w:fill="FFFFFF"/>
          </w:rPr>
          <w:t>wind speed</w:t>
        </w:r>
      </w:hyperlink>
      <w:r w:rsidRPr="007A3354">
        <w:rPr>
          <w:rFonts w:ascii="Tahoma" w:hAnsi="Tahoma" w:cs="Tahoma"/>
          <w:sz w:val="18"/>
          <w:szCs w:val="18"/>
          <w:shd w:val="clear" w:color="auto" w:fill="FFFFFF"/>
        </w:rPr>
        <w:t>. Each value represents a specific range and classification of wind speeds with accompanying descriptions of the effects on surface features. It was originally developed as a system for estimating wind strengths without the use of instruments.</w:t>
      </w:r>
    </w:p>
  </w:footnote>
  <w:footnote w:id="106">
    <w:p w14:paraId="659C83B5" w14:textId="639A3009"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bCs/>
          <w:sz w:val="18"/>
          <w:szCs w:val="18"/>
          <w:lang w:val="en-US"/>
        </w:rPr>
        <w:t>Transient outage:</w:t>
      </w:r>
      <w:r w:rsidRPr="007A3354">
        <w:rPr>
          <w:rFonts w:ascii="Tahoma" w:hAnsi="Tahoma" w:cs="Tahoma"/>
          <w:sz w:val="18"/>
          <w:szCs w:val="18"/>
          <w:lang w:val="en-US"/>
        </w:rPr>
        <w:t xml:space="preserve"> forced outage where the affected item is automatically restored to service within a specified time interval (Source: International Electrotechnical Commision (IEC), Electortechnical Vocabulary Ref.191-24-05))</w:t>
      </w:r>
    </w:p>
  </w:footnote>
  <w:footnote w:id="107">
    <w:p w14:paraId="4075953D" w14:textId="30430D7B"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For more details see: Rulebook for Construction of Overhead Lines with rated Voltage from 1 kV to 400 kV (Official Gazette of RM no.25, from 1.2.2019)</w:t>
      </w:r>
    </w:p>
  </w:footnote>
  <w:footnote w:id="108">
    <w:p w14:paraId="79EB20DF" w14:textId="36E51C48" w:rsidR="00AB2D8F" w:rsidRPr="007A3354" w:rsidRDefault="00AB2D8F" w:rsidP="007A3354">
      <w:pPr>
        <w:autoSpaceDE w:val="0"/>
        <w:autoSpaceDN w:val="0"/>
        <w:adjustRightInd w:val="0"/>
        <w:spacing w:before="60" w:after="0" w:line="240" w:lineRule="auto"/>
        <w:rPr>
          <w:rFonts w:cs="Tahoma"/>
          <w:bCs/>
          <w:sz w:val="18"/>
          <w:szCs w:val="18"/>
        </w:rPr>
      </w:pPr>
      <w:r w:rsidRPr="007A3354">
        <w:rPr>
          <w:rStyle w:val="FootnoteReference"/>
          <w:rFonts w:cs="Tahoma"/>
          <w:sz w:val="18"/>
          <w:szCs w:val="18"/>
        </w:rPr>
        <w:footnoteRef/>
      </w:r>
      <w:r w:rsidRPr="007A3354">
        <w:rPr>
          <w:rFonts w:cs="Tahoma"/>
          <w:sz w:val="18"/>
          <w:szCs w:val="18"/>
          <w:vertAlign w:val="superscript"/>
        </w:rPr>
        <w:t xml:space="preserve"> </w:t>
      </w:r>
      <w:r w:rsidRPr="007A3354">
        <w:rPr>
          <w:rFonts w:cs="Tahoma"/>
          <w:sz w:val="18"/>
          <w:szCs w:val="18"/>
        </w:rPr>
        <w:t xml:space="preserve">For details see: </w:t>
      </w:r>
      <w:r w:rsidRPr="007A3354">
        <w:rPr>
          <w:rFonts w:cs="Tahoma"/>
          <w:bCs/>
          <w:sz w:val="18"/>
          <w:szCs w:val="18"/>
          <w:lang w:val="en-US"/>
        </w:rPr>
        <w:t>IEEE Guide for Direct Lightning Stroke Shielding of Substations</w:t>
      </w:r>
      <w:r w:rsidRPr="007A3354">
        <w:rPr>
          <w:rFonts w:cs="Tahoma"/>
          <w:bCs/>
          <w:sz w:val="18"/>
          <w:szCs w:val="18"/>
        </w:rPr>
        <w:t xml:space="preserve">; </w:t>
      </w:r>
      <w:r w:rsidRPr="007A3354">
        <w:rPr>
          <w:rFonts w:cs="Tahoma"/>
          <w:sz w:val="18"/>
          <w:szCs w:val="18"/>
        </w:rPr>
        <w:t xml:space="preserve">Institute of Electrical and Electronics Engineers(IEEE) - </w:t>
      </w:r>
      <w:r w:rsidRPr="007A3354">
        <w:rPr>
          <w:rFonts w:cs="Tahoma"/>
          <w:bCs/>
          <w:sz w:val="18"/>
          <w:szCs w:val="18"/>
        </w:rPr>
        <w:t>Substations Committee of the IEEE Power Engineering Society, 1996 (</w:t>
      </w:r>
      <w:r w:rsidRPr="007A3354">
        <w:rPr>
          <w:rFonts w:cs="Tahoma"/>
          <w:bCs/>
          <w:sz w:val="18"/>
          <w:szCs w:val="18"/>
          <w:shd w:val="clear" w:color="auto" w:fill="FFFFFF"/>
        </w:rPr>
        <w:t>ieee</w:t>
      </w:r>
      <w:r w:rsidRPr="007A3354">
        <w:rPr>
          <w:rFonts w:cs="Tahoma"/>
          <w:sz w:val="18"/>
          <w:szCs w:val="18"/>
          <w:shd w:val="clear" w:color="auto" w:fill="FFFFFF"/>
        </w:rPr>
        <w:t>xplore.</w:t>
      </w:r>
      <w:r w:rsidRPr="007A3354">
        <w:rPr>
          <w:rFonts w:cs="Tahoma"/>
          <w:bCs/>
          <w:sz w:val="18"/>
          <w:szCs w:val="18"/>
          <w:shd w:val="clear" w:color="auto" w:fill="FFFFFF"/>
        </w:rPr>
        <w:t>ieee</w:t>
      </w:r>
      <w:r w:rsidRPr="007A3354">
        <w:rPr>
          <w:rFonts w:cs="Tahoma"/>
          <w:sz w:val="18"/>
          <w:szCs w:val="18"/>
          <w:shd w:val="clear" w:color="auto" w:fill="FFFFFF"/>
        </w:rPr>
        <w:t>.org)</w:t>
      </w:r>
    </w:p>
  </w:footnote>
  <w:footnote w:id="109">
    <w:p w14:paraId="6572B01B" w14:textId="00083B00" w:rsidR="00AB2D8F" w:rsidRPr="007A3354" w:rsidRDefault="00AB2D8F" w:rsidP="007A3354">
      <w:pPr>
        <w:pStyle w:val="title-doc-first"/>
        <w:shd w:val="clear" w:color="auto" w:fill="FFFFFF"/>
        <w:spacing w:before="60" w:beforeAutospacing="0" w:after="0" w:afterAutospacing="0"/>
        <w:rPr>
          <w:rFonts w:ascii="Tahoma" w:eastAsia="Arial Unicode MS" w:hAnsi="Tahoma" w:cs="Tahoma"/>
          <w:bCs/>
          <w:sz w:val="18"/>
          <w:szCs w:val="18"/>
        </w:rPr>
      </w:pPr>
      <w:r w:rsidRPr="007A3354">
        <w:rPr>
          <w:rStyle w:val="FootnoteReference"/>
          <w:rFonts w:ascii="Tahoma" w:hAnsi="Tahoma" w:cs="Tahoma"/>
          <w:sz w:val="18"/>
          <w:szCs w:val="18"/>
        </w:rPr>
        <w:footnoteRef/>
      </w:r>
      <w:r w:rsidRPr="007A3354">
        <w:rPr>
          <w:rFonts w:ascii="Tahoma" w:eastAsia="Arial Unicode MS" w:hAnsi="Tahoma" w:cs="Tahoma"/>
          <w:bCs/>
          <w:sz w:val="18"/>
          <w:szCs w:val="18"/>
        </w:rPr>
        <w:t xml:space="preserve"> DIRECTIVE 2000/14/EC OF THE EUROPEAN PARLIAMENT AND OF THE COUNCIL of 8 May 2000 </w:t>
      </w:r>
      <w:r w:rsidRPr="007A3354">
        <w:rPr>
          <w:rFonts w:ascii="Tahoma" w:eastAsia="Arial Unicode MS" w:hAnsi="Tahoma" w:cs="Tahoma"/>
          <w:sz w:val="18"/>
          <w:szCs w:val="18"/>
          <w:shd w:val="clear" w:color="auto" w:fill="FFFFFF"/>
        </w:rPr>
        <w:t>on the approxim</w:t>
      </w:r>
      <w:r w:rsidRPr="007A3354">
        <w:rPr>
          <w:rFonts w:ascii="Tahoma" w:eastAsia="Arial Unicode MS" w:hAnsi="Tahoma" w:cs="Tahoma"/>
          <w:sz w:val="18"/>
          <w:szCs w:val="18"/>
          <w:shd w:val="clear" w:color="auto" w:fill="FFFFFF"/>
        </w:rPr>
        <w:t>a</w:t>
      </w:r>
      <w:r w:rsidRPr="007A3354">
        <w:rPr>
          <w:rFonts w:ascii="Tahoma" w:eastAsia="Arial Unicode MS" w:hAnsi="Tahoma" w:cs="Tahoma"/>
          <w:sz w:val="18"/>
          <w:szCs w:val="18"/>
          <w:shd w:val="clear" w:color="auto" w:fill="FFFFFF"/>
        </w:rPr>
        <w:t>tion of the laws of the Member States relating to the noise emission in the environment by equipment for use outdoors</w:t>
      </w:r>
    </w:p>
  </w:footnote>
  <w:footnote w:id="110">
    <w:p w14:paraId="34608B49" w14:textId="75854400"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lang w:val="en-US"/>
        </w:rPr>
        <w:t xml:space="preserve"> </w:t>
      </w:r>
      <w:r w:rsidRPr="007A3354">
        <w:rPr>
          <w:rFonts w:ascii="Tahoma" w:hAnsi="Tahoma" w:cs="Tahoma"/>
          <w:sz w:val="18"/>
          <w:szCs w:val="18"/>
        </w:rPr>
        <w:t>Rulebook for Construction of Overhead Lines with rated Voltage from 1 kV to 400 kV (Official Gazette of RM no.25, from 1.2.2019)</w:t>
      </w:r>
    </w:p>
  </w:footnote>
  <w:footnote w:id="111">
    <w:p w14:paraId="40483036" w14:textId="02620EA3"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MEPSO Grid Code (2019) [Ref.7]</w:t>
      </w:r>
    </w:p>
  </w:footnote>
  <w:footnote w:id="112">
    <w:p w14:paraId="7DDBA65C" w14:textId="4EE7D0DF"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iCs/>
          <w:sz w:val="18"/>
          <w:szCs w:val="18"/>
        </w:rPr>
        <w:t xml:space="preserve"> </w:t>
      </w:r>
      <w:r w:rsidRPr="007A3354">
        <w:rPr>
          <w:rFonts w:ascii="Tahoma" w:hAnsi="Tahoma" w:cs="Tahoma"/>
          <w:sz w:val="18"/>
          <w:szCs w:val="18"/>
        </w:rPr>
        <w:t>Rulebook on the types of specific noise sources as well as the requirements to be met by installations, equipment, installations and devices used outdoors for noise emission and noise protection standards (Official Gazette of RM no. 142/13)</w:t>
      </w:r>
    </w:p>
  </w:footnote>
  <w:footnote w:id="113">
    <w:p w14:paraId="3FD0A84B" w14:textId="4D3C2E66" w:rsidR="00AB2D8F" w:rsidRPr="007A3354" w:rsidRDefault="00AB2D8F" w:rsidP="007A3354">
      <w:pPr>
        <w:pStyle w:val="title-doc-first"/>
        <w:shd w:val="clear" w:color="auto" w:fill="FFFFFF"/>
        <w:spacing w:before="60" w:beforeAutospacing="0" w:after="0" w:afterAutospacing="0"/>
        <w:rPr>
          <w:rFonts w:ascii="Tahoma" w:eastAsia="Arial Unicode MS" w:hAnsi="Tahoma" w:cs="Tahoma"/>
          <w:bCs/>
          <w:sz w:val="18"/>
          <w:szCs w:val="18"/>
        </w:rPr>
      </w:pPr>
      <w:r w:rsidRPr="007A3354">
        <w:rPr>
          <w:rStyle w:val="FootnoteReference"/>
          <w:rFonts w:ascii="Tahoma" w:hAnsi="Tahoma" w:cs="Tahoma"/>
          <w:sz w:val="18"/>
          <w:szCs w:val="18"/>
        </w:rPr>
        <w:footnoteRef/>
      </w:r>
      <w:r w:rsidRPr="007A3354">
        <w:rPr>
          <w:rFonts w:ascii="Tahoma" w:eastAsia="Arial Unicode MS" w:hAnsi="Tahoma" w:cs="Tahoma"/>
          <w:bCs/>
          <w:sz w:val="18"/>
          <w:szCs w:val="18"/>
        </w:rPr>
        <w:t xml:space="preserve"> DIRECTIVE 2000/14/EC OF THE EUROPEAN PARLIAMENT AND OF THE COUNCIL of 8 May 2000 </w:t>
      </w:r>
      <w:r w:rsidRPr="007A3354">
        <w:rPr>
          <w:rFonts w:ascii="Tahoma" w:eastAsia="Arial Unicode MS" w:hAnsi="Tahoma" w:cs="Tahoma"/>
          <w:sz w:val="18"/>
          <w:szCs w:val="18"/>
          <w:shd w:val="clear" w:color="auto" w:fill="FFFFFF"/>
        </w:rPr>
        <w:t>on the approxim</w:t>
      </w:r>
      <w:r w:rsidRPr="007A3354">
        <w:rPr>
          <w:rFonts w:ascii="Tahoma" w:eastAsia="Arial Unicode MS" w:hAnsi="Tahoma" w:cs="Tahoma"/>
          <w:sz w:val="18"/>
          <w:szCs w:val="18"/>
          <w:shd w:val="clear" w:color="auto" w:fill="FFFFFF"/>
        </w:rPr>
        <w:t>a</w:t>
      </w:r>
      <w:r w:rsidRPr="007A3354">
        <w:rPr>
          <w:rFonts w:ascii="Tahoma" w:eastAsia="Arial Unicode MS" w:hAnsi="Tahoma" w:cs="Tahoma"/>
          <w:sz w:val="18"/>
          <w:szCs w:val="18"/>
          <w:shd w:val="clear" w:color="auto" w:fill="FFFFFF"/>
        </w:rPr>
        <w:t>tion of the laws of the Member States relating to the noise emission in the environment by equipment for use outdoors</w:t>
      </w:r>
    </w:p>
  </w:footnote>
  <w:footnote w:id="114">
    <w:p w14:paraId="51A1A7E8"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lang w:val="en-US"/>
        </w:rPr>
        <w:t xml:space="preserve"> </w:t>
      </w:r>
      <w:r w:rsidRPr="007A3354">
        <w:rPr>
          <w:rFonts w:ascii="Tahoma" w:hAnsi="Tahoma" w:cs="Tahoma"/>
          <w:sz w:val="18"/>
          <w:szCs w:val="18"/>
        </w:rPr>
        <w:t>Rulebook for Construction of Overhead Lines with rated Voltage from 1 kV to 400 kV (Official Gazette of RM no.25, from 1.2.2019)</w:t>
      </w:r>
    </w:p>
  </w:footnote>
  <w:footnote w:id="115">
    <w:p w14:paraId="41B33F15"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MEPSO Grid Code (2019) [Ref.7]</w:t>
      </w:r>
    </w:p>
  </w:footnote>
  <w:footnote w:id="116">
    <w:p w14:paraId="3CB9963F" w14:textId="5FDF590F"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lang w:val="en-US"/>
        </w:rPr>
        <w:t xml:space="preserve"> </w:t>
      </w:r>
      <w:r w:rsidRPr="007A3354">
        <w:rPr>
          <w:rFonts w:ascii="Tahoma" w:hAnsi="Tahoma" w:cs="Tahoma"/>
          <w:sz w:val="18"/>
          <w:szCs w:val="18"/>
        </w:rPr>
        <w:t>Rulebook for Construction of Overhead Lines with rated Voltage from 1 kV to 400 kV (Official Gazette of RM no.25, from 1.2.2019)</w:t>
      </w:r>
    </w:p>
  </w:footnote>
  <w:footnote w:id="117">
    <w:p w14:paraId="29FA4A7C" w14:textId="31348796"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lang w:val="en-US"/>
        </w:rPr>
        <w:t xml:space="preserve"> </w:t>
      </w:r>
      <w:r w:rsidRPr="007A3354">
        <w:rPr>
          <w:rFonts w:ascii="Tahoma" w:hAnsi="Tahoma" w:cs="Tahoma"/>
          <w:sz w:val="18"/>
          <w:szCs w:val="18"/>
        </w:rPr>
        <w:t>MEPSO’s Grid Code (2019) [Ref.7]</w:t>
      </w:r>
    </w:p>
  </w:footnote>
  <w:footnote w:id="118">
    <w:p w14:paraId="20B7D154" w14:textId="11A5332D" w:rsidR="00AB2D8F" w:rsidRPr="007A3354" w:rsidRDefault="00AB2D8F" w:rsidP="007A3354">
      <w:pPr>
        <w:autoSpaceDE w:val="0"/>
        <w:autoSpaceDN w:val="0"/>
        <w:adjustRightInd w:val="0"/>
        <w:spacing w:before="60" w:after="0" w:line="240" w:lineRule="auto"/>
        <w:jc w:val="left"/>
        <w:rPr>
          <w:rFonts w:cs="Tahoma"/>
          <w:sz w:val="18"/>
          <w:szCs w:val="18"/>
          <w:lang w:val="en-US" w:eastAsia="en-US"/>
        </w:rPr>
      </w:pPr>
      <w:r w:rsidRPr="007A3354">
        <w:rPr>
          <w:rStyle w:val="FootnoteReference"/>
          <w:rFonts w:cs="Tahoma"/>
          <w:sz w:val="18"/>
          <w:szCs w:val="18"/>
        </w:rPr>
        <w:footnoteRef/>
      </w:r>
      <w:r w:rsidRPr="007A3354">
        <w:rPr>
          <w:rFonts w:cs="Tahoma"/>
          <w:sz w:val="18"/>
          <w:szCs w:val="18"/>
        </w:rPr>
        <w:t xml:space="preserve"> </w:t>
      </w:r>
      <w:r w:rsidRPr="007A3354">
        <w:rPr>
          <w:rFonts w:cs="Tahoma"/>
          <w:sz w:val="18"/>
          <w:szCs w:val="18"/>
          <w:lang w:val="mk-MK" w:eastAsia="en-US"/>
        </w:rPr>
        <w:t>The approach to the assessment has considered the broadly related effects of the</w:t>
      </w:r>
      <w:r w:rsidRPr="007A3354">
        <w:rPr>
          <w:rFonts w:cs="Tahoma"/>
          <w:sz w:val="18"/>
          <w:szCs w:val="18"/>
          <w:lang w:val="en-US" w:eastAsia="en-US"/>
        </w:rPr>
        <w:t xml:space="preserve"> P</w:t>
      </w:r>
      <w:r w:rsidRPr="007A3354">
        <w:rPr>
          <w:rFonts w:cs="Tahoma"/>
          <w:sz w:val="18"/>
          <w:szCs w:val="18"/>
          <w:lang w:val="mk-MK" w:eastAsia="en-US"/>
        </w:rPr>
        <w:t>roject on the geological environment</w:t>
      </w:r>
      <w:r w:rsidRPr="007A3354">
        <w:rPr>
          <w:rFonts w:cs="Tahoma"/>
          <w:sz w:val="18"/>
          <w:szCs w:val="18"/>
          <w:lang w:val="en-US" w:eastAsia="en-US"/>
        </w:rPr>
        <w:t>, which for the context of this assessement includes: (1) geology and soils and (2) geotechnical and soil stability effects.</w:t>
      </w:r>
    </w:p>
  </w:footnote>
  <w:footnote w:id="119">
    <w:p w14:paraId="7DFE6D5F"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European Standards: EN 858-1:2002 and EN 858-2:2003 for the design, use, selection, installation, operation and maintenance of prefabricated oil separators</w:t>
      </w:r>
    </w:p>
  </w:footnote>
  <w:footnote w:id="120">
    <w:p w14:paraId="349868AC"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Rulebook on the conditions, manner and emission limit values for the discharge of waste water after their treatment, the manner of their calculation, taking into account the special requirements for protection of the protection zones (Off</w:t>
      </w:r>
      <w:r w:rsidRPr="007A3354">
        <w:rPr>
          <w:rFonts w:ascii="Tahoma" w:hAnsi="Tahoma" w:cs="Tahoma"/>
          <w:sz w:val="18"/>
          <w:szCs w:val="18"/>
        </w:rPr>
        <w:t>i</w:t>
      </w:r>
      <w:r w:rsidRPr="007A3354">
        <w:rPr>
          <w:rFonts w:ascii="Tahoma" w:hAnsi="Tahoma" w:cs="Tahoma"/>
          <w:sz w:val="18"/>
          <w:szCs w:val="18"/>
        </w:rPr>
        <w:t xml:space="preserve">cial Gazette of RM no. 81/11), prescribing </w:t>
      </w:r>
      <w:r w:rsidRPr="007A3354">
        <w:rPr>
          <w:rFonts w:ascii="Tahoma" w:hAnsi="Tahoma" w:cs="Tahoma"/>
          <w:sz w:val="18"/>
          <w:szCs w:val="18"/>
          <w:lang w:val="en-US"/>
        </w:rPr>
        <w:t>the limit values for discharge of wastewater in natural recipient, after their treatment in a wastewater treatment facility / plant.</w:t>
      </w:r>
    </w:p>
  </w:footnote>
  <w:footnote w:id="121">
    <w:p w14:paraId="4C04B319"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Council Directives 92/43/EEC on the conservation of natural habitats and of wild fauna and flora</w:t>
      </w:r>
    </w:p>
  </w:footnote>
  <w:footnote w:id="122">
    <w:p w14:paraId="6B579C06"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Council Directive 79/409/EEC on the conservation of wild birds</w:t>
      </w:r>
    </w:p>
  </w:footnote>
  <w:footnote w:id="123">
    <w:p w14:paraId="1B098499" w14:textId="77777777"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The Convention on the Conservation of European Wildlife and Natural Habitats – Bern Convention</w:t>
      </w:r>
    </w:p>
  </w:footnote>
  <w:footnote w:id="124">
    <w:p w14:paraId="6FA428A1" w14:textId="28938680"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At the present phase of the Project development it is impossible to calculate exact surfaces of the land that will be taken for the construction purposes. However, based on the technical requiremenst and the present technical asses</w:t>
      </w:r>
      <w:r w:rsidRPr="007A3354">
        <w:rPr>
          <w:rFonts w:ascii="Tahoma" w:hAnsi="Tahoma" w:cs="Tahoma"/>
          <w:sz w:val="18"/>
          <w:szCs w:val="18"/>
        </w:rPr>
        <w:t>s</w:t>
      </w:r>
      <w:r w:rsidRPr="007A3354">
        <w:rPr>
          <w:rFonts w:ascii="Tahoma" w:hAnsi="Tahoma" w:cs="Tahoma"/>
          <w:sz w:val="18"/>
          <w:szCs w:val="18"/>
        </w:rPr>
        <w:t>ment of the Projetc, it is approximated that the substation will cover 6 ha and footprint of the towers will be about 1500 m</w:t>
      </w:r>
      <w:r w:rsidRPr="007A3354">
        <w:rPr>
          <w:rFonts w:ascii="Tahoma" w:hAnsi="Tahoma" w:cs="Tahoma"/>
          <w:sz w:val="18"/>
          <w:szCs w:val="18"/>
          <w:vertAlign w:val="superscript"/>
        </w:rPr>
        <w:t>2</w:t>
      </w:r>
      <w:r w:rsidRPr="007A3354">
        <w:rPr>
          <w:rFonts w:ascii="Tahoma" w:hAnsi="Tahoma" w:cs="Tahoma"/>
          <w:sz w:val="18"/>
          <w:szCs w:val="18"/>
        </w:rPr>
        <w:t xml:space="preserve"> (cca 10 tower with average footprint of 150 m</w:t>
      </w:r>
      <w:r w:rsidRPr="007A3354">
        <w:rPr>
          <w:rFonts w:ascii="Tahoma" w:hAnsi="Tahoma" w:cs="Tahoma"/>
          <w:sz w:val="18"/>
          <w:szCs w:val="18"/>
          <w:vertAlign w:val="superscript"/>
        </w:rPr>
        <w:t>2</w:t>
      </w:r>
      <w:r w:rsidRPr="007A3354">
        <w:rPr>
          <w:rFonts w:ascii="Tahoma" w:hAnsi="Tahoma" w:cs="Tahoma"/>
          <w:sz w:val="18"/>
          <w:szCs w:val="18"/>
        </w:rPr>
        <w:t>).</w:t>
      </w:r>
    </w:p>
  </w:footnote>
  <w:footnote w:id="125">
    <w:p w14:paraId="059EE615" w14:textId="77777777"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Protecting birds from power lines focusing on countries of Danube/Carpathian region</w:t>
      </w:r>
    </w:p>
  </w:footnote>
  <w:footnote w:id="126">
    <w:p w14:paraId="3BED75CB" w14:textId="77777777" w:rsidR="00AB2D8F" w:rsidRPr="007A3354" w:rsidRDefault="00AB2D8F" w:rsidP="007A3354">
      <w:pPr>
        <w:pStyle w:val="FootnoteText"/>
        <w:spacing w:before="60" w:line="240" w:lineRule="auto"/>
        <w:rPr>
          <w:rStyle w:val="st1"/>
          <w:rFonts w:ascii="Tahoma" w:eastAsiaTheme="majorEastAsia" w:hAnsi="Tahoma" w:cs="Tahoma"/>
          <w:sz w:val="18"/>
          <w:szCs w:val="18"/>
        </w:rPr>
      </w:pPr>
      <w:r w:rsidRPr="007A3354">
        <w:rPr>
          <w:rStyle w:val="FootnoteReference"/>
          <w:rFonts w:ascii="Tahoma" w:hAnsi="Tahoma" w:cs="Tahoma"/>
          <w:sz w:val="18"/>
          <w:szCs w:val="18"/>
        </w:rPr>
        <w:footnoteRef/>
      </w:r>
      <w:r w:rsidRPr="007A3354">
        <w:rPr>
          <w:rStyle w:val="st1"/>
          <w:rFonts w:ascii="Tahoma" w:eastAsiaTheme="majorEastAsia" w:hAnsi="Tahoma" w:cs="Tahoma"/>
          <w:sz w:val="18"/>
          <w:szCs w:val="18"/>
        </w:rPr>
        <w:t xml:space="preserve"> Avian Power Line Interaction Committee (APLIC). 2012. Reducing Avian Collisions with Power Lines: The State</w:t>
      </w:r>
    </w:p>
    <w:p w14:paraId="1FCCAF23" w14:textId="77777777" w:rsidR="00AB2D8F" w:rsidRPr="007A3354" w:rsidRDefault="00AB2D8F" w:rsidP="007A3354">
      <w:pPr>
        <w:pStyle w:val="FootnoteText"/>
        <w:spacing w:before="60" w:line="240" w:lineRule="auto"/>
        <w:rPr>
          <w:rFonts w:ascii="Tahoma" w:hAnsi="Tahoma" w:cs="Tahoma"/>
          <w:sz w:val="18"/>
          <w:szCs w:val="18"/>
          <w:lang w:val="sr-Latn-CS"/>
        </w:rPr>
      </w:pPr>
      <w:r w:rsidRPr="007A3354">
        <w:rPr>
          <w:rStyle w:val="st1"/>
          <w:rFonts w:ascii="Tahoma" w:eastAsiaTheme="majorEastAsia" w:hAnsi="Tahoma" w:cs="Tahoma"/>
          <w:sz w:val="18"/>
          <w:szCs w:val="18"/>
        </w:rPr>
        <w:t>of the Art in 2012. Edison Electric Institute and APLIC. Washington, D.C. (www.aplic.org)</w:t>
      </w:r>
    </w:p>
  </w:footnote>
  <w:footnote w:id="127">
    <w:p w14:paraId="0A6782A6" w14:textId="77777777" w:rsidR="00AB2D8F" w:rsidRPr="007A3354" w:rsidRDefault="00AB2D8F" w:rsidP="007A3354">
      <w:pPr>
        <w:pStyle w:val="FootnoteText"/>
        <w:spacing w:before="60" w:line="240" w:lineRule="auto"/>
        <w:rPr>
          <w:rFonts w:ascii="Tahoma" w:hAnsi="Tahoma" w:cs="Tahoma"/>
          <w:sz w:val="18"/>
          <w:szCs w:val="18"/>
          <w:lang w:val="sr-Latn-CS"/>
        </w:rPr>
      </w:pPr>
      <w:r w:rsidRPr="007A3354">
        <w:rPr>
          <w:rStyle w:val="FootnoteReference"/>
          <w:rFonts w:ascii="Tahoma" w:hAnsi="Tahoma" w:cs="Tahoma"/>
          <w:sz w:val="18"/>
          <w:szCs w:val="18"/>
        </w:rPr>
        <w:footnoteRef/>
      </w:r>
      <w:r w:rsidRPr="007A3354">
        <w:rPr>
          <w:rFonts w:ascii="Tahoma" w:hAnsi="Tahoma" w:cs="Tahoma"/>
          <w:sz w:val="18"/>
          <w:szCs w:val="18"/>
          <w:lang w:val="sr-Latn-CS"/>
        </w:rPr>
        <w:t xml:space="preserve"> https://op.europa.eu/en/publication-detail/-/publication/82e2011b-be3e-11e9-9d01-01aa75ed71a1</w:t>
      </w:r>
    </w:p>
  </w:footnote>
  <w:footnote w:id="128">
    <w:p w14:paraId="400BBEDF"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shd w:val="clear" w:color="auto" w:fill="FFFFFF"/>
        </w:rPr>
        <w:t>European Commission, Directorate-General for Environment, </w:t>
      </w:r>
      <w:r w:rsidRPr="007A3354">
        <w:rPr>
          <w:rFonts w:ascii="Tahoma" w:hAnsi="Tahoma" w:cs="Tahoma"/>
          <w:iCs/>
          <w:sz w:val="18"/>
          <w:szCs w:val="18"/>
          <w:shd w:val="clear" w:color="auto" w:fill="FFFFFF"/>
        </w:rPr>
        <w:t>Guidance on energy transmission infrastructure and EU nature legislation</w:t>
      </w:r>
      <w:r w:rsidRPr="007A3354">
        <w:rPr>
          <w:rFonts w:ascii="Tahoma" w:hAnsi="Tahoma" w:cs="Tahoma"/>
          <w:sz w:val="18"/>
          <w:szCs w:val="18"/>
          <w:shd w:val="clear" w:color="auto" w:fill="FFFFFF"/>
        </w:rPr>
        <w:t>, Publications Office, 2019, </w:t>
      </w:r>
      <w:hyperlink r:id="rId8" w:tgtFrame="_blank" w:history="1">
        <w:r w:rsidRPr="007A3354">
          <w:rPr>
            <w:rStyle w:val="Hyperlink"/>
            <w:rFonts w:ascii="Tahoma" w:hAnsi="Tahoma" w:cs="Tahoma"/>
            <w:bCs/>
            <w:color w:val="auto"/>
            <w:sz w:val="18"/>
            <w:szCs w:val="18"/>
            <w:shd w:val="clear" w:color="auto" w:fill="FFFFFF"/>
          </w:rPr>
          <w:t>https://data.europa.eu/doi/10.2779/827210</w:t>
        </w:r>
      </w:hyperlink>
    </w:p>
  </w:footnote>
  <w:footnote w:id="129">
    <w:p w14:paraId="2614A3B9" w14:textId="77777777"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Raptor Protection of Slovakia (2019). </w:t>
      </w:r>
      <w:hyperlink r:id="rId9" w:history="1">
        <w:r w:rsidRPr="007A3354">
          <w:rPr>
            <w:rStyle w:val="Hyperlink"/>
            <w:rFonts w:ascii="Tahoma" w:hAnsi="Tahoma" w:cs="Tahoma"/>
            <w:color w:val="auto"/>
            <w:sz w:val="18"/>
            <w:szCs w:val="18"/>
            <w:u w:val="none"/>
          </w:rPr>
          <w:t>Protecting birds from power lines focusing on countries of Danube/Carpathian region</w:t>
        </w:r>
      </w:hyperlink>
    </w:p>
  </w:footnote>
  <w:footnote w:id="130">
    <w:p w14:paraId="0CE3B64F"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WB21-MKD-ENE-03 North Macedonia, Strengthening the Transmission Network in the Southeast Region of North Macedonia - Component 1; Selection of the preferred Option, October 2021</w:t>
      </w:r>
    </w:p>
  </w:footnote>
  <w:footnote w:id="131">
    <w:p w14:paraId="03A222F4" w14:textId="77777777"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Ferrer, M., Morandini, V., Baumbusch, R., Muriel, R., De Lucas, M. and Calabuig, C., 2020. Efficacy of different types of “bird flight diverter” in reducing bird mortality due to collision with transmission power lines. Global Ecology and Co</w:t>
      </w:r>
      <w:r w:rsidRPr="007A3354">
        <w:rPr>
          <w:rFonts w:ascii="Tahoma" w:hAnsi="Tahoma" w:cs="Tahoma"/>
          <w:sz w:val="18"/>
          <w:szCs w:val="18"/>
        </w:rPr>
        <w:t>n</w:t>
      </w:r>
      <w:r w:rsidRPr="007A3354">
        <w:rPr>
          <w:rFonts w:ascii="Tahoma" w:hAnsi="Tahoma" w:cs="Tahoma"/>
          <w:sz w:val="18"/>
          <w:szCs w:val="18"/>
        </w:rPr>
        <w:t>servation, 23, p.e01130.</w:t>
      </w:r>
    </w:p>
  </w:footnote>
  <w:footnote w:id="132">
    <w:p w14:paraId="433C5DDD"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Rulebook for Construction of Overhead Lines with rated Voltage from 1 kV to 400 kV (Official Gazette of RM no.25, from 1.2.2019)</w:t>
      </w:r>
    </w:p>
  </w:footnote>
  <w:footnote w:id="133">
    <w:p w14:paraId="7DE9C64A" w14:textId="77777777" w:rsidR="00AB2D8F" w:rsidRPr="007A3354" w:rsidRDefault="00AB2D8F" w:rsidP="007A3354">
      <w:pPr>
        <w:pStyle w:val="FootnoteText"/>
        <w:spacing w:before="60" w:line="240" w:lineRule="auto"/>
        <w:rPr>
          <w:rFonts w:ascii="Tahoma" w:hAnsi="Tahoma" w:cs="Tahoma"/>
          <w:sz w:val="18"/>
          <w:szCs w:val="18"/>
          <w:lang w:val="mk-MK"/>
        </w:rPr>
      </w:pPr>
      <w:r w:rsidRPr="007A3354">
        <w:rPr>
          <w:rStyle w:val="FootnoteReference"/>
          <w:rFonts w:ascii="Tahoma" w:hAnsi="Tahoma" w:cs="Tahoma"/>
          <w:sz w:val="18"/>
          <w:szCs w:val="18"/>
        </w:rPr>
        <w:footnoteRef/>
      </w:r>
      <w:r w:rsidRPr="007A3354">
        <w:rPr>
          <w:rFonts w:ascii="Tahoma" w:hAnsi="Tahoma" w:cs="Tahoma"/>
          <w:sz w:val="18"/>
          <w:szCs w:val="18"/>
        </w:rPr>
        <w:t xml:space="preserve"> MEPSO Grid Code (2021) [Ref.9]</w:t>
      </w:r>
    </w:p>
  </w:footnote>
  <w:footnote w:id="134">
    <w:p w14:paraId="0C691160" w14:textId="7152C76F"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eastAsiaTheme="minorHAnsi" w:hAnsi="Tahoma" w:cs="Tahoma"/>
          <w:sz w:val="18"/>
          <w:szCs w:val="18"/>
          <w:lang w:eastAsia="en-US"/>
        </w:rPr>
        <w:t>IEC 61467:2008 - Insulators for overhead lines - Insulator strings and sets for lines with a</w:t>
      </w:r>
      <w:r w:rsidRPr="007A3354">
        <w:rPr>
          <w:rFonts w:ascii="Tahoma" w:hAnsi="Tahoma" w:cs="Tahoma"/>
          <w:sz w:val="18"/>
          <w:szCs w:val="18"/>
        </w:rPr>
        <w:t xml:space="preserve"> nominal voltage greater than 1</w:t>
      </w:r>
      <w:r w:rsidRPr="007A3354">
        <w:rPr>
          <w:rFonts w:ascii="Tahoma" w:eastAsiaTheme="minorHAnsi" w:hAnsi="Tahoma" w:cs="Tahoma"/>
          <w:sz w:val="18"/>
          <w:szCs w:val="18"/>
          <w:lang w:eastAsia="en-US"/>
        </w:rPr>
        <w:t>000 V</w:t>
      </w:r>
      <w:r w:rsidRPr="007A3354">
        <w:rPr>
          <w:rFonts w:ascii="Tahoma" w:hAnsi="Tahoma" w:cs="Tahoma"/>
          <w:sz w:val="18"/>
          <w:szCs w:val="18"/>
          <w:lang w:val="en-US"/>
        </w:rPr>
        <w:t xml:space="preserve"> as well as (1) </w:t>
      </w:r>
      <w:r w:rsidRPr="007A3354">
        <w:rPr>
          <w:rFonts w:ascii="Tahoma" w:eastAsiaTheme="minorHAnsi" w:hAnsi="Tahoma" w:cs="Tahoma"/>
          <w:sz w:val="18"/>
          <w:szCs w:val="18"/>
          <w:lang w:eastAsia="en-US"/>
        </w:rPr>
        <w:t>IEC 60433:2021 - insulators for overhead lines with a nominal voltage above 1000 </w:t>
      </w:r>
      <w:r w:rsidRPr="007A3354">
        <w:rPr>
          <w:rFonts w:ascii="Tahoma" w:eastAsiaTheme="minorHAnsi" w:hAnsi="Tahoma" w:cs="Tahoma"/>
          <w:sz w:val="18"/>
          <w:szCs w:val="18"/>
          <w:lang w:val="mk-MK" w:eastAsia="en-US"/>
        </w:rPr>
        <w:t>V</w:t>
      </w:r>
      <w:r w:rsidRPr="007A3354">
        <w:rPr>
          <w:rFonts w:ascii="Tahoma" w:eastAsiaTheme="minorHAnsi" w:hAnsi="Tahoma" w:cs="Tahoma"/>
          <w:sz w:val="18"/>
          <w:szCs w:val="18"/>
          <w:lang w:eastAsia="en-US"/>
        </w:rPr>
        <w:t xml:space="preserve"> - </w:t>
      </w:r>
      <w:r w:rsidRPr="007A3354">
        <w:rPr>
          <w:rFonts w:ascii="Tahoma" w:eastAsiaTheme="minorHAnsi" w:hAnsi="Tahoma" w:cs="Tahoma"/>
          <w:sz w:val="18"/>
          <w:szCs w:val="18"/>
          <w:lang w:val="mk-MK" w:eastAsia="en-US"/>
        </w:rPr>
        <w:t>C</w:t>
      </w:r>
      <w:r w:rsidRPr="007A3354">
        <w:rPr>
          <w:rFonts w:ascii="Tahoma" w:eastAsiaTheme="minorHAnsi" w:hAnsi="Tahoma" w:cs="Tahoma"/>
          <w:sz w:val="18"/>
          <w:szCs w:val="18"/>
          <w:lang w:eastAsia="en-US"/>
        </w:rPr>
        <w:t>era</w:t>
      </w:r>
      <w:r w:rsidRPr="007A3354">
        <w:rPr>
          <w:rFonts w:ascii="Tahoma" w:eastAsiaTheme="minorHAnsi" w:hAnsi="Tahoma" w:cs="Tahoma"/>
          <w:sz w:val="18"/>
          <w:szCs w:val="18"/>
          <w:lang w:eastAsia="en-US"/>
        </w:rPr>
        <w:t>m</w:t>
      </w:r>
      <w:r w:rsidRPr="007A3354">
        <w:rPr>
          <w:rFonts w:ascii="Tahoma" w:eastAsiaTheme="minorHAnsi" w:hAnsi="Tahoma" w:cs="Tahoma"/>
          <w:sz w:val="18"/>
          <w:szCs w:val="18"/>
          <w:lang w:eastAsia="en-US"/>
        </w:rPr>
        <w:t>ic insulators for ac systems - </w:t>
      </w:r>
      <w:r w:rsidRPr="007A3354">
        <w:rPr>
          <w:rFonts w:ascii="Tahoma" w:eastAsiaTheme="minorHAnsi" w:hAnsi="Tahoma" w:cs="Tahoma"/>
          <w:sz w:val="18"/>
          <w:szCs w:val="18"/>
          <w:lang w:val="mk-MK" w:eastAsia="en-US"/>
        </w:rPr>
        <w:t>C</w:t>
      </w:r>
      <w:r w:rsidRPr="007A3354">
        <w:rPr>
          <w:rFonts w:ascii="Tahoma" w:eastAsiaTheme="minorHAnsi" w:hAnsi="Tahoma" w:cs="Tahoma"/>
          <w:sz w:val="18"/>
          <w:szCs w:val="18"/>
          <w:lang w:eastAsia="en-US"/>
        </w:rPr>
        <w:t>haracteristics of insulator units of the long rod type</w:t>
      </w:r>
      <w:r w:rsidRPr="007A3354">
        <w:rPr>
          <w:rFonts w:ascii="Tahoma" w:hAnsi="Tahoma" w:cs="Tahoma"/>
          <w:sz w:val="18"/>
          <w:szCs w:val="18"/>
          <w:lang w:val="en-US"/>
        </w:rPr>
        <w:t xml:space="preserve"> and (2) </w:t>
      </w:r>
      <w:r w:rsidRPr="007A3354">
        <w:rPr>
          <w:rFonts w:ascii="Tahoma" w:eastAsiaTheme="minorHAnsi" w:hAnsi="Tahoma" w:cs="Tahoma"/>
          <w:sz w:val="18"/>
          <w:szCs w:val="18"/>
          <w:lang w:eastAsia="en-US"/>
        </w:rPr>
        <w:t>IEC 60305</w:t>
      </w:r>
      <w:r w:rsidRPr="007A3354">
        <w:rPr>
          <w:rFonts w:ascii="Tahoma" w:eastAsiaTheme="minorHAnsi" w:hAnsi="Tahoma" w:cs="Tahoma"/>
          <w:sz w:val="18"/>
          <w:szCs w:val="18"/>
          <w:lang w:val="mk-MK" w:eastAsia="en-US"/>
        </w:rPr>
        <w:t>:2021</w:t>
      </w:r>
      <w:r w:rsidRPr="007A3354">
        <w:rPr>
          <w:rFonts w:ascii="Tahoma" w:eastAsiaTheme="minorHAnsi" w:hAnsi="Tahoma" w:cs="Tahoma"/>
          <w:sz w:val="18"/>
          <w:szCs w:val="18"/>
          <w:lang w:eastAsia="en-US"/>
        </w:rPr>
        <w:t> - Insulators for overhead lines with a nominal voltage above 1 000 V – Ceramic or glass insulator units for a.c. systems – Characte</w:t>
      </w:r>
      <w:r w:rsidRPr="007A3354">
        <w:rPr>
          <w:rFonts w:ascii="Tahoma" w:eastAsiaTheme="minorHAnsi" w:hAnsi="Tahoma" w:cs="Tahoma"/>
          <w:sz w:val="18"/>
          <w:szCs w:val="18"/>
          <w:lang w:eastAsia="en-US"/>
        </w:rPr>
        <w:t>r</w:t>
      </w:r>
      <w:r w:rsidRPr="007A3354">
        <w:rPr>
          <w:rFonts w:ascii="Tahoma" w:eastAsiaTheme="minorHAnsi" w:hAnsi="Tahoma" w:cs="Tahoma"/>
          <w:sz w:val="18"/>
          <w:szCs w:val="18"/>
          <w:lang w:eastAsia="en-US"/>
        </w:rPr>
        <w:t>istics of insulator units of the cap and pin type</w:t>
      </w:r>
      <w:r w:rsidRPr="007A3354">
        <w:rPr>
          <w:rFonts w:ascii="Tahoma" w:hAnsi="Tahoma" w:cs="Tahoma"/>
          <w:color w:val="473F3F"/>
          <w:sz w:val="18"/>
          <w:szCs w:val="18"/>
          <w:shd w:val="clear" w:color="auto" w:fill="FFFFFF"/>
        </w:rPr>
        <w:t>.</w:t>
      </w:r>
    </w:p>
  </w:footnote>
  <w:footnote w:id="135">
    <w:p w14:paraId="35CC5988"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Refer to: Protecting Birds from Powerlines; NABU – German Society for Nature Conservation, BirdLife in Germany, 2005; Convention on the Conservation of European Wildlife and Habitats (Bern Convention), Council of Europe</w:t>
      </w:r>
    </w:p>
  </w:footnote>
  <w:footnote w:id="136">
    <w:p w14:paraId="7B937F15" w14:textId="77777777"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sz w:val="18"/>
          <w:szCs w:val="18"/>
          <w:shd w:val="clear" w:color="auto" w:fill="FFFFFF"/>
        </w:rPr>
        <w:t>European Commission, Directorate-General for Environment, </w:t>
      </w:r>
      <w:r w:rsidRPr="007A3354">
        <w:rPr>
          <w:rFonts w:ascii="Tahoma" w:hAnsi="Tahoma" w:cs="Tahoma"/>
          <w:iCs/>
          <w:sz w:val="18"/>
          <w:szCs w:val="18"/>
          <w:shd w:val="clear" w:color="auto" w:fill="FFFFFF"/>
        </w:rPr>
        <w:t>Guidance on energy transmission infrastructure and EU nature legislation</w:t>
      </w:r>
      <w:r w:rsidRPr="007A3354">
        <w:rPr>
          <w:rFonts w:ascii="Tahoma" w:hAnsi="Tahoma" w:cs="Tahoma"/>
          <w:sz w:val="18"/>
          <w:szCs w:val="18"/>
          <w:shd w:val="clear" w:color="auto" w:fill="FFFFFF"/>
        </w:rPr>
        <w:t>, Publications Office, 2019, </w:t>
      </w:r>
      <w:hyperlink r:id="rId10" w:tgtFrame="_blank" w:history="1">
        <w:r w:rsidRPr="007A3354">
          <w:rPr>
            <w:rStyle w:val="Hyperlink"/>
            <w:rFonts w:ascii="Tahoma" w:hAnsi="Tahoma" w:cs="Tahoma"/>
            <w:bCs/>
            <w:color w:val="auto"/>
            <w:sz w:val="18"/>
            <w:szCs w:val="18"/>
            <w:shd w:val="clear" w:color="auto" w:fill="FFFFFF"/>
          </w:rPr>
          <w:t>https://data.europa.eu/doi/10.2779/827210</w:t>
        </w:r>
      </w:hyperlink>
    </w:p>
  </w:footnote>
  <w:footnote w:id="137">
    <w:p w14:paraId="47D067CB" w14:textId="49FBEC83"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Refer to: </w:t>
      </w:r>
      <w:r w:rsidRPr="007A3354">
        <w:rPr>
          <w:rStyle w:val="st1"/>
          <w:rFonts w:ascii="Tahoma" w:eastAsiaTheme="majorEastAsia" w:hAnsi="Tahoma" w:cs="Tahoma"/>
          <w:sz w:val="18"/>
          <w:szCs w:val="18"/>
        </w:rPr>
        <w:t>Avian Power Line Interaction Committee (APLIC). 2012. Reducing Avian Collisions with Power Lines: The State of the Art in 2012. Edison Electric Institute and APLIC. Washington, D.C. (www.aplic.org)</w:t>
      </w:r>
    </w:p>
  </w:footnote>
  <w:footnote w:id="138">
    <w:p w14:paraId="68DC680E" w14:textId="77777777" w:rsidR="00AB2D8F" w:rsidRPr="007A3354" w:rsidRDefault="00AB2D8F" w:rsidP="007A3354">
      <w:pPr>
        <w:pStyle w:val="doc-ti"/>
        <w:shd w:val="clear" w:color="auto" w:fill="FFFFFF"/>
        <w:spacing w:before="60" w:beforeAutospacing="0" w:after="0" w:afterAutospacing="0"/>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bCs/>
          <w:sz w:val="18"/>
          <w:szCs w:val="18"/>
        </w:rPr>
        <w:t xml:space="preserve">Directive of the EU on Waste - </w:t>
      </w:r>
      <w:r w:rsidRPr="007A3354">
        <w:rPr>
          <w:rFonts w:ascii="Tahoma" w:hAnsi="Tahoma" w:cs="Tahoma"/>
          <w:sz w:val="18"/>
          <w:szCs w:val="18"/>
        </w:rPr>
        <w:t>Waste Framework Directive (2008/98/EC)</w:t>
      </w:r>
    </w:p>
  </w:footnote>
  <w:footnote w:id="139">
    <w:p w14:paraId="75C7F300" w14:textId="77777777" w:rsidR="00AB2D8F" w:rsidRPr="007A3354" w:rsidRDefault="00AB2D8F" w:rsidP="007A3354">
      <w:pPr>
        <w:autoSpaceDE w:val="0"/>
        <w:autoSpaceDN w:val="0"/>
        <w:adjustRightInd w:val="0"/>
        <w:spacing w:before="60" w:after="0" w:line="240" w:lineRule="auto"/>
        <w:jc w:val="left"/>
        <w:rPr>
          <w:rFonts w:cs="Tahoma"/>
          <w:sz w:val="18"/>
          <w:szCs w:val="18"/>
        </w:rPr>
      </w:pPr>
      <w:r w:rsidRPr="007A3354">
        <w:rPr>
          <w:rStyle w:val="FootnoteReference"/>
          <w:rFonts w:cs="Tahoma"/>
          <w:sz w:val="18"/>
          <w:szCs w:val="18"/>
        </w:rPr>
        <w:footnoteRef/>
      </w:r>
      <w:r w:rsidRPr="007A3354">
        <w:rPr>
          <w:rFonts w:cs="Tahoma"/>
          <w:sz w:val="18"/>
          <w:szCs w:val="18"/>
        </w:rPr>
        <w:t xml:space="preserve"> MEPSO has an IMS, incorporating quality, environment and health &amp; safety, certified under respective international standards - ISO 9001 (Quality Management System), ISO 14001 (Environmental Management System) and OHSAS 18001 (Occupational Health and Safety Management System), as well as ISO 27001 (Information Security Management) and ISO 50001 (Energy Management System). Note: some of these certificates require renewal.</w:t>
      </w:r>
    </w:p>
  </w:footnote>
  <w:footnote w:id="140">
    <w:p w14:paraId="437987FF" w14:textId="54646422" w:rsidR="00AB2D8F" w:rsidRPr="007A3354" w:rsidRDefault="00AB2D8F" w:rsidP="007A3354">
      <w:pPr>
        <w:autoSpaceDE w:val="0"/>
        <w:autoSpaceDN w:val="0"/>
        <w:adjustRightInd w:val="0"/>
        <w:spacing w:before="60" w:after="0" w:line="240" w:lineRule="auto"/>
        <w:jc w:val="left"/>
        <w:rPr>
          <w:rFonts w:cs="Tahoma"/>
          <w:sz w:val="18"/>
          <w:szCs w:val="18"/>
        </w:rPr>
      </w:pPr>
      <w:r w:rsidRPr="007A3354">
        <w:rPr>
          <w:rStyle w:val="FootnoteReference"/>
          <w:rFonts w:cs="Tahoma"/>
          <w:sz w:val="18"/>
          <w:szCs w:val="18"/>
        </w:rPr>
        <w:footnoteRef/>
      </w:r>
      <w:r w:rsidRPr="007A3354">
        <w:rPr>
          <w:rFonts w:cs="Tahoma"/>
          <w:sz w:val="18"/>
          <w:szCs w:val="18"/>
        </w:rPr>
        <w:t xml:space="preserve"> MEPSO has an IMS, incorporating quality, environment and health &amp; safety, certified under respective international standards - ISO 9001 (Quality Management System), ISO 14001 (Environmental Management System) and OHSAS 18001 (Occupational Health and Safety Management System), as well as ISO 50001 (Energy Management System). Note: some of these certificates require renewal.</w:t>
      </w:r>
    </w:p>
  </w:footnote>
  <w:footnote w:id="141">
    <w:p w14:paraId="314DFE42" w14:textId="0873EA20"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lang w:val="en-US"/>
        </w:rPr>
        <w:t xml:space="preserve"> The energised transmission equipment is a low-friquency source of EMF</w:t>
      </w:r>
    </w:p>
  </w:footnote>
  <w:footnote w:id="142">
    <w:p w14:paraId="7DCAE357" w14:textId="77777777"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This document could be found at www.icnirp.org</w:t>
      </w:r>
    </w:p>
  </w:footnote>
  <w:footnote w:id="143">
    <w:p w14:paraId="6B807830" w14:textId="77777777"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This document could be found at www.icnirp.org</w:t>
      </w:r>
    </w:p>
  </w:footnote>
  <w:footnote w:id="144">
    <w:p w14:paraId="79F30C16" w14:textId="32805831"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w:t>
      </w:r>
      <w:r w:rsidRPr="007A3354">
        <w:rPr>
          <w:rFonts w:ascii="Tahoma" w:hAnsi="Tahoma" w:cs="Tahoma"/>
          <w:color w:val="000000"/>
          <w:sz w:val="18"/>
          <w:szCs w:val="18"/>
          <w:lang w:val="en-US"/>
        </w:rPr>
        <w:t xml:space="preserve">According to the </w:t>
      </w:r>
      <w:r w:rsidRPr="007A3354">
        <w:rPr>
          <w:rFonts w:ascii="Tahoma" w:hAnsi="Tahoma" w:cs="Tahoma"/>
          <w:sz w:val="18"/>
          <w:szCs w:val="18"/>
        </w:rPr>
        <w:t>relevant Macedonian regulation</w:t>
      </w:r>
      <w:r w:rsidRPr="007A3354">
        <w:rPr>
          <w:rFonts w:ascii="Tahoma" w:hAnsi="Tahoma" w:cs="Tahoma"/>
          <w:sz w:val="18"/>
          <w:szCs w:val="18"/>
          <w:lang w:val="en-US"/>
        </w:rPr>
        <w:t xml:space="preserve"> (</w:t>
      </w:r>
      <w:r w:rsidRPr="007A3354">
        <w:rPr>
          <w:rFonts w:ascii="Tahoma" w:hAnsi="Tahoma" w:cs="Tahoma"/>
          <w:sz w:val="18"/>
          <w:szCs w:val="18"/>
        </w:rPr>
        <w:t>Rulebook for Construction of Overhead Lines with rated Voltage from 1 kV to 400 kV (Official Gazette of RM no.25, from 1.2.2019), the minimum vertical clearance for 110 kV transmi</w:t>
      </w:r>
      <w:r w:rsidRPr="007A3354">
        <w:rPr>
          <w:rFonts w:ascii="Tahoma" w:hAnsi="Tahoma" w:cs="Tahoma"/>
          <w:sz w:val="18"/>
          <w:szCs w:val="18"/>
        </w:rPr>
        <w:t>s</w:t>
      </w:r>
      <w:r w:rsidRPr="007A3354">
        <w:rPr>
          <w:rFonts w:ascii="Tahoma" w:hAnsi="Tahoma" w:cs="Tahoma"/>
          <w:sz w:val="18"/>
          <w:szCs w:val="18"/>
        </w:rPr>
        <w:t>sion line above the ground is 6.0 metres in areas accessible for vehicles/people</w:t>
      </w:r>
      <w:r w:rsidRPr="007A3354">
        <w:rPr>
          <w:rFonts w:ascii="Tahoma" w:hAnsi="Tahoma" w:cs="Tahoma"/>
          <w:sz w:val="18"/>
          <w:szCs w:val="18"/>
          <w:lang w:val="en-US"/>
        </w:rPr>
        <w:t xml:space="preserve"> (considered as zones of increased sens</w:t>
      </w:r>
      <w:r w:rsidRPr="007A3354">
        <w:rPr>
          <w:rFonts w:ascii="Tahoma" w:hAnsi="Tahoma" w:cs="Tahoma"/>
          <w:sz w:val="18"/>
          <w:szCs w:val="18"/>
          <w:lang w:val="en-US"/>
        </w:rPr>
        <w:t>i</w:t>
      </w:r>
      <w:r w:rsidRPr="007A3354">
        <w:rPr>
          <w:rFonts w:ascii="Tahoma" w:hAnsi="Tahoma" w:cs="Tahoma"/>
          <w:sz w:val="18"/>
          <w:szCs w:val="18"/>
          <w:lang w:val="en-US"/>
        </w:rPr>
        <w:t>tivity)</w:t>
      </w:r>
      <w:r w:rsidRPr="007A3354">
        <w:rPr>
          <w:rFonts w:ascii="Tahoma" w:hAnsi="Tahoma" w:cs="Tahoma"/>
          <w:sz w:val="18"/>
          <w:szCs w:val="18"/>
        </w:rPr>
        <w:t>.</w:t>
      </w:r>
    </w:p>
  </w:footnote>
  <w:footnote w:id="145">
    <w:p w14:paraId="09F765E7" w14:textId="7BF3206B" w:rsidR="00AB2D8F" w:rsidRPr="007A3354" w:rsidRDefault="00AB2D8F" w:rsidP="007A3354">
      <w:pPr>
        <w:spacing w:before="60" w:after="0" w:line="240" w:lineRule="auto"/>
        <w:rPr>
          <w:rFonts w:cs="Tahoma"/>
          <w:sz w:val="18"/>
          <w:szCs w:val="18"/>
          <w:lang w:val="en-US"/>
        </w:rPr>
      </w:pPr>
      <w:r w:rsidRPr="007A3354">
        <w:rPr>
          <w:rStyle w:val="FootnoteReference"/>
          <w:rFonts w:cs="Tahoma"/>
          <w:sz w:val="18"/>
          <w:szCs w:val="18"/>
        </w:rPr>
        <w:footnoteRef/>
      </w:r>
      <w:r w:rsidRPr="007A3354">
        <w:rPr>
          <w:rFonts w:cs="Tahoma"/>
          <w:sz w:val="18"/>
          <w:szCs w:val="18"/>
        </w:rPr>
        <w:t xml:space="preserve"> </w:t>
      </w:r>
      <w:r w:rsidRPr="007A3354">
        <w:rPr>
          <w:rFonts w:cs="Tahoma"/>
          <w:sz w:val="18"/>
          <w:szCs w:val="18"/>
          <w:lang w:val="en-US"/>
        </w:rPr>
        <w:t>The relevant</w:t>
      </w:r>
      <w:r w:rsidRPr="007A3354">
        <w:rPr>
          <w:rFonts w:cs="Tahoma"/>
          <w:sz w:val="18"/>
          <w:szCs w:val="18"/>
        </w:rPr>
        <w:t xml:space="preserve"> Macedonian legislation </w:t>
      </w:r>
      <w:r w:rsidRPr="007A3354">
        <w:rPr>
          <w:rFonts w:cs="Tahoma"/>
          <w:sz w:val="18"/>
          <w:szCs w:val="18"/>
          <w:lang w:val="en-US"/>
        </w:rPr>
        <w:t>(</w:t>
      </w:r>
      <w:r w:rsidRPr="007A3354">
        <w:rPr>
          <w:rFonts w:cs="Tahoma"/>
          <w:sz w:val="18"/>
          <w:szCs w:val="18"/>
        </w:rPr>
        <w:t>Rulebook for Construction of Overhead Lines with rated Voltage from 1 kV to 400 kV (Official Gazette of RM no.25, from 1.2.2019) requires establishment of a safety zone or R</w:t>
      </w:r>
      <w:r w:rsidRPr="007A3354">
        <w:rPr>
          <w:rFonts w:cs="Tahoma"/>
          <w:sz w:val="18"/>
          <w:szCs w:val="18"/>
          <w:lang w:val="en-US"/>
        </w:rPr>
        <w:t xml:space="preserve">oW </w:t>
      </w:r>
      <w:r w:rsidRPr="007A3354">
        <w:rPr>
          <w:rFonts w:cs="Tahoma"/>
          <w:sz w:val="18"/>
          <w:szCs w:val="18"/>
        </w:rPr>
        <w:t xml:space="preserve">along the path of a transmission line </w:t>
      </w:r>
      <w:r w:rsidRPr="007A3354">
        <w:rPr>
          <w:rFonts w:cs="Tahoma"/>
          <w:sz w:val="18"/>
          <w:szCs w:val="18"/>
          <w:lang w:val="en-US"/>
        </w:rPr>
        <w:t xml:space="preserve">(see Section 2.4.2.3). For lines of 110 kV voltage level, according to the </w:t>
      </w:r>
      <w:r w:rsidRPr="007A3354">
        <w:rPr>
          <w:rFonts w:cs="Tahoma"/>
          <w:sz w:val="18"/>
          <w:szCs w:val="18"/>
        </w:rPr>
        <w:t>MEPSO’s Grid Code</w:t>
      </w:r>
      <w:r w:rsidRPr="007A3354">
        <w:rPr>
          <w:rFonts w:cs="Tahoma"/>
          <w:sz w:val="18"/>
          <w:szCs w:val="18"/>
          <w:lang w:val="en-US"/>
        </w:rPr>
        <w:t>, a 20 m</w:t>
      </w:r>
      <w:r w:rsidRPr="007A3354">
        <w:rPr>
          <w:rFonts w:cs="Tahoma"/>
          <w:sz w:val="18"/>
          <w:szCs w:val="18"/>
          <w:lang w:val="en-US"/>
        </w:rPr>
        <w:t>e</w:t>
      </w:r>
      <w:r w:rsidRPr="007A3354">
        <w:rPr>
          <w:rFonts w:cs="Tahoma"/>
          <w:sz w:val="18"/>
          <w:szCs w:val="18"/>
          <w:lang w:val="en-US"/>
        </w:rPr>
        <w:t>tres wide safety corridor (zone) along the path of the line is to be established (or 10 metres from the axis of an oper</w:t>
      </w:r>
      <w:r w:rsidRPr="007A3354">
        <w:rPr>
          <w:rFonts w:cs="Tahoma"/>
          <w:sz w:val="18"/>
          <w:szCs w:val="18"/>
          <w:lang w:val="en-US"/>
        </w:rPr>
        <w:t>a</w:t>
      </w:r>
      <w:r w:rsidRPr="007A3354">
        <w:rPr>
          <w:rFonts w:cs="Tahoma"/>
          <w:sz w:val="18"/>
          <w:szCs w:val="18"/>
          <w:lang w:val="en-US"/>
        </w:rPr>
        <w:t>tional overhead line).</w:t>
      </w:r>
    </w:p>
  </w:footnote>
  <w:footnote w:id="146">
    <w:p w14:paraId="066C9CAB" w14:textId="078369B8"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World Health Organization, 1998; Electromagnetic fields and public health: extremely low frequency (ELF) Fact Sheet. Available online at: http://www.who.int/mediacentre/factsheets/fs205/en.</w:t>
      </w:r>
    </w:p>
  </w:footnote>
  <w:footnote w:id="147">
    <w:p w14:paraId="37574541" w14:textId="3EC7F1CF"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“Land acquisition” refers to all methods of obtaining land for project purposes, which may include outright purchase, expropriation of land and assets and acquisition of temporary or permanent access rights, such as easements, rights of way; establishment of restrictions of access to protected and other areas. (Source: EBRD Environmental and Social Pol</w:t>
      </w:r>
      <w:r w:rsidRPr="007A3354">
        <w:rPr>
          <w:rFonts w:ascii="Tahoma" w:hAnsi="Tahoma" w:cs="Tahoma"/>
          <w:sz w:val="18"/>
          <w:szCs w:val="18"/>
        </w:rPr>
        <w:t>i</w:t>
      </w:r>
      <w:r w:rsidRPr="007A3354">
        <w:rPr>
          <w:rFonts w:ascii="Tahoma" w:hAnsi="Tahoma" w:cs="Tahoma"/>
          <w:sz w:val="18"/>
          <w:szCs w:val="18"/>
        </w:rPr>
        <w:t>cy, 2019; Performance Requirement 5 - Land Acquisition, Restrictions on Land Use and Involuntary)</w:t>
      </w:r>
    </w:p>
  </w:footnote>
  <w:footnote w:id="148">
    <w:p w14:paraId="2A088FF4" w14:textId="150C14C2"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Law on Expropriation (Official Gazette of the RM no. 95/12 and its amendments)</w:t>
      </w:r>
    </w:p>
  </w:footnote>
  <w:footnote w:id="149">
    <w:p w14:paraId="2E31C272" w14:textId="1ADEADEC" w:rsidR="00AB2D8F" w:rsidRPr="007A3354" w:rsidRDefault="00AB2D8F" w:rsidP="007A3354">
      <w:pPr>
        <w:pStyle w:val="FootnoteText"/>
        <w:spacing w:before="60" w:line="240" w:lineRule="auto"/>
        <w:rPr>
          <w:rFonts w:ascii="Tahoma" w:hAnsi="Tahoma" w:cs="Tahoma"/>
          <w:sz w:val="18"/>
          <w:szCs w:val="18"/>
          <w:lang w:val="en-US"/>
        </w:rPr>
      </w:pPr>
      <w:r w:rsidRPr="007A3354">
        <w:rPr>
          <w:rStyle w:val="FootnoteReference"/>
          <w:rFonts w:ascii="Tahoma" w:hAnsi="Tahoma" w:cs="Tahoma"/>
          <w:sz w:val="18"/>
          <w:szCs w:val="18"/>
        </w:rPr>
        <w:footnoteRef/>
      </w:r>
      <w:r w:rsidRPr="007A3354">
        <w:rPr>
          <w:rFonts w:ascii="Tahoma" w:hAnsi="Tahoma" w:cs="Tahoma"/>
          <w:sz w:val="18"/>
          <w:szCs w:val="18"/>
        </w:rPr>
        <w:t xml:space="preserve"> Law on Protection of Cultural Heritage (Official Gazette of RM no. 20/04 and its amendments)</w:t>
      </w:r>
    </w:p>
  </w:footnote>
  <w:footnote w:id="150">
    <w:p w14:paraId="75E6DED5" w14:textId="695E4ECD" w:rsidR="00AB2D8F" w:rsidRPr="007A3354" w:rsidRDefault="00AB2D8F" w:rsidP="007A3354">
      <w:pPr>
        <w:autoSpaceDE w:val="0"/>
        <w:autoSpaceDN w:val="0"/>
        <w:adjustRightInd w:val="0"/>
        <w:spacing w:before="60" w:after="0" w:line="240" w:lineRule="auto"/>
        <w:rPr>
          <w:rFonts w:cs="Tahoma"/>
          <w:sz w:val="18"/>
          <w:szCs w:val="18"/>
        </w:rPr>
      </w:pPr>
      <w:r w:rsidRPr="007A3354">
        <w:rPr>
          <w:rStyle w:val="FootnoteReference"/>
          <w:rFonts w:cs="Tahoma"/>
          <w:sz w:val="18"/>
          <w:szCs w:val="18"/>
        </w:rPr>
        <w:footnoteRef/>
      </w:r>
      <w:r w:rsidRPr="007A3354">
        <w:rPr>
          <w:rFonts w:cs="Tahoma"/>
          <w:sz w:val="18"/>
          <w:szCs w:val="18"/>
          <w:vertAlign w:val="superscript"/>
        </w:rPr>
        <w:t xml:space="preserve"> </w:t>
      </w:r>
      <w:r w:rsidRPr="007A3354">
        <w:rPr>
          <w:rFonts w:cs="Tahoma"/>
          <w:sz w:val="18"/>
          <w:szCs w:val="18"/>
        </w:rPr>
        <w:t>Definition of VECs according to the IFC Good Practice Handbook ‘Cumulative Impact Assessment and Management: Guidance for the Private Sector in Emerging Markets’ 2013: ‘VECs are environmental and social attributes that are co</w:t>
      </w:r>
      <w:r w:rsidRPr="007A3354">
        <w:rPr>
          <w:rFonts w:cs="Tahoma"/>
          <w:sz w:val="18"/>
          <w:szCs w:val="18"/>
        </w:rPr>
        <w:t>n</w:t>
      </w:r>
      <w:r w:rsidRPr="007A3354">
        <w:rPr>
          <w:rFonts w:cs="Tahoma"/>
          <w:sz w:val="18"/>
          <w:szCs w:val="18"/>
        </w:rPr>
        <w:t>sidered to be important in assessing risks; they may be:</w:t>
      </w:r>
    </w:p>
    <w:p w14:paraId="34FF7556" w14:textId="77777777" w:rsidR="00AB2D8F" w:rsidRPr="007A3354" w:rsidRDefault="00AB2D8F" w:rsidP="007A3354">
      <w:pPr>
        <w:pStyle w:val="ListParagraph"/>
        <w:numPr>
          <w:ilvl w:val="0"/>
          <w:numId w:val="113"/>
        </w:numPr>
        <w:autoSpaceDE w:val="0"/>
        <w:autoSpaceDN w:val="0"/>
        <w:adjustRightInd w:val="0"/>
        <w:spacing w:before="0" w:after="0" w:line="240" w:lineRule="auto"/>
        <w:ind w:left="284" w:hanging="142"/>
        <w:contextualSpacing w:val="0"/>
        <w:jc w:val="left"/>
        <w:rPr>
          <w:rFonts w:cs="Tahoma"/>
          <w:sz w:val="18"/>
          <w:szCs w:val="18"/>
        </w:rPr>
      </w:pPr>
      <w:r w:rsidRPr="007A3354">
        <w:rPr>
          <w:rFonts w:cs="Tahoma"/>
          <w:sz w:val="18"/>
          <w:szCs w:val="18"/>
        </w:rPr>
        <w:t>physical features, habitats, wildlife populations (e.g., biodiversity),</w:t>
      </w:r>
    </w:p>
    <w:p w14:paraId="4745238E" w14:textId="77777777" w:rsidR="00AB2D8F" w:rsidRPr="007A3354" w:rsidRDefault="00AB2D8F" w:rsidP="007A3354">
      <w:pPr>
        <w:pStyle w:val="ListParagraph"/>
        <w:numPr>
          <w:ilvl w:val="0"/>
          <w:numId w:val="113"/>
        </w:numPr>
        <w:autoSpaceDE w:val="0"/>
        <w:autoSpaceDN w:val="0"/>
        <w:adjustRightInd w:val="0"/>
        <w:spacing w:before="0" w:after="0" w:line="240" w:lineRule="auto"/>
        <w:ind w:left="284" w:hanging="142"/>
        <w:contextualSpacing w:val="0"/>
        <w:jc w:val="left"/>
        <w:rPr>
          <w:rFonts w:cs="Tahoma"/>
          <w:sz w:val="18"/>
          <w:szCs w:val="18"/>
        </w:rPr>
      </w:pPr>
      <w:r w:rsidRPr="007A3354">
        <w:rPr>
          <w:rFonts w:cs="Tahoma"/>
          <w:sz w:val="18"/>
          <w:szCs w:val="18"/>
        </w:rPr>
        <w:t>ecosystem services,</w:t>
      </w:r>
    </w:p>
    <w:p w14:paraId="4271EB15" w14:textId="77777777" w:rsidR="00AB2D8F" w:rsidRPr="007A3354" w:rsidRDefault="00AB2D8F" w:rsidP="007A3354">
      <w:pPr>
        <w:pStyle w:val="ListParagraph"/>
        <w:numPr>
          <w:ilvl w:val="0"/>
          <w:numId w:val="113"/>
        </w:numPr>
        <w:autoSpaceDE w:val="0"/>
        <w:autoSpaceDN w:val="0"/>
        <w:adjustRightInd w:val="0"/>
        <w:spacing w:before="0" w:after="0" w:line="240" w:lineRule="auto"/>
        <w:ind w:left="284" w:hanging="142"/>
        <w:contextualSpacing w:val="0"/>
        <w:jc w:val="left"/>
        <w:rPr>
          <w:rFonts w:cs="Tahoma"/>
          <w:sz w:val="18"/>
          <w:szCs w:val="18"/>
        </w:rPr>
      </w:pPr>
      <w:r w:rsidRPr="007A3354">
        <w:rPr>
          <w:rFonts w:cs="Tahoma"/>
          <w:sz w:val="18"/>
          <w:szCs w:val="18"/>
        </w:rPr>
        <w:t>natural processes (e.g., water and nutrient cycles, microclimate),</w:t>
      </w:r>
    </w:p>
    <w:p w14:paraId="27545F12" w14:textId="77777777" w:rsidR="00AB2D8F" w:rsidRPr="007A3354" w:rsidRDefault="00AB2D8F" w:rsidP="007A3354">
      <w:pPr>
        <w:pStyle w:val="ListParagraph"/>
        <w:numPr>
          <w:ilvl w:val="0"/>
          <w:numId w:val="113"/>
        </w:numPr>
        <w:autoSpaceDE w:val="0"/>
        <w:autoSpaceDN w:val="0"/>
        <w:adjustRightInd w:val="0"/>
        <w:spacing w:before="0" w:after="0" w:line="240" w:lineRule="auto"/>
        <w:ind w:left="284" w:hanging="142"/>
        <w:contextualSpacing w:val="0"/>
        <w:jc w:val="left"/>
        <w:rPr>
          <w:rFonts w:cs="Tahoma"/>
          <w:sz w:val="18"/>
          <w:szCs w:val="18"/>
        </w:rPr>
      </w:pPr>
      <w:r w:rsidRPr="007A3354">
        <w:rPr>
          <w:rFonts w:cs="Tahoma"/>
          <w:sz w:val="18"/>
          <w:szCs w:val="18"/>
        </w:rPr>
        <w:t>social conditions (e.g., health, economics), or</w:t>
      </w:r>
    </w:p>
    <w:p w14:paraId="6ACFF23B" w14:textId="77777777" w:rsidR="00AB2D8F" w:rsidRPr="007A3354" w:rsidRDefault="00AB2D8F" w:rsidP="007A3354">
      <w:pPr>
        <w:pStyle w:val="ListParagraph"/>
        <w:numPr>
          <w:ilvl w:val="0"/>
          <w:numId w:val="113"/>
        </w:numPr>
        <w:autoSpaceDE w:val="0"/>
        <w:autoSpaceDN w:val="0"/>
        <w:adjustRightInd w:val="0"/>
        <w:spacing w:before="0" w:after="0" w:line="240" w:lineRule="auto"/>
        <w:ind w:left="284" w:hanging="142"/>
        <w:contextualSpacing w:val="0"/>
        <w:jc w:val="left"/>
        <w:rPr>
          <w:rFonts w:cs="Tahoma"/>
          <w:sz w:val="18"/>
          <w:szCs w:val="18"/>
        </w:rPr>
      </w:pPr>
      <w:r w:rsidRPr="007A3354">
        <w:rPr>
          <w:rFonts w:cs="Tahoma"/>
          <w:sz w:val="18"/>
          <w:szCs w:val="18"/>
        </w:rPr>
        <w:t>cultural aspects (e.g., traditional spiritual ceremonies)’.</w:t>
      </w:r>
    </w:p>
  </w:footnote>
  <w:footnote w:id="151">
    <w:p w14:paraId="468CA038" w14:textId="77777777" w:rsidR="00AB2D8F" w:rsidRPr="007A3354" w:rsidRDefault="00AB2D8F" w:rsidP="007A3354">
      <w:pPr>
        <w:pStyle w:val="FootnoteText"/>
        <w:tabs>
          <w:tab w:val="left" w:pos="0"/>
        </w:tabs>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For example, when several hydroelectric projects are constructed or planned on the same river or within the same watershed, when multiple oil and gas projects or mines are developed in close proximity, or when a number of wind farms are constructed or planned within the same flyway or region.</w:t>
      </w:r>
    </w:p>
  </w:footnote>
  <w:footnote w:id="152">
    <w:p w14:paraId="1BEB55A5" w14:textId="77777777" w:rsidR="00AB2D8F" w:rsidRPr="007A3354" w:rsidRDefault="00AB2D8F" w:rsidP="007A3354">
      <w:pPr>
        <w:pStyle w:val="FootnoteText"/>
        <w:tabs>
          <w:tab w:val="left" w:pos="0"/>
        </w:tabs>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rPr>
        <w:t xml:space="preserve"> For example, the development of a mine site, access roads, transmission lines, and other adjacent land uses.</w:t>
      </w:r>
    </w:p>
  </w:footnote>
  <w:footnote w:id="153">
    <w:p w14:paraId="0B187ACE" w14:textId="3719015B" w:rsidR="00AB2D8F" w:rsidRPr="007A3354" w:rsidRDefault="00AB2D8F" w:rsidP="007A3354">
      <w:pPr>
        <w:pStyle w:val="FootnoteText"/>
        <w:spacing w:before="60" w:line="240" w:lineRule="auto"/>
        <w:rPr>
          <w:rFonts w:ascii="Tahoma" w:hAnsi="Tahoma" w:cs="Tahoma"/>
          <w:sz w:val="18"/>
          <w:szCs w:val="18"/>
        </w:rPr>
      </w:pPr>
      <w:r w:rsidRPr="007A3354">
        <w:rPr>
          <w:rStyle w:val="FootnoteReference"/>
          <w:rFonts w:ascii="Tahoma" w:hAnsi="Tahoma" w:cs="Tahoma"/>
          <w:sz w:val="18"/>
          <w:szCs w:val="18"/>
        </w:rPr>
        <w:footnoteRef/>
      </w:r>
      <w:r w:rsidRPr="007A3354">
        <w:rPr>
          <w:rFonts w:ascii="Tahoma" w:hAnsi="Tahoma" w:cs="Tahoma"/>
          <w:sz w:val="18"/>
          <w:szCs w:val="18"/>
          <w:lang w:val="en-US"/>
        </w:rPr>
        <w:t xml:space="preserve"> The </w:t>
      </w:r>
      <w:r w:rsidRPr="007A3354">
        <w:rPr>
          <w:rFonts w:ascii="Tahoma" w:hAnsi="Tahoma" w:cs="Tahoma"/>
          <w:sz w:val="18"/>
          <w:szCs w:val="18"/>
        </w:rPr>
        <w:t>wider development scheme for strengthening the transmission network in the Southeast Region of North Mac</w:t>
      </w:r>
      <w:r w:rsidRPr="007A3354">
        <w:rPr>
          <w:rFonts w:ascii="Tahoma" w:hAnsi="Tahoma" w:cs="Tahoma"/>
          <w:sz w:val="18"/>
          <w:szCs w:val="18"/>
        </w:rPr>
        <w:t>e</w:t>
      </w:r>
      <w:r w:rsidRPr="007A3354">
        <w:rPr>
          <w:rFonts w:ascii="Tahoma" w:hAnsi="Tahoma" w:cs="Tahoma"/>
          <w:sz w:val="18"/>
          <w:szCs w:val="18"/>
        </w:rPr>
        <w:t>donia comprises of two components:</w:t>
      </w:r>
    </w:p>
    <w:p w14:paraId="7179042C" w14:textId="77777777" w:rsidR="00AB2D8F" w:rsidRPr="007A3354" w:rsidRDefault="00AB2D8F" w:rsidP="007A3354">
      <w:pPr>
        <w:pStyle w:val="BodyText0"/>
        <w:numPr>
          <w:ilvl w:val="0"/>
          <w:numId w:val="135"/>
        </w:numPr>
        <w:spacing w:before="0" w:after="0" w:line="240" w:lineRule="auto"/>
        <w:ind w:left="567" w:hanging="425"/>
        <w:rPr>
          <w:rFonts w:ascii="Tahoma" w:hAnsi="Tahoma" w:cs="Tahoma"/>
          <w:sz w:val="18"/>
          <w:szCs w:val="18"/>
        </w:rPr>
      </w:pPr>
      <w:r w:rsidRPr="007A3354">
        <w:rPr>
          <w:rFonts w:ascii="Tahoma" w:hAnsi="Tahoma" w:cs="Tahoma"/>
          <w:sz w:val="18"/>
          <w:szCs w:val="18"/>
        </w:rPr>
        <w:t>Component 1 (Sub-project 1): Design, construction and operation of a new 400/110 kV substation Miletkovo with connection to the existing 400 kV and 110 kV transmission network (subject to separate E&amp;S Assessment), and</w:t>
      </w:r>
    </w:p>
    <w:p w14:paraId="0C52B380" w14:textId="4AA1FCFA" w:rsidR="00AB2D8F" w:rsidRPr="007A3354" w:rsidRDefault="00AB2D8F" w:rsidP="007A3354">
      <w:pPr>
        <w:pStyle w:val="BodyText0"/>
        <w:numPr>
          <w:ilvl w:val="0"/>
          <w:numId w:val="135"/>
        </w:numPr>
        <w:spacing w:before="0" w:after="0" w:line="240" w:lineRule="auto"/>
        <w:ind w:left="567" w:hanging="425"/>
        <w:rPr>
          <w:rFonts w:ascii="Tahoma" w:hAnsi="Tahoma" w:cs="Tahoma"/>
          <w:sz w:val="18"/>
          <w:szCs w:val="18"/>
        </w:rPr>
      </w:pPr>
      <w:r w:rsidRPr="007A3354">
        <w:rPr>
          <w:rFonts w:ascii="Tahoma" w:hAnsi="Tahoma" w:cs="Tahoma"/>
          <w:sz w:val="18"/>
          <w:szCs w:val="18"/>
        </w:rPr>
        <w:t>Component 2 (Sub-project 2): Reconstruction of the existing 110 kV overhead line Valandovo – Strumica 2 – Strumica 1 (subject to this E&amp;S Assessment).</w:t>
      </w:r>
    </w:p>
  </w:footnote>
  <w:footnote w:id="154">
    <w:p w14:paraId="52E3B6C5" w14:textId="584A176C" w:rsidR="00AB2D8F" w:rsidRPr="007A3354" w:rsidRDefault="00AB2D8F" w:rsidP="007A3354">
      <w:pPr>
        <w:autoSpaceDE w:val="0"/>
        <w:autoSpaceDN w:val="0"/>
        <w:adjustRightInd w:val="0"/>
        <w:spacing w:before="60" w:after="0" w:line="240" w:lineRule="auto"/>
        <w:jc w:val="left"/>
        <w:rPr>
          <w:rFonts w:cs="Tahoma"/>
          <w:sz w:val="18"/>
          <w:szCs w:val="18"/>
        </w:rPr>
      </w:pPr>
      <w:r w:rsidRPr="007A3354">
        <w:rPr>
          <w:rStyle w:val="FootnoteReference"/>
          <w:rFonts w:cs="Tahoma"/>
          <w:sz w:val="18"/>
          <w:szCs w:val="18"/>
        </w:rPr>
        <w:footnoteRef/>
      </w:r>
      <w:r w:rsidRPr="007A3354">
        <w:rPr>
          <w:rFonts w:cs="Tahoma"/>
          <w:sz w:val="18"/>
          <w:szCs w:val="18"/>
        </w:rPr>
        <w:t xml:space="preserve"> MEPSO has an IMS, incorporating quality, environment and health &amp; safety, certified under respective international standards - ISO 9001 (Quality Management System), ISO 14001 (Environmental Management System) and OHSAS 18001 (Occupational Health and Safety Management System), as well as ISO 50001 (Energy Management System). Note: some of these certificates require renewal.</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5C6DFD" w14:textId="137D2C20" w:rsidR="00AB2D8F" w:rsidRDefault="00AB2D8F">
    <w:pPr>
      <w:pStyle w:val="Head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917BC9" w14:textId="3E83AA3B" w:rsidR="00AB2D8F" w:rsidRDefault="00AB2D8F">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AE1F97" w14:textId="5C26724C" w:rsidR="00AB2D8F" w:rsidRDefault="00AB2D8F" w:rsidP="0077048A">
    <w:pPr>
      <w:pStyle w:val="Header"/>
      <w:tabs>
        <w:tab w:val="clear" w:pos="4513"/>
        <w:tab w:val="clear" w:pos="9026"/>
        <w:tab w:val="right" w:pos="9639"/>
      </w:tabs>
      <w:rPr>
        <w:bCs/>
        <w:color w:val="44697D"/>
        <w:sz w:val="18"/>
        <w:szCs w:val="18"/>
      </w:rPr>
    </w:pPr>
    <w:r>
      <w:rPr>
        <w:noProof/>
        <w:lang w:val="mk-MK" w:eastAsia="mk-MK"/>
      </w:rPr>
      <w:drawing>
        <wp:anchor distT="0" distB="0" distL="114300" distR="114300" simplePos="0" relativeHeight="251658277" behindDoc="1" locked="0" layoutInCell="1" allowOverlap="1" wp14:anchorId="5FB2F4A3" wp14:editId="6F5FF8D7">
          <wp:simplePos x="0" y="0"/>
          <wp:positionH relativeFrom="column">
            <wp:posOffset>-951230</wp:posOffset>
          </wp:positionH>
          <wp:positionV relativeFrom="paragraph">
            <wp:posOffset>5080</wp:posOffset>
          </wp:positionV>
          <wp:extent cx="5517515" cy="396240"/>
          <wp:effectExtent l="0" t="0" r="0" b="0"/>
          <wp:wrapTight wrapText="bothSides">
            <wp:wrapPolygon edited="0">
              <wp:start x="2685" y="0"/>
              <wp:lineTo x="2685" y="20769"/>
              <wp:lineTo x="21553" y="20769"/>
              <wp:lineTo x="21553" y="0"/>
              <wp:lineTo x="2685" y="0"/>
            </wp:wrapPolygon>
          </wp:wrapTight>
          <wp:docPr id="25"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a:ln>
                    <a:noFill/>
                  </a:ln>
                </pic:spPr>
              </pic:pic>
            </a:graphicData>
          </a:graphic>
        </wp:anchor>
      </w:drawing>
    </w:r>
    <w:r>
      <w:rPr>
        <w:noProof/>
        <w:lang w:val="mk-MK" w:eastAsia="mk-MK"/>
      </w:rPr>
      <w:drawing>
        <wp:anchor distT="0" distB="0" distL="114300" distR="114300" simplePos="0" relativeHeight="251658278" behindDoc="1" locked="0" layoutInCell="1" allowOverlap="1" wp14:anchorId="4FDA31F6" wp14:editId="00BB8CE7">
          <wp:simplePos x="0" y="0"/>
          <wp:positionH relativeFrom="column">
            <wp:posOffset>4895215</wp:posOffset>
          </wp:positionH>
          <wp:positionV relativeFrom="paragraph">
            <wp:posOffset>-2540</wp:posOffset>
          </wp:positionV>
          <wp:extent cx="1238250" cy="381000"/>
          <wp:effectExtent l="0" t="0" r="0" b="0"/>
          <wp:wrapTight wrapText="bothSides">
            <wp:wrapPolygon edited="0">
              <wp:start x="0" y="0"/>
              <wp:lineTo x="0" y="20520"/>
              <wp:lineTo x="21268" y="20520"/>
              <wp:lineTo x="21268" y="0"/>
              <wp:lineTo x="0" y="0"/>
            </wp:wrapPolygon>
          </wp:wrapTight>
          <wp:docPr id="24" name="Picture 58"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Fonlladosa\Desktop\Hill Consortium Log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a:ln>
                    <a:noFill/>
                  </a:ln>
                </pic:spPr>
              </pic:pic>
            </a:graphicData>
          </a:graphic>
        </wp:anchor>
      </w:drawing>
    </w:r>
    <w:r>
      <w:rPr>
        <w:bCs/>
        <w:color w:val="44697D"/>
        <w:sz w:val="18"/>
        <w:szCs w:val="18"/>
      </w:rPr>
      <w:t xml:space="preserve"> </w:t>
    </w:r>
  </w:p>
  <w:p w14:paraId="52C71A08" w14:textId="77777777" w:rsidR="00AB2D8F" w:rsidRDefault="00AB2D8F" w:rsidP="0077048A">
    <w:pPr>
      <w:pStyle w:val="Header"/>
      <w:tabs>
        <w:tab w:val="clear" w:pos="4513"/>
        <w:tab w:val="clear" w:pos="9026"/>
        <w:tab w:val="right" w:pos="9639"/>
      </w:tabs>
      <w:rPr>
        <w:bCs/>
        <w:color w:val="44697D"/>
        <w:sz w:val="18"/>
        <w:szCs w:val="18"/>
      </w:rPr>
    </w:pPr>
  </w:p>
  <w:p w14:paraId="10AFC1AA" w14:textId="17E45273" w:rsidR="00AB2D8F" w:rsidRPr="006F6DB3" w:rsidRDefault="00AB2D8F" w:rsidP="006F6DB3">
    <w:pPr>
      <w:pStyle w:val="Header"/>
      <w:tabs>
        <w:tab w:val="clear" w:pos="4513"/>
        <w:tab w:val="clear" w:pos="9026"/>
        <w:tab w:val="left" w:pos="1985"/>
        <w:tab w:val="right" w:pos="9639"/>
      </w:tabs>
      <w:rPr>
        <w:color w:val="44697D"/>
      </w:rPr>
    </w:pPr>
    <w:r>
      <w:rPr>
        <w:bCs/>
        <w:color w:val="44697D"/>
        <w:sz w:val="18"/>
        <w:szCs w:val="18"/>
      </w:rPr>
      <w:tab/>
    </w:r>
    <w:r w:rsidRPr="00CD65C4">
      <w:rPr>
        <w:bCs/>
        <w:color w:val="44697D"/>
        <w:sz w:val="18"/>
        <w:szCs w:val="18"/>
      </w:rPr>
      <w:t>Infrastructure Project Facility, Technical Assistance 7, TA2017050 R0 IPA</w:t>
    </w:r>
    <w:r>
      <w:rPr>
        <w:rStyle w:val="PageNumber"/>
        <w:rFonts w:cs="Tahoma"/>
        <w:color w:val="9DBCB0"/>
        <w:spacing w:val="20"/>
        <w:sz w:val="12"/>
        <w:szCs w:val="12"/>
      </w:rPr>
      <w:t xml:space="preserve">   </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546BFE" w14:textId="463A1D52" w:rsidR="00AB2D8F" w:rsidRDefault="00AB2D8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6B0BE2" w14:textId="4412769B" w:rsidR="00AB2D8F" w:rsidRDefault="00AB2D8F" w:rsidP="001A12CC">
    <w:pPr>
      <w:pStyle w:val="Header"/>
      <w:tabs>
        <w:tab w:val="clear" w:pos="4513"/>
        <w:tab w:val="clear" w:pos="9026"/>
        <w:tab w:val="right" w:pos="9639"/>
      </w:tabs>
      <w:rPr>
        <w:color w:val="44697D"/>
      </w:rPr>
    </w:pPr>
    <w:r w:rsidRPr="005F20C3">
      <w:rPr>
        <w:bCs/>
        <w:color w:val="44697D"/>
      </w:rPr>
      <w:t>Infrastructure Project Facility, Technical Assistance 5 (IPF 5)</w:t>
    </w:r>
    <w:r>
      <w:rPr>
        <w:noProof/>
        <w:lang w:val="mk-MK" w:eastAsia="mk-MK"/>
      </w:rPr>
      <w:drawing>
        <wp:anchor distT="0" distB="0" distL="114300" distR="114300" simplePos="0" relativeHeight="251658242" behindDoc="0" locked="0" layoutInCell="1" allowOverlap="1" wp14:anchorId="79694125" wp14:editId="55F531DC">
          <wp:simplePos x="0" y="0"/>
          <wp:positionH relativeFrom="column">
            <wp:posOffset>5518785</wp:posOffset>
          </wp:positionH>
          <wp:positionV relativeFrom="paragraph">
            <wp:posOffset>-93980</wp:posOffset>
          </wp:positionV>
          <wp:extent cx="575945" cy="575945"/>
          <wp:effectExtent l="0" t="0" r="0" b="0"/>
          <wp:wrapNone/>
          <wp:docPr id="899" name="Picture 264" descr="R:\WYG Branding\New WYG Group branding\Logos\WYG_CMYK_large.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R:\WYG Branding\New WYG Group branding\Logos\WYG_CMYK_large.ep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 cy="575945"/>
                  </a:xfrm>
                  <a:prstGeom prst="rect">
                    <a:avLst/>
                  </a:prstGeom>
                  <a:noFill/>
                  <a:ln>
                    <a:noFill/>
                  </a:ln>
                </pic:spPr>
              </pic:pic>
            </a:graphicData>
          </a:graphic>
        </wp:anchor>
      </w:drawing>
    </w:r>
    <w:r>
      <w:rPr>
        <w:bCs/>
        <w:color w:val="44697D"/>
      </w:rPr>
      <w:t xml:space="preserve">, </w:t>
    </w:r>
    <w:r w:rsidRPr="005F20C3">
      <w:rPr>
        <w:bCs/>
        <w:color w:val="44697D"/>
      </w:rPr>
      <w:t>TA2015030 R0 IPA</w:t>
    </w:r>
    <w:r>
      <w:rPr>
        <w:bCs/>
        <w:color w:val="44697D"/>
      </w:rPr>
      <w:t xml:space="preserve"> </w:t>
    </w:r>
  </w:p>
  <w:p w14:paraId="56B3DC7B" w14:textId="77777777" w:rsidR="00AB2D8F" w:rsidRPr="002057C4" w:rsidRDefault="00AB2D8F" w:rsidP="001A12CC">
    <w:pPr>
      <w:pStyle w:val="Header"/>
      <w:tabs>
        <w:tab w:val="clear" w:pos="4513"/>
        <w:tab w:val="clear" w:pos="9026"/>
        <w:tab w:val="right" w:pos="9639"/>
      </w:tabs>
      <w:rPr>
        <w:color w:val="44697D"/>
      </w:rPr>
    </w:pPr>
    <w:r w:rsidRPr="00AA32AF">
      <w:rPr>
        <w:rStyle w:val="PageNumber"/>
        <w:rFonts w:cs="Tahoma"/>
        <w:color w:val="9DBCB0"/>
        <w:spacing w:val="20"/>
        <w:sz w:val="12"/>
        <w:szCs w:val="12"/>
      </w:rPr>
      <w:t>• • • • • • • • • • • • • • • • • • • • • • • • • • • • • • • • • • • • • • • • • • • • • •</w:t>
    </w:r>
    <w:r>
      <w:rPr>
        <w:rStyle w:val="PageNumber"/>
        <w:rFonts w:cs="Tahoma"/>
        <w:color w:val="9DBCB0"/>
        <w:spacing w:val="20"/>
        <w:sz w:val="12"/>
        <w:szCs w:val="12"/>
      </w:rPr>
      <w:t xml:space="preserve"> </w:t>
    </w:r>
    <w:r w:rsidRPr="00AA32AF">
      <w:rPr>
        <w:rStyle w:val="PageNumber"/>
        <w:rFonts w:cs="Tahoma"/>
        <w:color w:val="9DBCB0"/>
        <w:spacing w:val="20"/>
        <w:sz w:val="12"/>
        <w:szCs w:val="12"/>
      </w:rPr>
      <w:t>• • • • • • • • • • • • • • • • • • •</w:t>
    </w:r>
    <w:r>
      <w:rPr>
        <w:rStyle w:val="PageNumber"/>
        <w:rFonts w:cs="Tahoma"/>
        <w:color w:val="9DBCB0"/>
        <w:spacing w:val="20"/>
        <w:sz w:val="12"/>
        <w:szCs w:val="12"/>
      </w:rPr>
      <w:t xml:space="preserve"> </w:t>
    </w:r>
    <w:r w:rsidRPr="00AA32AF">
      <w:rPr>
        <w:rStyle w:val="PageNumber"/>
        <w:rFonts w:cs="Tahoma"/>
        <w:color w:val="9DBCB0"/>
        <w:spacing w:val="20"/>
        <w:sz w:val="12"/>
        <w:szCs w:val="12"/>
      </w:rPr>
      <w:t>• •</w:t>
    </w:r>
    <w:r>
      <w:rPr>
        <w:rStyle w:val="PageNumber"/>
        <w:rFonts w:cs="Tahoma"/>
        <w:color w:val="9DBCB0"/>
        <w:spacing w:val="20"/>
        <w:sz w:val="12"/>
        <w:szCs w:val="12"/>
      </w:rPr>
      <w:t xml:space="preserve"> </w:t>
    </w:r>
    <w:r w:rsidRPr="00AA32AF">
      <w:rPr>
        <w:rStyle w:val="PageNumber"/>
        <w:rFonts w:cs="Tahoma"/>
        <w:color w:val="9DBCB0"/>
        <w:spacing w:val="20"/>
        <w:sz w:val="12"/>
        <w:szCs w:val="12"/>
      </w:rPr>
      <w:t>• • • • •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043E3E" w14:textId="1ED604A7" w:rsidR="00AB2D8F" w:rsidRPr="003E5EF8" w:rsidRDefault="00AB2D8F" w:rsidP="00386FE3">
    <w:pPr>
      <w:pStyle w:val="Heading4"/>
      <w:numPr>
        <w:ilvl w:val="0"/>
        <w:numId w:val="0"/>
      </w:numPr>
      <w:spacing w:before="360" w:after="0"/>
      <w:ind w:left="2268" w:right="-561"/>
      <w:jc w:val="both"/>
      <w:rPr>
        <w:rFonts w:ascii="Arial" w:hAnsi="Arial"/>
        <w:color w:val="auto"/>
        <w:sz w:val="20"/>
        <w:szCs w:val="22"/>
        <w:lang w:val="en-US"/>
      </w:rPr>
    </w:pPr>
    <w:r>
      <w:rPr>
        <w:noProof/>
        <w:lang w:val="mk-MK" w:eastAsia="mk-MK"/>
      </w:rPr>
      <w:drawing>
        <wp:anchor distT="0" distB="0" distL="114300" distR="114300" simplePos="0" relativeHeight="251658248" behindDoc="1" locked="0" layoutInCell="1" allowOverlap="1" wp14:anchorId="3EA34F2C" wp14:editId="1A212F51">
          <wp:simplePos x="0" y="0"/>
          <wp:positionH relativeFrom="column">
            <wp:posOffset>-733425</wp:posOffset>
          </wp:positionH>
          <wp:positionV relativeFrom="paragraph">
            <wp:posOffset>-265430</wp:posOffset>
          </wp:positionV>
          <wp:extent cx="7571740" cy="10704830"/>
          <wp:effectExtent l="0" t="0" r="0" b="0"/>
          <wp:wrapNone/>
          <wp:docPr id="2058"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71740" cy="10704830"/>
                  </a:xfrm>
                  <a:prstGeom prst="rect">
                    <a:avLst/>
                  </a:prstGeom>
                  <a:noFill/>
                  <a:ln>
                    <a:noFill/>
                  </a:ln>
                </pic:spPr>
              </pic:pic>
            </a:graphicData>
          </a:graphic>
        </wp:anchor>
      </w:drawing>
    </w:r>
  </w:p>
  <w:p w14:paraId="1ED4C32B" w14:textId="77777777" w:rsidR="00AB2D8F" w:rsidRPr="003E5EF8" w:rsidRDefault="00AB2D8F" w:rsidP="00386FE3">
    <w:pPr>
      <w:pStyle w:val="Heading4"/>
      <w:numPr>
        <w:ilvl w:val="0"/>
        <w:numId w:val="0"/>
      </w:numPr>
      <w:spacing w:before="360" w:after="0"/>
      <w:ind w:left="2268" w:right="-561"/>
      <w:jc w:val="both"/>
      <w:rPr>
        <w:rFonts w:ascii="Arial" w:hAnsi="Arial"/>
        <w:color w:val="auto"/>
        <w:sz w:val="20"/>
        <w:szCs w:val="22"/>
        <w:lang w:val="en-US"/>
      </w:rPr>
    </w:pPr>
    <w:r w:rsidRPr="003E5EF8">
      <w:rPr>
        <w:noProof/>
        <w:sz w:val="20"/>
        <w:lang w:val="mk-MK" w:eastAsia="mk-MK"/>
      </w:rPr>
      <w:drawing>
        <wp:anchor distT="0" distB="0" distL="114300" distR="114300" simplePos="0" relativeHeight="251658253" behindDoc="0" locked="0" layoutInCell="1" allowOverlap="1" wp14:anchorId="0620F239" wp14:editId="38F9263C">
          <wp:simplePos x="0" y="0"/>
          <wp:positionH relativeFrom="column">
            <wp:posOffset>4890135</wp:posOffset>
          </wp:positionH>
          <wp:positionV relativeFrom="paragraph">
            <wp:posOffset>99695</wp:posOffset>
          </wp:positionV>
          <wp:extent cx="1271270" cy="481330"/>
          <wp:effectExtent l="19050" t="19050" r="5080" b="0"/>
          <wp:wrapNone/>
          <wp:docPr id="2059" name="Picture 215" descr="eib_logo_en_185x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eib_logo_en_185x70"/>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71270" cy="481330"/>
                  </a:xfrm>
                  <a:prstGeom prst="rect">
                    <a:avLst/>
                  </a:prstGeom>
                  <a:solidFill>
                    <a:srgbClr val="FFFFFF"/>
                  </a:solidFill>
                  <a:ln w="9525">
                    <a:solidFill>
                      <a:srgbClr val="FFFF00"/>
                    </a:solidFill>
                    <a:miter lim="800000"/>
                    <a:headEnd/>
                    <a:tailEnd/>
                  </a:ln>
                </pic:spPr>
              </pic:pic>
            </a:graphicData>
          </a:graphic>
        </wp:anchor>
      </w:drawing>
    </w:r>
    <w:r w:rsidRPr="003E5EF8">
      <w:rPr>
        <w:noProof/>
        <w:sz w:val="20"/>
        <w:lang w:val="mk-MK" w:eastAsia="mk-MK"/>
      </w:rPr>
      <w:drawing>
        <wp:anchor distT="0" distB="0" distL="114300" distR="114300" simplePos="0" relativeHeight="251658251" behindDoc="0" locked="0" layoutInCell="1" allowOverlap="1" wp14:anchorId="493CA81C" wp14:editId="370A0B9F">
          <wp:simplePos x="0" y="0"/>
          <wp:positionH relativeFrom="column">
            <wp:posOffset>-91440</wp:posOffset>
          </wp:positionH>
          <wp:positionV relativeFrom="paragraph">
            <wp:posOffset>99695</wp:posOffset>
          </wp:positionV>
          <wp:extent cx="884555" cy="584835"/>
          <wp:effectExtent l="19050" t="19050" r="0" b="5715"/>
          <wp:wrapNone/>
          <wp:docPr id="2060" name="Picture 216" descr="flag_yellow_hig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flag_yellow_high"/>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84555" cy="584835"/>
                  </a:xfrm>
                  <a:prstGeom prst="rect">
                    <a:avLst/>
                  </a:prstGeom>
                  <a:noFill/>
                  <a:ln w="9525">
                    <a:solidFill>
                      <a:srgbClr val="FFFF00"/>
                    </a:solidFill>
                    <a:miter lim="800000"/>
                    <a:headEnd/>
                    <a:tailEnd/>
                  </a:ln>
                </pic:spPr>
              </pic:pic>
            </a:graphicData>
          </a:graphic>
        </wp:anchor>
      </w:drawing>
    </w:r>
  </w:p>
  <w:p w14:paraId="634FF8A6" w14:textId="77777777" w:rsidR="00AB2D8F" w:rsidRPr="003E5EF8" w:rsidRDefault="00AB2D8F" w:rsidP="00386FE3">
    <w:pPr>
      <w:pStyle w:val="Heading4"/>
      <w:numPr>
        <w:ilvl w:val="0"/>
        <w:numId w:val="0"/>
      </w:numPr>
      <w:spacing w:before="360" w:after="0"/>
      <w:ind w:left="2268" w:right="-561"/>
      <w:jc w:val="both"/>
      <w:rPr>
        <w:rFonts w:ascii="Arial" w:hAnsi="Arial"/>
        <w:color w:val="auto"/>
        <w:sz w:val="20"/>
        <w:szCs w:val="22"/>
        <w:lang w:val="en-US"/>
      </w:rPr>
    </w:pPr>
  </w:p>
  <w:p w14:paraId="0E02E2B5" w14:textId="77777777" w:rsidR="00AB2D8F" w:rsidRPr="003E5EF8" w:rsidRDefault="00AB2D8F" w:rsidP="00386FE3">
    <w:pPr>
      <w:pStyle w:val="Heading4"/>
      <w:numPr>
        <w:ilvl w:val="0"/>
        <w:numId w:val="0"/>
      </w:numPr>
      <w:spacing w:before="360" w:after="0"/>
      <w:ind w:left="2268" w:right="-561"/>
      <w:jc w:val="both"/>
      <w:rPr>
        <w:rFonts w:ascii="Arial" w:hAnsi="Arial"/>
        <w:color w:val="auto"/>
        <w:sz w:val="20"/>
        <w:szCs w:val="22"/>
        <w:lang w:val="en-US"/>
      </w:rPr>
    </w:pPr>
  </w:p>
  <w:p w14:paraId="1FBFEA89" w14:textId="77777777" w:rsidR="00AB2D8F" w:rsidRPr="003E5EF8" w:rsidRDefault="00AB2D8F" w:rsidP="00386FE3">
    <w:pPr>
      <w:pStyle w:val="Heading4"/>
      <w:numPr>
        <w:ilvl w:val="0"/>
        <w:numId w:val="0"/>
      </w:numPr>
      <w:spacing w:before="400" w:after="0"/>
      <w:ind w:left="2268" w:right="-561"/>
      <w:jc w:val="both"/>
      <w:rPr>
        <w:rFonts w:ascii="Arial" w:hAnsi="Arial"/>
        <w:color w:val="auto"/>
        <w:sz w:val="20"/>
        <w:szCs w:val="22"/>
        <w:lang w:val="en-US"/>
      </w:rPr>
    </w:pPr>
    <w:r w:rsidRPr="003E5EF8">
      <w:rPr>
        <w:rFonts w:ascii="Arial" w:hAnsi="Arial"/>
        <w:color w:val="auto"/>
        <w:sz w:val="20"/>
        <w:szCs w:val="22"/>
        <w:lang w:val="en-US"/>
      </w:rPr>
      <w:t>Financed under specific grant agreement no. 2017/388-041 from the EU IPA II Multi-Beneficiary Programme for</w:t>
    </w:r>
    <w:r w:rsidRPr="003E5EF8">
      <w:rPr>
        <w:rFonts w:ascii="Arial" w:hAnsi="Arial"/>
        <w:color w:val="auto"/>
        <w:sz w:val="20"/>
        <w:szCs w:val="22"/>
      </w:rPr>
      <w:t xml:space="preserve"> Albania, Bosnia and Herzegovina, North Macedonia, Kosovo*, Montenegro and Serbia</w:t>
    </w:r>
  </w:p>
  <w:p w14:paraId="209546C3" w14:textId="77777777" w:rsidR="00AB2D8F" w:rsidRPr="003A4BF8" w:rsidRDefault="00AB2D8F" w:rsidP="00386FE3">
    <w:pPr>
      <w:pStyle w:val="Heading4"/>
      <w:numPr>
        <w:ilvl w:val="0"/>
        <w:numId w:val="0"/>
      </w:numPr>
      <w:spacing w:before="0" w:after="0"/>
      <w:ind w:left="2268" w:right="-426"/>
      <w:jc w:val="both"/>
      <w:rPr>
        <w:rFonts w:ascii="Arial" w:hAnsi="Arial"/>
        <w:color w:val="auto"/>
        <w:sz w:val="14"/>
        <w:szCs w:val="14"/>
      </w:rPr>
    </w:pPr>
    <w:r w:rsidRPr="003A4BF8">
      <w:rPr>
        <w:rFonts w:ascii="Arial" w:hAnsi="Arial"/>
        <w:color w:val="auto"/>
        <w:sz w:val="14"/>
        <w:szCs w:val="14"/>
      </w:rPr>
      <w:t>* This designation is without prejudice to positions on status and is in line with UNSCR 1244/199 and the ICJ opinion on the Kosovo declaration of independence.</w:t>
    </w:r>
  </w:p>
  <w:p w14:paraId="19C87B23" w14:textId="77777777" w:rsidR="00AB2D8F" w:rsidRDefault="00AB2D8F" w:rsidP="00386FE3">
    <w:pPr>
      <w:pStyle w:val="Header"/>
      <w:ind w:left="2268"/>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0D1D73" w14:textId="6F1E94D8" w:rsidR="00AB2D8F" w:rsidRPr="002057C4" w:rsidRDefault="00AB2D8F" w:rsidP="00D5364E">
    <w:pPr>
      <w:pStyle w:val="Header"/>
      <w:tabs>
        <w:tab w:val="clear" w:pos="4513"/>
        <w:tab w:val="clear" w:pos="9026"/>
        <w:tab w:val="right" w:pos="9639"/>
      </w:tabs>
      <w:rPr>
        <w:color w:val="44697D"/>
      </w:rPr>
    </w:pPr>
    <w:r w:rsidRPr="005F20C3">
      <w:rPr>
        <w:bCs/>
        <w:color w:val="44697D"/>
      </w:rPr>
      <w:t>Infrastructure Project Facility</w:t>
    </w:r>
    <w:r>
      <w:rPr>
        <w:bCs/>
        <w:color w:val="44697D"/>
      </w:rPr>
      <w:t xml:space="preserve">, Technical Assistance 7, </w:t>
    </w:r>
    <w:r w:rsidRPr="001B6344">
      <w:rPr>
        <w:bCs/>
        <w:color w:val="44697D"/>
      </w:rPr>
      <w:t>TA2017050 R0 IPA</w:t>
    </w:r>
    <w:r>
      <w:rPr>
        <w:color w:val="44697D"/>
      </w:rPr>
      <w:t xml:space="preserve">   </w:t>
    </w:r>
    <w:r w:rsidRPr="00674BF9">
      <w:rPr>
        <w:noProof/>
        <w:lang w:val="mk-MK" w:eastAsia="mk-MK"/>
      </w:rPr>
      <w:drawing>
        <wp:inline distT="0" distB="0" distL="0" distR="0" wp14:anchorId="011DA0D3" wp14:editId="68AF6A55">
          <wp:extent cx="1208405" cy="381635"/>
          <wp:effectExtent l="0" t="0" r="0" b="0"/>
          <wp:docPr id="2062"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ll Consortium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8405" cy="381635"/>
                  </a:xfrm>
                  <a:prstGeom prst="rect">
                    <a:avLst/>
                  </a:prstGeom>
                  <a:noFill/>
                  <a:ln>
                    <a:noFill/>
                  </a:ln>
                </pic:spPr>
              </pic:pic>
            </a:graphicData>
          </a:graphic>
        </wp:inline>
      </w:drawing>
    </w:r>
  </w:p>
  <w:p w14:paraId="312F8704" w14:textId="77777777" w:rsidR="00AB2D8F" w:rsidRPr="009F244B" w:rsidRDefault="00AB2D8F" w:rsidP="00D5364E">
    <w:pPr>
      <w:pStyle w:val="Header"/>
    </w:pPr>
  </w:p>
  <w:p w14:paraId="075B6DD0" w14:textId="77777777" w:rsidR="00AB2D8F" w:rsidRDefault="00AB2D8F">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5A14D1" w14:textId="034126F2" w:rsidR="00AB2D8F" w:rsidRDefault="00AB2D8F" w:rsidP="00D5364E">
    <w:pPr>
      <w:pStyle w:val="Header"/>
      <w:tabs>
        <w:tab w:val="clear" w:pos="4513"/>
        <w:tab w:val="clear" w:pos="9026"/>
        <w:tab w:val="right" w:pos="9639"/>
      </w:tabs>
      <w:rPr>
        <w:bCs/>
        <w:color w:val="44697D"/>
        <w:sz w:val="18"/>
        <w:szCs w:val="18"/>
      </w:rPr>
    </w:pPr>
    <w:r>
      <w:rPr>
        <w:noProof/>
        <w:lang w:val="mk-MK" w:eastAsia="mk-MK"/>
      </w:rPr>
      <w:drawing>
        <wp:anchor distT="0" distB="0" distL="114300" distR="114300" simplePos="0" relativeHeight="251658275" behindDoc="0" locked="0" layoutInCell="1" allowOverlap="1" wp14:anchorId="0DDB8C9F" wp14:editId="3AAE755F">
          <wp:simplePos x="0" y="0"/>
          <wp:positionH relativeFrom="column">
            <wp:posOffset>4979670</wp:posOffset>
          </wp:positionH>
          <wp:positionV relativeFrom="paragraph">
            <wp:posOffset>-111125</wp:posOffset>
          </wp:positionV>
          <wp:extent cx="1238250" cy="381000"/>
          <wp:effectExtent l="0" t="0" r="0" b="0"/>
          <wp:wrapSquare wrapText="bothSides"/>
          <wp:docPr id="2063" name="Picture 17"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ill Consortium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a:ln>
                    <a:noFill/>
                  </a:ln>
                </pic:spPr>
              </pic:pic>
            </a:graphicData>
          </a:graphic>
        </wp:anchor>
      </w:drawing>
    </w:r>
    <w:r>
      <w:rPr>
        <w:noProof/>
        <w:lang w:val="mk-MK" w:eastAsia="mk-MK"/>
      </w:rPr>
      <w:drawing>
        <wp:anchor distT="0" distB="0" distL="114300" distR="114300" simplePos="0" relativeHeight="251658274" behindDoc="1" locked="0" layoutInCell="1" allowOverlap="1" wp14:anchorId="51D98D89" wp14:editId="22179A50">
          <wp:simplePos x="0" y="0"/>
          <wp:positionH relativeFrom="column">
            <wp:posOffset>-748665</wp:posOffset>
          </wp:positionH>
          <wp:positionV relativeFrom="paragraph">
            <wp:posOffset>-126365</wp:posOffset>
          </wp:positionV>
          <wp:extent cx="5517515" cy="396240"/>
          <wp:effectExtent l="0" t="0" r="0" b="0"/>
          <wp:wrapNone/>
          <wp:docPr id="206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a:ln>
                    <a:noFill/>
                  </a:ln>
                </pic:spPr>
              </pic:pic>
            </a:graphicData>
          </a:graphic>
        </wp:anchor>
      </w:drawing>
    </w:r>
    <w:r>
      <w:rPr>
        <w:bCs/>
        <w:color w:val="44697D"/>
        <w:sz w:val="18"/>
        <w:szCs w:val="18"/>
      </w:rPr>
      <w:t xml:space="preserve">   </w:t>
    </w:r>
  </w:p>
  <w:p w14:paraId="3BDD5E75" w14:textId="77777777" w:rsidR="00AB2D8F" w:rsidRPr="00552063" w:rsidRDefault="00AB2D8F" w:rsidP="00D5364E">
    <w:pPr>
      <w:pStyle w:val="Header"/>
      <w:tabs>
        <w:tab w:val="clear" w:pos="4513"/>
        <w:tab w:val="clear" w:pos="9026"/>
        <w:tab w:val="right" w:pos="9639"/>
      </w:tabs>
      <w:rPr>
        <w:bCs/>
        <w:color w:val="44697D"/>
        <w:sz w:val="18"/>
        <w:szCs w:val="18"/>
      </w:rPr>
    </w:pPr>
    <w:r>
      <w:rPr>
        <w:bCs/>
        <w:color w:val="44697D"/>
        <w:sz w:val="18"/>
        <w:szCs w:val="18"/>
      </w:rPr>
      <w:t xml:space="preserve">    </w:t>
    </w:r>
    <w:r w:rsidRPr="00552063">
      <w:rPr>
        <w:bCs/>
        <w:color w:val="44697D"/>
        <w:sz w:val="18"/>
        <w:szCs w:val="18"/>
      </w:rPr>
      <w:t>Infrastructure Project Facility, Technical Assistance 7, TA2017050 R0 IPA</w:t>
    </w:r>
    <w:r>
      <w:rPr>
        <w:color w:val="44697D"/>
      </w:rPr>
      <w:t xml:space="preserve">   </w:t>
    </w:r>
  </w:p>
  <w:p w14:paraId="367D81C0" w14:textId="77777777" w:rsidR="00AB2D8F" w:rsidRPr="001B6344" w:rsidRDefault="00AB2D8F" w:rsidP="00D5364E">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252664" w14:textId="135CEDE1" w:rsidR="00AB2D8F" w:rsidRPr="00CD65C4" w:rsidRDefault="00AB2D8F" w:rsidP="00AF70AB">
    <w:pPr>
      <w:pStyle w:val="Header"/>
      <w:tabs>
        <w:tab w:val="right" w:pos="9639"/>
      </w:tabs>
      <w:rPr>
        <w:bCs/>
        <w:color w:val="44697D"/>
      </w:rPr>
    </w:pPr>
    <w:bookmarkStart w:id="0" w:name="_Hlk531347851"/>
    <w:r>
      <w:rPr>
        <w:noProof/>
        <w:lang w:val="mk-MK" w:eastAsia="mk-MK"/>
      </w:rPr>
      <w:drawing>
        <wp:anchor distT="0" distB="0" distL="114300" distR="114300" simplePos="0" relativeHeight="251658273" behindDoc="1" locked="0" layoutInCell="1" allowOverlap="1" wp14:anchorId="238654C8" wp14:editId="736F2F88">
          <wp:simplePos x="0" y="0"/>
          <wp:positionH relativeFrom="column">
            <wp:posOffset>-779780</wp:posOffset>
          </wp:positionH>
          <wp:positionV relativeFrom="paragraph">
            <wp:posOffset>20320</wp:posOffset>
          </wp:positionV>
          <wp:extent cx="5517515" cy="396240"/>
          <wp:effectExtent l="0" t="0" r="0" b="0"/>
          <wp:wrapNone/>
          <wp:docPr id="207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a:ln>
                    <a:noFill/>
                  </a:ln>
                </pic:spPr>
              </pic:pic>
            </a:graphicData>
          </a:graphic>
        </wp:anchor>
      </w:drawing>
    </w:r>
    <w:r>
      <w:rPr>
        <w:bCs/>
        <w:color w:val="44697D"/>
      </w:rPr>
      <w:t xml:space="preserve"> </w:t>
    </w:r>
    <w:r>
      <w:rPr>
        <w:noProof/>
        <w:lang w:val="mk-MK" w:eastAsia="mk-MK"/>
      </w:rPr>
      <w:drawing>
        <wp:anchor distT="0" distB="0" distL="114300" distR="114300" simplePos="0" relativeHeight="251658272" behindDoc="1" locked="0" layoutInCell="1" allowOverlap="1" wp14:anchorId="0B7F5B10" wp14:editId="2FD52298">
          <wp:simplePos x="0" y="0"/>
          <wp:positionH relativeFrom="column">
            <wp:posOffset>4896485</wp:posOffset>
          </wp:positionH>
          <wp:positionV relativeFrom="paragraph">
            <wp:posOffset>35560</wp:posOffset>
          </wp:positionV>
          <wp:extent cx="1238250" cy="381000"/>
          <wp:effectExtent l="0" t="0" r="0" b="0"/>
          <wp:wrapNone/>
          <wp:docPr id="2076" name="Picture 1" descr="Hill Consortiu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ill Consortium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a:ln>
                    <a:noFill/>
                  </a:ln>
                </pic:spPr>
              </pic:pic>
            </a:graphicData>
          </a:graphic>
        </wp:anchor>
      </w:drawing>
    </w:r>
  </w:p>
  <w:p w14:paraId="43F32F87" w14:textId="77777777" w:rsidR="00AB2D8F" w:rsidRDefault="00AB2D8F" w:rsidP="00AF70AB">
    <w:pPr>
      <w:pStyle w:val="Header"/>
      <w:tabs>
        <w:tab w:val="right" w:pos="9639"/>
      </w:tabs>
      <w:rPr>
        <w:bCs/>
        <w:color w:val="44697D"/>
      </w:rPr>
    </w:pPr>
  </w:p>
  <w:p w14:paraId="52DDEF55" w14:textId="63732033" w:rsidR="00AB2D8F" w:rsidRPr="00CD65C4" w:rsidRDefault="00AB2D8F" w:rsidP="00AF70AB">
    <w:pPr>
      <w:pStyle w:val="Header"/>
      <w:tabs>
        <w:tab w:val="right" w:pos="9639"/>
      </w:tabs>
      <w:rPr>
        <w:bCs/>
        <w:color w:val="44697D"/>
        <w:sz w:val="18"/>
        <w:szCs w:val="18"/>
      </w:rPr>
    </w:pPr>
    <w:r>
      <w:rPr>
        <w:bCs/>
        <w:color w:val="44697D"/>
      </w:rPr>
      <w:tab/>
    </w:r>
    <w:r w:rsidRPr="00CD65C4">
      <w:rPr>
        <w:bCs/>
        <w:color w:val="44697D"/>
        <w:sz w:val="18"/>
        <w:szCs w:val="18"/>
      </w:rPr>
      <w:t>Infrastructure Project Facility, Technical Assistance 7, TA2017050 R0 IPA</w:t>
    </w:r>
    <w:bookmarkEnd w:id="0"/>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6FAC81" w14:textId="429355B1" w:rsidR="00AB2D8F" w:rsidRPr="002057C4" w:rsidRDefault="00AB2D8F" w:rsidP="00D5364E">
    <w:pPr>
      <w:pStyle w:val="Header"/>
      <w:tabs>
        <w:tab w:val="clear" w:pos="4513"/>
        <w:tab w:val="clear" w:pos="9026"/>
        <w:tab w:val="right" w:pos="9639"/>
      </w:tabs>
      <w:rPr>
        <w:color w:val="44697D"/>
      </w:rPr>
    </w:pPr>
    <w:r w:rsidRPr="005F20C3">
      <w:rPr>
        <w:bCs/>
        <w:color w:val="44697D"/>
      </w:rPr>
      <w:t>Infrastructure Project Facility</w:t>
    </w:r>
    <w:r>
      <w:rPr>
        <w:bCs/>
        <w:color w:val="44697D"/>
      </w:rPr>
      <w:t xml:space="preserve">, Technical Assistance 7, </w:t>
    </w:r>
    <w:r w:rsidRPr="001B6344">
      <w:rPr>
        <w:bCs/>
        <w:color w:val="44697D"/>
      </w:rPr>
      <w:t>TA2017050 R0 IPA</w:t>
    </w:r>
    <w:r>
      <w:rPr>
        <w:color w:val="44697D"/>
      </w:rPr>
      <w:t xml:space="preserve">   </w:t>
    </w:r>
    <w:r w:rsidRPr="00674BF9">
      <w:rPr>
        <w:noProof/>
        <w:lang w:val="mk-MK" w:eastAsia="mk-MK"/>
      </w:rPr>
      <w:drawing>
        <wp:inline distT="0" distB="0" distL="0" distR="0" wp14:anchorId="64ABEB9A" wp14:editId="327A6536">
          <wp:extent cx="1240155" cy="381635"/>
          <wp:effectExtent l="0" t="0" r="0" b="0"/>
          <wp:docPr id="2079" name="Picture 1"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onlladosa\Desktop\Hill Consortium 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0155" cy="381635"/>
                  </a:xfrm>
                  <a:prstGeom prst="rect">
                    <a:avLst/>
                  </a:prstGeom>
                  <a:noFill/>
                  <a:ln>
                    <a:noFill/>
                  </a:ln>
                </pic:spPr>
              </pic:pic>
            </a:graphicData>
          </a:graphic>
        </wp:inline>
      </w:drawing>
    </w:r>
  </w:p>
  <w:p w14:paraId="3E39913A" w14:textId="77777777" w:rsidR="00AB2D8F" w:rsidRPr="009F244B" w:rsidRDefault="00AB2D8F" w:rsidP="00D5364E">
    <w:pPr>
      <w:pStyle w:val="Header"/>
    </w:pPr>
  </w:p>
  <w:p w14:paraId="41853909" w14:textId="77777777" w:rsidR="00AB2D8F" w:rsidRDefault="00AB2D8F">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ABAC2C" w14:textId="294B3B99" w:rsidR="00AB2D8F" w:rsidRDefault="00AB2D8F" w:rsidP="0077048A">
    <w:pPr>
      <w:pStyle w:val="Header"/>
      <w:tabs>
        <w:tab w:val="clear" w:pos="4513"/>
        <w:tab w:val="clear" w:pos="9026"/>
        <w:tab w:val="right" w:pos="9639"/>
      </w:tabs>
      <w:rPr>
        <w:bCs/>
        <w:color w:val="44697D"/>
        <w:sz w:val="18"/>
        <w:szCs w:val="18"/>
      </w:rPr>
    </w:pPr>
    <w:r>
      <w:rPr>
        <w:noProof/>
        <w:lang w:val="mk-MK" w:eastAsia="mk-MK"/>
      </w:rPr>
      <w:drawing>
        <wp:anchor distT="0" distB="0" distL="114300" distR="114300" simplePos="0" relativeHeight="251658257" behindDoc="1" locked="0" layoutInCell="1" allowOverlap="1" wp14:anchorId="672D140B" wp14:editId="4766E5A1">
          <wp:simplePos x="0" y="0"/>
          <wp:positionH relativeFrom="column">
            <wp:posOffset>-951230</wp:posOffset>
          </wp:positionH>
          <wp:positionV relativeFrom="paragraph">
            <wp:posOffset>5080</wp:posOffset>
          </wp:positionV>
          <wp:extent cx="5517515" cy="396240"/>
          <wp:effectExtent l="0" t="0" r="0" b="0"/>
          <wp:wrapTight wrapText="bothSides">
            <wp:wrapPolygon edited="0">
              <wp:start x="2685" y="0"/>
              <wp:lineTo x="2685" y="20769"/>
              <wp:lineTo x="21553" y="20769"/>
              <wp:lineTo x="21553" y="0"/>
              <wp:lineTo x="2685" y="0"/>
            </wp:wrapPolygon>
          </wp:wrapTight>
          <wp:docPr id="46"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a:ln>
                    <a:noFill/>
                  </a:ln>
                </pic:spPr>
              </pic:pic>
            </a:graphicData>
          </a:graphic>
        </wp:anchor>
      </w:drawing>
    </w:r>
    <w:r>
      <w:rPr>
        <w:noProof/>
        <w:lang w:val="mk-MK" w:eastAsia="mk-MK"/>
      </w:rPr>
      <w:drawing>
        <wp:anchor distT="0" distB="0" distL="114300" distR="114300" simplePos="0" relativeHeight="251658258" behindDoc="1" locked="0" layoutInCell="1" allowOverlap="1" wp14:anchorId="51842016" wp14:editId="54CFDA96">
          <wp:simplePos x="0" y="0"/>
          <wp:positionH relativeFrom="column">
            <wp:posOffset>4895215</wp:posOffset>
          </wp:positionH>
          <wp:positionV relativeFrom="paragraph">
            <wp:posOffset>-2540</wp:posOffset>
          </wp:positionV>
          <wp:extent cx="1238250" cy="381000"/>
          <wp:effectExtent l="0" t="0" r="0" b="0"/>
          <wp:wrapTight wrapText="bothSides">
            <wp:wrapPolygon edited="0">
              <wp:start x="0" y="0"/>
              <wp:lineTo x="0" y="20520"/>
              <wp:lineTo x="21268" y="20520"/>
              <wp:lineTo x="21268" y="0"/>
              <wp:lineTo x="0" y="0"/>
            </wp:wrapPolygon>
          </wp:wrapTight>
          <wp:docPr id="47" name="Picture 241"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descr="C:\Users\Fonlladosa\Desktop\Hill Consortium Log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a:ln>
                    <a:noFill/>
                  </a:ln>
                </pic:spPr>
              </pic:pic>
            </a:graphicData>
          </a:graphic>
        </wp:anchor>
      </w:drawing>
    </w:r>
  </w:p>
  <w:p w14:paraId="38C58AE3" w14:textId="77777777" w:rsidR="00AB2D8F" w:rsidRDefault="00AB2D8F" w:rsidP="0077048A">
    <w:pPr>
      <w:pStyle w:val="Header"/>
      <w:tabs>
        <w:tab w:val="clear" w:pos="4513"/>
        <w:tab w:val="clear" w:pos="9026"/>
        <w:tab w:val="right" w:pos="9639"/>
      </w:tabs>
      <w:rPr>
        <w:bCs/>
        <w:color w:val="44697D"/>
        <w:sz w:val="18"/>
        <w:szCs w:val="18"/>
      </w:rPr>
    </w:pPr>
    <w:r>
      <w:rPr>
        <w:bCs/>
        <w:color w:val="44697D"/>
        <w:sz w:val="18"/>
        <w:szCs w:val="18"/>
      </w:rPr>
      <w:t xml:space="preserve">    </w:t>
    </w:r>
  </w:p>
  <w:p w14:paraId="64A25174" w14:textId="79C03D33" w:rsidR="00AB2D8F" w:rsidRPr="00E344AD" w:rsidRDefault="00AB2D8F" w:rsidP="00E344AD">
    <w:pPr>
      <w:pStyle w:val="Header"/>
      <w:tabs>
        <w:tab w:val="clear" w:pos="4513"/>
        <w:tab w:val="clear" w:pos="9026"/>
        <w:tab w:val="left" w:pos="2127"/>
        <w:tab w:val="right" w:pos="9639"/>
      </w:tabs>
      <w:rPr>
        <w:color w:val="44697D"/>
      </w:rPr>
    </w:pPr>
    <w:r>
      <w:rPr>
        <w:bCs/>
        <w:color w:val="44697D"/>
        <w:sz w:val="18"/>
        <w:szCs w:val="18"/>
      </w:rPr>
      <w:tab/>
    </w:r>
    <w:r w:rsidRPr="00CD65C4">
      <w:rPr>
        <w:bCs/>
        <w:color w:val="44697D"/>
        <w:sz w:val="18"/>
        <w:szCs w:val="18"/>
      </w:rPr>
      <w:t>Infrastructure Project Facility, Technical Assistance 7, TA2017050 R0 IPA</w:t>
    </w:r>
    <w:r>
      <w:rPr>
        <w:rStyle w:val="PageNumber"/>
        <w:rFonts w:cs="Tahoma"/>
        <w:color w:val="9DBCB0"/>
        <w:spacing w:val="20"/>
        <w:sz w:val="12"/>
        <w:szCs w:val="12"/>
      </w:rPr>
      <w:t xml:space="preserve">   </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524855" w14:textId="757FCAC8" w:rsidR="00AB2D8F" w:rsidRDefault="00AB2D8F" w:rsidP="00A15F33">
    <w:pPr>
      <w:pStyle w:val="Header"/>
      <w:tabs>
        <w:tab w:val="clear" w:pos="4513"/>
        <w:tab w:val="clear" w:pos="9026"/>
        <w:tab w:val="right" w:pos="9639"/>
      </w:tabs>
      <w:rPr>
        <w:bCs/>
        <w:color w:val="44697D"/>
        <w:sz w:val="18"/>
        <w:szCs w:val="18"/>
      </w:rPr>
    </w:pPr>
    <w:r>
      <w:rPr>
        <w:noProof/>
        <w:lang w:val="mk-MK" w:eastAsia="mk-MK"/>
      </w:rPr>
      <w:drawing>
        <wp:anchor distT="0" distB="0" distL="114300" distR="114300" simplePos="0" relativeHeight="251658255" behindDoc="1" locked="0" layoutInCell="1" allowOverlap="1" wp14:anchorId="785DE2F4" wp14:editId="44D89ACF">
          <wp:simplePos x="0" y="0"/>
          <wp:positionH relativeFrom="column">
            <wp:posOffset>-951230</wp:posOffset>
          </wp:positionH>
          <wp:positionV relativeFrom="paragraph">
            <wp:posOffset>5080</wp:posOffset>
          </wp:positionV>
          <wp:extent cx="5517515" cy="396240"/>
          <wp:effectExtent l="0" t="0" r="0" b="0"/>
          <wp:wrapTight wrapText="bothSides">
            <wp:wrapPolygon edited="0">
              <wp:start x="2685" y="0"/>
              <wp:lineTo x="2685" y="20769"/>
              <wp:lineTo x="21553" y="20769"/>
              <wp:lineTo x="21553" y="0"/>
              <wp:lineTo x="2685" y="0"/>
            </wp:wrapPolygon>
          </wp:wrapTight>
          <wp:docPr id="55"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517515" cy="396240"/>
                  </a:xfrm>
                  <a:prstGeom prst="rect">
                    <a:avLst/>
                  </a:prstGeom>
                  <a:noFill/>
                  <a:ln>
                    <a:noFill/>
                  </a:ln>
                </pic:spPr>
              </pic:pic>
            </a:graphicData>
          </a:graphic>
        </wp:anchor>
      </w:drawing>
    </w:r>
    <w:r>
      <w:rPr>
        <w:noProof/>
        <w:lang w:val="mk-MK" w:eastAsia="mk-MK"/>
      </w:rPr>
      <w:drawing>
        <wp:anchor distT="0" distB="0" distL="114300" distR="114300" simplePos="0" relativeHeight="251658256" behindDoc="1" locked="0" layoutInCell="1" allowOverlap="1" wp14:anchorId="44B7CDE4" wp14:editId="5A6283BC">
          <wp:simplePos x="0" y="0"/>
          <wp:positionH relativeFrom="column">
            <wp:posOffset>4895215</wp:posOffset>
          </wp:positionH>
          <wp:positionV relativeFrom="paragraph">
            <wp:posOffset>-2540</wp:posOffset>
          </wp:positionV>
          <wp:extent cx="1238250" cy="381000"/>
          <wp:effectExtent l="0" t="0" r="0" b="0"/>
          <wp:wrapTight wrapText="bothSides">
            <wp:wrapPolygon edited="0">
              <wp:start x="0" y="0"/>
              <wp:lineTo x="0" y="20520"/>
              <wp:lineTo x="21268" y="20520"/>
              <wp:lineTo x="21268" y="0"/>
              <wp:lineTo x="0" y="0"/>
            </wp:wrapPolygon>
          </wp:wrapTight>
          <wp:docPr id="56" name="Picture 250" descr="C:\Users\Fonlladosa\Desktop\Hill Consortium 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C:\Users\Fonlladosa\Desktop\Hill Consortium Logo.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38250" cy="381000"/>
                  </a:xfrm>
                  <a:prstGeom prst="rect">
                    <a:avLst/>
                  </a:prstGeom>
                  <a:noFill/>
                  <a:ln>
                    <a:noFill/>
                  </a:ln>
                </pic:spPr>
              </pic:pic>
            </a:graphicData>
          </a:graphic>
        </wp:anchor>
      </w:drawing>
    </w:r>
    <w:r>
      <w:rPr>
        <w:bCs/>
        <w:color w:val="44697D"/>
        <w:sz w:val="18"/>
        <w:szCs w:val="18"/>
      </w:rPr>
      <w:tab/>
    </w:r>
  </w:p>
  <w:p w14:paraId="1C59180D" w14:textId="77777777" w:rsidR="00AB2D8F" w:rsidRDefault="00AB2D8F" w:rsidP="00EB30A8">
    <w:pPr>
      <w:pStyle w:val="Header"/>
      <w:tabs>
        <w:tab w:val="clear" w:pos="4513"/>
        <w:tab w:val="clear" w:pos="9026"/>
        <w:tab w:val="right" w:pos="9639"/>
      </w:tabs>
      <w:rPr>
        <w:bCs/>
        <w:color w:val="44697D"/>
        <w:sz w:val="18"/>
        <w:szCs w:val="18"/>
      </w:rPr>
    </w:pPr>
    <w:r>
      <w:rPr>
        <w:bCs/>
        <w:color w:val="44697D"/>
        <w:sz w:val="18"/>
        <w:szCs w:val="18"/>
      </w:rPr>
      <w:t xml:space="preserve">    </w:t>
    </w:r>
  </w:p>
  <w:p w14:paraId="326E3D12" w14:textId="28362241" w:rsidR="00AB2D8F" w:rsidRPr="00E344AD" w:rsidRDefault="00AB2D8F" w:rsidP="00E344AD">
    <w:pPr>
      <w:pStyle w:val="Header"/>
      <w:tabs>
        <w:tab w:val="clear" w:pos="4513"/>
        <w:tab w:val="clear" w:pos="9026"/>
        <w:tab w:val="left" w:pos="1985"/>
        <w:tab w:val="right" w:pos="9639"/>
      </w:tabs>
      <w:rPr>
        <w:color w:val="44697D"/>
      </w:rPr>
    </w:pPr>
    <w:r>
      <w:rPr>
        <w:bCs/>
        <w:color w:val="44697D"/>
        <w:sz w:val="18"/>
        <w:szCs w:val="18"/>
      </w:rPr>
      <w:tab/>
    </w:r>
    <w:r w:rsidRPr="00CD65C4">
      <w:rPr>
        <w:bCs/>
        <w:color w:val="44697D"/>
        <w:sz w:val="18"/>
        <w:szCs w:val="18"/>
      </w:rPr>
      <w:t>Infrastructure Project Facility, Technical Assistance 7, TA2017050 R0 IPA</w:t>
    </w:r>
    <w:r>
      <w:rPr>
        <w:rStyle w:val="PageNumber"/>
        <w:rFonts w:cs="Tahoma"/>
        <w:color w:val="9DBCB0"/>
        <w:spacing w:val="20"/>
        <w:sz w:val="12"/>
        <w:szCs w:val="12"/>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F"/>
    <w:multiLevelType w:val="singleLevel"/>
    <w:tmpl w:val="81F86506"/>
    <w:lvl w:ilvl="0">
      <w:start w:val="1"/>
      <w:numFmt w:val="decimal"/>
      <w:pStyle w:val="ListNumber2"/>
      <w:lvlText w:val="%1."/>
      <w:lvlJc w:val="left"/>
      <w:pPr>
        <w:tabs>
          <w:tab w:val="num" w:pos="643"/>
        </w:tabs>
        <w:ind w:left="643" w:hanging="360"/>
      </w:pPr>
    </w:lvl>
  </w:abstractNum>
  <w:abstractNum w:abstractNumId="1">
    <w:nsid w:val="FFFFFF80"/>
    <w:multiLevelType w:val="singleLevel"/>
    <w:tmpl w:val="FF1A193E"/>
    <w:lvl w:ilvl="0">
      <w:start w:val="1"/>
      <w:numFmt w:val="bullet"/>
      <w:pStyle w:val="ListBullet5"/>
      <w:lvlText w:val=""/>
      <w:lvlJc w:val="left"/>
      <w:pPr>
        <w:tabs>
          <w:tab w:val="num" w:pos="1800"/>
        </w:tabs>
        <w:ind w:left="1800" w:hanging="360"/>
      </w:pPr>
      <w:rPr>
        <w:rFonts w:ascii="Symbol" w:hAnsi="Symbol" w:hint="default"/>
      </w:rPr>
    </w:lvl>
  </w:abstractNum>
  <w:abstractNum w:abstractNumId="2">
    <w:nsid w:val="FFFFFF89"/>
    <w:multiLevelType w:val="singleLevel"/>
    <w:tmpl w:val="355A327C"/>
    <w:lvl w:ilvl="0">
      <w:start w:val="1"/>
      <w:numFmt w:val="bullet"/>
      <w:lvlText w:val=""/>
      <w:lvlJc w:val="left"/>
      <w:pPr>
        <w:tabs>
          <w:tab w:val="num" w:pos="360"/>
        </w:tabs>
        <w:ind w:left="360" w:hanging="360"/>
      </w:pPr>
      <w:rPr>
        <w:rFonts w:ascii="Symbol" w:hAnsi="Symbol" w:hint="default"/>
      </w:rPr>
    </w:lvl>
  </w:abstractNum>
  <w:abstractNum w:abstractNumId="3">
    <w:nsid w:val="002A7B47"/>
    <w:multiLevelType w:val="singleLevel"/>
    <w:tmpl w:val="5386CE58"/>
    <w:lvl w:ilvl="0">
      <w:start w:val="1"/>
      <w:numFmt w:val="bullet"/>
      <w:pStyle w:val="E1"/>
      <w:lvlText w:val=""/>
      <w:lvlJc w:val="left"/>
      <w:pPr>
        <w:tabs>
          <w:tab w:val="num" w:pos="360"/>
        </w:tabs>
        <w:ind w:left="284" w:hanging="284"/>
      </w:pPr>
      <w:rPr>
        <w:rFonts w:ascii="Symbol" w:hAnsi="Symbol" w:hint="default"/>
      </w:rPr>
    </w:lvl>
  </w:abstractNum>
  <w:abstractNum w:abstractNumId="4">
    <w:nsid w:val="01A013B5"/>
    <w:multiLevelType w:val="hybridMultilevel"/>
    <w:tmpl w:val="88B6135E"/>
    <w:lvl w:ilvl="0" w:tplc="0409001B">
      <w:start w:val="1"/>
      <w:numFmt w:val="bullet"/>
      <w:lvlText w:val=""/>
      <w:lvlJc w:val="left"/>
      <w:pPr>
        <w:ind w:left="720" w:hanging="360"/>
      </w:pPr>
      <w:rPr>
        <w:rFonts w:ascii="Symbol" w:hAnsi="Symbol" w:hint="default"/>
        <w:sz w:val="14"/>
        <w:szCs w:val="14"/>
      </w:rPr>
    </w:lvl>
    <w:lvl w:ilvl="1" w:tplc="04090019" w:tentative="1">
      <w:start w:val="1"/>
      <w:numFmt w:val="bullet"/>
      <w:lvlText w:val="o"/>
      <w:lvlJc w:val="left"/>
      <w:pPr>
        <w:ind w:left="1440" w:hanging="360"/>
      </w:pPr>
      <w:rPr>
        <w:rFonts w:ascii="Courier New" w:hAnsi="Courier New" w:cs="Wingdings"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Wingdings"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Wingdings" w:hint="default"/>
      </w:rPr>
    </w:lvl>
    <w:lvl w:ilvl="8" w:tplc="0409001B" w:tentative="1">
      <w:start w:val="1"/>
      <w:numFmt w:val="bullet"/>
      <w:lvlText w:val=""/>
      <w:lvlJc w:val="left"/>
      <w:pPr>
        <w:ind w:left="6480" w:hanging="360"/>
      </w:pPr>
      <w:rPr>
        <w:rFonts w:ascii="Wingdings" w:hAnsi="Wingdings" w:hint="default"/>
      </w:rPr>
    </w:lvl>
  </w:abstractNum>
  <w:abstractNum w:abstractNumId="5">
    <w:nsid w:val="0452681D"/>
    <w:multiLevelType w:val="multilevel"/>
    <w:tmpl w:val="7E76DD34"/>
    <w:lvl w:ilvl="0">
      <w:start w:val="1"/>
      <w:numFmt w:val="decimal"/>
      <w:lvlText w:val="%1"/>
      <w:lvlJc w:val="left"/>
      <w:pPr>
        <w:ind w:left="792" w:hanging="432"/>
      </w:pPr>
      <w:rPr>
        <w:rFonts w:hint="default"/>
      </w:rPr>
    </w:lvl>
    <w:lvl w:ilvl="1">
      <w:start w:val="1"/>
      <w:numFmt w:val="decimal"/>
      <w:lvlText w:val="%1.%2"/>
      <w:lvlJc w:val="left"/>
      <w:pPr>
        <w:ind w:left="936" w:hanging="576"/>
      </w:pPr>
    </w:lvl>
    <w:lvl w:ilvl="2">
      <w:start w:val="1"/>
      <w:numFmt w:val="decimal"/>
      <w:lvlText w:val="%1.%2.%3"/>
      <w:lvlJc w:val="left"/>
      <w:pPr>
        <w:ind w:left="108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lvlText w:val="%1.%2.%3.%4"/>
      <w:lvlJc w:val="left"/>
      <w:pPr>
        <w:ind w:left="1224" w:hanging="864"/>
      </w:pPr>
    </w:lvl>
    <w:lvl w:ilvl="4">
      <w:start w:val="1"/>
      <w:numFmt w:val="decimal"/>
      <w:pStyle w:val="Heading5"/>
      <w:lvlText w:val="%1.%2.%3.%4.%5"/>
      <w:lvlJc w:val="left"/>
      <w:pPr>
        <w:ind w:left="1368" w:hanging="1008"/>
      </w:pPr>
    </w:lvl>
    <w:lvl w:ilvl="5">
      <w:start w:val="1"/>
      <w:numFmt w:val="decimal"/>
      <w:pStyle w:val="Heading6"/>
      <w:lvlText w:val="%1.%2.%3.%4.%5.%6"/>
      <w:lvlJc w:val="left"/>
      <w:pPr>
        <w:ind w:left="1512" w:hanging="1152"/>
      </w:pPr>
      <w:rPr>
        <w:rFonts w:ascii="Arial" w:hAnsi="Arial" w:cs="Arial" w:hint="default"/>
      </w:rPr>
    </w:lvl>
    <w:lvl w:ilvl="6">
      <w:start w:val="1"/>
      <w:numFmt w:val="decimal"/>
      <w:pStyle w:val="Heading7"/>
      <w:lvlText w:val="%1.%2.%3.%4.%5.%6.%7"/>
      <w:lvlJc w:val="left"/>
      <w:pPr>
        <w:ind w:left="1656" w:hanging="1296"/>
      </w:pPr>
    </w:lvl>
    <w:lvl w:ilvl="7">
      <w:start w:val="1"/>
      <w:numFmt w:val="decimal"/>
      <w:pStyle w:val="Heading8"/>
      <w:lvlText w:val="%1.%2.%3.%4.%5.%6.%7.%8"/>
      <w:lvlJc w:val="left"/>
      <w:pPr>
        <w:ind w:left="1800" w:hanging="1440"/>
      </w:pPr>
    </w:lvl>
    <w:lvl w:ilvl="8">
      <w:start w:val="1"/>
      <w:numFmt w:val="decimal"/>
      <w:pStyle w:val="Heading9"/>
      <w:lvlText w:val="%1.%2.%3.%4.%5.%6.%7.%8.%9"/>
      <w:lvlJc w:val="left"/>
      <w:pPr>
        <w:ind w:left="1944" w:hanging="1584"/>
      </w:pPr>
    </w:lvl>
  </w:abstractNum>
  <w:abstractNum w:abstractNumId="6">
    <w:nsid w:val="05472BFB"/>
    <w:multiLevelType w:val="hybridMultilevel"/>
    <w:tmpl w:val="17EE63DA"/>
    <w:lvl w:ilvl="0" w:tplc="C8D2DC86">
      <w:start w:val="1"/>
      <w:numFmt w:val="lowerLetter"/>
      <w:pStyle w:val="ListLetters"/>
      <w:lvlText w:val="%1)"/>
      <w:lvlJc w:val="left"/>
      <w:pPr>
        <w:ind w:left="720" w:hanging="360"/>
      </w:pPr>
    </w:lvl>
    <w:lvl w:ilvl="1" w:tplc="AFD88972" w:tentative="1">
      <w:start w:val="1"/>
      <w:numFmt w:val="lowerLetter"/>
      <w:lvlText w:val="%2."/>
      <w:lvlJc w:val="left"/>
      <w:pPr>
        <w:ind w:left="1440" w:hanging="360"/>
      </w:pPr>
    </w:lvl>
    <w:lvl w:ilvl="2" w:tplc="5E3EFA9E" w:tentative="1">
      <w:start w:val="1"/>
      <w:numFmt w:val="lowerRoman"/>
      <w:lvlText w:val="%3."/>
      <w:lvlJc w:val="right"/>
      <w:pPr>
        <w:ind w:left="2160" w:hanging="180"/>
      </w:pPr>
    </w:lvl>
    <w:lvl w:ilvl="3" w:tplc="48DEBF4A" w:tentative="1">
      <w:start w:val="1"/>
      <w:numFmt w:val="decimal"/>
      <w:lvlText w:val="%4."/>
      <w:lvlJc w:val="left"/>
      <w:pPr>
        <w:ind w:left="2880" w:hanging="360"/>
      </w:pPr>
    </w:lvl>
    <w:lvl w:ilvl="4" w:tplc="1B18A8BE" w:tentative="1">
      <w:start w:val="1"/>
      <w:numFmt w:val="lowerLetter"/>
      <w:lvlText w:val="%5."/>
      <w:lvlJc w:val="left"/>
      <w:pPr>
        <w:ind w:left="3600" w:hanging="360"/>
      </w:pPr>
    </w:lvl>
    <w:lvl w:ilvl="5" w:tplc="3196B0BA" w:tentative="1">
      <w:start w:val="1"/>
      <w:numFmt w:val="lowerRoman"/>
      <w:lvlText w:val="%6."/>
      <w:lvlJc w:val="right"/>
      <w:pPr>
        <w:ind w:left="4320" w:hanging="180"/>
      </w:pPr>
    </w:lvl>
    <w:lvl w:ilvl="6" w:tplc="47B8DFB6" w:tentative="1">
      <w:start w:val="1"/>
      <w:numFmt w:val="decimal"/>
      <w:lvlText w:val="%7."/>
      <w:lvlJc w:val="left"/>
      <w:pPr>
        <w:ind w:left="5040" w:hanging="360"/>
      </w:pPr>
    </w:lvl>
    <w:lvl w:ilvl="7" w:tplc="EFE84A10" w:tentative="1">
      <w:start w:val="1"/>
      <w:numFmt w:val="lowerLetter"/>
      <w:lvlText w:val="%8."/>
      <w:lvlJc w:val="left"/>
      <w:pPr>
        <w:ind w:left="5760" w:hanging="360"/>
      </w:pPr>
    </w:lvl>
    <w:lvl w:ilvl="8" w:tplc="C50008AC" w:tentative="1">
      <w:start w:val="1"/>
      <w:numFmt w:val="lowerRoman"/>
      <w:lvlText w:val="%9."/>
      <w:lvlJc w:val="right"/>
      <w:pPr>
        <w:ind w:left="6480" w:hanging="180"/>
      </w:pPr>
    </w:lvl>
  </w:abstractNum>
  <w:abstractNum w:abstractNumId="7">
    <w:nsid w:val="06E10A0F"/>
    <w:multiLevelType w:val="multilevel"/>
    <w:tmpl w:val="6988135C"/>
    <w:styleLink w:val="IndentedNumberWorldBank"/>
    <w:lvl w:ilvl="0">
      <w:start w:val="1"/>
      <w:numFmt w:val="lowerRoman"/>
      <w:lvlText w:val="%1)"/>
      <w:lvlJc w:val="left"/>
      <w:pPr>
        <w:tabs>
          <w:tab w:val="num" w:pos="567"/>
        </w:tabs>
        <w:ind w:left="1134" w:hanging="567"/>
      </w:pPr>
      <w:rPr>
        <w:rFonts w:ascii="Tahoma" w:hAnsi="Tahoma" w:hint="default"/>
        <w:sz w:val="20"/>
      </w:rPr>
    </w:lvl>
    <w:lvl w:ilvl="1">
      <w:start w:val="1"/>
      <w:numFmt w:val="lowerLetter"/>
      <w:lvlText w:val="%2)"/>
      <w:lvlJc w:val="left"/>
      <w:pPr>
        <w:ind w:left="1559" w:hanging="425"/>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nsid w:val="07046786"/>
    <w:multiLevelType w:val="hybridMultilevel"/>
    <w:tmpl w:val="C8BA1954"/>
    <w:lvl w:ilvl="0" w:tplc="15CE0792">
      <w:start w:val="2"/>
      <w:numFmt w:val="bullet"/>
      <w:lvlText w:val="-"/>
      <w:lvlJc w:val="left"/>
      <w:pPr>
        <w:ind w:left="1919" w:hanging="360"/>
      </w:pPr>
      <w:rPr>
        <w:rFonts w:ascii="Tahoma" w:eastAsia="Times New Roman" w:hAnsi="Tahoma" w:cs="Tahoma" w:hint="default"/>
      </w:rPr>
    </w:lvl>
    <w:lvl w:ilvl="1" w:tplc="04090003" w:tentative="1">
      <w:start w:val="1"/>
      <w:numFmt w:val="bullet"/>
      <w:lvlText w:val="o"/>
      <w:lvlJc w:val="left"/>
      <w:pPr>
        <w:ind w:left="2639" w:hanging="360"/>
      </w:pPr>
      <w:rPr>
        <w:rFonts w:ascii="Courier New" w:hAnsi="Courier New" w:cs="Courier New" w:hint="default"/>
      </w:rPr>
    </w:lvl>
    <w:lvl w:ilvl="2" w:tplc="04090005" w:tentative="1">
      <w:start w:val="1"/>
      <w:numFmt w:val="bullet"/>
      <w:lvlText w:val=""/>
      <w:lvlJc w:val="left"/>
      <w:pPr>
        <w:ind w:left="3359" w:hanging="360"/>
      </w:pPr>
      <w:rPr>
        <w:rFonts w:ascii="Wingdings" w:hAnsi="Wingdings" w:hint="default"/>
      </w:rPr>
    </w:lvl>
    <w:lvl w:ilvl="3" w:tplc="04090001" w:tentative="1">
      <w:start w:val="1"/>
      <w:numFmt w:val="bullet"/>
      <w:lvlText w:val=""/>
      <w:lvlJc w:val="left"/>
      <w:pPr>
        <w:ind w:left="4079" w:hanging="360"/>
      </w:pPr>
      <w:rPr>
        <w:rFonts w:ascii="Symbol" w:hAnsi="Symbol" w:hint="default"/>
      </w:rPr>
    </w:lvl>
    <w:lvl w:ilvl="4" w:tplc="04090003" w:tentative="1">
      <w:start w:val="1"/>
      <w:numFmt w:val="bullet"/>
      <w:lvlText w:val="o"/>
      <w:lvlJc w:val="left"/>
      <w:pPr>
        <w:ind w:left="4799" w:hanging="360"/>
      </w:pPr>
      <w:rPr>
        <w:rFonts w:ascii="Courier New" w:hAnsi="Courier New" w:cs="Courier New" w:hint="default"/>
      </w:rPr>
    </w:lvl>
    <w:lvl w:ilvl="5" w:tplc="04090005" w:tentative="1">
      <w:start w:val="1"/>
      <w:numFmt w:val="bullet"/>
      <w:lvlText w:val=""/>
      <w:lvlJc w:val="left"/>
      <w:pPr>
        <w:ind w:left="5519" w:hanging="360"/>
      </w:pPr>
      <w:rPr>
        <w:rFonts w:ascii="Wingdings" w:hAnsi="Wingdings" w:hint="default"/>
      </w:rPr>
    </w:lvl>
    <w:lvl w:ilvl="6" w:tplc="04090001" w:tentative="1">
      <w:start w:val="1"/>
      <w:numFmt w:val="bullet"/>
      <w:lvlText w:val=""/>
      <w:lvlJc w:val="left"/>
      <w:pPr>
        <w:ind w:left="6239" w:hanging="360"/>
      </w:pPr>
      <w:rPr>
        <w:rFonts w:ascii="Symbol" w:hAnsi="Symbol" w:hint="default"/>
      </w:rPr>
    </w:lvl>
    <w:lvl w:ilvl="7" w:tplc="04090003" w:tentative="1">
      <w:start w:val="1"/>
      <w:numFmt w:val="bullet"/>
      <w:lvlText w:val="o"/>
      <w:lvlJc w:val="left"/>
      <w:pPr>
        <w:ind w:left="6959" w:hanging="360"/>
      </w:pPr>
      <w:rPr>
        <w:rFonts w:ascii="Courier New" w:hAnsi="Courier New" w:cs="Courier New" w:hint="default"/>
      </w:rPr>
    </w:lvl>
    <w:lvl w:ilvl="8" w:tplc="04090005" w:tentative="1">
      <w:start w:val="1"/>
      <w:numFmt w:val="bullet"/>
      <w:lvlText w:val=""/>
      <w:lvlJc w:val="left"/>
      <w:pPr>
        <w:ind w:left="7679" w:hanging="360"/>
      </w:pPr>
      <w:rPr>
        <w:rFonts w:ascii="Wingdings" w:hAnsi="Wingdings" w:hint="default"/>
      </w:rPr>
    </w:lvl>
  </w:abstractNum>
  <w:abstractNum w:abstractNumId="9">
    <w:nsid w:val="077A122B"/>
    <w:multiLevelType w:val="multilevel"/>
    <w:tmpl w:val="C0121D20"/>
    <w:styleLink w:val="USPList"/>
    <w:lvl w:ilvl="0">
      <w:start w:val="1"/>
      <w:numFmt w:val="decimal"/>
      <w:pStyle w:val="USP"/>
      <w:lvlText w:val="USP %1"/>
      <w:lvlJc w:val="left"/>
      <w:pPr>
        <w:ind w:left="1701" w:hanging="1134"/>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nsid w:val="09F36BFD"/>
    <w:multiLevelType w:val="hybridMultilevel"/>
    <w:tmpl w:val="08E0CC3E"/>
    <w:lvl w:ilvl="0" w:tplc="CB587F1A">
      <w:start w:val="1"/>
      <w:numFmt w:val="lowerRoman"/>
      <w:lvlText w:val="(%1)"/>
      <w:lvlJc w:val="left"/>
      <w:pPr>
        <w:ind w:left="2160" w:hanging="72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11">
    <w:nsid w:val="0AEC2CA7"/>
    <w:multiLevelType w:val="hybridMultilevel"/>
    <w:tmpl w:val="6254A14E"/>
    <w:lvl w:ilvl="0" w:tplc="DD58FA46">
      <w:start w:val="1"/>
      <w:numFmt w:val="bullet"/>
      <w:lvlText w:val="o"/>
      <w:lvlJc w:val="left"/>
      <w:pPr>
        <w:tabs>
          <w:tab w:val="num" w:pos="1440"/>
        </w:tabs>
        <w:ind w:left="1440" w:hanging="360"/>
      </w:pPr>
      <w:rPr>
        <w:rFonts w:ascii="Courier New" w:hAnsi="Courier New" w:cs="Tahoma" w:hint="default"/>
        <w:sz w:val="16"/>
        <w:szCs w:val="16"/>
      </w:rPr>
    </w:lvl>
    <w:lvl w:ilvl="1" w:tplc="04090003">
      <w:start w:val="1"/>
      <w:numFmt w:val="bullet"/>
      <w:lvlText w:val="o"/>
      <w:lvlJc w:val="left"/>
      <w:pPr>
        <w:tabs>
          <w:tab w:val="num" w:pos="1440"/>
        </w:tabs>
        <w:ind w:left="1440" w:hanging="360"/>
      </w:pPr>
      <w:rPr>
        <w:rFonts w:ascii="Courier New" w:hAnsi="Courier New" w:cs="Tahoma" w:hint="default"/>
        <w:sz w:val="16"/>
        <w:szCs w:val="16"/>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Tahoma"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Tahoma"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0B70746E"/>
    <w:multiLevelType w:val="hybridMultilevel"/>
    <w:tmpl w:val="D248B418"/>
    <w:lvl w:ilvl="0" w:tplc="B84E4122">
      <w:start w:val="1"/>
      <w:numFmt w:val="bullet"/>
      <w:lvlText w:val="-"/>
      <w:lvlJc w:val="left"/>
      <w:pPr>
        <w:ind w:left="720" w:hanging="360"/>
      </w:pPr>
      <w:rPr>
        <w:rFonts w:ascii="Arial" w:eastAsia="Calibri" w:hAnsi="Arial" w:cs="Arial" w:hint="default"/>
        <w:sz w:val="14"/>
        <w:szCs w:val="14"/>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13">
    <w:nsid w:val="0C10780D"/>
    <w:multiLevelType w:val="multilevel"/>
    <w:tmpl w:val="CCE050BE"/>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14">
    <w:nsid w:val="0D7C7721"/>
    <w:multiLevelType w:val="hybridMultilevel"/>
    <w:tmpl w:val="D9203BF2"/>
    <w:lvl w:ilvl="0" w:tplc="7E5CF954">
      <w:start w:val="1997"/>
      <w:numFmt w:val="bullet"/>
      <w:lvlText w:val="-"/>
      <w:lvlJc w:val="left"/>
      <w:pPr>
        <w:ind w:left="8296" w:hanging="360"/>
      </w:pPr>
      <w:rPr>
        <w:rFonts w:ascii="Arial" w:eastAsia="Times New Roman" w:hAnsi="Arial" w:cs="Arial" w:hint="default"/>
        <w:sz w:val="16"/>
        <w:szCs w:val="16"/>
      </w:rPr>
    </w:lvl>
    <w:lvl w:ilvl="1" w:tplc="99D89782" w:tentative="1">
      <w:start w:val="1"/>
      <w:numFmt w:val="lowerLetter"/>
      <w:lvlText w:val="%2."/>
      <w:lvlJc w:val="left"/>
      <w:pPr>
        <w:ind w:left="9016" w:hanging="360"/>
      </w:pPr>
      <w:rPr>
        <w:rFonts w:cs="Times New Roman"/>
      </w:rPr>
    </w:lvl>
    <w:lvl w:ilvl="2" w:tplc="EE389084" w:tentative="1">
      <w:start w:val="1"/>
      <w:numFmt w:val="lowerRoman"/>
      <w:lvlText w:val="%3."/>
      <w:lvlJc w:val="right"/>
      <w:pPr>
        <w:ind w:left="9736" w:hanging="180"/>
      </w:pPr>
      <w:rPr>
        <w:rFonts w:cs="Times New Roman"/>
      </w:rPr>
    </w:lvl>
    <w:lvl w:ilvl="3" w:tplc="A52AA52A" w:tentative="1">
      <w:start w:val="1"/>
      <w:numFmt w:val="decimal"/>
      <w:lvlText w:val="%4."/>
      <w:lvlJc w:val="left"/>
      <w:pPr>
        <w:ind w:left="10456" w:hanging="360"/>
      </w:pPr>
      <w:rPr>
        <w:rFonts w:cs="Times New Roman"/>
      </w:rPr>
    </w:lvl>
    <w:lvl w:ilvl="4" w:tplc="DB9EE374" w:tentative="1">
      <w:start w:val="1"/>
      <w:numFmt w:val="lowerLetter"/>
      <w:lvlText w:val="%5."/>
      <w:lvlJc w:val="left"/>
      <w:pPr>
        <w:ind w:left="11176" w:hanging="360"/>
      </w:pPr>
      <w:rPr>
        <w:rFonts w:cs="Times New Roman"/>
      </w:rPr>
    </w:lvl>
    <w:lvl w:ilvl="5" w:tplc="6E229DB6" w:tentative="1">
      <w:start w:val="1"/>
      <w:numFmt w:val="lowerRoman"/>
      <w:lvlText w:val="%6."/>
      <w:lvlJc w:val="right"/>
      <w:pPr>
        <w:ind w:left="11896" w:hanging="180"/>
      </w:pPr>
      <w:rPr>
        <w:rFonts w:cs="Times New Roman"/>
      </w:rPr>
    </w:lvl>
    <w:lvl w:ilvl="6" w:tplc="B8507BB2" w:tentative="1">
      <w:start w:val="1"/>
      <w:numFmt w:val="decimal"/>
      <w:lvlText w:val="%7."/>
      <w:lvlJc w:val="left"/>
      <w:pPr>
        <w:ind w:left="12616" w:hanging="360"/>
      </w:pPr>
      <w:rPr>
        <w:rFonts w:cs="Times New Roman"/>
      </w:rPr>
    </w:lvl>
    <w:lvl w:ilvl="7" w:tplc="ED964152" w:tentative="1">
      <w:start w:val="1"/>
      <w:numFmt w:val="lowerLetter"/>
      <w:lvlText w:val="%8."/>
      <w:lvlJc w:val="left"/>
      <w:pPr>
        <w:ind w:left="13336" w:hanging="360"/>
      </w:pPr>
      <w:rPr>
        <w:rFonts w:cs="Times New Roman"/>
      </w:rPr>
    </w:lvl>
    <w:lvl w:ilvl="8" w:tplc="76C4AA02" w:tentative="1">
      <w:start w:val="1"/>
      <w:numFmt w:val="lowerRoman"/>
      <w:lvlText w:val="%9."/>
      <w:lvlJc w:val="right"/>
      <w:pPr>
        <w:ind w:left="14056" w:hanging="180"/>
      </w:pPr>
      <w:rPr>
        <w:rFonts w:cs="Times New Roman"/>
      </w:rPr>
    </w:lvl>
  </w:abstractNum>
  <w:abstractNum w:abstractNumId="15">
    <w:nsid w:val="0D936E26"/>
    <w:multiLevelType w:val="multilevel"/>
    <w:tmpl w:val="08785D38"/>
    <w:lvl w:ilvl="0">
      <w:start w:val="1"/>
      <w:numFmt w:val="lowerRoman"/>
      <w:pStyle w:val="ListNumber"/>
      <w:lvlText w:val="%1."/>
      <w:lvlJc w:val="left"/>
      <w:pPr>
        <w:tabs>
          <w:tab w:val="num" w:pos="643"/>
        </w:tabs>
        <w:ind w:left="1210" w:hanging="567"/>
      </w:pPr>
      <w:rPr>
        <w:rFonts w:ascii="Tahoma" w:hAnsi="Tahoma" w:hint="default"/>
        <w:sz w:val="20"/>
      </w:rPr>
    </w:lvl>
    <w:lvl w:ilvl="1">
      <w:start w:val="1"/>
      <w:numFmt w:val="lowerLetter"/>
      <w:lvlText w:val="%2)"/>
      <w:lvlJc w:val="left"/>
      <w:pPr>
        <w:ind w:left="1635" w:hanging="425"/>
      </w:pPr>
      <w:rPr>
        <w:rFonts w:hint="default"/>
      </w:rPr>
    </w:lvl>
    <w:lvl w:ilvl="2">
      <w:start w:val="1"/>
      <w:numFmt w:val="lowerRoman"/>
      <w:lvlText w:val="%3)"/>
      <w:lvlJc w:val="left"/>
      <w:pPr>
        <w:ind w:left="1156" w:hanging="360"/>
      </w:pPr>
      <w:rPr>
        <w:rFonts w:hint="default"/>
      </w:rPr>
    </w:lvl>
    <w:lvl w:ilvl="3">
      <w:start w:val="1"/>
      <w:numFmt w:val="decimal"/>
      <w:lvlText w:val="(%4)"/>
      <w:lvlJc w:val="left"/>
      <w:pPr>
        <w:ind w:left="1516" w:hanging="360"/>
      </w:pPr>
      <w:rPr>
        <w:rFonts w:hint="default"/>
      </w:rPr>
    </w:lvl>
    <w:lvl w:ilvl="4">
      <w:start w:val="1"/>
      <w:numFmt w:val="lowerLetter"/>
      <w:lvlText w:val="(%5)"/>
      <w:lvlJc w:val="left"/>
      <w:pPr>
        <w:ind w:left="1876" w:hanging="360"/>
      </w:pPr>
      <w:rPr>
        <w:rFonts w:hint="default"/>
      </w:rPr>
    </w:lvl>
    <w:lvl w:ilvl="5">
      <w:start w:val="1"/>
      <w:numFmt w:val="lowerRoman"/>
      <w:lvlText w:val="(%6)"/>
      <w:lvlJc w:val="left"/>
      <w:pPr>
        <w:ind w:left="2236" w:hanging="360"/>
      </w:pPr>
      <w:rPr>
        <w:rFonts w:hint="default"/>
      </w:rPr>
    </w:lvl>
    <w:lvl w:ilvl="6">
      <w:start w:val="1"/>
      <w:numFmt w:val="decimal"/>
      <w:lvlText w:val="%7."/>
      <w:lvlJc w:val="left"/>
      <w:pPr>
        <w:ind w:left="2596" w:hanging="360"/>
      </w:pPr>
      <w:rPr>
        <w:rFonts w:hint="default"/>
      </w:rPr>
    </w:lvl>
    <w:lvl w:ilvl="7">
      <w:start w:val="1"/>
      <w:numFmt w:val="lowerLetter"/>
      <w:lvlText w:val="%8."/>
      <w:lvlJc w:val="left"/>
      <w:pPr>
        <w:ind w:left="2956" w:hanging="360"/>
      </w:pPr>
      <w:rPr>
        <w:rFonts w:hint="default"/>
      </w:rPr>
    </w:lvl>
    <w:lvl w:ilvl="8">
      <w:start w:val="1"/>
      <w:numFmt w:val="lowerRoman"/>
      <w:lvlText w:val="%9."/>
      <w:lvlJc w:val="left"/>
      <w:pPr>
        <w:ind w:left="3316" w:hanging="360"/>
      </w:pPr>
      <w:rPr>
        <w:rFonts w:hint="default"/>
      </w:rPr>
    </w:lvl>
  </w:abstractNum>
  <w:abstractNum w:abstractNumId="16">
    <w:nsid w:val="0EB432FA"/>
    <w:multiLevelType w:val="hybridMultilevel"/>
    <w:tmpl w:val="F08E1204"/>
    <w:lvl w:ilvl="0" w:tplc="04EC548E">
      <w:numFmt w:val="bullet"/>
      <w:lvlText w:val="-"/>
      <w:lvlJc w:val="left"/>
      <w:pPr>
        <w:ind w:left="720" w:hanging="360"/>
      </w:pPr>
      <w:rPr>
        <w:rFonts w:ascii="Verdana" w:eastAsia="Times New Roman" w:hAnsi="Verdan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F351ACD"/>
    <w:multiLevelType w:val="hybridMultilevel"/>
    <w:tmpl w:val="EAE278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6D819E2"/>
    <w:multiLevelType w:val="multilevel"/>
    <w:tmpl w:val="225EBBB0"/>
    <w:lvl w:ilvl="0">
      <w:start w:val="1"/>
      <w:numFmt w:val="bullet"/>
      <w:pStyle w:val="Bullet1"/>
      <w:lvlText w:val=""/>
      <w:lvlJc w:val="left"/>
      <w:pPr>
        <w:tabs>
          <w:tab w:val="num" w:pos="284"/>
        </w:tabs>
        <w:ind w:left="284" w:hanging="284"/>
      </w:pPr>
      <w:rPr>
        <w:rFonts w:ascii="Wingdings 2" w:hAnsi="Wingdings 2" w:cs="Times New Roman" w:hint="default"/>
        <w:color w:val="auto"/>
        <w:sz w:val="20"/>
        <w:szCs w:val="24"/>
      </w:rPr>
    </w:lvl>
    <w:lvl w:ilvl="1">
      <w:start w:val="1"/>
      <w:numFmt w:val="bullet"/>
      <w:pStyle w:val="Bullet2"/>
      <w:lvlText w:val=""/>
      <w:lvlJc w:val="left"/>
      <w:pPr>
        <w:tabs>
          <w:tab w:val="num" w:pos="567"/>
        </w:tabs>
        <w:ind w:left="567" w:hanging="283"/>
      </w:pPr>
      <w:rPr>
        <w:rFonts w:ascii="Symbol" w:hAnsi="Symbol" w:cs="Times New Roman" w:hint="default"/>
        <w:color w:val="auto"/>
        <w:szCs w:val="24"/>
      </w:rPr>
    </w:lvl>
    <w:lvl w:ilvl="2">
      <w:start w:val="1"/>
      <w:numFmt w:val="bullet"/>
      <w:pStyle w:val="Bullet3"/>
      <w:lvlText w:val=""/>
      <w:lvlJc w:val="left"/>
      <w:pPr>
        <w:tabs>
          <w:tab w:val="num" w:pos="851"/>
        </w:tabs>
        <w:ind w:left="851" w:hanging="284"/>
      </w:pPr>
      <w:rPr>
        <w:rFonts w:ascii="Symbol" w:hAnsi="Symbol" w:cs="Times New Roman" w:hint="default"/>
        <w:color w:val="auto"/>
        <w:szCs w:val="24"/>
      </w:rPr>
    </w:lvl>
    <w:lvl w:ilvl="3">
      <w:start w:val="1"/>
      <w:numFmt w:val="bullet"/>
      <w:lvlText w:val=""/>
      <w:lvlJc w:val="left"/>
      <w:pPr>
        <w:tabs>
          <w:tab w:val="num" w:pos="1440"/>
        </w:tabs>
        <w:ind w:left="1440" w:hanging="360"/>
      </w:pPr>
      <w:rPr>
        <w:rFonts w:ascii="Symbol" w:hAnsi="Symbol" w:cs="Times New Roman"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9">
    <w:nsid w:val="17AF5A8E"/>
    <w:multiLevelType w:val="hybridMultilevel"/>
    <w:tmpl w:val="974810EE"/>
    <w:lvl w:ilvl="0" w:tplc="042F0017">
      <w:start w:val="1"/>
      <w:numFmt w:val="lowerLetter"/>
      <w:lvlText w:val="%1)"/>
      <w:lvlJc w:val="left"/>
      <w:pPr>
        <w:ind w:left="720" w:hanging="360"/>
      </w:p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20">
    <w:nsid w:val="187D2118"/>
    <w:multiLevelType w:val="multilevel"/>
    <w:tmpl w:val="0800695E"/>
    <w:lvl w:ilvl="0">
      <w:start w:val="5"/>
      <w:numFmt w:val="decimal"/>
      <w:lvlText w:val="%1."/>
      <w:lvlJc w:val="left"/>
      <w:pPr>
        <w:ind w:left="1152" w:hanging="720"/>
      </w:pPr>
      <w:rPr>
        <w:rFonts w:hint="default"/>
      </w:rPr>
    </w:lvl>
    <w:lvl w:ilvl="1">
      <w:start w:val="1"/>
      <w:numFmt w:val="decimal"/>
      <w:isLgl/>
      <w:lvlText w:val="%1.%2"/>
      <w:lvlJc w:val="left"/>
      <w:pPr>
        <w:ind w:left="1797" w:hanging="720"/>
      </w:pPr>
      <w:rPr>
        <w:rFonts w:hint="default"/>
      </w:rPr>
    </w:lvl>
    <w:lvl w:ilvl="2">
      <w:start w:val="1"/>
      <w:numFmt w:val="decimal"/>
      <w:isLgl/>
      <w:lvlText w:val="%1.%2.%3"/>
      <w:lvlJc w:val="left"/>
      <w:pPr>
        <w:ind w:left="2802" w:hanging="1080"/>
      </w:pPr>
      <w:rPr>
        <w:rFonts w:hint="default"/>
      </w:rPr>
    </w:lvl>
    <w:lvl w:ilvl="3">
      <w:start w:val="1"/>
      <w:numFmt w:val="decimal"/>
      <w:isLgl/>
      <w:lvlText w:val="%1.%2.%3.%4"/>
      <w:lvlJc w:val="left"/>
      <w:pPr>
        <w:ind w:left="3807" w:hanging="1440"/>
      </w:pPr>
      <w:rPr>
        <w:rFonts w:hint="default"/>
      </w:rPr>
    </w:lvl>
    <w:lvl w:ilvl="4">
      <w:start w:val="1"/>
      <w:numFmt w:val="decimal"/>
      <w:isLgl/>
      <w:lvlText w:val="%1.%2.%3.%4.%5"/>
      <w:lvlJc w:val="left"/>
      <w:pPr>
        <w:ind w:left="4812" w:hanging="1800"/>
      </w:pPr>
      <w:rPr>
        <w:rFonts w:hint="default"/>
      </w:rPr>
    </w:lvl>
    <w:lvl w:ilvl="5">
      <w:start w:val="1"/>
      <w:numFmt w:val="decimal"/>
      <w:isLgl/>
      <w:lvlText w:val="%1.%2.%3.%4.%5.%6"/>
      <w:lvlJc w:val="left"/>
      <w:pPr>
        <w:ind w:left="5817" w:hanging="2160"/>
      </w:pPr>
      <w:rPr>
        <w:rFonts w:hint="default"/>
      </w:rPr>
    </w:lvl>
    <w:lvl w:ilvl="6">
      <w:start w:val="1"/>
      <w:numFmt w:val="decimal"/>
      <w:isLgl/>
      <w:lvlText w:val="%1.%2.%3.%4.%5.%6.%7"/>
      <w:lvlJc w:val="left"/>
      <w:pPr>
        <w:ind w:left="6462" w:hanging="2160"/>
      </w:pPr>
      <w:rPr>
        <w:rFonts w:hint="default"/>
      </w:rPr>
    </w:lvl>
    <w:lvl w:ilvl="7">
      <w:start w:val="1"/>
      <w:numFmt w:val="decimal"/>
      <w:isLgl/>
      <w:lvlText w:val="%1.%2.%3.%4.%5.%6.%7.%8"/>
      <w:lvlJc w:val="left"/>
      <w:pPr>
        <w:ind w:left="7467" w:hanging="2520"/>
      </w:pPr>
      <w:rPr>
        <w:rFonts w:hint="default"/>
      </w:rPr>
    </w:lvl>
    <w:lvl w:ilvl="8">
      <w:start w:val="1"/>
      <w:numFmt w:val="decimal"/>
      <w:isLgl/>
      <w:lvlText w:val="%1.%2.%3.%4.%5.%6.%7.%8.%9"/>
      <w:lvlJc w:val="left"/>
      <w:pPr>
        <w:ind w:left="8472" w:hanging="2880"/>
      </w:pPr>
      <w:rPr>
        <w:rFonts w:hint="default"/>
      </w:rPr>
    </w:lvl>
  </w:abstractNum>
  <w:abstractNum w:abstractNumId="21">
    <w:nsid w:val="193650FF"/>
    <w:multiLevelType w:val="hybridMultilevel"/>
    <w:tmpl w:val="C5DC355A"/>
    <w:lvl w:ilvl="0" w:tplc="45286066">
      <w:start w:val="4"/>
      <w:numFmt w:val="bullet"/>
      <w:lvlText w:val="-"/>
      <w:lvlJc w:val="left"/>
      <w:pPr>
        <w:ind w:left="720" w:hanging="360"/>
      </w:pPr>
      <w:rPr>
        <w:rFonts w:ascii="Tahoma" w:eastAsiaTheme="minorHAnsi"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B0D7A83"/>
    <w:multiLevelType w:val="multilevel"/>
    <w:tmpl w:val="13028FC8"/>
    <w:styleLink w:val="CowiNumberList"/>
    <w:lvl w:ilvl="0">
      <w:start w:val="1"/>
      <w:numFmt w:val="decimal"/>
      <w:lvlText w:val="%1"/>
      <w:lvlJc w:val="left"/>
      <w:pPr>
        <w:ind w:left="425" w:hanging="425"/>
      </w:pPr>
    </w:lvl>
    <w:lvl w:ilvl="1">
      <w:start w:val="1"/>
      <w:numFmt w:val="decimal"/>
      <w:lvlText w:val="%1.%2"/>
      <w:lvlJc w:val="left"/>
      <w:pPr>
        <w:ind w:left="851" w:hanging="426"/>
      </w:pPr>
    </w:lvl>
    <w:lvl w:ilvl="2">
      <w:start w:val="1"/>
      <w:numFmt w:val="lowerLetter"/>
      <w:lvlText w:val="%3)"/>
      <w:lvlJc w:val="left"/>
      <w:pPr>
        <w:ind w:left="1276" w:hanging="425"/>
      </w:pPr>
    </w:lvl>
    <w:lvl w:ilvl="3">
      <w:start w:val="1"/>
      <w:numFmt w:val="lowerRoman"/>
      <w:lvlText w:val="%4)"/>
      <w:lvlJc w:val="left"/>
      <w:pPr>
        <w:ind w:left="1701" w:hanging="425"/>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nsid w:val="1CAE6EE5"/>
    <w:multiLevelType w:val="hybridMultilevel"/>
    <w:tmpl w:val="523C5D50"/>
    <w:lvl w:ilvl="0" w:tplc="BE0C4DEA">
      <w:start w:val="1"/>
      <w:numFmt w:val="bullet"/>
      <w:lvlText w:val=""/>
      <w:lvlJc w:val="left"/>
      <w:pPr>
        <w:ind w:left="720" w:hanging="360"/>
      </w:pPr>
      <w:rPr>
        <w:rFonts w:ascii="Symbol" w:hAnsi="Symbol" w:hint="default"/>
        <w:sz w:val="14"/>
        <w:szCs w:val="1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1D6D1414"/>
    <w:multiLevelType w:val="multilevel"/>
    <w:tmpl w:val="04060023"/>
    <w:styleLink w:val="ArticleSection"/>
    <w:lvl w:ilvl="0">
      <w:start w:val="1"/>
      <w:numFmt w:val="upperRoman"/>
      <w:lvlText w:val="Article %1."/>
      <w:lvlJc w:val="left"/>
      <w:pPr>
        <w:tabs>
          <w:tab w:val="num" w:pos="1440"/>
        </w:tabs>
      </w:pPr>
      <w:rPr>
        <w:rFonts w:cs="Times New Roman"/>
      </w:rPr>
    </w:lvl>
    <w:lvl w:ilvl="1">
      <w:start w:val="1"/>
      <w:numFmt w:val="decimalZero"/>
      <w:isLgl/>
      <w:lvlText w:val="Section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25">
    <w:nsid w:val="20B0470B"/>
    <w:multiLevelType w:val="multilevel"/>
    <w:tmpl w:val="AFC6B012"/>
    <w:styleLink w:val="KeyIssues"/>
    <w:lvl w:ilvl="0">
      <w:start w:val="1"/>
      <w:numFmt w:val="decimal"/>
      <w:lvlText w:val="Key Issue %1"/>
      <w:lvlJc w:val="left"/>
      <w:pPr>
        <w:tabs>
          <w:tab w:val="num" w:pos="567"/>
        </w:tabs>
        <w:ind w:left="2835" w:hanging="2268"/>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nsid w:val="218C22E3"/>
    <w:multiLevelType w:val="multilevel"/>
    <w:tmpl w:val="4DA64058"/>
    <w:lvl w:ilvl="0">
      <w:start w:val="1"/>
      <w:numFmt w:val="decimal"/>
      <w:pStyle w:val="Genus"/>
      <w:lvlText w:val="%1."/>
      <w:lvlJc w:val="left"/>
      <w:pPr>
        <w:tabs>
          <w:tab w:val="num" w:pos="360"/>
        </w:tabs>
        <w:ind w:left="360" w:hanging="360"/>
      </w:pPr>
      <w:rPr>
        <w:rFonts w:hint="default"/>
      </w:rPr>
    </w:lvl>
    <w:lvl w:ilvl="1">
      <w:start w:val="1"/>
      <w:numFmt w:val="decimal"/>
      <w:lvlText w:val="%1.%2."/>
      <w:lvlJc w:val="left"/>
      <w:pPr>
        <w:tabs>
          <w:tab w:val="num" w:pos="1588"/>
        </w:tabs>
        <w:ind w:left="1588" w:hanging="737"/>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2411"/>
        </w:tabs>
        <w:ind w:left="2127" w:hanging="567"/>
      </w:pPr>
      <w:rPr>
        <w:rFonts w:hint="default"/>
        <w:b w:val="0"/>
        <w:i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7">
    <w:nsid w:val="21B37F6E"/>
    <w:multiLevelType w:val="multilevel"/>
    <w:tmpl w:val="CCE050BE"/>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28">
    <w:nsid w:val="246D2452"/>
    <w:multiLevelType w:val="hybridMultilevel"/>
    <w:tmpl w:val="474EDCE6"/>
    <w:lvl w:ilvl="0" w:tplc="F8BE1260">
      <w:start w:val="75"/>
      <w:numFmt w:val="bullet"/>
      <w:lvlText w:val="-"/>
      <w:lvlJc w:val="left"/>
      <w:pPr>
        <w:ind w:left="720" w:hanging="360"/>
      </w:pPr>
      <w:rPr>
        <w:rFonts w:ascii="Calibri" w:eastAsiaTheme="minorHAnsi" w:hAnsi="Calibri" w:cstheme="minorBidi" w:hint="default"/>
        <w:sz w:val="14"/>
        <w:szCs w:val="14"/>
      </w:rPr>
    </w:lvl>
    <w:lvl w:ilvl="1" w:tplc="588AFE48" w:tentative="1">
      <w:start w:val="1"/>
      <w:numFmt w:val="bullet"/>
      <w:lvlText w:val="o"/>
      <w:lvlJc w:val="left"/>
      <w:pPr>
        <w:ind w:left="1440" w:hanging="360"/>
      </w:pPr>
      <w:rPr>
        <w:rFonts w:ascii="Courier New" w:hAnsi="Courier New" w:cs="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Wingdings"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Wingdings"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257004BB"/>
    <w:multiLevelType w:val="hybridMultilevel"/>
    <w:tmpl w:val="4F6EA60E"/>
    <w:lvl w:ilvl="0" w:tplc="BEFC4B84">
      <w:start w:val="1"/>
      <w:numFmt w:val="bullet"/>
      <w:pStyle w:val="ListBullet4"/>
      <w:lvlText w:val=""/>
      <w:lvlJc w:val="left"/>
      <w:pPr>
        <w:ind w:left="360" w:hanging="360"/>
      </w:pPr>
      <w:rPr>
        <w:rFonts w:ascii="Wingdings" w:hAnsi="Wingdings" w:hint="default"/>
        <w:color w:val="9DBCB0"/>
        <w:sz w:val="24"/>
      </w:rPr>
    </w:lvl>
    <w:lvl w:ilvl="1" w:tplc="73BEDEFE" w:tentative="1">
      <w:start w:val="1"/>
      <w:numFmt w:val="bullet"/>
      <w:lvlText w:val="o"/>
      <w:lvlJc w:val="left"/>
      <w:pPr>
        <w:ind w:left="1080" w:hanging="360"/>
      </w:pPr>
      <w:rPr>
        <w:rFonts w:ascii="Courier New" w:hAnsi="Courier New" w:cs="Courier New" w:hint="default"/>
      </w:rPr>
    </w:lvl>
    <w:lvl w:ilvl="2" w:tplc="6240A4CC" w:tentative="1">
      <w:start w:val="1"/>
      <w:numFmt w:val="bullet"/>
      <w:lvlText w:val=""/>
      <w:lvlJc w:val="left"/>
      <w:pPr>
        <w:ind w:left="1800" w:hanging="360"/>
      </w:pPr>
      <w:rPr>
        <w:rFonts w:ascii="Wingdings" w:hAnsi="Wingdings" w:hint="default"/>
      </w:rPr>
    </w:lvl>
    <w:lvl w:ilvl="3" w:tplc="C8A4F5A8" w:tentative="1">
      <w:start w:val="1"/>
      <w:numFmt w:val="bullet"/>
      <w:lvlText w:val=""/>
      <w:lvlJc w:val="left"/>
      <w:pPr>
        <w:ind w:left="2520" w:hanging="360"/>
      </w:pPr>
      <w:rPr>
        <w:rFonts w:ascii="Symbol" w:hAnsi="Symbol" w:hint="default"/>
      </w:rPr>
    </w:lvl>
    <w:lvl w:ilvl="4" w:tplc="E500EB6E" w:tentative="1">
      <w:start w:val="1"/>
      <w:numFmt w:val="bullet"/>
      <w:lvlText w:val="o"/>
      <w:lvlJc w:val="left"/>
      <w:pPr>
        <w:ind w:left="3240" w:hanging="360"/>
      </w:pPr>
      <w:rPr>
        <w:rFonts w:ascii="Courier New" w:hAnsi="Courier New" w:cs="Courier New" w:hint="default"/>
      </w:rPr>
    </w:lvl>
    <w:lvl w:ilvl="5" w:tplc="6E866EF6" w:tentative="1">
      <w:start w:val="1"/>
      <w:numFmt w:val="bullet"/>
      <w:lvlText w:val=""/>
      <w:lvlJc w:val="left"/>
      <w:pPr>
        <w:ind w:left="3960" w:hanging="360"/>
      </w:pPr>
      <w:rPr>
        <w:rFonts w:ascii="Wingdings" w:hAnsi="Wingdings" w:hint="default"/>
      </w:rPr>
    </w:lvl>
    <w:lvl w:ilvl="6" w:tplc="559807E8" w:tentative="1">
      <w:start w:val="1"/>
      <w:numFmt w:val="bullet"/>
      <w:lvlText w:val=""/>
      <w:lvlJc w:val="left"/>
      <w:pPr>
        <w:ind w:left="4680" w:hanging="360"/>
      </w:pPr>
      <w:rPr>
        <w:rFonts w:ascii="Symbol" w:hAnsi="Symbol" w:hint="default"/>
      </w:rPr>
    </w:lvl>
    <w:lvl w:ilvl="7" w:tplc="9506B342" w:tentative="1">
      <w:start w:val="1"/>
      <w:numFmt w:val="bullet"/>
      <w:lvlText w:val="o"/>
      <w:lvlJc w:val="left"/>
      <w:pPr>
        <w:ind w:left="5400" w:hanging="360"/>
      </w:pPr>
      <w:rPr>
        <w:rFonts w:ascii="Courier New" w:hAnsi="Courier New" w:cs="Courier New" w:hint="default"/>
      </w:rPr>
    </w:lvl>
    <w:lvl w:ilvl="8" w:tplc="657261BE" w:tentative="1">
      <w:start w:val="1"/>
      <w:numFmt w:val="bullet"/>
      <w:lvlText w:val=""/>
      <w:lvlJc w:val="left"/>
      <w:pPr>
        <w:ind w:left="6120" w:hanging="360"/>
      </w:pPr>
      <w:rPr>
        <w:rFonts w:ascii="Wingdings" w:hAnsi="Wingdings" w:hint="default"/>
      </w:rPr>
    </w:lvl>
  </w:abstractNum>
  <w:abstractNum w:abstractNumId="30">
    <w:nsid w:val="26B22441"/>
    <w:multiLevelType w:val="hybridMultilevel"/>
    <w:tmpl w:val="6CB49F6A"/>
    <w:lvl w:ilvl="0" w:tplc="DB921DB8">
      <w:start w:val="140"/>
      <w:numFmt w:val="decimal"/>
      <w:lvlText w:val="%1"/>
      <w:lvlJc w:val="left"/>
      <w:pPr>
        <w:ind w:left="720" w:hanging="36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31">
    <w:nsid w:val="273E42A5"/>
    <w:multiLevelType w:val="hybridMultilevel"/>
    <w:tmpl w:val="50E25C18"/>
    <w:lvl w:ilvl="0" w:tplc="1F6CBE4C">
      <w:start w:val="1"/>
      <w:numFmt w:val="lowerLetter"/>
      <w:pStyle w:val="Lista"/>
      <w:lvlText w:val="%1)"/>
      <w:lvlJc w:val="left"/>
      <w:pPr>
        <w:ind w:left="360" w:hanging="360"/>
      </w:pPr>
      <w:rPr>
        <w:rFonts w:hint="default"/>
      </w:rPr>
    </w:lvl>
    <w:lvl w:ilvl="1" w:tplc="04090019">
      <w:start w:val="1"/>
      <w:numFmt w:val="bullet"/>
      <w:lvlText w:val="o"/>
      <w:lvlJc w:val="left"/>
      <w:pPr>
        <w:ind w:left="1080" w:hanging="360"/>
      </w:pPr>
      <w:rPr>
        <w:rFonts w:ascii="Courier New" w:hAnsi="Courier New" w:cs="Courier New" w:hint="default"/>
      </w:rPr>
    </w:lvl>
    <w:lvl w:ilvl="2" w:tplc="0409001B" w:tentative="1">
      <w:start w:val="1"/>
      <w:numFmt w:val="bullet"/>
      <w:lvlText w:val=""/>
      <w:lvlJc w:val="left"/>
      <w:pPr>
        <w:ind w:left="1800" w:hanging="360"/>
      </w:pPr>
      <w:rPr>
        <w:rFonts w:ascii="Wingdings" w:hAnsi="Wingdings" w:hint="default"/>
      </w:rPr>
    </w:lvl>
    <w:lvl w:ilvl="3" w:tplc="0409000F" w:tentative="1">
      <w:start w:val="1"/>
      <w:numFmt w:val="bullet"/>
      <w:lvlText w:val=""/>
      <w:lvlJc w:val="left"/>
      <w:pPr>
        <w:ind w:left="2520" w:hanging="360"/>
      </w:pPr>
      <w:rPr>
        <w:rFonts w:ascii="Symbol" w:hAnsi="Symbol" w:hint="default"/>
      </w:rPr>
    </w:lvl>
    <w:lvl w:ilvl="4" w:tplc="04090019" w:tentative="1">
      <w:start w:val="1"/>
      <w:numFmt w:val="bullet"/>
      <w:lvlText w:val="o"/>
      <w:lvlJc w:val="left"/>
      <w:pPr>
        <w:ind w:left="3240" w:hanging="360"/>
      </w:pPr>
      <w:rPr>
        <w:rFonts w:ascii="Courier New" w:hAnsi="Courier New" w:cs="Courier New" w:hint="default"/>
      </w:rPr>
    </w:lvl>
    <w:lvl w:ilvl="5" w:tplc="0409001B" w:tentative="1">
      <w:start w:val="1"/>
      <w:numFmt w:val="bullet"/>
      <w:lvlText w:val=""/>
      <w:lvlJc w:val="left"/>
      <w:pPr>
        <w:ind w:left="3960" w:hanging="360"/>
      </w:pPr>
      <w:rPr>
        <w:rFonts w:ascii="Wingdings" w:hAnsi="Wingdings" w:hint="default"/>
      </w:rPr>
    </w:lvl>
    <w:lvl w:ilvl="6" w:tplc="0409000F" w:tentative="1">
      <w:start w:val="1"/>
      <w:numFmt w:val="bullet"/>
      <w:lvlText w:val=""/>
      <w:lvlJc w:val="left"/>
      <w:pPr>
        <w:ind w:left="4680" w:hanging="360"/>
      </w:pPr>
      <w:rPr>
        <w:rFonts w:ascii="Symbol" w:hAnsi="Symbol" w:hint="default"/>
      </w:rPr>
    </w:lvl>
    <w:lvl w:ilvl="7" w:tplc="04090019" w:tentative="1">
      <w:start w:val="1"/>
      <w:numFmt w:val="bullet"/>
      <w:lvlText w:val="o"/>
      <w:lvlJc w:val="left"/>
      <w:pPr>
        <w:ind w:left="5400" w:hanging="360"/>
      </w:pPr>
      <w:rPr>
        <w:rFonts w:ascii="Courier New" w:hAnsi="Courier New" w:cs="Courier New" w:hint="default"/>
      </w:rPr>
    </w:lvl>
    <w:lvl w:ilvl="8" w:tplc="0409001B" w:tentative="1">
      <w:start w:val="1"/>
      <w:numFmt w:val="bullet"/>
      <w:lvlText w:val=""/>
      <w:lvlJc w:val="left"/>
      <w:pPr>
        <w:ind w:left="6120" w:hanging="360"/>
      </w:pPr>
      <w:rPr>
        <w:rFonts w:ascii="Wingdings" w:hAnsi="Wingdings" w:hint="default"/>
      </w:rPr>
    </w:lvl>
  </w:abstractNum>
  <w:abstractNum w:abstractNumId="32">
    <w:nsid w:val="29DE5D64"/>
    <w:multiLevelType w:val="hybridMultilevel"/>
    <w:tmpl w:val="413AB0C6"/>
    <w:lvl w:ilvl="0" w:tplc="56544144">
      <w:start w:val="1"/>
      <w:numFmt w:val="bullet"/>
      <w:lvlText w:val=""/>
      <w:lvlJc w:val="left"/>
      <w:pPr>
        <w:tabs>
          <w:tab w:val="num" w:pos="1440"/>
        </w:tabs>
        <w:ind w:left="144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Symbo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Symbo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nsid w:val="2A5952C3"/>
    <w:multiLevelType w:val="hybridMultilevel"/>
    <w:tmpl w:val="74BCF616"/>
    <w:lvl w:ilvl="0" w:tplc="5C50F2B2">
      <w:start w:val="1"/>
      <w:numFmt w:val="lowerLetter"/>
      <w:pStyle w:val="ListNumber5"/>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4">
    <w:nsid w:val="2AED07B3"/>
    <w:multiLevelType w:val="hybridMultilevel"/>
    <w:tmpl w:val="16DE90DA"/>
    <w:lvl w:ilvl="0" w:tplc="B84E4122">
      <w:start w:val="1"/>
      <w:numFmt w:val="bullet"/>
      <w:lvlText w:val="-"/>
      <w:lvlJc w:val="left"/>
      <w:pPr>
        <w:ind w:left="720" w:hanging="360"/>
      </w:pPr>
      <w:rPr>
        <w:rFonts w:ascii="Arial" w:eastAsia="Calibri" w:hAnsi="Arial" w:cs="Arial" w:hint="default"/>
        <w:sz w:val="14"/>
        <w:szCs w:val="14"/>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35">
    <w:nsid w:val="2AF532C1"/>
    <w:multiLevelType w:val="hybridMultilevel"/>
    <w:tmpl w:val="A28C6E50"/>
    <w:lvl w:ilvl="0" w:tplc="0409000D">
      <w:start w:val="1"/>
      <w:numFmt w:val="bullet"/>
      <w:lvlText w:val=""/>
      <w:lvlJc w:val="left"/>
      <w:pPr>
        <w:ind w:left="720" w:hanging="360"/>
      </w:pPr>
      <w:rPr>
        <w:rFonts w:ascii="Symbol" w:hAnsi="Symbol" w:hint="default"/>
        <w:sz w:val="16"/>
        <w:szCs w:val="16"/>
      </w:rPr>
    </w:lvl>
    <w:lvl w:ilvl="1" w:tplc="04090003">
      <w:start w:val="1"/>
      <w:numFmt w:val="bullet"/>
      <w:lvlText w:val=""/>
      <w:lvlJc w:val="left"/>
      <w:pPr>
        <w:ind w:left="1440" w:hanging="360"/>
      </w:pPr>
      <w:rPr>
        <w:rFonts w:ascii="Symbol" w:hAnsi="Symbol" w:hint="default"/>
        <w:sz w:val="16"/>
        <w:szCs w:val="16"/>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2C6A11C0"/>
    <w:multiLevelType w:val="hybridMultilevel"/>
    <w:tmpl w:val="2D6607FC"/>
    <w:lvl w:ilvl="0" w:tplc="7E5CF954">
      <w:start w:val="1997"/>
      <w:numFmt w:val="bullet"/>
      <w:lvlText w:val="-"/>
      <w:lvlJc w:val="left"/>
      <w:pPr>
        <w:ind w:left="720" w:hanging="360"/>
      </w:pPr>
      <w:rPr>
        <w:rFonts w:ascii="Arial" w:eastAsia="Times New Roman" w:hAnsi="Arial" w:cs="Arial" w:hint="default"/>
        <w:sz w:val="16"/>
        <w:szCs w:val="16"/>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37">
    <w:nsid w:val="2DBE10CB"/>
    <w:multiLevelType w:val="hybridMultilevel"/>
    <w:tmpl w:val="C4D22FDA"/>
    <w:lvl w:ilvl="0" w:tplc="13C26BEA">
      <w:start w:val="1"/>
      <w:numFmt w:val="decimal"/>
      <w:lvlText w:val="%1."/>
      <w:lvlJc w:val="left"/>
      <w:pPr>
        <w:ind w:left="1494" w:hanging="360"/>
      </w:pPr>
      <w:rPr>
        <w:rFonts w:cs="Arial" w:hint="default"/>
        <w:b w:val="0"/>
      </w:rPr>
    </w:lvl>
    <w:lvl w:ilvl="1" w:tplc="042F0019" w:tentative="1">
      <w:start w:val="1"/>
      <w:numFmt w:val="lowerLetter"/>
      <w:lvlText w:val="%2."/>
      <w:lvlJc w:val="left"/>
      <w:pPr>
        <w:ind w:left="2214" w:hanging="360"/>
      </w:pPr>
    </w:lvl>
    <w:lvl w:ilvl="2" w:tplc="042F001B" w:tentative="1">
      <w:start w:val="1"/>
      <w:numFmt w:val="lowerRoman"/>
      <w:lvlText w:val="%3."/>
      <w:lvlJc w:val="right"/>
      <w:pPr>
        <w:ind w:left="2934" w:hanging="180"/>
      </w:pPr>
    </w:lvl>
    <w:lvl w:ilvl="3" w:tplc="042F000F" w:tentative="1">
      <w:start w:val="1"/>
      <w:numFmt w:val="decimal"/>
      <w:lvlText w:val="%4."/>
      <w:lvlJc w:val="left"/>
      <w:pPr>
        <w:ind w:left="3654" w:hanging="360"/>
      </w:pPr>
    </w:lvl>
    <w:lvl w:ilvl="4" w:tplc="042F0019" w:tentative="1">
      <w:start w:val="1"/>
      <w:numFmt w:val="lowerLetter"/>
      <w:lvlText w:val="%5."/>
      <w:lvlJc w:val="left"/>
      <w:pPr>
        <w:ind w:left="4374" w:hanging="360"/>
      </w:pPr>
    </w:lvl>
    <w:lvl w:ilvl="5" w:tplc="042F001B" w:tentative="1">
      <w:start w:val="1"/>
      <w:numFmt w:val="lowerRoman"/>
      <w:lvlText w:val="%6."/>
      <w:lvlJc w:val="right"/>
      <w:pPr>
        <w:ind w:left="5094" w:hanging="180"/>
      </w:pPr>
    </w:lvl>
    <w:lvl w:ilvl="6" w:tplc="042F000F" w:tentative="1">
      <w:start w:val="1"/>
      <w:numFmt w:val="decimal"/>
      <w:lvlText w:val="%7."/>
      <w:lvlJc w:val="left"/>
      <w:pPr>
        <w:ind w:left="5814" w:hanging="360"/>
      </w:pPr>
    </w:lvl>
    <w:lvl w:ilvl="7" w:tplc="042F0019" w:tentative="1">
      <w:start w:val="1"/>
      <w:numFmt w:val="lowerLetter"/>
      <w:lvlText w:val="%8."/>
      <w:lvlJc w:val="left"/>
      <w:pPr>
        <w:ind w:left="6534" w:hanging="360"/>
      </w:pPr>
    </w:lvl>
    <w:lvl w:ilvl="8" w:tplc="042F001B" w:tentative="1">
      <w:start w:val="1"/>
      <w:numFmt w:val="lowerRoman"/>
      <w:lvlText w:val="%9."/>
      <w:lvlJc w:val="right"/>
      <w:pPr>
        <w:ind w:left="7254" w:hanging="180"/>
      </w:pPr>
    </w:lvl>
  </w:abstractNum>
  <w:abstractNum w:abstractNumId="38">
    <w:nsid w:val="2E6B7725"/>
    <w:multiLevelType w:val="hybridMultilevel"/>
    <w:tmpl w:val="5254F3FE"/>
    <w:lvl w:ilvl="0" w:tplc="6C4639D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2F866261"/>
    <w:multiLevelType w:val="hybridMultilevel"/>
    <w:tmpl w:val="9AA0615A"/>
    <w:lvl w:ilvl="0" w:tplc="329AAA1C">
      <w:start w:val="1"/>
      <w:numFmt w:val="decimal"/>
      <w:lvlText w:val="(%1)"/>
      <w:lvlJc w:val="left"/>
      <w:pPr>
        <w:ind w:left="1815" w:hanging="375"/>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40">
    <w:nsid w:val="2FFA4267"/>
    <w:multiLevelType w:val="hybridMultilevel"/>
    <w:tmpl w:val="9D428528"/>
    <w:lvl w:ilvl="0" w:tplc="DA1CF528">
      <w:start w:val="1"/>
      <w:numFmt w:val="decimal"/>
      <w:lvlText w:val="(%1)"/>
      <w:lvlJc w:val="left"/>
      <w:pPr>
        <w:ind w:left="502" w:hanging="360"/>
      </w:pPr>
      <w:rPr>
        <w:rFonts w:hint="default"/>
      </w:rPr>
    </w:lvl>
    <w:lvl w:ilvl="1" w:tplc="042F0019">
      <w:start w:val="1"/>
      <w:numFmt w:val="lowerLetter"/>
      <w:lvlText w:val="%2."/>
      <w:lvlJc w:val="left"/>
      <w:pPr>
        <w:ind w:left="1222" w:hanging="360"/>
      </w:pPr>
    </w:lvl>
    <w:lvl w:ilvl="2" w:tplc="042F001B" w:tentative="1">
      <w:start w:val="1"/>
      <w:numFmt w:val="lowerRoman"/>
      <w:lvlText w:val="%3."/>
      <w:lvlJc w:val="right"/>
      <w:pPr>
        <w:ind w:left="1942" w:hanging="180"/>
      </w:pPr>
    </w:lvl>
    <w:lvl w:ilvl="3" w:tplc="042F000F" w:tentative="1">
      <w:start w:val="1"/>
      <w:numFmt w:val="decimal"/>
      <w:lvlText w:val="%4."/>
      <w:lvlJc w:val="left"/>
      <w:pPr>
        <w:ind w:left="2662" w:hanging="360"/>
      </w:pPr>
    </w:lvl>
    <w:lvl w:ilvl="4" w:tplc="042F0019" w:tentative="1">
      <w:start w:val="1"/>
      <w:numFmt w:val="lowerLetter"/>
      <w:lvlText w:val="%5."/>
      <w:lvlJc w:val="left"/>
      <w:pPr>
        <w:ind w:left="3382" w:hanging="360"/>
      </w:pPr>
    </w:lvl>
    <w:lvl w:ilvl="5" w:tplc="042F001B" w:tentative="1">
      <w:start w:val="1"/>
      <w:numFmt w:val="lowerRoman"/>
      <w:lvlText w:val="%6."/>
      <w:lvlJc w:val="right"/>
      <w:pPr>
        <w:ind w:left="4102" w:hanging="180"/>
      </w:pPr>
    </w:lvl>
    <w:lvl w:ilvl="6" w:tplc="042F000F" w:tentative="1">
      <w:start w:val="1"/>
      <w:numFmt w:val="decimal"/>
      <w:lvlText w:val="%7."/>
      <w:lvlJc w:val="left"/>
      <w:pPr>
        <w:ind w:left="4822" w:hanging="360"/>
      </w:pPr>
    </w:lvl>
    <w:lvl w:ilvl="7" w:tplc="042F0019" w:tentative="1">
      <w:start w:val="1"/>
      <w:numFmt w:val="lowerLetter"/>
      <w:lvlText w:val="%8."/>
      <w:lvlJc w:val="left"/>
      <w:pPr>
        <w:ind w:left="5542" w:hanging="360"/>
      </w:pPr>
    </w:lvl>
    <w:lvl w:ilvl="8" w:tplc="042F001B" w:tentative="1">
      <w:start w:val="1"/>
      <w:numFmt w:val="lowerRoman"/>
      <w:lvlText w:val="%9."/>
      <w:lvlJc w:val="right"/>
      <w:pPr>
        <w:ind w:left="6262" w:hanging="180"/>
      </w:pPr>
    </w:lvl>
  </w:abstractNum>
  <w:abstractNum w:abstractNumId="41">
    <w:nsid w:val="32F50F3B"/>
    <w:multiLevelType w:val="hybridMultilevel"/>
    <w:tmpl w:val="7ED07E2C"/>
    <w:lvl w:ilvl="0" w:tplc="D75EE27E">
      <w:start w:val="1"/>
      <w:numFmt w:val="decimal"/>
      <w:lvlText w:val="(%1)"/>
      <w:lvlJc w:val="left"/>
      <w:pPr>
        <w:ind w:left="1080" w:hanging="360"/>
      </w:pPr>
      <w:rPr>
        <w:rFonts w:hint="default"/>
      </w:rPr>
    </w:lvl>
    <w:lvl w:ilvl="1" w:tplc="CB587F1A">
      <w:start w:val="1"/>
      <w:numFmt w:val="lowerRoman"/>
      <w:lvlText w:val="(%2)"/>
      <w:lvlJc w:val="left"/>
      <w:pPr>
        <w:ind w:left="2160" w:hanging="72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337604B0"/>
    <w:multiLevelType w:val="multilevel"/>
    <w:tmpl w:val="611AAAD8"/>
    <w:styleLink w:val="Recommnendation"/>
    <w:lvl w:ilvl="0">
      <w:start w:val="1"/>
      <w:numFmt w:val="decimal"/>
      <w:pStyle w:val="Recommendation"/>
      <w:lvlText w:val="Recommendation %1"/>
      <w:lvlJc w:val="left"/>
      <w:pPr>
        <w:ind w:left="2268" w:hanging="1701"/>
      </w:pPr>
      <w:rPr>
        <w:rFonts w:ascii="Tahoma" w:hAnsi="Tahoma" w:hint="default"/>
        <w:b/>
        <w:i/>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3">
    <w:nsid w:val="34EC794F"/>
    <w:multiLevelType w:val="hybridMultilevel"/>
    <w:tmpl w:val="1E0885E0"/>
    <w:lvl w:ilvl="0" w:tplc="04090017">
      <w:start w:val="1"/>
      <w:numFmt w:val="bullet"/>
      <w:lvlText w:val=""/>
      <w:lvlJc w:val="left"/>
      <w:pPr>
        <w:ind w:left="720" w:hanging="360"/>
      </w:pPr>
      <w:rPr>
        <w:rFonts w:ascii="Symbol" w:hAnsi="Symbol" w:hint="default"/>
        <w:sz w:val="16"/>
        <w:szCs w:val="16"/>
      </w:rPr>
    </w:lvl>
    <w:lvl w:ilvl="1" w:tplc="04090019">
      <w:numFmt w:val="bullet"/>
      <w:lvlText w:val=""/>
      <w:lvlJc w:val="left"/>
      <w:pPr>
        <w:ind w:left="1440" w:hanging="360"/>
      </w:pPr>
      <w:rPr>
        <w:rFonts w:ascii="Symbol" w:eastAsia="Times New Roman" w:hAnsi="Symbol" w:cs="OpenSymbol"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Symbol"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Symbol" w:hint="default"/>
      </w:rPr>
    </w:lvl>
    <w:lvl w:ilvl="8" w:tplc="0409001B" w:tentative="1">
      <w:start w:val="1"/>
      <w:numFmt w:val="bullet"/>
      <w:lvlText w:val=""/>
      <w:lvlJc w:val="left"/>
      <w:pPr>
        <w:ind w:left="6480" w:hanging="360"/>
      </w:pPr>
      <w:rPr>
        <w:rFonts w:ascii="Wingdings" w:hAnsi="Wingdings" w:hint="default"/>
      </w:rPr>
    </w:lvl>
  </w:abstractNum>
  <w:abstractNum w:abstractNumId="44">
    <w:nsid w:val="35802255"/>
    <w:multiLevelType w:val="hybridMultilevel"/>
    <w:tmpl w:val="EA86A088"/>
    <w:lvl w:ilvl="0" w:tplc="E714A04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35BB0362"/>
    <w:multiLevelType w:val="hybridMultilevel"/>
    <w:tmpl w:val="D4F0A100"/>
    <w:styleLink w:val="CurrentList11"/>
    <w:lvl w:ilvl="0" w:tplc="820A4462">
      <w:start w:val="1"/>
      <w:numFmt w:val="decimal"/>
      <w:lvlText w:val="%1."/>
      <w:lvlJc w:val="left"/>
      <w:pPr>
        <w:ind w:left="1429" w:hanging="360"/>
      </w:pPr>
      <w:rPr>
        <w:rFonts w:hint="default"/>
      </w:rPr>
    </w:lvl>
    <w:lvl w:ilvl="1" w:tplc="04090003">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46">
    <w:nsid w:val="35E30CF2"/>
    <w:multiLevelType w:val="hybridMultilevel"/>
    <w:tmpl w:val="FAC630A8"/>
    <w:lvl w:ilvl="0" w:tplc="2C08AADE">
      <w:start w:val="1"/>
      <w:numFmt w:val="bullet"/>
      <w:pStyle w:val="1209Bullets1"/>
      <w:lvlText w:val=""/>
      <w:lvlJc w:val="left"/>
      <w:pPr>
        <w:tabs>
          <w:tab w:val="num" w:pos="2350"/>
        </w:tabs>
        <w:ind w:left="2350" w:hanging="360"/>
      </w:pPr>
      <w:rPr>
        <w:rFonts w:ascii="Symbol" w:hAnsi="Symbol" w:hint="default"/>
        <w:color w:val="auto"/>
        <w:sz w:val="22"/>
      </w:rPr>
    </w:lvl>
    <w:lvl w:ilvl="1" w:tplc="226873D2">
      <w:start w:val="1"/>
      <w:numFmt w:val="bullet"/>
      <w:pStyle w:val="1209Bullets2"/>
      <w:lvlText w:val="o"/>
      <w:lvlJc w:val="left"/>
      <w:pPr>
        <w:tabs>
          <w:tab w:val="num" w:pos="1440"/>
        </w:tabs>
        <w:ind w:left="1440" w:hanging="360"/>
      </w:pPr>
      <w:rPr>
        <w:rFonts w:ascii="Courier New" w:hAnsi="Courier New" w:cs="Courier New" w:hint="default"/>
      </w:rPr>
    </w:lvl>
    <w:lvl w:ilvl="2" w:tplc="6D408B56">
      <w:start w:val="1"/>
      <w:numFmt w:val="bullet"/>
      <w:pStyle w:val="1209Bullets3"/>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47">
    <w:nsid w:val="35F95C3E"/>
    <w:multiLevelType w:val="multilevel"/>
    <w:tmpl w:val="EE2489A4"/>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080" w:hanging="720"/>
      </w:pPr>
      <w:rPr>
        <w:rFonts w:ascii="Tahoma" w:hAnsi="Tahoma" w:cs="Tahoma" w:hint="default"/>
      </w:rPr>
    </w:lvl>
    <w:lvl w:ilvl="2">
      <w:start w:val="1"/>
      <w:numFmt w:val="decimal"/>
      <w:pStyle w:val="Heading3"/>
      <w:isLgl/>
      <w:lvlText w:val="%1.%2.%3"/>
      <w:lvlJc w:val="left"/>
      <w:pPr>
        <w:ind w:left="1440" w:hanging="108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pStyle w:val="Heading4"/>
      <w:isLgl/>
      <w:lvlText w:val="%1.%2.%3.%4"/>
      <w:lvlJc w:val="left"/>
      <w:pPr>
        <w:ind w:left="1800" w:hanging="1440"/>
      </w:pPr>
      <w:rPr>
        <w:rFonts w:hint="default"/>
      </w:rPr>
    </w:lvl>
    <w:lvl w:ilvl="4">
      <w:start w:val="1"/>
      <w:numFmt w:val="decimal"/>
      <w:isLgl/>
      <w:lvlText w:val="%1.%2.%3.%4.%5"/>
      <w:lvlJc w:val="left"/>
      <w:pPr>
        <w:ind w:left="2160" w:hanging="1800"/>
      </w:pPr>
      <w:rPr>
        <w:rFonts w:hint="default"/>
      </w:rPr>
    </w:lvl>
    <w:lvl w:ilvl="5">
      <w:start w:val="1"/>
      <w:numFmt w:val="decimal"/>
      <w:isLgl/>
      <w:lvlText w:val="%1.%2.%3.%4.%5.%6"/>
      <w:lvlJc w:val="left"/>
      <w:pPr>
        <w:ind w:left="2520" w:hanging="2160"/>
      </w:pPr>
      <w:rPr>
        <w:rFonts w:hint="default"/>
      </w:rPr>
    </w:lvl>
    <w:lvl w:ilvl="6">
      <w:start w:val="1"/>
      <w:numFmt w:val="decimal"/>
      <w:isLgl/>
      <w:lvlText w:val="%1.%2.%3.%4.%5.%6.%7"/>
      <w:lvlJc w:val="left"/>
      <w:pPr>
        <w:ind w:left="2520" w:hanging="2160"/>
      </w:pPr>
      <w:rPr>
        <w:rFonts w:hint="default"/>
      </w:rPr>
    </w:lvl>
    <w:lvl w:ilvl="7">
      <w:start w:val="1"/>
      <w:numFmt w:val="decimal"/>
      <w:isLgl/>
      <w:lvlText w:val="%1.%2.%3.%4.%5.%6.%7.%8"/>
      <w:lvlJc w:val="left"/>
      <w:pPr>
        <w:ind w:left="2880" w:hanging="2520"/>
      </w:pPr>
      <w:rPr>
        <w:rFonts w:hint="default"/>
      </w:rPr>
    </w:lvl>
    <w:lvl w:ilvl="8">
      <w:start w:val="1"/>
      <w:numFmt w:val="decimal"/>
      <w:isLgl/>
      <w:lvlText w:val="%1.%2.%3.%4.%5.%6.%7.%8.%9"/>
      <w:lvlJc w:val="left"/>
      <w:pPr>
        <w:ind w:left="3240" w:hanging="2880"/>
      </w:pPr>
      <w:rPr>
        <w:rFonts w:hint="default"/>
      </w:rPr>
    </w:lvl>
  </w:abstractNum>
  <w:abstractNum w:abstractNumId="48">
    <w:nsid w:val="36602E07"/>
    <w:multiLevelType w:val="hybridMultilevel"/>
    <w:tmpl w:val="33383694"/>
    <w:lvl w:ilvl="0" w:tplc="FF74A5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37307923"/>
    <w:multiLevelType w:val="hybridMultilevel"/>
    <w:tmpl w:val="2C4E0464"/>
    <w:lvl w:ilvl="0" w:tplc="AA0E454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383B7E6D"/>
    <w:multiLevelType w:val="multilevel"/>
    <w:tmpl w:val="94E6C1BC"/>
    <w:styleLink w:val="AppListStyle"/>
    <w:lvl w:ilvl="0">
      <w:start w:val="1"/>
      <w:numFmt w:val="upperLetter"/>
      <w:lvlRestart w:val="0"/>
      <w:pStyle w:val="AppHead"/>
      <w:lvlText w:val="%1."/>
      <w:lvlJc w:val="left"/>
      <w:pPr>
        <w:tabs>
          <w:tab w:val="num" w:pos="567"/>
        </w:tabs>
        <w:ind w:left="0" w:firstLine="0"/>
      </w:pPr>
      <w:rPr>
        <w:rFonts w:ascii="Arial" w:hAnsi="Arial" w:cs="Arial" w:hint="default"/>
        <w:b/>
        <w:bCs/>
        <w:i w:val="0"/>
        <w:color w:val="000000"/>
        <w:sz w:val="40"/>
        <w:szCs w:val="40"/>
      </w:rPr>
    </w:lvl>
    <w:lvl w:ilvl="1">
      <w:start w:val="1"/>
      <w:numFmt w:val="decimal"/>
      <w:pStyle w:val="AppSubHead"/>
      <w:lvlText w:val="%1.%2"/>
      <w:lvlJc w:val="left"/>
      <w:pPr>
        <w:tabs>
          <w:tab w:val="num" w:pos="709"/>
        </w:tabs>
        <w:ind w:left="0" w:firstLine="0"/>
      </w:pPr>
      <w:rPr>
        <w:rFonts w:ascii="Arial" w:hAnsi="Arial" w:cs="Arial" w:hint="default"/>
        <w:b/>
        <w:i w:val="0"/>
        <w:color w:val="5B9BD5"/>
        <w:sz w:val="22"/>
      </w:rPr>
    </w:lvl>
    <w:lvl w:ilvl="2">
      <w:start w:val="1"/>
      <w:numFmt w:val="decimal"/>
      <w:pStyle w:val="AppMinorSubHead"/>
      <w:lvlText w:val="%1.%2.%3"/>
      <w:lvlJc w:val="left"/>
      <w:pPr>
        <w:tabs>
          <w:tab w:val="num" w:pos="992"/>
        </w:tabs>
        <w:ind w:left="0" w:firstLine="0"/>
      </w:pPr>
      <w:rPr>
        <w:rFonts w:ascii="Arial" w:hAnsi="Arial" w:cs="Arial" w:hint="default"/>
        <w:b/>
        <w:i w:val="0"/>
        <w:color w:val="5B9BD5"/>
        <w:sz w:val="20"/>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1">
    <w:nsid w:val="3B0F5FC7"/>
    <w:multiLevelType w:val="multilevel"/>
    <w:tmpl w:val="0406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52">
    <w:nsid w:val="3D1C1935"/>
    <w:multiLevelType w:val="hybridMultilevel"/>
    <w:tmpl w:val="7FB4AEBE"/>
    <w:lvl w:ilvl="0" w:tplc="8DFEDB4A">
      <w:start w:val="220"/>
      <w:numFmt w:val="bullet"/>
      <w:lvlText w:val="-"/>
      <w:lvlJc w:val="left"/>
      <w:pPr>
        <w:ind w:left="720" w:hanging="360"/>
      </w:pPr>
      <w:rPr>
        <w:rFonts w:ascii="Tahoma" w:eastAsia="Times New Roman" w:hAnsi="Tahoma" w:cs="Tahoma" w:hint="default"/>
      </w:rPr>
    </w:lvl>
    <w:lvl w:ilvl="1" w:tplc="5C162942" w:tentative="1">
      <w:start w:val="1"/>
      <w:numFmt w:val="bullet"/>
      <w:lvlText w:val="o"/>
      <w:lvlJc w:val="left"/>
      <w:pPr>
        <w:ind w:left="1440" w:hanging="360"/>
      </w:pPr>
      <w:rPr>
        <w:rFonts w:ascii="Courier New" w:hAnsi="Courier New" w:cs="Courier New" w:hint="default"/>
      </w:rPr>
    </w:lvl>
    <w:lvl w:ilvl="2" w:tplc="2FF2B748" w:tentative="1">
      <w:start w:val="1"/>
      <w:numFmt w:val="bullet"/>
      <w:lvlText w:val=""/>
      <w:lvlJc w:val="left"/>
      <w:pPr>
        <w:ind w:left="2160" w:hanging="360"/>
      </w:pPr>
      <w:rPr>
        <w:rFonts w:ascii="Wingdings" w:hAnsi="Wingdings" w:hint="default"/>
      </w:rPr>
    </w:lvl>
    <w:lvl w:ilvl="3" w:tplc="D642590A" w:tentative="1">
      <w:start w:val="1"/>
      <w:numFmt w:val="bullet"/>
      <w:lvlText w:val=""/>
      <w:lvlJc w:val="left"/>
      <w:pPr>
        <w:ind w:left="2880" w:hanging="360"/>
      </w:pPr>
      <w:rPr>
        <w:rFonts w:ascii="Symbol" w:hAnsi="Symbol" w:hint="default"/>
      </w:rPr>
    </w:lvl>
    <w:lvl w:ilvl="4" w:tplc="3FECBCCA" w:tentative="1">
      <w:start w:val="1"/>
      <w:numFmt w:val="bullet"/>
      <w:lvlText w:val="o"/>
      <w:lvlJc w:val="left"/>
      <w:pPr>
        <w:ind w:left="3600" w:hanging="360"/>
      </w:pPr>
      <w:rPr>
        <w:rFonts w:ascii="Courier New" w:hAnsi="Courier New" w:cs="Courier New" w:hint="default"/>
      </w:rPr>
    </w:lvl>
    <w:lvl w:ilvl="5" w:tplc="37B81C3E" w:tentative="1">
      <w:start w:val="1"/>
      <w:numFmt w:val="bullet"/>
      <w:lvlText w:val=""/>
      <w:lvlJc w:val="left"/>
      <w:pPr>
        <w:ind w:left="4320" w:hanging="360"/>
      </w:pPr>
      <w:rPr>
        <w:rFonts w:ascii="Wingdings" w:hAnsi="Wingdings" w:hint="default"/>
      </w:rPr>
    </w:lvl>
    <w:lvl w:ilvl="6" w:tplc="E474E1D4" w:tentative="1">
      <w:start w:val="1"/>
      <w:numFmt w:val="bullet"/>
      <w:lvlText w:val=""/>
      <w:lvlJc w:val="left"/>
      <w:pPr>
        <w:ind w:left="5040" w:hanging="360"/>
      </w:pPr>
      <w:rPr>
        <w:rFonts w:ascii="Symbol" w:hAnsi="Symbol" w:hint="default"/>
      </w:rPr>
    </w:lvl>
    <w:lvl w:ilvl="7" w:tplc="2B965DD0" w:tentative="1">
      <w:start w:val="1"/>
      <w:numFmt w:val="bullet"/>
      <w:lvlText w:val="o"/>
      <w:lvlJc w:val="left"/>
      <w:pPr>
        <w:ind w:left="5760" w:hanging="360"/>
      </w:pPr>
      <w:rPr>
        <w:rFonts w:ascii="Courier New" w:hAnsi="Courier New" w:cs="Courier New" w:hint="default"/>
      </w:rPr>
    </w:lvl>
    <w:lvl w:ilvl="8" w:tplc="7DB4E016" w:tentative="1">
      <w:start w:val="1"/>
      <w:numFmt w:val="bullet"/>
      <w:lvlText w:val=""/>
      <w:lvlJc w:val="left"/>
      <w:pPr>
        <w:ind w:left="6480" w:hanging="360"/>
      </w:pPr>
      <w:rPr>
        <w:rFonts w:ascii="Wingdings" w:hAnsi="Wingdings" w:hint="default"/>
      </w:rPr>
    </w:lvl>
  </w:abstractNum>
  <w:abstractNum w:abstractNumId="53">
    <w:nsid w:val="3E97793F"/>
    <w:multiLevelType w:val="multilevel"/>
    <w:tmpl w:val="7E1EA1EA"/>
    <w:lvl w:ilvl="0">
      <w:start w:val="1"/>
      <w:numFmt w:val="decimal"/>
      <w:pStyle w:val="NumberIndent"/>
      <w:lvlText w:val="%1."/>
      <w:lvlJc w:val="left"/>
      <w:pPr>
        <w:ind w:left="587" w:hanging="360"/>
      </w:pPr>
      <w:rPr>
        <w:rFonts w:hint="default"/>
        <w:color w:val="auto"/>
      </w:rPr>
    </w:lvl>
    <w:lvl w:ilvl="1">
      <w:start w:val="1"/>
      <w:numFmt w:val="bullet"/>
      <w:lvlText w:val=""/>
      <w:lvlJc w:val="left"/>
      <w:pPr>
        <w:ind w:left="568" w:hanging="284"/>
      </w:pPr>
      <w:rPr>
        <w:rFonts w:ascii="Symbol" w:hAnsi="Symbol" w:hint="default"/>
      </w:rPr>
    </w:lvl>
    <w:lvl w:ilvl="2">
      <w:start w:val="1"/>
      <w:numFmt w:val="bullet"/>
      <w:lvlText w:val=""/>
      <w:lvlJc w:val="left"/>
      <w:pPr>
        <w:ind w:left="852" w:hanging="284"/>
      </w:pPr>
      <w:rPr>
        <w:rFonts w:ascii="Symbol" w:hAnsi="Symbol" w:hint="default"/>
        <w:color w:val="000000" w:themeColor="text1"/>
      </w:rPr>
    </w:lvl>
    <w:lvl w:ilvl="3">
      <w:start w:val="1"/>
      <w:numFmt w:val="none"/>
      <w:lvlText w:val=""/>
      <w:lvlJc w:val="left"/>
      <w:pPr>
        <w:ind w:left="1136" w:hanging="284"/>
      </w:pPr>
      <w:rPr>
        <w:rFonts w:hint="default"/>
      </w:rPr>
    </w:lvl>
    <w:lvl w:ilvl="4">
      <w:start w:val="1"/>
      <w:numFmt w:val="none"/>
      <w:lvlText w:val=""/>
      <w:lvlJc w:val="left"/>
      <w:pPr>
        <w:ind w:left="1420" w:hanging="284"/>
      </w:pPr>
      <w:rPr>
        <w:rFonts w:hint="default"/>
      </w:rPr>
    </w:lvl>
    <w:lvl w:ilvl="5">
      <w:start w:val="1"/>
      <w:numFmt w:val="none"/>
      <w:lvlText w:val=""/>
      <w:lvlJc w:val="left"/>
      <w:pPr>
        <w:ind w:left="1704" w:hanging="284"/>
      </w:pPr>
      <w:rPr>
        <w:rFonts w:hint="default"/>
      </w:rPr>
    </w:lvl>
    <w:lvl w:ilvl="6">
      <w:start w:val="1"/>
      <w:numFmt w:val="none"/>
      <w:lvlText w:val=""/>
      <w:lvlJc w:val="left"/>
      <w:pPr>
        <w:ind w:left="1988" w:hanging="284"/>
      </w:pPr>
      <w:rPr>
        <w:rFonts w:hint="default"/>
      </w:rPr>
    </w:lvl>
    <w:lvl w:ilvl="7">
      <w:start w:val="1"/>
      <w:numFmt w:val="none"/>
      <w:lvlText w:val=""/>
      <w:lvlJc w:val="left"/>
      <w:pPr>
        <w:ind w:left="2272" w:hanging="284"/>
      </w:pPr>
      <w:rPr>
        <w:rFonts w:hint="default"/>
      </w:rPr>
    </w:lvl>
    <w:lvl w:ilvl="8">
      <w:start w:val="1"/>
      <w:numFmt w:val="none"/>
      <w:lvlText w:val=""/>
      <w:lvlJc w:val="left"/>
      <w:pPr>
        <w:ind w:left="2556" w:hanging="284"/>
      </w:pPr>
      <w:rPr>
        <w:rFonts w:hint="default"/>
      </w:rPr>
    </w:lvl>
  </w:abstractNum>
  <w:abstractNum w:abstractNumId="54">
    <w:nsid w:val="3F0F613F"/>
    <w:multiLevelType w:val="multilevel"/>
    <w:tmpl w:val="DF7AC726"/>
    <w:lvl w:ilvl="0">
      <w:start w:val="2009"/>
      <w:numFmt w:val="bullet"/>
      <w:lvlText w:val="-"/>
      <w:lvlJc w:val="left"/>
      <w:pPr>
        <w:tabs>
          <w:tab w:val="num" w:pos="1440"/>
        </w:tabs>
        <w:ind w:left="1440" w:hanging="360"/>
      </w:pPr>
      <w:rPr>
        <w:rFonts w:ascii="HelveticaNeueLTStd-Roman" w:eastAsiaTheme="minorHAnsi" w:hAnsi="HelveticaNeueLTStd-Roman" w:cs="HelveticaNeueLTStd-Roman" w:hint="default"/>
        <w:b w:val="0"/>
        <w:i w:val="0"/>
        <w:sz w:val="16"/>
        <w:szCs w:val="16"/>
      </w:rPr>
    </w:lvl>
    <w:lvl w:ilvl="1">
      <w:start w:val="1997"/>
      <w:numFmt w:val="bullet"/>
      <w:lvlText w:val="-"/>
      <w:lvlJc w:val="left"/>
      <w:pPr>
        <w:tabs>
          <w:tab w:val="num" w:pos="1515"/>
        </w:tabs>
        <w:ind w:left="1515" w:hanging="435"/>
      </w:pPr>
      <w:rPr>
        <w:rFonts w:ascii="Arial" w:eastAsia="Times New Roman" w:hAnsi="Arial" w:cs="Wingdings 2" w:hint="default"/>
        <w:b w:val="0"/>
        <w:i w:val="0"/>
        <w:sz w:val="16"/>
        <w:szCs w:val="16"/>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ヒラギノ角ゴ Pro W3"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ヒラギノ角ゴ Pro W3"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5">
    <w:nsid w:val="3F6A170D"/>
    <w:multiLevelType w:val="hybridMultilevel"/>
    <w:tmpl w:val="09148258"/>
    <w:lvl w:ilvl="0" w:tplc="0408000D">
      <w:numFmt w:val="bullet"/>
      <w:lvlText w:val="-"/>
      <w:lvlJc w:val="left"/>
      <w:pPr>
        <w:ind w:left="720" w:hanging="360"/>
      </w:pPr>
      <w:rPr>
        <w:rFonts w:ascii="Times New Roman" w:eastAsia="Times New Roman" w:hAnsi="Times New Roman" w:cs="Times New Roman" w:hint="default"/>
      </w:rPr>
    </w:lvl>
    <w:lvl w:ilvl="1" w:tplc="AB685C28"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6">
    <w:nsid w:val="3FA14029"/>
    <w:multiLevelType w:val="multilevel"/>
    <w:tmpl w:val="3F1EAFAE"/>
    <w:lvl w:ilvl="0">
      <w:start w:val="1"/>
      <w:numFmt w:val="bullet"/>
      <w:lvlText w:val=""/>
      <w:lvlJc w:val="left"/>
      <w:pPr>
        <w:ind w:left="1134" w:hanging="567"/>
      </w:pPr>
      <w:rPr>
        <w:rFonts w:ascii="Wingdings" w:hAnsi="Wingdings" w:hint="default"/>
        <w:color w:val="9DBCB0"/>
        <w:sz w:val="24"/>
      </w:rPr>
    </w:lvl>
    <w:lvl w:ilvl="1">
      <w:start w:val="1"/>
      <w:numFmt w:val="bullet"/>
      <w:lvlText w:val=""/>
      <w:lvlJc w:val="left"/>
      <w:pPr>
        <w:tabs>
          <w:tab w:val="num" w:pos="1134"/>
        </w:tabs>
        <w:snapToGrid w:val="0"/>
        <w:ind w:left="1559" w:hanging="425"/>
      </w:pPr>
      <w:rPr>
        <w:rFonts w:ascii="Wingdings" w:hAnsi="Wingdings" w:cs="Times New Roman" w:hint="default"/>
        <w:b w:val="0"/>
        <w:bCs w:val="0"/>
        <w:i w:val="0"/>
        <w:iCs w:val="0"/>
        <w:caps w:val="0"/>
        <w:smallCaps w:val="0"/>
        <w:strike w:val="0"/>
        <w:dstrike w:val="0"/>
        <w:noProof w:val="0"/>
        <w:vanish w:val="0"/>
        <w:webHidden w:val="0"/>
        <w:color w:val="00B0F0"/>
        <w:spacing w:val="0"/>
        <w:w w:val="1"/>
        <w:kern w:val="0"/>
        <w:position w:val="0"/>
        <w:sz w:val="24"/>
        <w:szCs w:val="2"/>
        <w:u w:val="none"/>
        <w:effect w:val="none"/>
        <w:vertAlign w:val="baseline"/>
        <w:em w:val="none"/>
        <w:specVanish w:val="0"/>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lvl>
    <w:lvl w:ilvl="4">
      <w:start w:val="1"/>
      <w:numFmt w:val="none"/>
      <w:lvlText w:val=""/>
      <w:lvlJc w:val="left"/>
      <w:pPr>
        <w:ind w:left="2835" w:hanging="567"/>
      </w:pPr>
    </w:lvl>
    <w:lvl w:ilvl="5">
      <w:start w:val="1"/>
      <w:numFmt w:val="none"/>
      <w:lvlText w:val=""/>
      <w:lvlJc w:val="left"/>
      <w:pPr>
        <w:ind w:left="3402" w:hanging="567"/>
      </w:pPr>
    </w:lvl>
    <w:lvl w:ilvl="6">
      <w:start w:val="1"/>
      <w:numFmt w:val="none"/>
      <w:lvlText w:val=""/>
      <w:lvlJc w:val="left"/>
      <w:pPr>
        <w:ind w:left="3969" w:hanging="567"/>
      </w:pPr>
    </w:lvl>
    <w:lvl w:ilvl="7">
      <w:start w:val="1"/>
      <w:numFmt w:val="none"/>
      <w:lvlText w:val=""/>
      <w:lvlJc w:val="left"/>
      <w:pPr>
        <w:ind w:left="4536" w:hanging="567"/>
      </w:pPr>
    </w:lvl>
    <w:lvl w:ilvl="8">
      <w:start w:val="1"/>
      <w:numFmt w:val="none"/>
      <w:lvlText w:val=""/>
      <w:lvlJc w:val="left"/>
      <w:pPr>
        <w:ind w:left="5103" w:hanging="567"/>
      </w:pPr>
    </w:lvl>
  </w:abstractNum>
  <w:abstractNum w:abstractNumId="57">
    <w:nsid w:val="400E1202"/>
    <w:multiLevelType w:val="hybridMultilevel"/>
    <w:tmpl w:val="AD94A040"/>
    <w:lvl w:ilvl="0" w:tplc="8F0E878C">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nsid w:val="40B515FC"/>
    <w:multiLevelType w:val="hybridMultilevel"/>
    <w:tmpl w:val="0D3272D2"/>
    <w:lvl w:ilvl="0" w:tplc="B84E4122">
      <w:start w:val="1"/>
      <w:numFmt w:val="bullet"/>
      <w:lvlText w:val="-"/>
      <w:lvlJc w:val="left"/>
      <w:pPr>
        <w:ind w:left="720" w:hanging="360"/>
      </w:pPr>
      <w:rPr>
        <w:rFonts w:ascii="Arial" w:eastAsia="Calibri" w:hAnsi="Arial" w:cs="Arial" w:hint="default"/>
        <w:sz w:val="14"/>
        <w:szCs w:val="14"/>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59">
    <w:nsid w:val="414E02A5"/>
    <w:multiLevelType w:val="hybridMultilevel"/>
    <w:tmpl w:val="9BB625EA"/>
    <w:lvl w:ilvl="0" w:tplc="57E67DFA">
      <w:start w:val="1"/>
      <w:numFmt w:val="bullet"/>
      <w:lvlText w:val=""/>
      <w:lvlJc w:val="left"/>
      <w:pPr>
        <w:tabs>
          <w:tab w:val="num" w:pos="1440"/>
        </w:tabs>
        <w:ind w:left="1440" w:hanging="360"/>
      </w:pPr>
      <w:rPr>
        <w:rFonts w:ascii="Symbol" w:hAnsi="Symbol" w:hint="default"/>
        <w:b w:val="0"/>
        <w:i w:val="0"/>
        <w:sz w:val="16"/>
        <w:szCs w:val="16"/>
      </w:rPr>
    </w:lvl>
    <w:lvl w:ilvl="1" w:tplc="04090003">
      <w:start w:val="1997"/>
      <w:numFmt w:val="bullet"/>
      <w:lvlText w:val="-"/>
      <w:lvlJc w:val="left"/>
      <w:pPr>
        <w:tabs>
          <w:tab w:val="num" w:pos="1515"/>
        </w:tabs>
        <w:ind w:left="1515" w:hanging="435"/>
      </w:pPr>
      <w:rPr>
        <w:rFonts w:ascii="Arial" w:eastAsia="Times New Roman" w:hAnsi="Arial" w:cs="Wingdings 2" w:hint="default"/>
        <w:b w:val="0"/>
        <w:i w:val="0"/>
        <w:sz w:val="16"/>
        <w:szCs w:val="16"/>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ヒラギノ角ゴ Pro W3"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ヒラギノ角ゴ Pro W3"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41784E40"/>
    <w:multiLevelType w:val="hybridMultilevel"/>
    <w:tmpl w:val="80164CF4"/>
    <w:lvl w:ilvl="0" w:tplc="04EC548E">
      <w:numFmt w:val="bullet"/>
      <w:lvlText w:val="-"/>
      <w:lvlJc w:val="left"/>
      <w:pPr>
        <w:ind w:left="1287" w:hanging="360"/>
      </w:pPr>
      <w:rPr>
        <w:rFonts w:ascii="Verdana" w:eastAsia="Times New Roman" w:hAnsi="Verdana"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1">
    <w:nsid w:val="41FA45CB"/>
    <w:multiLevelType w:val="hybridMultilevel"/>
    <w:tmpl w:val="74F20390"/>
    <w:lvl w:ilvl="0" w:tplc="46C436B2">
      <w:start w:val="8"/>
      <w:numFmt w:val="bullet"/>
      <w:lvlText w:val="-"/>
      <w:lvlJc w:val="left"/>
      <w:pPr>
        <w:ind w:left="720" w:hanging="360"/>
      </w:pPr>
      <w:rPr>
        <w:rFonts w:ascii="Arial" w:eastAsiaTheme="minorHAnsi" w:hAnsi="Arial" w:cs="Arial" w:hint="default"/>
      </w:rPr>
    </w:lvl>
    <w:lvl w:ilvl="1" w:tplc="B1B4D5D8" w:tentative="1">
      <w:start w:val="1"/>
      <w:numFmt w:val="bullet"/>
      <w:lvlText w:val="o"/>
      <w:lvlJc w:val="left"/>
      <w:pPr>
        <w:ind w:left="1440" w:hanging="360"/>
      </w:pPr>
      <w:rPr>
        <w:rFonts w:ascii="Courier New" w:hAnsi="Courier New" w:cs="Courier New" w:hint="default"/>
      </w:rPr>
    </w:lvl>
    <w:lvl w:ilvl="2" w:tplc="3640B42E" w:tentative="1">
      <w:start w:val="1"/>
      <w:numFmt w:val="bullet"/>
      <w:lvlText w:val=""/>
      <w:lvlJc w:val="left"/>
      <w:pPr>
        <w:ind w:left="2160" w:hanging="360"/>
      </w:pPr>
      <w:rPr>
        <w:rFonts w:ascii="Wingdings" w:hAnsi="Wingdings" w:hint="default"/>
      </w:rPr>
    </w:lvl>
    <w:lvl w:ilvl="3" w:tplc="D2082708" w:tentative="1">
      <w:start w:val="1"/>
      <w:numFmt w:val="bullet"/>
      <w:lvlText w:val=""/>
      <w:lvlJc w:val="left"/>
      <w:pPr>
        <w:ind w:left="2880" w:hanging="360"/>
      </w:pPr>
      <w:rPr>
        <w:rFonts w:ascii="Symbol" w:hAnsi="Symbol" w:hint="default"/>
      </w:rPr>
    </w:lvl>
    <w:lvl w:ilvl="4" w:tplc="D3588E12" w:tentative="1">
      <w:start w:val="1"/>
      <w:numFmt w:val="bullet"/>
      <w:lvlText w:val="o"/>
      <w:lvlJc w:val="left"/>
      <w:pPr>
        <w:ind w:left="3600" w:hanging="360"/>
      </w:pPr>
      <w:rPr>
        <w:rFonts w:ascii="Courier New" w:hAnsi="Courier New" w:cs="Courier New" w:hint="default"/>
      </w:rPr>
    </w:lvl>
    <w:lvl w:ilvl="5" w:tplc="C6E4B6B6" w:tentative="1">
      <w:start w:val="1"/>
      <w:numFmt w:val="bullet"/>
      <w:lvlText w:val=""/>
      <w:lvlJc w:val="left"/>
      <w:pPr>
        <w:ind w:left="4320" w:hanging="360"/>
      </w:pPr>
      <w:rPr>
        <w:rFonts w:ascii="Wingdings" w:hAnsi="Wingdings" w:hint="default"/>
      </w:rPr>
    </w:lvl>
    <w:lvl w:ilvl="6" w:tplc="DF241FE0" w:tentative="1">
      <w:start w:val="1"/>
      <w:numFmt w:val="bullet"/>
      <w:lvlText w:val=""/>
      <w:lvlJc w:val="left"/>
      <w:pPr>
        <w:ind w:left="5040" w:hanging="360"/>
      </w:pPr>
      <w:rPr>
        <w:rFonts w:ascii="Symbol" w:hAnsi="Symbol" w:hint="default"/>
      </w:rPr>
    </w:lvl>
    <w:lvl w:ilvl="7" w:tplc="2488C0E4" w:tentative="1">
      <w:start w:val="1"/>
      <w:numFmt w:val="bullet"/>
      <w:lvlText w:val="o"/>
      <w:lvlJc w:val="left"/>
      <w:pPr>
        <w:ind w:left="5760" w:hanging="360"/>
      </w:pPr>
      <w:rPr>
        <w:rFonts w:ascii="Courier New" w:hAnsi="Courier New" w:cs="Courier New" w:hint="default"/>
      </w:rPr>
    </w:lvl>
    <w:lvl w:ilvl="8" w:tplc="68D8885E" w:tentative="1">
      <w:start w:val="1"/>
      <w:numFmt w:val="bullet"/>
      <w:lvlText w:val=""/>
      <w:lvlJc w:val="left"/>
      <w:pPr>
        <w:ind w:left="6480" w:hanging="360"/>
      </w:pPr>
      <w:rPr>
        <w:rFonts w:ascii="Wingdings" w:hAnsi="Wingdings" w:hint="default"/>
      </w:rPr>
    </w:lvl>
  </w:abstractNum>
  <w:abstractNum w:abstractNumId="62">
    <w:nsid w:val="43EF6B16"/>
    <w:multiLevelType w:val="hybridMultilevel"/>
    <w:tmpl w:val="1C9AC45C"/>
    <w:lvl w:ilvl="0" w:tplc="734EE876">
      <w:start w:val="1"/>
      <w:numFmt w:val="decimal"/>
      <w:lvlText w:val="(%1)"/>
      <w:lvlJc w:val="left"/>
      <w:pPr>
        <w:ind w:left="720" w:hanging="36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63">
    <w:nsid w:val="44EE2414"/>
    <w:multiLevelType w:val="hybridMultilevel"/>
    <w:tmpl w:val="8320F02C"/>
    <w:lvl w:ilvl="0" w:tplc="B7664ED8">
      <w:numFmt w:val="bullet"/>
      <w:lvlText w:val="-"/>
      <w:lvlJc w:val="left"/>
      <w:pPr>
        <w:ind w:left="720" w:hanging="360"/>
      </w:pPr>
      <w:rPr>
        <w:rFonts w:ascii="Tahoma" w:eastAsia="Times New Roman" w:hAnsi="Tahoma" w:cs="Tahoma"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44F64DEF"/>
    <w:multiLevelType w:val="hybridMultilevel"/>
    <w:tmpl w:val="82FCA0B2"/>
    <w:lvl w:ilvl="0" w:tplc="DA00C69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450800D2"/>
    <w:multiLevelType w:val="hybridMultilevel"/>
    <w:tmpl w:val="B74694BE"/>
    <w:lvl w:ilvl="0" w:tplc="820A4462">
      <w:start w:val="1"/>
      <w:numFmt w:val="bullet"/>
      <w:pStyle w:val="Bullets"/>
      <w:lvlText w:val=""/>
      <w:lvlJc w:val="left"/>
      <w:pPr>
        <w:tabs>
          <w:tab w:val="num" w:pos="360"/>
        </w:tabs>
        <w:ind w:left="360" w:hanging="360"/>
      </w:pPr>
      <w:rPr>
        <w:rFonts w:ascii="Symbol" w:hAnsi="Symbol" w:hint="default"/>
      </w:rPr>
    </w:lvl>
    <w:lvl w:ilvl="1" w:tplc="04090003">
      <w:start w:val="1"/>
      <w:numFmt w:val="bullet"/>
      <w:lvlText w:val=""/>
      <w:lvlJc w:val="left"/>
      <w:pPr>
        <w:tabs>
          <w:tab w:val="num" w:pos="1003"/>
        </w:tabs>
        <w:ind w:left="1003" w:hanging="283"/>
      </w:pPr>
      <w:rPr>
        <w:rFonts w:ascii="Symbol" w:hAnsi="Symbol"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66">
    <w:nsid w:val="45EC3215"/>
    <w:multiLevelType w:val="multilevel"/>
    <w:tmpl w:val="CCE050BE"/>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67">
    <w:nsid w:val="45F210DB"/>
    <w:multiLevelType w:val="hybridMultilevel"/>
    <w:tmpl w:val="BB5C612A"/>
    <w:lvl w:ilvl="0" w:tplc="AAFADD58">
      <w:start w:val="1"/>
      <w:numFmt w:val="bullet"/>
      <w:lvlText w:val=""/>
      <w:lvlJc w:val="left"/>
      <w:pPr>
        <w:ind w:left="720" w:hanging="360"/>
      </w:pPr>
      <w:rPr>
        <w:rFonts w:ascii="Wingdings" w:hAnsi="Wingdings" w:hint="default"/>
        <w:color w:val="9DBCB0"/>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47C17872"/>
    <w:multiLevelType w:val="hybridMultilevel"/>
    <w:tmpl w:val="20022D94"/>
    <w:lvl w:ilvl="0" w:tplc="56649368">
      <w:start w:val="1"/>
      <w:numFmt w:val="decimal"/>
      <w:lvlText w:val="%1."/>
      <w:lvlJc w:val="left"/>
      <w:pPr>
        <w:ind w:left="720" w:hanging="360"/>
      </w:pPr>
      <w:rPr>
        <w:rFonts w:hint="default"/>
      </w:rPr>
    </w:lvl>
    <w:lvl w:ilvl="1" w:tplc="042F0019">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69">
    <w:nsid w:val="47FB34D5"/>
    <w:multiLevelType w:val="multilevel"/>
    <w:tmpl w:val="390832B6"/>
    <w:styleLink w:val="SecListStyle"/>
    <w:lvl w:ilvl="0">
      <w:start w:val="1"/>
      <w:numFmt w:val="decimal"/>
      <w:lvlRestart w:val="0"/>
      <w:isLgl/>
      <w:lvlText w:val="%1"/>
      <w:lvlJc w:val="left"/>
      <w:pPr>
        <w:tabs>
          <w:tab w:val="num" w:pos="567"/>
        </w:tabs>
        <w:ind w:left="0" w:firstLine="0"/>
      </w:pPr>
      <w:rPr>
        <w:rFonts w:ascii="Arial" w:hAnsi="Arial" w:cs="Arial" w:hint="default"/>
        <w:b/>
        <w:bCs/>
        <w:i w:val="0"/>
        <w:color w:val="000000"/>
        <w:sz w:val="40"/>
        <w:szCs w:val="40"/>
      </w:rPr>
    </w:lvl>
    <w:lvl w:ilvl="1">
      <w:start w:val="1"/>
      <w:numFmt w:val="decimal"/>
      <w:isLgl/>
      <w:lvlText w:val="%1.%2"/>
      <w:lvlJc w:val="left"/>
      <w:pPr>
        <w:tabs>
          <w:tab w:val="num" w:pos="567"/>
        </w:tabs>
        <w:ind w:left="0" w:firstLine="0"/>
      </w:pPr>
      <w:rPr>
        <w:rFonts w:ascii="Arial" w:hAnsi="Arial" w:cs="Arial" w:hint="default"/>
        <w:b/>
        <w:i w:val="0"/>
        <w:color w:val="5B9BD5"/>
        <w:sz w:val="22"/>
      </w:rPr>
    </w:lvl>
    <w:lvl w:ilvl="2">
      <w:start w:val="1"/>
      <w:numFmt w:val="decimal"/>
      <w:isLgl/>
      <w:lvlText w:val="%1.%2.%3"/>
      <w:lvlJc w:val="left"/>
      <w:pPr>
        <w:tabs>
          <w:tab w:val="num" w:pos="709"/>
        </w:tabs>
        <w:ind w:left="0" w:firstLine="0"/>
      </w:pPr>
      <w:rPr>
        <w:rFonts w:ascii="Arial" w:hAnsi="Arial" w:cs="Arial" w:hint="default"/>
        <w:b/>
        <w:i w:val="0"/>
        <w:color w:val="5B9BD5"/>
        <w:sz w:val="20"/>
      </w:rPr>
    </w:lvl>
    <w:lvl w:ilvl="3">
      <w:start w:val="1"/>
      <w:numFmt w:val="decimal"/>
      <w:isLgl/>
      <w:lvlText w:val="%1.%2.%3.%4"/>
      <w:lvlJc w:val="left"/>
      <w:pPr>
        <w:tabs>
          <w:tab w:val="num" w:pos="992"/>
        </w:tabs>
        <w:ind w:left="0" w:firstLine="0"/>
      </w:pPr>
      <w:rPr>
        <w:rFonts w:ascii="Arial" w:hAnsi="Arial" w:cs="Arial" w:hint="default"/>
        <w:b w:val="0"/>
        <w:i w:val="0"/>
        <w:color w:val="5B9BD5"/>
        <w:sz w:val="20"/>
      </w:rPr>
    </w:lvl>
    <w:lvl w:ilvl="4">
      <w:start w:val="1"/>
      <w:numFmt w:val="none"/>
      <w:lvlText w:val=""/>
      <w:lvlJc w:val="left"/>
      <w:pPr>
        <w:ind w:left="0" w:firstLine="0"/>
      </w:pPr>
      <w:rPr>
        <w:rFonts w:ascii="Calibri Light" w:hAnsi="Calibri Light" w:hint="default"/>
      </w:rPr>
    </w:lvl>
    <w:lvl w:ilvl="5">
      <w:start w:val="1"/>
      <w:numFmt w:val="none"/>
      <w:lvlText w:val=""/>
      <w:lvlJc w:val="left"/>
      <w:pPr>
        <w:ind w:left="0" w:firstLine="0"/>
      </w:pPr>
      <w:rPr>
        <w:rFonts w:ascii="Calibri Light" w:hAnsi="Calibri Light" w:hint="default"/>
      </w:rPr>
    </w:lvl>
    <w:lvl w:ilvl="6">
      <w:start w:val="1"/>
      <w:numFmt w:val="none"/>
      <w:lvlText w:val=""/>
      <w:lvlJc w:val="left"/>
      <w:pPr>
        <w:ind w:left="0" w:firstLine="0"/>
      </w:pPr>
      <w:rPr>
        <w:rFonts w:ascii="Calibri Light" w:hAnsi="Calibri Light" w:hint="default"/>
      </w:rPr>
    </w:lvl>
    <w:lvl w:ilvl="7">
      <w:start w:val="1"/>
      <w:numFmt w:val="none"/>
      <w:lvlText w:val=""/>
      <w:lvlJc w:val="left"/>
      <w:pPr>
        <w:ind w:left="0" w:firstLine="0"/>
      </w:pPr>
      <w:rPr>
        <w:rFonts w:ascii="Calibri Light" w:hAnsi="Calibri Light" w:hint="default"/>
      </w:rPr>
    </w:lvl>
    <w:lvl w:ilvl="8">
      <w:start w:val="1"/>
      <w:numFmt w:val="none"/>
      <w:lvlText w:val=""/>
      <w:lvlJc w:val="left"/>
      <w:pPr>
        <w:ind w:left="0" w:firstLine="0"/>
      </w:pPr>
      <w:rPr>
        <w:rFonts w:ascii="Calibri Light" w:hAnsi="Calibri Light" w:hint="default"/>
      </w:rPr>
    </w:lvl>
  </w:abstractNum>
  <w:abstractNum w:abstractNumId="70">
    <w:nsid w:val="485F2193"/>
    <w:multiLevelType w:val="hybridMultilevel"/>
    <w:tmpl w:val="82FCA0B2"/>
    <w:lvl w:ilvl="0" w:tplc="DA00C69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498946E6"/>
    <w:multiLevelType w:val="hybridMultilevel"/>
    <w:tmpl w:val="B6288E74"/>
    <w:lvl w:ilvl="0" w:tplc="B8E2423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4A015E92"/>
    <w:multiLevelType w:val="hybridMultilevel"/>
    <w:tmpl w:val="2B663084"/>
    <w:lvl w:ilvl="0" w:tplc="8DFA4096">
      <w:start w:val="2"/>
      <w:numFmt w:val="bullet"/>
      <w:lvlText w:val="-"/>
      <w:lvlJc w:val="left"/>
      <w:pPr>
        <w:ind w:left="720" w:hanging="360"/>
      </w:pPr>
      <w:rPr>
        <w:rFonts w:ascii="Tahoma" w:eastAsia="Times New Roman" w:hAnsi="Tahoma" w:cs="Tahoma" w:hint="default"/>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73">
    <w:nsid w:val="4AD75819"/>
    <w:multiLevelType w:val="multilevel"/>
    <w:tmpl w:val="CCE050BE"/>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74">
    <w:nsid w:val="4B280A8D"/>
    <w:multiLevelType w:val="hybridMultilevel"/>
    <w:tmpl w:val="FF96A630"/>
    <w:name w:val="SecHeadList"/>
    <w:lvl w:ilvl="0" w:tplc="A8100966">
      <w:start w:val="1"/>
      <w:numFmt w:val="upperRoman"/>
      <w:pStyle w:val="Subtitle"/>
      <w:lvlText w:val="%1."/>
      <w:lvlJc w:val="left"/>
      <w:pPr>
        <w:tabs>
          <w:tab w:val="num" w:pos="720"/>
        </w:tabs>
      </w:pPr>
      <w:rPr>
        <w:rFonts w:ascii="Arial" w:hAnsi="Arial" w:cs="Times New Roman" w:hint="default"/>
        <w:b/>
        <w:i w:val="0"/>
        <w:caps/>
        <w:sz w:val="22"/>
        <w:szCs w:val="22"/>
      </w:rPr>
    </w:lvl>
    <w:lvl w:ilvl="1" w:tplc="F4A29194">
      <w:start w:val="1"/>
      <w:numFmt w:val="lowerRoman"/>
      <w:lvlText w:val="(%2)"/>
      <w:lvlJc w:val="left"/>
      <w:pPr>
        <w:tabs>
          <w:tab w:val="num" w:pos="1440"/>
        </w:tabs>
        <w:ind w:left="720"/>
      </w:pPr>
      <w:rPr>
        <w:rFonts w:ascii="Arial" w:hAnsi="Arial" w:cs="Times New Roman" w:hint="default"/>
        <w:b w:val="0"/>
        <w:i w:val="0"/>
        <w:caps w:val="0"/>
        <w:sz w:val="22"/>
        <w:szCs w:val="22"/>
      </w:rPr>
    </w:lvl>
    <w:lvl w:ilvl="2" w:tplc="5FC0DFE0" w:tentative="1">
      <w:start w:val="1"/>
      <w:numFmt w:val="lowerRoman"/>
      <w:lvlText w:val="%3."/>
      <w:lvlJc w:val="right"/>
      <w:pPr>
        <w:tabs>
          <w:tab w:val="num" w:pos="2160"/>
        </w:tabs>
        <w:ind w:left="2160" w:hanging="180"/>
      </w:pPr>
      <w:rPr>
        <w:rFonts w:cs="Times New Roman"/>
      </w:rPr>
    </w:lvl>
    <w:lvl w:ilvl="3" w:tplc="41CEF854" w:tentative="1">
      <w:start w:val="1"/>
      <w:numFmt w:val="decimal"/>
      <w:lvlText w:val="%4."/>
      <w:lvlJc w:val="left"/>
      <w:pPr>
        <w:tabs>
          <w:tab w:val="num" w:pos="2880"/>
        </w:tabs>
        <w:ind w:left="2880" w:hanging="360"/>
      </w:pPr>
      <w:rPr>
        <w:rFonts w:cs="Times New Roman"/>
      </w:rPr>
    </w:lvl>
    <w:lvl w:ilvl="4" w:tplc="521A19E0" w:tentative="1">
      <w:start w:val="1"/>
      <w:numFmt w:val="lowerLetter"/>
      <w:lvlText w:val="%5."/>
      <w:lvlJc w:val="left"/>
      <w:pPr>
        <w:tabs>
          <w:tab w:val="num" w:pos="3600"/>
        </w:tabs>
        <w:ind w:left="3600" w:hanging="360"/>
      </w:pPr>
      <w:rPr>
        <w:rFonts w:cs="Times New Roman"/>
      </w:rPr>
    </w:lvl>
    <w:lvl w:ilvl="5" w:tplc="1320F586" w:tentative="1">
      <w:start w:val="1"/>
      <w:numFmt w:val="lowerRoman"/>
      <w:lvlText w:val="%6."/>
      <w:lvlJc w:val="right"/>
      <w:pPr>
        <w:tabs>
          <w:tab w:val="num" w:pos="4320"/>
        </w:tabs>
        <w:ind w:left="4320" w:hanging="180"/>
      </w:pPr>
      <w:rPr>
        <w:rFonts w:cs="Times New Roman"/>
      </w:rPr>
    </w:lvl>
    <w:lvl w:ilvl="6" w:tplc="A12452A8" w:tentative="1">
      <w:start w:val="1"/>
      <w:numFmt w:val="decimal"/>
      <w:lvlText w:val="%7."/>
      <w:lvlJc w:val="left"/>
      <w:pPr>
        <w:tabs>
          <w:tab w:val="num" w:pos="5040"/>
        </w:tabs>
        <w:ind w:left="5040" w:hanging="360"/>
      </w:pPr>
      <w:rPr>
        <w:rFonts w:cs="Times New Roman"/>
      </w:rPr>
    </w:lvl>
    <w:lvl w:ilvl="7" w:tplc="75D274A4" w:tentative="1">
      <w:start w:val="1"/>
      <w:numFmt w:val="lowerLetter"/>
      <w:lvlText w:val="%8."/>
      <w:lvlJc w:val="left"/>
      <w:pPr>
        <w:tabs>
          <w:tab w:val="num" w:pos="5760"/>
        </w:tabs>
        <w:ind w:left="5760" w:hanging="360"/>
      </w:pPr>
      <w:rPr>
        <w:rFonts w:cs="Times New Roman"/>
      </w:rPr>
    </w:lvl>
    <w:lvl w:ilvl="8" w:tplc="3BE639DE" w:tentative="1">
      <w:start w:val="1"/>
      <w:numFmt w:val="lowerRoman"/>
      <w:lvlText w:val="%9."/>
      <w:lvlJc w:val="right"/>
      <w:pPr>
        <w:tabs>
          <w:tab w:val="num" w:pos="6480"/>
        </w:tabs>
        <w:ind w:left="6480" w:hanging="180"/>
      </w:pPr>
      <w:rPr>
        <w:rFonts w:cs="Times New Roman"/>
      </w:rPr>
    </w:lvl>
  </w:abstractNum>
  <w:abstractNum w:abstractNumId="75">
    <w:nsid w:val="4CCF6C4E"/>
    <w:multiLevelType w:val="multilevel"/>
    <w:tmpl w:val="5C860F94"/>
    <w:lvl w:ilvl="0">
      <w:start w:val="1"/>
      <w:numFmt w:val="decimal"/>
      <w:lvlText w:val="%1"/>
      <w:lvlJc w:val="left"/>
      <w:pPr>
        <w:ind w:left="1134" w:hanging="1134"/>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lvlText w:val="1.%2"/>
      <w:lvlJc w:val="left"/>
      <w:pPr>
        <w:ind w:left="1134" w:hanging="1134"/>
      </w:pPr>
      <w:rPr>
        <w:rFonts w:hint="default"/>
        <w:b w:val="0"/>
        <w:bCs w:val="0"/>
        <w:i w:val="0"/>
        <w:iCs w:val="0"/>
        <w:caps w:val="0"/>
        <w:smallCaps w:val="0"/>
        <w:strike w:val="0"/>
        <w:dstrike w:val="0"/>
        <w:noProof w:val="0"/>
        <w:vanish w:val="0"/>
        <w:spacing w:val="0"/>
        <w:kern w:val="0"/>
        <w:position w:val="0"/>
        <w:u w:val="none"/>
        <w:vertAlign w:val="baseline"/>
        <w:em w:val="none"/>
      </w:rPr>
    </w:lvl>
    <w:lvl w:ilvl="2">
      <w:start w:val="1"/>
      <w:numFmt w:val="decimal"/>
      <w:lvlText w:val="Activity %3:"/>
      <w:lvlJc w:val="left"/>
      <w:pPr>
        <w:ind w:left="1134" w:hanging="1134"/>
      </w:pPr>
      <w:rPr>
        <w:rFonts w:hint="default"/>
        <w:b/>
        <w:i w:val="0"/>
      </w:rPr>
    </w:lvl>
    <w:lvl w:ilvl="3">
      <w:start w:val="1"/>
      <w:numFmt w:val="decimal"/>
      <w:lvlRestart w:val="1"/>
      <w:pStyle w:val="Annex"/>
      <w:isLgl/>
      <w:lvlText w:val="Annex %4"/>
      <w:lvlJc w:val="left"/>
      <w:pPr>
        <w:ind w:left="1701" w:hanging="1701"/>
      </w:pPr>
      <w:rPr>
        <w:b w:val="0"/>
        <w:bCs w:val="0"/>
        <w:i w:val="0"/>
        <w:iCs w:val="0"/>
        <w:caps w:val="0"/>
        <w:smallCaps w:val="0"/>
        <w:strike w:val="0"/>
        <w:dstrike w:val="0"/>
        <w:noProof w:val="0"/>
        <w:vanish w:val="0"/>
        <w:spacing w:val="0"/>
        <w:kern w:val="0"/>
        <w:position w:val="0"/>
        <w:u w:val="none"/>
        <w:vertAlign w:val="baseline"/>
        <w:em w:val="none"/>
      </w:rPr>
    </w:lvl>
    <w:lvl w:ilvl="4">
      <w:start w:val="1"/>
      <w:numFmt w:val="decimal"/>
      <w:isLgl/>
      <w:lvlText w:val="%1.%2.%3.%4.%5"/>
      <w:lvlJc w:val="left"/>
      <w:pPr>
        <w:ind w:left="1080" w:hanging="1080"/>
      </w:pPr>
      <w:rPr>
        <w:rFonts w:cs="Courier New" w:hint="default"/>
      </w:rPr>
    </w:lvl>
    <w:lvl w:ilvl="5">
      <w:start w:val="1"/>
      <w:numFmt w:val="decimal"/>
      <w:isLgl/>
      <w:lvlText w:val="%1.%2.%3.%4.%5.%6"/>
      <w:lvlJc w:val="left"/>
      <w:pPr>
        <w:ind w:left="1080" w:hanging="1080"/>
      </w:pPr>
      <w:rPr>
        <w:rFonts w:cs="Courier New" w:hint="default"/>
      </w:rPr>
    </w:lvl>
    <w:lvl w:ilvl="6">
      <w:start w:val="1"/>
      <w:numFmt w:val="decimal"/>
      <w:isLgl/>
      <w:lvlText w:val="%1.%2.%3.%4.%5.%6.%7"/>
      <w:lvlJc w:val="left"/>
      <w:pPr>
        <w:ind w:left="1440" w:hanging="1440"/>
      </w:pPr>
      <w:rPr>
        <w:rFonts w:cs="Courier New" w:hint="default"/>
      </w:rPr>
    </w:lvl>
    <w:lvl w:ilvl="7">
      <w:start w:val="1"/>
      <w:numFmt w:val="decimal"/>
      <w:isLgl/>
      <w:lvlText w:val="%1.%2.%3.%4.%5.%6.%7.%8"/>
      <w:lvlJc w:val="left"/>
      <w:pPr>
        <w:ind w:left="1440" w:hanging="1440"/>
      </w:pPr>
      <w:rPr>
        <w:rFonts w:cs="Courier New" w:hint="default"/>
      </w:rPr>
    </w:lvl>
    <w:lvl w:ilvl="8">
      <w:start w:val="1"/>
      <w:numFmt w:val="decimal"/>
      <w:isLgl/>
      <w:lvlText w:val="%1.%2.%3.%4.%5.%6.%7.%8.%9"/>
      <w:lvlJc w:val="left"/>
      <w:pPr>
        <w:ind w:left="1800" w:hanging="1800"/>
      </w:pPr>
      <w:rPr>
        <w:rFonts w:cs="Courier New" w:hint="default"/>
      </w:rPr>
    </w:lvl>
  </w:abstractNum>
  <w:abstractNum w:abstractNumId="76">
    <w:nsid w:val="4CE52F9B"/>
    <w:multiLevelType w:val="hybridMultilevel"/>
    <w:tmpl w:val="4464309A"/>
    <w:lvl w:ilvl="0" w:tplc="241A0019">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nsid w:val="4DD3698D"/>
    <w:multiLevelType w:val="hybridMultilevel"/>
    <w:tmpl w:val="268C31D4"/>
    <w:lvl w:ilvl="0" w:tplc="34144BEE">
      <w:start w:val="1"/>
      <w:numFmt w:val="lowerRoman"/>
      <w:lvlText w:val="(%1)"/>
      <w:lvlJc w:val="left"/>
      <w:pPr>
        <w:ind w:left="720" w:hanging="360"/>
      </w:pPr>
      <w:rPr>
        <w:rFonts w:ascii="Arial" w:hAnsi="Arial" w:cs="Symbol" w:hint="default"/>
      </w:rPr>
    </w:lvl>
    <w:lvl w:ilvl="1" w:tplc="3A1C8D5E">
      <w:start w:val="1"/>
      <w:numFmt w:val="lowerLetter"/>
      <w:lvlText w:val="%2."/>
      <w:lvlJc w:val="left"/>
      <w:pPr>
        <w:ind w:left="1440" w:hanging="360"/>
      </w:pPr>
    </w:lvl>
    <w:lvl w:ilvl="2" w:tplc="E53A9E20">
      <w:start w:val="1"/>
      <w:numFmt w:val="lowerRoman"/>
      <w:lvlText w:val="%3."/>
      <w:lvlJc w:val="right"/>
      <w:pPr>
        <w:ind w:left="2160" w:hanging="180"/>
      </w:pPr>
    </w:lvl>
    <w:lvl w:ilvl="3" w:tplc="DA906EA0" w:tentative="1">
      <w:start w:val="1"/>
      <w:numFmt w:val="decimal"/>
      <w:lvlText w:val="%4."/>
      <w:lvlJc w:val="left"/>
      <w:pPr>
        <w:ind w:left="2880" w:hanging="360"/>
      </w:pPr>
    </w:lvl>
    <w:lvl w:ilvl="4" w:tplc="7D8E55CC" w:tentative="1">
      <w:start w:val="1"/>
      <w:numFmt w:val="lowerLetter"/>
      <w:lvlText w:val="%5."/>
      <w:lvlJc w:val="left"/>
      <w:pPr>
        <w:ind w:left="3600" w:hanging="360"/>
      </w:pPr>
    </w:lvl>
    <w:lvl w:ilvl="5" w:tplc="F1249C58" w:tentative="1">
      <w:start w:val="1"/>
      <w:numFmt w:val="lowerRoman"/>
      <w:lvlText w:val="%6."/>
      <w:lvlJc w:val="right"/>
      <w:pPr>
        <w:ind w:left="4320" w:hanging="180"/>
      </w:pPr>
    </w:lvl>
    <w:lvl w:ilvl="6" w:tplc="85F8DBDE" w:tentative="1">
      <w:start w:val="1"/>
      <w:numFmt w:val="decimal"/>
      <w:lvlText w:val="%7."/>
      <w:lvlJc w:val="left"/>
      <w:pPr>
        <w:ind w:left="5040" w:hanging="360"/>
      </w:pPr>
    </w:lvl>
    <w:lvl w:ilvl="7" w:tplc="576AE1F6" w:tentative="1">
      <w:start w:val="1"/>
      <w:numFmt w:val="lowerLetter"/>
      <w:lvlText w:val="%8."/>
      <w:lvlJc w:val="left"/>
      <w:pPr>
        <w:ind w:left="5760" w:hanging="360"/>
      </w:pPr>
    </w:lvl>
    <w:lvl w:ilvl="8" w:tplc="52F4E4EA" w:tentative="1">
      <w:start w:val="1"/>
      <w:numFmt w:val="lowerRoman"/>
      <w:lvlText w:val="%9."/>
      <w:lvlJc w:val="right"/>
      <w:pPr>
        <w:ind w:left="6480" w:hanging="180"/>
      </w:pPr>
    </w:lvl>
  </w:abstractNum>
  <w:abstractNum w:abstractNumId="78">
    <w:nsid w:val="4FE4372B"/>
    <w:multiLevelType w:val="hybridMultilevel"/>
    <w:tmpl w:val="FD0668A2"/>
    <w:lvl w:ilvl="0" w:tplc="95126750">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529F5A62"/>
    <w:multiLevelType w:val="hybridMultilevel"/>
    <w:tmpl w:val="BE9C1254"/>
    <w:lvl w:ilvl="0" w:tplc="363CE400">
      <w:start w:val="1"/>
      <w:numFmt w:val="bullet"/>
      <w:lvlText w:val=""/>
      <w:lvlJc w:val="left"/>
      <w:pPr>
        <w:ind w:left="720" w:hanging="360"/>
      </w:pPr>
      <w:rPr>
        <w:rFonts w:ascii="Symbol" w:hAnsi="Symbol" w:hint="default"/>
        <w:sz w:val="16"/>
        <w:szCs w:val="16"/>
      </w:rPr>
    </w:lvl>
    <w:lvl w:ilvl="1" w:tplc="739CBC60" w:tentative="1">
      <w:start w:val="1"/>
      <w:numFmt w:val="bullet"/>
      <w:lvlText w:val="o"/>
      <w:lvlJc w:val="left"/>
      <w:pPr>
        <w:ind w:left="1440" w:hanging="360"/>
      </w:pPr>
      <w:rPr>
        <w:rFonts w:ascii="Courier New" w:hAnsi="Courier New" w:cs="Symbol" w:hint="default"/>
      </w:rPr>
    </w:lvl>
    <w:lvl w:ilvl="2" w:tplc="3E9AE4B6" w:tentative="1">
      <w:start w:val="1"/>
      <w:numFmt w:val="bullet"/>
      <w:lvlText w:val=""/>
      <w:lvlJc w:val="left"/>
      <w:pPr>
        <w:ind w:left="2160" w:hanging="360"/>
      </w:pPr>
      <w:rPr>
        <w:rFonts w:ascii="Wingdings" w:hAnsi="Wingdings" w:hint="default"/>
      </w:rPr>
    </w:lvl>
    <w:lvl w:ilvl="3" w:tplc="959E67C6" w:tentative="1">
      <w:start w:val="1"/>
      <w:numFmt w:val="bullet"/>
      <w:lvlText w:val=""/>
      <w:lvlJc w:val="left"/>
      <w:pPr>
        <w:ind w:left="2880" w:hanging="360"/>
      </w:pPr>
      <w:rPr>
        <w:rFonts w:ascii="Symbol" w:hAnsi="Symbol" w:hint="default"/>
      </w:rPr>
    </w:lvl>
    <w:lvl w:ilvl="4" w:tplc="72882B74" w:tentative="1">
      <w:start w:val="1"/>
      <w:numFmt w:val="bullet"/>
      <w:lvlText w:val="o"/>
      <w:lvlJc w:val="left"/>
      <w:pPr>
        <w:ind w:left="3600" w:hanging="360"/>
      </w:pPr>
      <w:rPr>
        <w:rFonts w:ascii="Courier New" w:hAnsi="Courier New" w:cs="Symbol" w:hint="default"/>
      </w:rPr>
    </w:lvl>
    <w:lvl w:ilvl="5" w:tplc="5EE26866" w:tentative="1">
      <w:start w:val="1"/>
      <w:numFmt w:val="bullet"/>
      <w:lvlText w:val=""/>
      <w:lvlJc w:val="left"/>
      <w:pPr>
        <w:ind w:left="4320" w:hanging="360"/>
      </w:pPr>
      <w:rPr>
        <w:rFonts w:ascii="Wingdings" w:hAnsi="Wingdings" w:hint="default"/>
      </w:rPr>
    </w:lvl>
    <w:lvl w:ilvl="6" w:tplc="A6EC39EC" w:tentative="1">
      <w:start w:val="1"/>
      <w:numFmt w:val="bullet"/>
      <w:lvlText w:val=""/>
      <w:lvlJc w:val="left"/>
      <w:pPr>
        <w:ind w:left="5040" w:hanging="360"/>
      </w:pPr>
      <w:rPr>
        <w:rFonts w:ascii="Symbol" w:hAnsi="Symbol" w:hint="default"/>
      </w:rPr>
    </w:lvl>
    <w:lvl w:ilvl="7" w:tplc="6FA0EE16" w:tentative="1">
      <w:start w:val="1"/>
      <w:numFmt w:val="bullet"/>
      <w:lvlText w:val="o"/>
      <w:lvlJc w:val="left"/>
      <w:pPr>
        <w:ind w:left="5760" w:hanging="360"/>
      </w:pPr>
      <w:rPr>
        <w:rFonts w:ascii="Courier New" w:hAnsi="Courier New" w:cs="Symbol" w:hint="default"/>
      </w:rPr>
    </w:lvl>
    <w:lvl w:ilvl="8" w:tplc="6C7C46DE" w:tentative="1">
      <w:start w:val="1"/>
      <w:numFmt w:val="bullet"/>
      <w:lvlText w:val=""/>
      <w:lvlJc w:val="left"/>
      <w:pPr>
        <w:ind w:left="6480" w:hanging="360"/>
      </w:pPr>
      <w:rPr>
        <w:rFonts w:ascii="Wingdings" w:hAnsi="Wingdings" w:hint="default"/>
      </w:rPr>
    </w:lvl>
  </w:abstractNum>
  <w:abstractNum w:abstractNumId="80">
    <w:nsid w:val="52CD516C"/>
    <w:multiLevelType w:val="multilevel"/>
    <w:tmpl w:val="CCE050BE"/>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81">
    <w:nsid w:val="5384285E"/>
    <w:multiLevelType w:val="hybridMultilevel"/>
    <w:tmpl w:val="99222CB4"/>
    <w:lvl w:ilvl="0" w:tplc="A4AE1638">
      <w:start w:val="1"/>
      <w:numFmt w:val="bullet"/>
      <w:lvlText w:val="-"/>
      <w:lvlJc w:val="left"/>
      <w:pPr>
        <w:ind w:left="720" w:hanging="360"/>
      </w:pPr>
      <w:rPr>
        <w:rFonts w:ascii="Swis721 LtEx BT" w:hAnsi="Swis721 LtEx B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nsid w:val="54395AA4"/>
    <w:multiLevelType w:val="hybridMultilevel"/>
    <w:tmpl w:val="0B82CBAC"/>
    <w:lvl w:ilvl="0" w:tplc="940882D8">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3">
    <w:nsid w:val="556D7347"/>
    <w:multiLevelType w:val="hybridMultilevel"/>
    <w:tmpl w:val="F57C3358"/>
    <w:lvl w:ilvl="0" w:tplc="D7CE9A1E">
      <w:start w:val="1"/>
      <w:numFmt w:val="lowerRoman"/>
      <w:lvlText w:val="(%1)"/>
      <w:lvlJc w:val="left"/>
      <w:pPr>
        <w:ind w:left="1080" w:hanging="72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84">
    <w:nsid w:val="566B1824"/>
    <w:multiLevelType w:val="hybridMultilevel"/>
    <w:tmpl w:val="7F569910"/>
    <w:lvl w:ilvl="0" w:tplc="B84E4122">
      <w:start w:val="1"/>
      <w:numFmt w:val="bullet"/>
      <w:lvlText w:val="-"/>
      <w:lvlJc w:val="left"/>
      <w:pPr>
        <w:ind w:left="720" w:hanging="360"/>
      </w:pPr>
      <w:rPr>
        <w:rFonts w:ascii="Arial" w:eastAsia="Calibri" w:hAnsi="Arial" w:cs="Arial" w:hint="default"/>
        <w:sz w:val="14"/>
        <w:szCs w:val="14"/>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85">
    <w:nsid w:val="56B07684"/>
    <w:multiLevelType w:val="multilevel"/>
    <w:tmpl w:val="C442B836"/>
    <w:lvl w:ilvl="0">
      <w:start w:val="1"/>
      <w:numFmt w:val="decimal"/>
      <w:lvlText w:val="%1"/>
      <w:lvlJc w:val="left"/>
      <w:pPr>
        <w:ind w:left="1134" w:hanging="1134"/>
      </w:pPr>
      <w:rPr>
        <w:rFonts w:ascii="Tahoma Bold" w:hAnsi="Tahoma Bold" w:hint="default"/>
        <w:b/>
        <w:bCs w:val="0"/>
        <w:i w:val="0"/>
        <w:iCs w:val="0"/>
        <w:caps w:val="0"/>
        <w:strike w:val="0"/>
        <w:dstrike w:val="0"/>
        <w:vanish w:val="0"/>
        <w:color w:val="9DBCB0"/>
        <w:spacing w:val="0"/>
        <w:kern w:val="0"/>
        <w:position w:val="0"/>
        <w:sz w:val="32"/>
        <w:u w:val="none"/>
        <w:vertAlign w:val="baseline"/>
        <w:em w:val="none"/>
      </w:rPr>
    </w:lvl>
    <w:lvl w:ilvl="1">
      <w:start w:val="1"/>
      <w:numFmt w:val="upperLetter"/>
      <w:isLgl/>
      <w:lvlText w:val="%1.%2"/>
      <w:lvlJc w:val="left"/>
      <w:pPr>
        <w:ind w:left="1134" w:hanging="1134"/>
      </w:pPr>
      <w:rPr>
        <w:rFonts w:cs="Courier New" w:hint="default"/>
        <w:b/>
        <w:bCs w:val="0"/>
        <w:i w:val="0"/>
        <w:iCs w:val="0"/>
        <w:caps w:val="0"/>
        <w:smallCaps w:val="0"/>
        <w:strike w:val="0"/>
        <w:dstrike w:val="0"/>
        <w:noProof w:val="0"/>
        <w:snapToGrid w:val="0"/>
        <w:vanish w:val="0"/>
        <w:color w:val="9DBCB0"/>
        <w:spacing w:val="0"/>
        <w:kern w:val="0"/>
        <w:position w:val="0"/>
        <w:sz w:val="30"/>
        <w:u w:val="none"/>
        <w:vertAlign w:val="baseline"/>
        <w:em w:val="none"/>
      </w:rPr>
    </w:lvl>
    <w:lvl w:ilvl="2">
      <w:start w:val="1"/>
      <w:numFmt w:val="decimal"/>
      <w:isLgl/>
      <w:lvlText w:val="%1.%2.%3"/>
      <w:lvlJc w:val="left"/>
      <w:pPr>
        <w:ind w:left="1134" w:hanging="1134"/>
      </w:pPr>
      <w:rPr>
        <w:rFonts w:cs="Courier New" w:hint="default"/>
        <w:b/>
        <w:bCs w:val="0"/>
        <w:i w:val="0"/>
        <w:iCs w:val="0"/>
        <w:caps w:val="0"/>
        <w:smallCaps w:val="0"/>
        <w:strike w:val="0"/>
        <w:dstrike w:val="0"/>
        <w:vanish w:val="0"/>
        <w:color w:val="9DBCB0"/>
        <w:spacing w:val="0"/>
        <w:kern w:val="0"/>
        <w:position w:val="0"/>
        <w:sz w:val="26"/>
        <w:u w:val="none"/>
        <w:vertAlign w:val="baseline"/>
        <w:em w:val="none"/>
      </w:rPr>
    </w:lvl>
    <w:lvl w:ilvl="3">
      <w:start w:val="1"/>
      <w:numFmt w:val="decimal"/>
      <w:lvlRestart w:val="1"/>
      <w:pStyle w:val="Title"/>
      <w:isLgl/>
      <w:lvlText w:val="Annex %4"/>
      <w:lvlJc w:val="left"/>
      <w:pPr>
        <w:ind w:left="1701" w:hanging="1701"/>
      </w:pPr>
      <w:rPr>
        <w:rFonts w:cs="Courier New" w:hint="default"/>
        <w:b/>
        <w:i w:val="0"/>
        <w:caps w:val="0"/>
        <w:strike w:val="0"/>
        <w:dstrike w:val="0"/>
        <w:vanish w:val="0"/>
        <w:color w:val="9DBCB0"/>
        <w:sz w:val="22"/>
        <w:vertAlign w:val="baseline"/>
      </w:rPr>
    </w:lvl>
    <w:lvl w:ilvl="4">
      <w:start w:val="1"/>
      <w:numFmt w:val="decimal"/>
      <w:isLgl/>
      <w:lvlText w:val="%1.%2.%3.%4.%5"/>
      <w:lvlJc w:val="left"/>
      <w:pPr>
        <w:ind w:left="1080" w:hanging="1080"/>
      </w:pPr>
      <w:rPr>
        <w:rFonts w:cs="Courier New" w:hint="default"/>
      </w:rPr>
    </w:lvl>
    <w:lvl w:ilvl="5">
      <w:start w:val="1"/>
      <w:numFmt w:val="decimal"/>
      <w:isLgl/>
      <w:lvlText w:val="%1.%2.%3.%4.%5.%6"/>
      <w:lvlJc w:val="left"/>
      <w:pPr>
        <w:ind w:left="1080" w:hanging="1080"/>
      </w:pPr>
      <w:rPr>
        <w:rFonts w:cs="Courier New" w:hint="default"/>
      </w:rPr>
    </w:lvl>
    <w:lvl w:ilvl="6">
      <w:start w:val="1"/>
      <w:numFmt w:val="decimal"/>
      <w:isLgl/>
      <w:lvlText w:val="%1.%2.%3.%4.%5.%6.%7"/>
      <w:lvlJc w:val="left"/>
      <w:pPr>
        <w:ind w:left="1440" w:hanging="1440"/>
      </w:pPr>
      <w:rPr>
        <w:rFonts w:cs="Courier New" w:hint="default"/>
      </w:rPr>
    </w:lvl>
    <w:lvl w:ilvl="7">
      <w:start w:val="1"/>
      <w:numFmt w:val="decimal"/>
      <w:isLgl/>
      <w:lvlText w:val="%1.%2.%3.%4.%5.%6.%7.%8"/>
      <w:lvlJc w:val="left"/>
      <w:pPr>
        <w:ind w:left="1440" w:hanging="1440"/>
      </w:pPr>
      <w:rPr>
        <w:rFonts w:cs="Courier New" w:hint="default"/>
      </w:rPr>
    </w:lvl>
    <w:lvl w:ilvl="8">
      <w:start w:val="1"/>
      <w:numFmt w:val="decimal"/>
      <w:isLgl/>
      <w:lvlText w:val="%1.%2.%3.%4.%5.%6.%7.%8.%9"/>
      <w:lvlJc w:val="left"/>
      <w:pPr>
        <w:ind w:left="1800" w:hanging="1800"/>
      </w:pPr>
      <w:rPr>
        <w:rFonts w:cs="Courier New" w:hint="default"/>
      </w:rPr>
    </w:lvl>
  </w:abstractNum>
  <w:abstractNum w:abstractNumId="86">
    <w:nsid w:val="58BF678A"/>
    <w:multiLevelType w:val="hybridMultilevel"/>
    <w:tmpl w:val="A5985DCE"/>
    <w:lvl w:ilvl="0" w:tplc="AC06EE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nsid w:val="597A605F"/>
    <w:multiLevelType w:val="multilevel"/>
    <w:tmpl w:val="98E89A5C"/>
    <w:lvl w:ilvl="0">
      <w:start w:val="1"/>
      <w:numFmt w:val="decimal"/>
      <w:pStyle w:val="KeyIssue"/>
      <w:lvlText w:val="Key Issue %1"/>
      <w:lvlJc w:val="left"/>
      <w:pPr>
        <w:ind w:left="2268" w:hanging="1701"/>
      </w:pPr>
      <w:rPr>
        <w:rFonts w:ascii="Tahoma" w:hAnsi="Tahoma" w:hint="default"/>
        <w:b/>
        <w:i/>
        <w:sz w:val="20"/>
      </w:rPr>
    </w:lvl>
    <w:lvl w:ilvl="1">
      <w:start w:val="1"/>
      <w:numFmt w:val="none"/>
      <w:lvlRestart w:val="0"/>
      <w:lvlText w:val=""/>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8">
    <w:nsid w:val="598C1C6E"/>
    <w:multiLevelType w:val="singleLevel"/>
    <w:tmpl w:val="45EE3FF2"/>
    <w:lvl w:ilvl="0">
      <w:start w:val="1"/>
      <w:numFmt w:val="bullet"/>
      <w:pStyle w:val="Bullet20"/>
      <w:lvlText w:val=""/>
      <w:lvlJc w:val="left"/>
      <w:pPr>
        <w:tabs>
          <w:tab w:val="num" w:pos="2016"/>
        </w:tabs>
        <w:ind w:left="2016" w:hanging="864"/>
      </w:pPr>
      <w:rPr>
        <w:rFonts w:ascii="Symbol" w:hAnsi="Symbol" w:hint="default"/>
        <w:sz w:val="20"/>
      </w:rPr>
    </w:lvl>
  </w:abstractNum>
  <w:abstractNum w:abstractNumId="89">
    <w:nsid w:val="5A60637E"/>
    <w:multiLevelType w:val="multilevel"/>
    <w:tmpl w:val="2272E8A2"/>
    <w:lvl w:ilvl="0">
      <w:start w:val="2009"/>
      <w:numFmt w:val="bullet"/>
      <w:lvlText w:val="-"/>
      <w:lvlJc w:val="left"/>
      <w:pPr>
        <w:ind w:left="720" w:hanging="360"/>
      </w:pPr>
      <w:rPr>
        <w:rFonts w:ascii="HelveticaNeueLTStd-Roman" w:eastAsiaTheme="minorHAnsi" w:hAnsi="HelveticaNeueLTStd-Roman" w:cs="HelveticaNeueLTStd-Roman"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90">
    <w:nsid w:val="5DE9019E"/>
    <w:multiLevelType w:val="hybridMultilevel"/>
    <w:tmpl w:val="B59A4328"/>
    <w:lvl w:ilvl="0" w:tplc="F976B642">
      <w:start w:val="1"/>
      <w:numFmt w:val="lowerRoman"/>
      <w:lvlText w:val="(%1)"/>
      <w:lvlJc w:val="left"/>
      <w:pPr>
        <w:ind w:left="2279" w:hanging="720"/>
      </w:pPr>
      <w:rPr>
        <w:rFonts w:hint="default"/>
      </w:rPr>
    </w:lvl>
    <w:lvl w:ilvl="1" w:tplc="042F0019">
      <w:start w:val="1"/>
      <w:numFmt w:val="lowerLetter"/>
      <w:lvlText w:val="%2."/>
      <w:lvlJc w:val="left"/>
      <w:pPr>
        <w:ind w:left="2639" w:hanging="360"/>
      </w:pPr>
    </w:lvl>
    <w:lvl w:ilvl="2" w:tplc="042F001B" w:tentative="1">
      <w:start w:val="1"/>
      <w:numFmt w:val="lowerRoman"/>
      <w:lvlText w:val="%3."/>
      <w:lvlJc w:val="right"/>
      <w:pPr>
        <w:ind w:left="3359" w:hanging="180"/>
      </w:pPr>
    </w:lvl>
    <w:lvl w:ilvl="3" w:tplc="042F000F" w:tentative="1">
      <w:start w:val="1"/>
      <w:numFmt w:val="decimal"/>
      <w:lvlText w:val="%4."/>
      <w:lvlJc w:val="left"/>
      <w:pPr>
        <w:ind w:left="4079" w:hanging="360"/>
      </w:pPr>
    </w:lvl>
    <w:lvl w:ilvl="4" w:tplc="042F0019" w:tentative="1">
      <w:start w:val="1"/>
      <w:numFmt w:val="lowerLetter"/>
      <w:lvlText w:val="%5."/>
      <w:lvlJc w:val="left"/>
      <w:pPr>
        <w:ind w:left="4799" w:hanging="360"/>
      </w:pPr>
    </w:lvl>
    <w:lvl w:ilvl="5" w:tplc="042F001B" w:tentative="1">
      <w:start w:val="1"/>
      <w:numFmt w:val="lowerRoman"/>
      <w:lvlText w:val="%6."/>
      <w:lvlJc w:val="right"/>
      <w:pPr>
        <w:ind w:left="5519" w:hanging="180"/>
      </w:pPr>
    </w:lvl>
    <w:lvl w:ilvl="6" w:tplc="042F000F" w:tentative="1">
      <w:start w:val="1"/>
      <w:numFmt w:val="decimal"/>
      <w:lvlText w:val="%7."/>
      <w:lvlJc w:val="left"/>
      <w:pPr>
        <w:ind w:left="6239" w:hanging="360"/>
      </w:pPr>
    </w:lvl>
    <w:lvl w:ilvl="7" w:tplc="042F0019" w:tentative="1">
      <w:start w:val="1"/>
      <w:numFmt w:val="lowerLetter"/>
      <w:lvlText w:val="%8."/>
      <w:lvlJc w:val="left"/>
      <w:pPr>
        <w:ind w:left="6959" w:hanging="360"/>
      </w:pPr>
    </w:lvl>
    <w:lvl w:ilvl="8" w:tplc="042F001B" w:tentative="1">
      <w:start w:val="1"/>
      <w:numFmt w:val="lowerRoman"/>
      <w:lvlText w:val="%9."/>
      <w:lvlJc w:val="right"/>
      <w:pPr>
        <w:ind w:left="7679" w:hanging="180"/>
      </w:pPr>
    </w:lvl>
  </w:abstractNum>
  <w:abstractNum w:abstractNumId="91">
    <w:nsid w:val="5F586CCA"/>
    <w:multiLevelType w:val="hybridMultilevel"/>
    <w:tmpl w:val="B3A8BF44"/>
    <w:lvl w:ilvl="0" w:tplc="7E5CF954">
      <w:start w:val="1997"/>
      <w:numFmt w:val="bullet"/>
      <w:lvlText w:val="-"/>
      <w:lvlJc w:val="left"/>
      <w:pPr>
        <w:tabs>
          <w:tab w:val="num" w:pos="2350"/>
        </w:tabs>
        <w:ind w:left="2350" w:hanging="360"/>
      </w:pPr>
      <w:rPr>
        <w:rFonts w:ascii="Arial" w:eastAsia="Times New Roman" w:hAnsi="Arial" w:cs="Arial" w:hint="default"/>
        <w:color w:val="auto"/>
        <w:sz w:val="16"/>
        <w:szCs w:val="16"/>
      </w:rPr>
    </w:lvl>
    <w:lvl w:ilvl="1" w:tplc="226873D2">
      <w:start w:val="1"/>
      <w:numFmt w:val="bullet"/>
      <w:lvlText w:val="o"/>
      <w:lvlJc w:val="left"/>
      <w:pPr>
        <w:tabs>
          <w:tab w:val="num" w:pos="1440"/>
        </w:tabs>
        <w:ind w:left="1440" w:hanging="360"/>
      </w:pPr>
      <w:rPr>
        <w:rFonts w:ascii="Courier New" w:hAnsi="Courier New" w:cs="Courier New" w:hint="default"/>
      </w:rPr>
    </w:lvl>
    <w:lvl w:ilvl="2" w:tplc="6D408B56">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92">
    <w:nsid w:val="5FE22A92"/>
    <w:multiLevelType w:val="hybridMultilevel"/>
    <w:tmpl w:val="9EFA48D4"/>
    <w:lvl w:ilvl="0" w:tplc="241A0019">
      <w:start w:val="1"/>
      <w:numFmt w:val="decimal"/>
      <w:lvlText w:val="(%1)"/>
      <w:lvlJc w:val="left"/>
      <w:pPr>
        <w:ind w:left="720" w:hanging="360"/>
      </w:pPr>
      <w:rPr>
        <w:rFonts w:hint="default"/>
        <w:sz w:val="16"/>
        <w:szCs w:val="16"/>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93">
    <w:nsid w:val="62657A7B"/>
    <w:multiLevelType w:val="hybridMultilevel"/>
    <w:tmpl w:val="B33EC0DE"/>
    <w:lvl w:ilvl="0" w:tplc="42B488D0">
      <w:start w:val="1"/>
      <w:numFmt w:val="lowerRoman"/>
      <w:lvlText w:val="(%1)"/>
      <w:lvlJc w:val="left"/>
      <w:pPr>
        <w:ind w:left="780" w:hanging="720"/>
      </w:pPr>
      <w:rPr>
        <w:rFonts w:hint="default"/>
      </w:rPr>
    </w:lvl>
    <w:lvl w:ilvl="1" w:tplc="946A0AE0">
      <w:start w:val="1"/>
      <w:numFmt w:val="lowerLetter"/>
      <w:lvlText w:val="%2)"/>
      <w:lvlJc w:val="left"/>
      <w:pPr>
        <w:ind w:left="1140" w:hanging="360"/>
      </w:pPr>
      <w:rPr>
        <w:rFonts w:hint="default"/>
      </w:r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94">
    <w:nsid w:val="63737542"/>
    <w:multiLevelType w:val="hybridMultilevel"/>
    <w:tmpl w:val="A5985DCE"/>
    <w:lvl w:ilvl="0" w:tplc="AC06EE8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nsid w:val="67CF3A60"/>
    <w:multiLevelType w:val="multilevel"/>
    <w:tmpl w:val="CCE050BE"/>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96">
    <w:nsid w:val="69B62E8E"/>
    <w:multiLevelType w:val="hybridMultilevel"/>
    <w:tmpl w:val="9AA0615A"/>
    <w:lvl w:ilvl="0" w:tplc="329AAA1C">
      <w:start w:val="1"/>
      <w:numFmt w:val="decimal"/>
      <w:lvlText w:val="(%1)"/>
      <w:lvlJc w:val="left"/>
      <w:pPr>
        <w:ind w:left="1815" w:hanging="375"/>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7">
    <w:nsid w:val="6AB03A37"/>
    <w:multiLevelType w:val="hybridMultilevel"/>
    <w:tmpl w:val="813C6404"/>
    <w:lvl w:ilvl="0" w:tplc="1696B9FA">
      <w:start w:val="1"/>
      <w:numFmt w:val="bullet"/>
      <w:lvlText w:val=""/>
      <w:lvlJc w:val="left"/>
      <w:pPr>
        <w:ind w:left="720" w:hanging="360"/>
      </w:pPr>
      <w:rPr>
        <w:rFonts w:ascii="Symbol" w:hAnsi="Symbol" w:hint="default"/>
        <w:sz w:val="14"/>
        <w:szCs w:val="14"/>
      </w:rPr>
    </w:lvl>
    <w:lvl w:ilvl="1" w:tplc="588AFE48" w:tentative="1">
      <w:start w:val="1"/>
      <w:numFmt w:val="bullet"/>
      <w:lvlText w:val="o"/>
      <w:lvlJc w:val="left"/>
      <w:pPr>
        <w:ind w:left="1440" w:hanging="360"/>
      </w:pPr>
      <w:rPr>
        <w:rFonts w:ascii="Courier New" w:hAnsi="Courier New" w:cs="Wingding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Wingdings"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Wingdings" w:hint="default"/>
      </w:rPr>
    </w:lvl>
    <w:lvl w:ilvl="8" w:tplc="08090005" w:tentative="1">
      <w:start w:val="1"/>
      <w:numFmt w:val="bullet"/>
      <w:lvlText w:val=""/>
      <w:lvlJc w:val="left"/>
      <w:pPr>
        <w:ind w:left="6480" w:hanging="360"/>
      </w:pPr>
      <w:rPr>
        <w:rFonts w:ascii="Wingdings" w:hAnsi="Wingdings" w:hint="default"/>
      </w:rPr>
    </w:lvl>
  </w:abstractNum>
  <w:abstractNum w:abstractNumId="98">
    <w:nsid w:val="6AB33362"/>
    <w:multiLevelType w:val="hybridMultilevel"/>
    <w:tmpl w:val="DB0624E2"/>
    <w:lvl w:ilvl="0" w:tplc="A6DA7512">
      <w:start w:val="1"/>
      <w:numFmt w:val="lowerRoman"/>
      <w:lvlText w:val="%1."/>
      <w:lvlJc w:val="right"/>
      <w:pPr>
        <w:ind w:left="720" w:hanging="360"/>
      </w:pPr>
    </w:lvl>
    <w:lvl w:ilvl="1" w:tplc="965E0CCC" w:tentative="1">
      <w:start w:val="1"/>
      <w:numFmt w:val="lowerLetter"/>
      <w:lvlText w:val="%2."/>
      <w:lvlJc w:val="left"/>
      <w:pPr>
        <w:ind w:left="1440" w:hanging="360"/>
      </w:pPr>
    </w:lvl>
    <w:lvl w:ilvl="2" w:tplc="74320AEE" w:tentative="1">
      <w:start w:val="1"/>
      <w:numFmt w:val="lowerRoman"/>
      <w:lvlText w:val="%3."/>
      <w:lvlJc w:val="right"/>
      <w:pPr>
        <w:ind w:left="2160" w:hanging="180"/>
      </w:pPr>
    </w:lvl>
    <w:lvl w:ilvl="3" w:tplc="BACC9EBA" w:tentative="1">
      <w:start w:val="1"/>
      <w:numFmt w:val="decimal"/>
      <w:lvlText w:val="%4."/>
      <w:lvlJc w:val="left"/>
      <w:pPr>
        <w:ind w:left="2880" w:hanging="360"/>
      </w:pPr>
    </w:lvl>
    <w:lvl w:ilvl="4" w:tplc="D09C7B04" w:tentative="1">
      <w:start w:val="1"/>
      <w:numFmt w:val="lowerLetter"/>
      <w:lvlText w:val="%5."/>
      <w:lvlJc w:val="left"/>
      <w:pPr>
        <w:ind w:left="3600" w:hanging="360"/>
      </w:pPr>
    </w:lvl>
    <w:lvl w:ilvl="5" w:tplc="DA5A45DC" w:tentative="1">
      <w:start w:val="1"/>
      <w:numFmt w:val="lowerRoman"/>
      <w:lvlText w:val="%6."/>
      <w:lvlJc w:val="right"/>
      <w:pPr>
        <w:ind w:left="4320" w:hanging="180"/>
      </w:pPr>
    </w:lvl>
    <w:lvl w:ilvl="6" w:tplc="9DB6FF56" w:tentative="1">
      <w:start w:val="1"/>
      <w:numFmt w:val="decimal"/>
      <w:lvlText w:val="%7."/>
      <w:lvlJc w:val="left"/>
      <w:pPr>
        <w:ind w:left="5040" w:hanging="360"/>
      </w:pPr>
    </w:lvl>
    <w:lvl w:ilvl="7" w:tplc="469EA576" w:tentative="1">
      <w:start w:val="1"/>
      <w:numFmt w:val="lowerLetter"/>
      <w:lvlText w:val="%8."/>
      <w:lvlJc w:val="left"/>
      <w:pPr>
        <w:ind w:left="5760" w:hanging="360"/>
      </w:pPr>
    </w:lvl>
    <w:lvl w:ilvl="8" w:tplc="29120502" w:tentative="1">
      <w:start w:val="1"/>
      <w:numFmt w:val="lowerRoman"/>
      <w:lvlText w:val="%9."/>
      <w:lvlJc w:val="right"/>
      <w:pPr>
        <w:ind w:left="6480" w:hanging="180"/>
      </w:pPr>
    </w:lvl>
  </w:abstractNum>
  <w:abstractNum w:abstractNumId="99">
    <w:nsid w:val="6B0E36E5"/>
    <w:multiLevelType w:val="multilevel"/>
    <w:tmpl w:val="BE0444CA"/>
    <w:lvl w:ilvl="0">
      <w:start w:val="2009"/>
      <w:numFmt w:val="bullet"/>
      <w:lvlText w:val="-"/>
      <w:lvlJc w:val="left"/>
      <w:pPr>
        <w:tabs>
          <w:tab w:val="num" w:pos="1440"/>
        </w:tabs>
        <w:ind w:left="1440" w:hanging="360"/>
      </w:pPr>
      <w:rPr>
        <w:rFonts w:ascii="HelveticaNeueLTStd-Roman" w:eastAsiaTheme="minorHAnsi" w:hAnsi="HelveticaNeueLTStd-Roman" w:cs="HelveticaNeueLTStd-Roman" w:hint="default"/>
        <w:b w:val="0"/>
        <w:i w:val="0"/>
        <w:sz w:val="16"/>
        <w:szCs w:val="16"/>
      </w:rPr>
    </w:lvl>
    <w:lvl w:ilvl="1">
      <w:start w:val="1997"/>
      <w:numFmt w:val="bullet"/>
      <w:lvlText w:val="-"/>
      <w:lvlJc w:val="left"/>
      <w:pPr>
        <w:tabs>
          <w:tab w:val="num" w:pos="1515"/>
        </w:tabs>
        <w:ind w:left="1515" w:hanging="435"/>
      </w:pPr>
      <w:rPr>
        <w:rFonts w:ascii="Arial" w:eastAsia="Times New Roman" w:hAnsi="Arial" w:cs="Wingdings 2" w:hint="default"/>
        <w:b w:val="0"/>
        <w:i w:val="0"/>
        <w:sz w:val="16"/>
        <w:szCs w:val="16"/>
      </w:rPr>
    </w:lvl>
    <w:lvl w:ilvl="2">
      <w:start w:val="1"/>
      <w:numFmt w:val="bullet"/>
      <w:lvlText w:val=""/>
      <w:lvlJc w:val="left"/>
      <w:pPr>
        <w:tabs>
          <w:tab w:val="num" w:pos="2160"/>
        </w:tabs>
        <w:ind w:left="2160" w:hanging="360"/>
      </w:pPr>
      <w:rPr>
        <w:rFonts w:ascii="Wingdings" w:hAnsi="Wingdings" w:hint="default"/>
      </w:rPr>
    </w:lvl>
    <w:lvl w:ilvl="3">
      <w:start w:val="1"/>
      <w:numFmt w:val="lowerRoman"/>
      <w:lvlText w:val="(%4)"/>
      <w:lvlJc w:val="left"/>
      <w:pPr>
        <w:ind w:left="3240" w:hanging="720"/>
      </w:pPr>
      <w:rPr>
        <w:rFonts w:hint="default"/>
      </w:rPr>
    </w:lvl>
    <w:lvl w:ilvl="4" w:tentative="1">
      <w:start w:val="1"/>
      <w:numFmt w:val="bullet"/>
      <w:lvlText w:val="o"/>
      <w:lvlJc w:val="left"/>
      <w:pPr>
        <w:tabs>
          <w:tab w:val="num" w:pos="3600"/>
        </w:tabs>
        <w:ind w:left="3600" w:hanging="360"/>
      </w:pPr>
      <w:rPr>
        <w:rFonts w:ascii="Courier New" w:hAnsi="Courier New" w:cs="ヒラギノ角ゴ Pro W3"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ヒラギノ角ゴ Pro W3"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0">
    <w:nsid w:val="6C820238"/>
    <w:multiLevelType w:val="multilevel"/>
    <w:tmpl w:val="CCE050BE"/>
    <w:lvl w:ilvl="0">
      <w:start w:val="1"/>
      <w:numFmt w:val="bullet"/>
      <w:lvlRestart w:val="0"/>
      <w:pStyle w:val="ListBullet"/>
      <w:lvlText w:val=""/>
      <w:lvlJc w:val="left"/>
      <w:pPr>
        <w:ind w:left="1134" w:hanging="567"/>
      </w:pPr>
      <w:rPr>
        <w:rFonts w:ascii="Wingdings" w:hAnsi="Wingdings" w:hint="default"/>
        <w:color w:val="9DBCB0"/>
        <w:sz w:val="24"/>
      </w:rPr>
    </w:lvl>
    <w:lvl w:ilvl="1">
      <w:start w:val="1"/>
      <w:numFmt w:val="bullet"/>
      <w:pStyle w:val="ListBullet2"/>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pStyle w:val="ListBullet3"/>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101">
    <w:nsid w:val="6D367607"/>
    <w:multiLevelType w:val="multilevel"/>
    <w:tmpl w:val="7A1882AE"/>
    <w:styleLink w:val="CowiHeadings"/>
    <w:lvl w:ilvl="0">
      <w:start w:val="1"/>
      <w:numFmt w:val="decimal"/>
      <w:lvlText w:val="%1"/>
      <w:lvlJc w:val="left"/>
      <w:pPr>
        <w:tabs>
          <w:tab w:val="num" w:pos="851"/>
        </w:tabs>
        <w:ind w:left="851" w:hanging="851"/>
      </w:pPr>
      <w:rPr>
        <w:rFonts w:ascii="Arial" w:hAnsi="Arial" w:cs="Symbol" w:hint="default"/>
        <w:b/>
        <w:bCs/>
        <w:color w:val="auto"/>
        <w:sz w:val="32"/>
        <w:szCs w:val="32"/>
        <w:u w:val="none"/>
      </w:rPr>
    </w:lvl>
    <w:lvl w:ilvl="1">
      <w:start w:val="1"/>
      <w:numFmt w:val="decimal"/>
      <w:lvlText w:val="%1.%2"/>
      <w:lvlJc w:val="left"/>
      <w:pPr>
        <w:tabs>
          <w:tab w:val="num" w:pos="851"/>
        </w:tabs>
        <w:ind w:left="851" w:hanging="851"/>
      </w:pPr>
      <w:rPr>
        <w:rFonts w:ascii="Arial" w:hAnsi="Arial" w:cs="Symbol" w:hint="default"/>
        <w:b/>
        <w:bCs/>
        <w:sz w:val="27"/>
        <w:szCs w:val="27"/>
      </w:rPr>
    </w:lvl>
    <w:lvl w:ilvl="2">
      <w:start w:val="1"/>
      <w:numFmt w:val="decimal"/>
      <w:lvlText w:val="%1.%2.%3"/>
      <w:lvlJc w:val="left"/>
      <w:pPr>
        <w:tabs>
          <w:tab w:val="num" w:pos="851"/>
        </w:tabs>
        <w:ind w:left="851" w:hanging="851"/>
      </w:pPr>
      <w:rPr>
        <w:rFonts w:ascii="Arial" w:hAnsi="Arial" w:cs="Symbol" w:hint="default"/>
        <w:b/>
        <w:bCs/>
        <w:color w:val="auto"/>
        <w:sz w:val="23"/>
        <w:szCs w:val="23"/>
      </w:rPr>
    </w:lvl>
    <w:lvl w:ilvl="3">
      <w:start w:val="1"/>
      <w:numFmt w:val="decimal"/>
      <w:lvlText w:val="%1.%2.%3.%4"/>
      <w:lvlJc w:val="left"/>
      <w:pPr>
        <w:tabs>
          <w:tab w:val="num" w:pos="1276"/>
        </w:tabs>
        <w:ind w:left="1276" w:hanging="1276"/>
      </w:pPr>
      <w:rPr>
        <w:rFonts w:ascii="Arial" w:hAnsi="Arial" w:cs="Symbol" w:hint="default"/>
        <w:b/>
        <w:bCs/>
        <w:sz w:val="20"/>
        <w:szCs w:val="20"/>
      </w:rPr>
    </w:lvl>
    <w:lvl w:ilvl="4">
      <w:start w:val="1"/>
      <w:numFmt w:val="decimal"/>
      <w:lvlText w:val="%1.%2.%3.%4.%5"/>
      <w:lvlJc w:val="left"/>
      <w:pPr>
        <w:tabs>
          <w:tab w:val="num" w:pos="1276"/>
        </w:tabs>
        <w:ind w:left="1276" w:hanging="1276"/>
      </w:pPr>
      <w:rPr>
        <w:rFonts w:ascii="Arial" w:hAnsi="Arial" w:cs="Symbol" w:hint="default"/>
        <w:b/>
        <w:bCs/>
        <w:sz w:val="20"/>
        <w:szCs w:val="20"/>
      </w:rPr>
    </w:lvl>
    <w:lvl w:ilvl="5">
      <w:start w:val="1"/>
      <w:numFmt w:val="lowerRoman"/>
      <w:lvlText w:val="(%6)"/>
      <w:lvlJc w:val="left"/>
      <w:pPr>
        <w:tabs>
          <w:tab w:val="num" w:pos="851"/>
        </w:tabs>
        <w:ind w:left="851" w:hanging="851"/>
      </w:pPr>
      <w:rPr>
        <w:rFonts w:cs="Times New Roman" w:hint="default"/>
      </w:rPr>
    </w:lvl>
    <w:lvl w:ilvl="6">
      <w:start w:val="1"/>
      <w:numFmt w:val="none"/>
      <w:lvlRestart w:val="0"/>
      <w:suff w:val="nothing"/>
      <w:lvlText w:val=""/>
      <w:lvlJc w:val="left"/>
      <w:rPr>
        <w:rFonts w:ascii="Arial" w:hAnsi="Arial" w:cs="Symbol" w:hint="default"/>
        <w:b/>
        <w:bCs/>
        <w:sz w:val="32"/>
        <w:szCs w:val="32"/>
      </w:rPr>
    </w:lvl>
    <w:lvl w:ilvl="7">
      <w:start w:val="1"/>
      <w:numFmt w:val="lowerLetter"/>
      <w:lvlText w:val="%8."/>
      <w:lvlJc w:val="left"/>
      <w:pPr>
        <w:tabs>
          <w:tab w:val="num" w:pos="851"/>
        </w:tabs>
        <w:ind w:left="851" w:hanging="851"/>
      </w:pPr>
      <w:rPr>
        <w:rFonts w:cs="Times New Roman" w:hint="default"/>
      </w:rPr>
    </w:lvl>
    <w:lvl w:ilvl="8">
      <w:start w:val="1"/>
      <w:numFmt w:val="lowerRoman"/>
      <w:lvlText w:val="%9."/>
      <w:lvlJc w:val="left"/>
      <w:pPr>
        <w:tabs>
          <w:tab w:val="num" w:pos="851"/>
        </w:tabs>
        <w:ind w:left="851" w:hanging="851"/>
      </w:pPr>
      <w:rPr>
        <w:rFonts w:cs="Times New Roman" w:hint="default"/>
      </w:rPr>
    </w:lvl>
  </w:abstractNum>
  <w:abstractNum w:abstractNumId="102">
    <w:nsid w:val="6E0D34A5"/>
    <w:multiLevelType w:val="hybridMultilevel"/>
    <w:tmpl w:val="BAC81BCE"/>
    <w:lvl w:ilvl="0" w:tplc="6C3E089C">
      <w:start w:val="1"/>
      <w:numFmt w:val="decimal"/>
      <w:pStyle w:val="Buleted"/>
      <w:lvlText w:val="%1."/>
      <w:lvlJc w:val="left"/>
      <w:pPr>
        <w:tabs>
          <w:tab w:val="num" w:pos="357"/>
        </w:tabs>
        <w:ind w:left="717" w:hanging="360"/>
      </w:pPr>
      <w:rPr>
        <w:rFonts w:cs="Times New Roman" w:hint="default"/>
      </w:rPr>
    </w:lvl>
    <w:lvl w:ilvl="1" w:tplc="A1969ADA">
      <w:start w:val="1"/>
      <w:numFmt w:val="lowerLetter"/>
      <w:lvlText w:val="%2."/>
      <w:lvlJc w:val="left"/>
      <w:pPr>
        <w:ind w:left="1440" w:hanging="360"/>
      </w:pPr>
      <w:rPr>
        <w:rFonts w:cs="Times New Roman"/>
      </w:rPr>
    </w:lvl>
    <w:lvl w:ilvl="2" w:tplc="160888EC">
      <w:start w:val="1"/>
      <w:numFmt w:val="lowerRoman"/>
      <w:lvlText w:val="%3."/>
      <w:lvlJc w:val="right"/>
      <w:pPr>
        <w:ind w:left="2160" w:hanging="180"/>
      </w:pPr>
      <w:rPr>
        <w:rFonts w:cs="Times New Roman"/>
      </w:rPr>
    </w:lvl>
    <w:lvl w:ilvl="3" w:tplc="40B83A3E">
      <w:start w:val="1"/>
      <w:numFmt w:val="decimal"/>
      <w:lvlText w:val="%4."/>
      <w:lvlJc w:val="left"/>
      <w:pPr>
        <w:ind w:left="2880" w:hanging="360"/>
      </w:pPr>
      <w:rPr>
        <w:rFonts w:cs="Times New Roman"/>
      </w:rPr>
    </w:lvl>
    <w:lvl w:ilvl="4" w:tplc="C4BAAFB8">
      <w:start w:val="1"/>
      <w:numFmt w:val="lowerLetter"/>
      <w:lvlText w:val="%5."/>
      <w:lvlJc w:val="left"/>
      <w:pPr>
        <w:ind w:left="3600" w:hanging="360"/>
      </w:pPr>
      <w:rPr>
        <w:rFonts w:cs="Times New Roman"/>
      </w:rPr>
    </w:lvl>
    <w:lvl w:ilvl="5" w:tplc="CFB87D06">
      <w:start w:val="1"/>
      <w:numFmt w:val="lowerRoman"/>
      <w:lvlText w:val="%6."/>
      <w:lvlJc w:val="right"/>
      <w:pPr>
        <w:ind w:left="4320" w:hanging="180"/>
      </w:pPr>
      <w:rPr>
        <w:rFonts w:cs="Times New Roman"/>
      </w:rPr>
    </w:lvl>
    <w:lvl w:ilvl="6" w:tplc="CCF8EDC4">
      <w:start w:val="1"/>
      <w:numFmt w:val="decimal"/>
      <w:lvlText w:val="%7."/>
      <w:lvlJc w:val="left"/>
      <w:pPr>
        <w:ind w:left="5040" w:hanging="360"/>
      </w:pPr>
      <w:rPr>
        <w:rFonts w:cs="Times New Roman"/>
      </w:rPr>
    </w:lvl>
    <w:lvl w:ilvl="7" w:tplc="3A4E3564">
      <w:start w:val="1"/>
      <w:numFmt w:val="lowerLetter"/>
      <w:lvlText w:val="%8."/>
      <w:lvlJc w:val="left"/>
      <w:pPr>
        <w:ind w:left="5760" w:hanging="360"/>
      </w:pPr>
      <w:rPr>
        <w:rFonts w:cs="Times New Roman"/>
      </w:rPr>
    </w:lvl>
    <w:lvl w:ilvl="8" w:tplc="A5BEEE06">
      <w:start w:val="1"/>
      <w:numFmt w:val="lowerRoman"/>
      <w:lvlText w:val="%9."/>
      <w:lvlJc w:val="right"/>
      <w:pPr>
        <w:ind w:left="6480" w:hanging="180"/>
      </w:pPr>
      <w:rPr>
        <w:rFonts w:cs="Times New Roman"/>
      </w:rPr>
    </w:lvl>
  </w:abstractNum>
  <w:abstractNum w:abstractNumId="103">
    <w:nsid w:val="6F9565AF"/>
    <w:multiLevelType w:val="hybridMultilevel"/>
    <w:tmpl w:val="6148622A"/>
    <w:lvl w:ilvl="0" w:tplc="04EC548E">
      <w:numFmt w:val="bullet"/>
      <w:lvlText w:val="-"/>
      <w:lvlJc w:val="left"/>
      <w:pPr>
        <w:ind w:left="1287" w:hanging="360"/>
      </w:pPr>
      <w:rPr>
        <w:rFonts w:ascii="Verdana" w:eastAsia="Times New Roman" w:hAnsi="Verdana"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4">
    <w:nsid w:val="70291ED3"/>
    <w:multiLevelType w:val="hybridMultilevel"/>
    <w:tmpl w:val="744E5768"/>
    <w:lvl w:ilvl="0" w:tplc="ACC6A3DA">
      <w:start w:val="1"/>
      <w:numFmt w:val="lowerRoman"/>
      <w:lvlText w:val="(%1)"/>
      <w:lvlJc w:val="left"/>
      <w:pPr>
        <w:ind w:left="720" w:hanging="360"/>
      </w:pPr>
      <w:rPr>
        <w:rFonts w:hint="default"/>
      </w:rPr>
    </w:lvl>
    <w:lvl w:ilvl="1" w:tplc="042F0019" w:tentative="1">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105">
    <w:nsid w:val="70A00913"/>
    <w:multiLevelType w:val="multilevel"/>
    <w:tmpl w:val="CCE050BE"/>
    <w:styleLink w:val="ListBulletsWorldBankADB"/>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106">
    <w:nsid w:val="70F83CC0"/>
    <w:multiLevelType w:val="hybridMultilevel"/>
    <w:tmpl w:val="45067104"/>
    <w:lvl w:ilvl="0" w:tplc="62DE355A">
      <w:start w:val="1"/>
      <w:numFmt w:val="bullet"/>
      <w:pStyle w:val="bullet"/>
      <w:lvlText w:val=""/>
      <w:lvlJc w:val="left"/>
      <w:pPr>
        <w:tabs>
          <w:tab w:val="num" w:pos="397"/>
        </w:tabs>
        <w:ind w:left="397" w:hanging="397"/>
      </w:pPr>
      <w:rPr>
        <w:rFonts w:ascii="Wingdings" w:hAnsi="Wingdings" w:hint="default"/>
        <w:b w:val="0"/>
        <w:i w:val="0"/>
        <w:color w:val="B3D5EA"/>
        <w:kern w:val="20"/>
        <w:sz w:val="24"/>
      </w:rPr>
    </w:lvl>
    <w:lvl w:ilvl="1" w:tplc="078AB322" w:tentative="1">
      <w:start w:val="1"/>
      <w:numFmt w:val="bullet"/>
      <w:lvlText w:val="o"/>
      <w:lvlJc w:val="left"/>
      <w:pPr>
        <w:tabs>
          <w:tab w:val="num" w:pos="363"/>
        </w:tabs>
        <w:ind w:left="363" w:hanging="360"/>
      </w:pPr>
      <w:rPr>
        <w:rFonts w:ascii="Courier New" w:hAnsi="Courier New" w:cs="Courier New" w:hint="default"/>
      </w:rPr>
    </w:lvl>
    <w:lvl w:ilvl="2" w:tplc="D68AFA28" w:tentative="1">
      <w:start w:val="1"/>
      <w:numFmt w:val="bullet"/>
      <w:lvlText w:val=""/>
      <w:lvlJc w:val="left"/>
      <w:pPr>
        <w:tabs>
          <w:tab w:val="num" w:pos="1083"/>
        </w:tabs>
        <w:ind w:left="1083" w:hanging="360"/>
      </w:pPr>
      <w:rPr>
        <w:rFonts w:ascii="Wingdings" w:hAnsi="Wingdings" w:hint="default"/>
      </w:rPr>
    </w:lvl>
    <w:lvl w:ilvl="3" w:tplc="76004488" w:tentative="1">
      <w:start w:val="1"/>
      <w:numFmt w:val="bullet"/>
      <w:lvlText w:val=""/>
      <w:lvlJc w:val="left"/>
      <w:pPr>
        <w:tabs>
          <w:tab w:val="num" w:pos="1803"/>
        </w:tabs>
        <w:ind w:left="1803" w:hanging="360"/>
      </w:pPr>
      <w:rPr>
        <w:rFonts w:ascii="Symbol" w:hAnsi="Symbol" w:hint="default"/>
      </w:rPr>
    </w:lvl>
    <w:lvl w:ilvl="4" w:tplc="6ED4341C" w:tentative="1">
      <w:start w:val="1"/>
      <w:numFmt w:val="bullet"/>
      <w:lvlText w:val="o"/>
      <w:lvlJc w:val="left"/>
      <w:pPr>
        <w:tabs>
          <w:tab w:val="num" w:pos="2523"/>
        </w:tabs>
        <w:ind w:left="2523" w:hanging="360"/>
      </w:pPr>
      <w:rPr>
        <w:rFonts w:ascii="Courier New" w:hAnsi="Courier New" w:cs="Courier New" w:hint="default"/>
      </w:rPr>
    </w:lvl>
    <w:lvl w:ilvl="5" w:tplc="99721784" w:tentative="1">
      <w:start w:val="1"/>
      <w:numFmt w:val="bullet"/>
      <w:lvlText w:val=""/>
      <w:lvlJc w:val="left"/>
      <w:pPr>
        <w:tabs>
          <w:tab w:val="num" w:pos="3243"/>
        </w:tabs>
        <w:ind w:left="3243" w:hanging="360"/>
      </w:pPr>
      <w:rPr>
        <w:rFonts w:ascii="Wingdings" w:hAnsi="Wingdings" w:hint="default"/>
      </w:rPr>
    </w:lvl>
    <w:lvl w:ilvl="6" w:tplc="9BB4D360" w:tentative="1">
      <w:start w:val="1"/>
      <w:numFmt w:val="bullet"/>
      <w:lvlText w:val=""/>
      <w:lvlJc w:val="left"/>
      <w:pPr>
        <w:tabs>
          <w:tab w:val="num" w:pos="3963"/>
        </w:tabs>
        <w:ind w:left="3963" w:hanging="360"/>
      </w:pPr>
      <w:rPr>
        <w:rFonts w:ascii="Symbol" w:hAnsi="Symbol" w:hint="default"/>
      </w:rPr>
    </w:lvl>
    <w:lvl w:ilvl="7" w:tplc="82208380" w:tentative="1">
      <w:start w:val="1"/>
      <w:numFmt w:val="bullet"/>
      <w:lvlText w:val="o"/>
      <w:lvlJc w:val="left"/>
      <w:pPr>
        <w:tabs>
          <w:tab w:val="num" w:pos="4683"/>
        </w:tabs>
        <w:ind w:left="4683" w:hanging="360"/>
      </w:pPr>
      <w:rPr>
        <w:rFonts w:ascii="Courier New" w:hAnsi="Courier New" w:cs="Courier New" w:hint="default"/>
      </w:rPr>
    </w:lvl>
    <w:lvl w:ilvl="8" w:tplc="64C4382E" w:tentative="1">
      <w:start w:val="1"/>
      <w:numFmt w:val="bullet"/>
      <w:lvlText w:val=""/>
      <w:lvlJc w:val="left"/>
      <w:pPr>
        <w:tabs>
          <w:tab w:val="num" w:pos="5403"/>
        </w:tabs>
        <w:ind w:left="5403" w:hanging="360"/>
      </w:pPr>
      <w:rPr>
        <w:rFonts w:ascii="Wingdings" w:hAnsi="Wingdings" w:hint="default"/>
      </w:rPr>
    </w:lvl>
  </w:abstractNum>
  <w:abstractNum w:abstractNumId="107">
    <w:nsid w:val="713C598E"/>
    <w:multiLevelType w:val="hybridMultilevel"/>
    <w:tmpl w:val="2C4E0464"/>
    <w:lvl w:ilvl="0" w:tplc="AA0E454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71505986"/>
    <w:multiLevelType w:val="hybridMultilevel"/>
    <w:tmpl w:val="155A67B0"/>
    <w:lvl w:ilvl="0" w:tplc="61D80516">
      <w:start w:val="1"/>
      <w:numFmt w:val="decimal"/>
      <w:lvlText w:val="[%1]"/>
      <w:lvlJc w:val="left"/>
      <w:pPr>
        <w:ind w:left="8296" w:hanging="360"/>
      </w:pPr>
      <w:rPr>
        <w:rFonts w:cs="Times New Roman" w:hint="default"/>
      </w:rPr>
    </w:lvl>
    <w:lvl w:ilvl="1" w:tplc="99D89782" w:tentative="1">
      <w:start w:val="1"/>
      <w:numFmt w:val="lowerLetter"/>
      <w:lvlText w:val="%2."/>
      <w:lvlJc w:val="left"/>
      <w:pPr>
        <w:ind w:left="9016" w:hanging="360"/>
      </w:pPr>
      <w:rPr>
        <w:rFonts w:cs="Times New Roman"/>
      </w:rPr>
    </w:lvl>
    <w:lvl w:ilvl="2" w:tplc="EE389084" w:tentative="1">
      <w:start w:val="1"/>
      <w:numFmt w:val="lowerRoman"/>
      <w:lvlText w:val="%3."/>
      <w:lvlJc w:val="right"/>
      <w:pPr>
        <w:ind w:left="9736" w:hanging="180"/>
      </w:pPr>
      <w:rPr>
        <w:rFonts w:cs="Times New Roman"/>
      </w:rPr>
    </w:lvl>
    <w:lvl w:ilvl="3" w:tplc="A52AA52A" w:tentative="1">
      <w:start w:val="1"/>
      <w:numFmt w:val="decimal"/>
      <w:lvlText w:val="%4."/>
      <w:lvlJc w:val="left"/>
      <w:pPr>
        <w:ind w:left="10456" w:hanging="360"/>
      </w:pPr>
      <w:rPr>
        <w:rFonts w:cs="Times New Roman"/>
      </w:rPr>
    </w:lvl>
    <w:lvl w:ilvl="4" w:tplc="DB9EE374" w:tentative="1">
      <w:start w:val="1"/>
      <w:numFmt w:val="lowerLetter"/>
      <w:lvlText w:val="%5."/>
      <w:lvlJc w:val="left"/>
      <w:pPr>
        <w:ind w:left="11176" w:hanging="360"/>
      </w:pPr>
      <w:rPr>
        <w:rFonts w:cs="Times New Roman"/>
      </w:rPr>
    </w:lvl>
    <w:lvl w:ilvl="5" w:tplc="6E229DB6" w:tentative="1">
      <w:start w:val="1"/>
      <w:numFmt w:val="lowerRoman"/>
      <w:lvlText w:val="%6."/>
      <w:lvlJc w:val="right"/>
      <w:pPr>
        <w:ind w:left="11896" w:hanging="180"/>
      </w:pPr>
      <w:rPr>
        <w:rFonts w:cs="Times New Roman"/>
      </w:rPr>
    </w:lvl>
    <w:lvl w:ilvl="6" w:tplc="B8507BB2" w:tentative="1">
      <w:start w:val="1"/>
      <w:numFmt w:val="decimal"/>
      <w:lvlText w:val="%7."/>
      <w:lvlJc w:val="left"/>
      <w:pPr>
        <w:ind w:left="12616" w:hanging="360"/>
      </w:pPr>
      <w:rPr>
        <w:rFonts w:cs="Times New Roman"/>
      </w:rPr>
    </w:lvl>
    <w:lvl w:ilvl="7" w:tplc="ED964152" w:tentative="1">
      <w:start w:val="1"/>
      <w:numFmt w:val="lowerLetter"/>
      <w:lvlText w:val="%8."/>
      <w:lvlJc w:val="left"/>
      <w:pPr>
        <w:ind w:left="13336" w:hanging="360"/>
      </w:pPr>
      <w:rPr>
        <w:rFonts w:cs="Times New Roman"/>
      </w:rPr>
    </w:lvl>
    <w:lvl w:ilvl="8" w:tplc="76C4AA02" w:tentative="1">
      <w:start w:val="1"/>
      <w:numFmt w:val="lowerRoman"/>
      <w:lvlText w:val="%9."/>
      <w:lvlJc w:val="right"/>
      <w:pPr>
        <w:ind w:left="14056" w:hanging="180"/>
      </w:pPr>
      <w:rPr>
        <w:rFonts w:cs="Times New Roman"/>
      </w:rPr>
    </w:lvl>
  </w:abstractNum>
  <w:abstractNum w:abstractNumId="109">
    <w:nsid w:val="719F3A3E"/>
    <w:multiLevelType w:val="multilevel"/>
    <w:tmpl w:val="CCE050BE"/>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110">
    <w:nsid w:val="71D37D93"/>
    <w:multiLevelType w:val="hybridMultilevel"/>
    <w:tmpl w:val="69B00D14"/>
    <w:lvl w:ilvl="0" w:tplc="AB685C28">
      <w:start w:val="1"/>
      <w:numFmt w:val="bullet"/>
      <w:lvlText w:val=""/>
      <w:lvlJc w:val="left"/>
      <w:pPr>
        <w:ind w:left="753" w:hanging="360"/>
      </w:pPr>
      <w:rPr>
        <w:rFonts w:ascii="Symbol" w:hAnsi="Symbol" w:hint="default"/>
        <w:sz w:val="14"/>
        <w:szCs w:val="14"/>
      </w:rPr>
    </w:lvl>
    <w:lvl w:ilvl="1" w:tplc="04090003" w:tentative="1">
      <w:start w:val="1"/>
      <w:numFmt w:val="bullet"/>
      <w:lvlText w:val="o"/>
      <w:lvlJc w:val="left"/>
      <w:pPr>
        <w:ind w:left="1473" w:hanging="360"/>
      </w:pPr>
      <w:rPr>
        <w:rFonts w:ascii="Courier New" w:hAnsi="Courier New" w:cs="Wingdings"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Wingdings"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Wingdings" w:hint="default"/>
      </w:rPr>
    </w:lvl>
    <w:lvl w:ilvl="8" w:tplc="04090005" w:tentative="1">
      <w:start w:val="1"/>
      <w:numFmt w:val="bullet"/>
      <w:lvlText w:val=""/>
      <w:lvlJc w:val="left"/>
      <w:pPr>
        <w:ind w:left="6513" w:hanging="360"/>
      </w:pPr>
      <w:rPr>
        <w:rFonts w:ascii="Wingdings" w:hAnsi="Wingdings" w:hint="default"/>
      </w:rPr>
    </w:lvl>
  </w:abstractNum>
  <w:abstractNum w:abstractNumId="111">
    <w:nsid w:val="724F17A2"/>
    <w:multiLevelType w:val="hybridMultilevel"/>
    <w:tmpl w:val="3E885114"/>
    <w:lvl w:ilvl="0" w:tplc="C0CE485E">
      <w:start w:val="1"/>
      <w:numFmt w:val="bullet"/>
      <w:lvlText w:val=""/>
      <w:lvlJc w:val="left"/>
      <w:pPr>
        <w:ind w:left="720" w:hanging="360"/>
      </w:pPr>
      <w:rPr>
        <w:rFonts w:ascii="Symbol" w:hAnsi="Symbol" w:hint="default"/>
      </w:rPr>
    </w:lvl>
    <w:lvl w:ilvl="1" w:tplc="B5784464" w:tentative="1">
      <w:start w:val="1"/>
      <w:numFmt w:val="bullet"/>
      <w:lvlText w:val="o"/>
      <w:lvlJc w:val="left"/>
      <w:pPr>
        <w:ind w:left="1440" w:hanging="360"/>
      </w:pPr>
      <w:rPr>
        <w:rFonts w:ascii="Courier New" w:hAnsi="Courier New" w:cs="Courier New" w:hint="default"/>
      </w:rPr>
    </w:lvl>
    <w:lvl w:ilvl="2" w:tplc="FCC2516E" w:tentative="1">
      <w:start w:val="1"/>
      <w:numFmt w:val="bullet"/>
      <w:pStyle w:val="ListBullet3NoSpace"/>
      <w:lvlText w:val=""/>
      <w:lvlJc w:val="left"/>
      <w:pPr>
        <w:ind w:left="2160" w:hanging="360"/>
      </w:pPr>
      <w:rPr>
        <w:rFonts w:ascii="Wingdings" w:hAnsi="Wingdings" w:hint="default"/>
      </w:rPr>
    </w:lvl>
    <w:lvl w:ilvl="3" w:tplc="5B4032E2" w:tentative="1">
      <w:start w:val="1"/>
      <w:numFmt w:val="bullet"/>
      <w:lvlText w:val=""/>
      <w:lvlJc w:val="left"/>
      <w:pPr>
        <w:ind w:left="2880" w:hanging="360"/>
      </w:pPr>
      <w:rPr>
        <w:rFonts w:ascii="Symbol" w:hAnsi="Symbol" w:hint="default"/>
      </w:rPr>
    </w:lvl>
    <w:lvl w:ilvl="4" w:tplc="92762612" w:tentative="1">
      <w:start w:val="1"/>
      <w:numFmt w:val="bullet"/>
      <w:lvlText w:val="o"/>
      <w:lvlJc w:val="left"/>
      <w:pPr>
        <w:ind w:left="3600" w:hanging="360"/>
      </w:pPr>
      <w:rPr>
        <w:rFonts w:ascii="Courier New" w:hAnsi="Courier New" w:cs="Courier New" w:hint="default"/>
      </w:rPr>
    </w:lvl>
    <w:lvl w:ilvl="5" w:tplc="F13AF87E" w:tentative="1">
      <w:start w:val="1"/>
      <w:numFmt w:val="bullet"/>
      <w:lvlText w:val=""/>
      <w:lvlJc w:val="left"/>
      <w:pPr>
        <w:ind w:left="4320" w:hanging="360"/>
      </w:pPr>
      <w:rPr>
        <w:rFonts w:ascii="Wingdings" w:hAnsi="Wingdings" w:hint="default"/>
      </w:rPr>
    </w:lvl>
    <w:lvl w:ilvl="6" w:tplc="9B126912" w:tentative="1">
      <w:start w:val="1"/>
      <w:numFmt w:val="bullet"/>
      <w:lvlText w:val=""/>
      <w:lvlJc w:val="left"/>
      <w:pPr>
        <w:ind w:left="5040" w:hanging="360"/>
      </w:pPr>
      <w:rPr>
        <w:rFonts w:ascii="Symbol" w:hAnsi="Symbol" w:hint="default"/>
      </w:rPr>
    </w:lvl>
    <w:lvl w:ilvl="7" w:tplc="3D28B780" w:tentative="1">
      <w:start w:val="1"/>
      <w:numFmt w:val="bullet"/>
      <w:lvlText w:val="o"/>
      <w:lvlJc w:val="left"/>
      <w:pPr>
        <w:ind w:left="5760" w:hanging="360"/>
      </w:pPr>
      <w:rPr>
        <w:rFonts w:ascii="Courier New" w:hAnsi="Courier New" w:cs="Courier New" w:hint="default"/>
      </w:rPr>
    </w:lvl>
    <w:lvl w:ilvl="8" w:tplc="62FCF614" w:tentative="1">
      <w:start w:val="1"/>
      <w:numFmt w:val="bullet"/>
      <w:lvlText w:val=""/>
      <w:lvlJc w:val="left"/>
      <w:pPr>
        <w:ind w:left="6480" w:hanging="360"/>
      </w:pPr>
      <w:rPr>
        <w:rFonts w:ascii="Wingdings" w:hAnsi="Wingdings" w:hint="default"/>
      </w:rPr>
    </w:lvl>
  </w:abstractNum>
  <w:abstractNum w:abstractNumId="112">
    <w:nsid w:val="73D73EF1"/>
    <w:multiLevelType w:val="hybridMultilevel"/>
    <w:tmpl w:val="0F8E3BAE"/>
    <w:lvl w:ilvl="0" w:tplc="B748D19E">
      <w:start w:val="1"/>
      <w:numFmt w:val="bullet"/>
      <w:lvlText w:val=""/>
      <w:lvlJc w:val="left"/>
      <w:pPr>
        <w:ind w:left="720" w:hanging="360"/>
      </w:pPr>
      <w:rPr>
        <w:rFonts w:ascii="Symbol" w:hAnsi="Symbol" w:hint="default"/>
        <w:sz w:val="14"/>
        <w:szCs w:val="14"/>
      </w:rPr>
    </w:lvl>
    <w:lvl w:ilvl="1" w:tplc="40EC1B4E">
      <w:numFmt w:val="bullet"/>
      <w:lvlText w:val="•"/>
      <w:lvlJc w:val="left"/>
      <w:pPr>
        <w:ind w:left="1440" w:hanging="360"/>
      </w:pPr>
      <w:rPr>
        <w:rFonts w:ascii="Tahoma" w:eastAsia="Calibri" w:hAnsi="Tahoma" w:cs="Symbol" w:hint="default"/>
        <w:sz w:val="14"/>
        <w:szCs w:val="14"/>
      </w:rPr>
    </w:lvl>
    <w:lvl w:ilvl="2" w:tplc="E034AD5E" w:tentative="1">
      <w:start w:val="1"/>
      <w:numFmt w:val="bullet"/>
      <w:lvlText w:val=""/>
      <w:lvlJc w:val="left"/>
      <w:pPr>
        <w:ind w:left="2160" w:hanging="360"/>
      </w:pPr>
      <w:rPr>
        <w:rFonts w:ascii="Wingdings" w:hAnsi="Wingdings" w:hint="default"/>
      </w:rPr>
    </w:lvl>
    <w:lvl w:ilvl="3" w:tplc="7F1CC5B0" w:tentative="1">
      <w:start w:val="1"/>
      <w:numFmt w:val="bullet"/>
      <w:lvlText w:val=""/>
      <w:lvlJc w:val="left"/>
      <w:pPr>
        <w:ind w:left="2880" w:hanging="360"/>
      </w:pPr>
      <w:rPr>
        <w:rFonts w:ascii="Symbol" w:hAnsi="Symbol" w:hint="default"/>
      </w:rPr>
    </w:lvl>
    <w:lvl w:ilvl="4" w:tplc="6C20AA68" w:tentative="1">
      <w:start w:val="1"/>
      <w:numFmt w:val="bullet"/>
      <w:lvlText w:val="o"/>
      <w:lvlJc w:val="left"/>
      <w:pPr>
        <w:ind w:left="3600" w:hanging="360"/>
      </w:pPr>
      <w:rPr>
        <w:rFonts w:ascii="Courier New" w:hAnsi="Courier New" w:cs="Wingdings" w:hint="default"/>
      </w:rPr>
    </w:lvl>
    <w:lvl w:ilvl="5" w:tplc="D61A2984" w:tentative="1">
      <w:start w:val="1"/>
      <w:numFmt w:val="bullet"/>
      <w:lvlText w:val=""/>
      <w:lvlJc w:val="left"/>
      <w:pPr>
        <w:ind w:left="4320" w:hanging="360"/>
      </w:pPr>
      <w:rPr>
        <w:rFonts w:ascii="Wingdings" w:hAnsi="Wingdings" w:hint="default"/>
      </w:rPr>
    </w:lvl>
    <w:lvl w:ilvl="6" w:tplc="F36865EC" w:tentative="1">
      <w:start w:val="1"/>
      <w:numFmt w:val="bullet"/>
      <w:lvlText w:val=""/>
      <w:lvlJc w:val="left"/>
      <w:pPr>
        <w:ind w:left="5040" w:hanging="360"/>
      </w:pPr>
      <w:rPr>
        <w:rFonts w:ascii="Symbol" w:hAnsi="Symbol" w:hint="default"/>
      </w:rPr>
    </w:lvl>
    <w:lvl w:ilvl="7" w:tplc="A3B28CDA" w:tentative="1">
      <w:start w:val="1"/>
      <w:numFmt w:val="bullet"/>
      <w:lvlText w:val="o"/>
      <w:lvlJc w:val="left"/>
      <w:pPr>
        <w:ind w:left="5760" w:hanging="360"/>
      </w:pPr>
      <w:rPr>
        <w:rFonts w:ascii="Courier New" w:hAnsi="Courier New" w:cs="Wingdings" w:hint="default"/>
      </w:rPr>
    </w:lvl>
    <w:lvl w:ilvl="8" w:tplc="2F82ED1A" w:tentative="1">
      <w:start w:val="1"/>
      <w:numFmt w:val="bullet"/>
      <w:lvlText w:val=""/>
      <w:lvlJc w:val="left"/>
      <w:pPr>
        <w:ind w:left="6480" w:hanging="360"/>
      </w:pPr>
      <w:rPr>
        <w:rFonts w:ascii="Wingdings" w:hAnsi="Wingdings" w:hint="default"/>
      </w:rPr>
    </w:lvl>
  </w:abstractNum>
  <w:abstractNum w:abstractNumId="113">
    <w:nsid w:val="74D13FEF"/>
    <w:multiLevelType w:val="hybridMultilevel"/>
    <w:tmpl w:val="E8222654"/>
    <w:lvl w:ilvl="0" w:tplc="C58E582A">
      <w:numFmt w:val="bullet"/>
      <w:lvlText w:val="-"/>
      <w:lvlJc w:val="left"/>
      <w:pPr>
        <w:ind w:left="720" w:hanging="360"/>
      </w:pPr>
      <w:rPr>
        <w:rFonts w:ascii="Verdana" w:eastAsia="Times New Roman" w:hAnsi="Verdana" w:cs="Times New Roman" w:hint="default"/>
      </w:rPr>
    </w:lvl>
    <w:lvl w:ilvl="1" w:tplc="9D4ABB22" w:tentative="1">
      <w:start w:val="1"/>
      <w:numFmt w:val="bullet"/>
      <w:lvlText w:val="o"/>
      <w:lvlJc w:val="left"/>
      <w:pPr>
        <w:ind w:left="1440" w:hanging="360"/>
      </w:pPr>
      <w:rPr>
        <w:rFonts w:ascii="Courier New" w:hAnsi="Courier New" w:cs="Courier New" w:hint="default"/>
      </w:rPr>
    </w:lvl>
    <w:lvl w:ilvl="2" w:tplc="B8F41B46" w:tentative="1">
      <w:start w:val="1"/>
      <w:numFmt w:val="bullet"/>
      <w:lvlText w:val=""/>
      <w:lvlJc w:val="left"/>
      <w:pPr>
        <w:ind w:left="2160" w:hanging="360"/>
      </w:pPr>
      <w:rPr>
        <w:rFonts w:ascii="Wingdings" w:hAnsi="Wingdings" w:hint="default"/>
      </w:rPr>
    </w:lvl>
    <w:lvl w:ilvl="3" w:tplc="8E3AC8AE" w:tentative="1">
      <w:start w:val="1"/>
      <w:numFmt w:val="bullet"/>
      <w:lvlText w:val=""/>
      <w:lvlJc w:val="left"/>
      <w:pPr>
        <w:ind w:left="2880" w:hanging="360"/>
      </w:pPr>
      <w:rPr>
        <w:rFonts w:ascii="Symbol" w:hAnsi="Symbol" w:hint="default"/>
      </w:rPr>
    </w:lvl>
    <w:lvl w:ilvl="4" w:tplc="759662E2" w:tentative="1">
      <w:start w:val="1"/>
      <w:numFmt w:val="bullet"/>
      <w:lvlText w:val="o"/>
      <w:lvlJc w:val="left"/>
      <w:pPr>
        <w:ind w:left="3600" w:hanging="360"/>
      </w:pPr>
      <w:rPr>
        <w:rFonts w:ascii="Courier New" w:hAnsi="Courier New" w:cs="Courier New" w:hint="default"/>
      </w:rPr>
    </w:lvl>
    <w:lvl w:ilvl="5" w:tplc="FEEC72B0" w:tentative="1">
      <w:start w:val="1"/>
      <w:numFmt w:val="bullet"/>
      <w:lvlText w:val=""/>
      <w:lvlJc w:val="left"/>
      <w:pPr>
        <w:ind w:left="4320" w:hanging="360"/>
      </w:pPr>
      <w:rPr>
        <w:rFonts w:ascii="Wingdings" w:hAnsi="Wingdings" w:hint="default"/>
      </w:rPr>
    </w:lvl>
    <w:lvl w:ilvl="6" w:tplc="64FA26D4" w:tentative="1">
      <w:start w:val="1"/>
      <w:numFmt w:val="bullet"/>
      <w:lvlText w:val=""/>
      <w:lvlJc w:val="left"/>
      <w:pPr>
        <w:ind w:left="5040" w:hanging="360"/>
      </w:pPr>
      <w:rPr>
        <w:rFonts w:ascii="Symbol" w:hAnsi="Symbol" w:hint="default"/>
      </w:rPr>
    </w:lvl>
    <w:lvl w:ilvl="7" w:tplc="FB06B1C2" w:tentative="1">
      <w:start w:val="1"/>
      <w:numFmt w:val="bullet"/>
      <w:lvlText w:val="o"/>
      <w:lvlJc w:val="left"/>
      <w:pPr>
        <w:ind w:left="5760" w:hanging="360"/>
      </w:pPr>
      <w:rPr>
        <w:rFonts w:ascii="Courier New" w:hAnsi="Courier New" w:cs="Courier New" w:hint="default"/>
      </w:rPr>
    </w:lvl>
    <w:lvl w:ilvl="8" w:tplc="EDC0A4A4" w:tentative="1">
      <w:start w:val="1"/>
      <w:numFmt w:val="bullet"/>
      <w:lvlText w:val=""/>
      <w:lvlJc w:val="left"/>
      <w:pPr>
        <w:ind w:left="6480" w:hanging="360"/>
      </w:pPr>
      <w:rPr>
        <w:rFonts w:ascii="Wingdings" w:hAnsi="Wingdings" w:hint="default"/>
      </w:rPr>
    </w:lvl>
  </w:abstractNum>
  <w:abstractNum w:abstractNumId="114">
    <w:nsid w:val="76197AA3"/>
    <w:multiLevelType w:val="hybridMultilevel"/>
    <w:tmpl w:val="350468F8"/>
    <w:lvl w:ilvl="0" w:tplc="D374AE30">
      <w:start w:val="1"/>
      <w:numFmt w:val="lowerRoman"/>
      <w:lvlText w:val="(%1)"/>
      <w:lvlJc w:val="left"/>
      <w:pPr>
        <w:ind w:left="2279" w:hanging="720"/>
      </w:pPr>
      <w:rPr>
        <w:rFonts w:hint="default"/>
      </w:rPr>
    </w:lvl>
    <w:lvl w:ilvl="1" w:tplc="042F0019">
      <w:start w:val="1"/>
      <w:numFmt w:val="lowerLetter"/>
      <w:lvlText w:val="%2."/>
      <w:lvlJc w:val="left"/>
      <w:pPr>
        <w:ind w:left="1440" w:hanging="360"/>
      </w:pPr>
    </w:lvl>
    <w:lvl w:ilvl="2" w:tplc="042F001B" w:tentative="1">
      <w:start w:val="1"/>
      <w:numFmt w:val="lowerRoman"/>
      <w:lvlText w:val="%3."/>
      <w:lvlJc w:val="right"/>
      <w:pPr>
        <w:ind w:left="2160" w:hanging="180"/>
      </w:pPr>
    </w:lvl>
    <w:lvl w:ilvl="3" w:tplc="042F000F" w:tentative="1">
      <w:start w:val="1"/>
      <w:numFmt w:val="decimal"/>
      <w:lvlText w:val="%4."/>
      <w:lvlJc w:val="left"/>
      <w:pPr>
        <w:ind w:left="2880" w:hanging="360"/>
      </w:pPr>
    </w:lvl>
    <w:lvl w:ilvl="4" w:tplc="042F0019" w:tentative="1">
      <w:start w:val="1"/>
      <w:numFmt w:val="lowerLetter"/>
      <w:lvlText w:val="%5."/>
      <w:lvlJc w:val="left"/>
      <w:pPr>
        <w:ind w:left="3600" w:hanging="360"/>
      </w:pPr>
    </w:lvl>
    <w:lvl w:ilvl="5" w:tplc="042F001B" w:tentative="1">
      <w:start w:val="1"/>
      <w:numFmt w:val="lowerRoman"/>
      <w:lvlText w:val="%6."/>
      <w:lvlJc w:val="right"/>
      <w:pPr>
        <w:ind w:left="4320" w:hanging="180"/>
      </w:pPr>
    </w:lvl>
    <w:lvl w:ilvl="6" w:tplc="042F000F" w:tentative="1">
      <w:start w:val="1"/>
      <w:numFmt w:val="decimal"/>
      <w:lvlText w:val="%7."/>
      <w:lvlJc w:val="left"/>
      <w:pPr>
        <w:ind w:left="5040" w:hanging="360"/>
      </w:pPr>
    </w:lvl>
    <w:lvl w:ilvl="7" w:tplc="042F0019" w:tentative="1">
      <w:start w:val="1"/>
      <w:numFmt w:val="lowerLetter"/>
      <w:lvlText w:val="%8."/>
      <w:lvlJc w:val="left"/>
      <w:pPr>
        <w:ind w:left="5760" w:hanging="360"/>
      </w:pPr>
    </w:lvl>
    <w:lvl w:ilvl="8" w:tplc="042F001B" w:tentative="1">
      <w:start w:val="1"/>
      <w:numFmt w:val="lowerRoman"/>
      <w:lvlText w:val="%9."/>
      <w:lvlJc w:val="right"/>
      <w:pPr>
        <w:ind w:left="6480" w:hanging="180"/>
      </w:pPr>
    </w:lvl>
  </w:abstractNum>
  <w:abstractNum w:abstractNumId="115">
    <w:nsid w:val="7694629C"/>
    <w:multiLevelType w:val="multilevel"/>
    <w:tmpl w:val="0809001D"/>
    <w:styleLink w:val="Style1"/>
    <w:lvl w:ilvl="0">
      <w:start w:val="1"/>
      <w:numFmt w:val="decimal"/>
      <w:lvlText w:val="%1)"/>
      <w:lvlJc w:val="left"/>
      <w:pPr>
        <w:ind w:left="360" w:hanging="360"/>
      </w:pPr>
      <w:rPr>
        <w:color w:val="auto"/>
      </w:rPr>
    </w:lvl>
    <w:lvl w:ilvl="1">
      <w:start w:val="1"/>
      <w:numFmt w:val="decimal"/>
      <w:lvlText w:val="%2)"/>
      <w:lvlJc w:val="left"/>
      <w:pPr>
        <w:ind w:left="720" w:hanging="360"/>
      </w:pPr>
    </w:lvl>
    <w:lvl w:ilvl="2">
      <w:start w:val="1"/>
      <w:numFmt w:val="decimal"/>
      <w:lvlText w:val="%3)"/>
      <w:lvlJc w:val="left"/>
      <w:pPr>
        <w:ind w:left="1080" w:hanging="360"/>
      </w:pPr>
    </w:lvl>
    <w:lvl w:ilvl="3">
      <w:start w:val="1"/>
      <w:numFmt w:val="decimal"/>
      <w:lvlText w:val="(%4)"/>
      <w:lvlJc w:val="left"/>
      <w:pPr>
        <w:ind w:left="1440" w:hanging="360"/>
      </w:pPr>
    </w:lvl>
    <w:lvl w:ilvl="4">
      <w:start w:val="1"/>
      <w:numFmt w:val="decimal"/>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6">
    <w:nsid w:val="7700131B"/>
    <w:multiLevelType w:val="hybridMultilevel"/>
    <w:tmpl w:val="43DA6A9E"/>
    <w:lvl w:ilvl="0" w:tplc="C74400A6">
      <w:start w:val="1"/>
      <w:numFmt w:val="bullet"/>
      <w:pStyle w:val="Arial10tablebullet"/>
      <w:lvlText w:val="-"/>
      <w:lvlJc w:val="left"/>
      <w:pPr>
        <w:ind w:left="720" w:hanging="360"/>
      </w:pPr>
      <w:rPr>
        <w:rFonts w:ascii="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nsid w:val="77E3011F"/>
    <w:multiLevelType w:val="hybridMultilevel"/>
    <w:tmpl w:val="07189CAC"/>
    <w:lvl w:ilvl="0" w:tplc="3D4261AA">
      <w:start w:val="84"/>
      <w:numFmt w:val="bullet"/>
      <w:lvlText w:val="-"/>
      <w:lvlJc w:val="left"/>
      <w:pPr>
        <w:ind w:left="643" w:hanging="360"/>
      </w:pPr>
      <w:rPr>
        <w:rFonts w:ascii="Tahoma" w:eastAsiaTheme="minorHAnsi" w:hAnsi="Tahoma" w:cs="Tahoma" w:hint="default"/>
      </w:rPr>
    </w:lvl>
    <w:lvl w:ilvl="1" w:tplc="04090003">
      <w:start w:val="1"/>
      <w:numFmt w:val="bullet"/>
      <w:lvlText w:val="o"/>
      <w:lvlJc w:val="left"/>
      <w:pPr>
        <w:ind w:left="1363" w:hanging="360"/>
      </w:pPr>
      <w:rPr>
        <w:rFonts w:ascii="Courier New" w:hAnsi="Courier New" w:cs="Courier New" w:hint="default"/>
      </w:rPr>
    </w:lvl>
    <w:lvl w:ilvl="2" w:tplc="04090005">
      <w:start w:val="1"/>
      <w:numFmt w:val="bullet"/>
      <w:lvlText w:val=""/>
      <w:lvlJc w:val="left"/>
      <w:pPr>
        <w:ind w:left="2083" w:hanging="360"/>
      </w:pPr>
      <w:rPr>
        <w:rFonts w:ascii="Wingdings" w:hAnsi="Wingdings" w:hint="default"/>
      </w:rPr>
    </w:lvl>
    <w:lvl w:ilvl="3" w:tplc="04090001" w:tentative="1">
      <w:start w:val="1"/>
      <w:numFmt w:val="bullet"/>
      <w:lvlText w:val=""/>
      <w:lvlJc w:val="left"/>
      <w:pPr>
        <w:ind w:left="2803" w:hanging="360"/>
      </w:pPr>
      <w:rPr>
        <w:rFonts w:ascii="Symbol" w:hAnsi="Symbol" w:hint="default"/>
      </w:rPr>
    </w:lvl>
    <w:lvl w:ilvl="4" w:tplc="04090003" w:tentative="1">
      <w:start w:val="1"/>
      <w:numFmt w:val="bullet"/>
      <w:lvlText w:val="o"/>
      <w:lvlJc w:val="left"/>
      <w:pPr>
        <w:ind w:left="3523" w:hanging="360"/>
      </w:pPr>
      <w:rPr>
        <w:rFonts w:ascii="Courier New" w:hAnsi="Courier New" w:cs="Courier New" w:hint="default"/>
      </w:rPr>
    </w:lvl>
    <w:lvl w:ilvl="5" w:tplc="04090005" w:tentative="1">
      <w:start w:val="1"/>
      <w:numFmt w:val="bullet"/>
      <w:lvlText w:val=""/>
      <w:lvlJc w:val="left"/>
      <w:pPr>
        <w:ind w:left="4243" w:hanging="360"/>
      </w:pPr>
      <w:rPr>
        <w:rFonts w:ascii="Wingdings" w:hAnsi="Wingdings" w:hint="default"/>
      </w:rPr>
    </w:lvl>
    <w:lvl w:ilvl="6" w:tplc="04090001" w:tentative="1">
      <w:start w:val="1"/>
      <w:numFmt w:val="bullet"/>
      <w:lvlText w:val=""/>
      <w:lvlJc w:val="left"/>
      <w:pPr>
        <w:ind w:left="4963" w:hanging="360"/>
      </w:pPr>
      <w:rPr>
        <w:rFonts w:ascii="Symbol" w:hAnsi="Symbol" w:hint="default"/>
      </w:rPr>
    </w:lvl>
    <w:lvl w:ilvl="7" w:tplc="04090003" w:tentative="1">
      <w:start w:val="1"/>
      <w:numFmt w:val="bullet"/>
      <w:lvlText w:val="o"/>
      <w:lvlJc w:val="left"/>
      <w:pPr>
        <w:ind w:left="5683" w:hanging="360"/>
      </w:pPr>
      <w:rPr>
        <w:rFonts w:ascii="Courier New" w:hAnsi="Courier New" w:cs="Courier New" w:hint="default"/>
      </w:rPr>
    </w:lvl>
    <w:lvl w:ilvl="8" w:tplc="04090005" w:tentative="1">
      <w:start w:val="1"/>
      <w:numFmt w:val="bullet"/>
      <w:lvlText w:val=""/>
      <w:lvlJc w:val="left"/>
      <w:pPr>
        <w:ind w:left="6403" w:hanging="360"/>
      </w:pPr>
      <w:rPr>
        <w:rFonts w:ascii="Wingdings" w:hAnsi="Wingdings" w:hint="default"/>
      </w:rPr>
    </w:lvl>
  </w:abstractNum>
  <w:abstractNum w:abstractNumId="118">
    <w:nsid w:val="784B396B"/>
    <w:multiLevelType w:val="hybridMultilevel"/>
    <w:tmpl w:val="4464309A"/>
    <w:lvl w:ilvl="0" w:tplc="241A0019">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9">
    <w:nsid w:val="78D133E2"/>
    <w:multiLevelType w:val="multilevel"/>
    <w:tmpl w:val="5B925478"/>
    <w:styleLink w:val="Style2"/>
    <w:lvl w:ilvl="0">
      <w:start w:val="1"/>
      <w:numFmt w:val="decimal"/>
      <w:lvlText w:val="%1"/>
      <w:lvlJc w:val="left"/>
      <w:pPr>
        <w:ind w:left="2268" w:hanging="2268"/>
      </w:pPr>
      <w:rPr>
        <w:rFonts w:ascii="Tahoma Bold" w:hAnsi="Tahoma Bold" w:cs="Times New Roman" w:hint="default"/>
        <w:b/>
        <w:bCs w:val="0"/>
        <w:i w:val="0"/>
        <w:iCs w:val="0"/>
        <w:caps w:val="0"/>
        <w:strike w:val="0"/>
        <w:dstrike w:val="0"/>
        <w:vanish w:val="0"/>
        <w:color w:val="9DBCB0"/>
        <w:spacing w:val="0"/>
        <w:kern w:val="0"/>
        <w:position w:val="0"/>
        <w:sz w:val="240"/>
        <w:u w:val="none"/>
        <w:vertAlign w:val="baseline"/>
        <w:em w:val="none"/>
      </w:rPr>
    </w:lvl>
    <w:lvl w:ilvl="1">
      <w:start w:val="1"/>
      <w:numFmt w:val="decimal"/>
      <w:lvlText w:val="%1.%2"/>
      <w:lvlJc w:val="left"/>
      <w:pPr>
        <w:ind w:left="1134" w:hanging="1134"/>
      </w:pPr>
      <w:rPr>
        <w:rFonts w:ascii="Tahoma Bold" w:hAnsi="Tahoma Bold" w:hint="default"/>
        <w:b/>
        <w:i w:val="0"/>
        <w:caps w:val="0"/>
        <w:strike w:val="0"/>
        <w:dstrike w:val="0"/>
        <w:vanish w:val="0"/>
        <w:color w:val="9DBCB0"/>
        <w:sz w:val="30"/>
        <w:vertAlign w:val="baseline"/>
      </w:rPr>
    </w:lvl>
    <w:lvl w:ilvl="2">
      <w:start w:val="1"/>
      <w:numFmt w:val="decimal"/>
      <w:lvlText w:val="%1.%2.%3"/>
      <w:lvlJc w:val="left"/>
      <w:pPr>
        <w:ind w:left="720" w:hanging="720"/>
      </w:pPr>
      <w:rPr>
        <w:rFonts w:ascii="Tahoma Bold" w:hAnsi="Tahoma Bold" w:hint="default"/>
        <w:b/>
        <w:i w:val="0"/>
        <w:caps w:val="0"/>
        <w:strike w:val="0"/>
        <w:dstrike w:val="0"/>
        <w:vanish w:val="0"/>
        <w:color w:val="9DBCB0"/>
        <w:sz w:val="26"/>
        <w:vertAlign w:val="baseline"/>
      </w:rPr>
    </w:lvl>
    <w:lvl w:ilvl="3">
      <w:start w:val="1"/>
      <w:numFmt w:val="decimal"/>
      <w:lvlText w:val="%1.%2.%3.%4"/>
      <w:lvlJc w:val="left"/>
      <w:pPr>
        <w:ind w:left="1134" w:hanging="1134"/>
      </w:pPr>
      <w:rPr>
        <w:rFonts w:ascii="Tahoma Bold" w:hAnsi="Tahoma Bold" w:hint="default"/>
        <w:b/>
        <w:i w:val="0"/>
        <w:caps w:val="0"/>
        <w:strike w:val="0"/>
        <w:dstrike w:val="0"/>
        <w:vanish w:val="0"/>
        <w:color w:val="9DBCB0"/>
        <w:sz w:val="22"/>
        <w:vertAlign w:val="baseline"/>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0">
    <w:nsid w:val="78FB0D26"/>
    <w:multiLevelType w:val="hybridMultilevel"/>
    <w:tmpl w:val="C12416A4"/>
    <w:lvl w:ilvl="0" w:tplc="57361C44">
      <w:start w:val="1"/>
      <w:numFmt w:val="lowerRoman"/>
      <w:lvlText w:val="(%1)"/>
      <w:lvlJc w:val="left"/>
      <w:pPr>
        <w:ind w:left="1080" w:hanging="720"/>
      </w:pPr>
      <w:rPr>
        <w:rFonts w:hint="default"/>
        <w:color w:val="000000"/>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21">
    <w:nsid w:val="793129C3"/>
    <w:multiLevelType w:val="multilevel"/>
    <w:tmpl w:val="CCE050BE"/>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122">
    <w:nsid w:val="7A0266C4"/>
    <w:multiLevelType w:val="multilevel"/>
    <w:tmpl w:val="CCE050BE"/>
    <w:lvl w:ilvl="0">
      <w:start w:val="1"/>
      <w:numFmt w:val="bullet"/>
      <w:lvlRestart w:val="0"/>
      <w:lvlText w:val=""/>
      <w:lvlJc w:val="left"/>
      <w:pPr>
        <w:ind w:left="1134" w:hanging="567"/>
      </w:pPr>
      <w:rPr>
        <w:rFonts w:ascii="Wingdings" w:hAnsi="Wingdings" w:hint="default"/>
        <w:color w:val="9DBCB0"/>
        <w:sz w:val="24"/>
      </w:rPr>
    </w:lvl>
    <w:lvl w:ilvl="1">
      <w:start w:val="1"/>
      <w:numFmt w:val="bullet"/>
      <w:lvlText w:val=""/>
      <w:lvlJc w:val="left"/>
      <w:pPr>
        <w:tabs>
          <w:tab w:val="num" w:pos="1134"/>
        </w:tabs>
        <w:ind w:left="1559" w:hanging="425"/>
      </w:pPr>
      <w:rPr>
        <w:rFonts w:ascii="Wingdings" w:hAnsi="Wingdings" w:cs="Times New Roman" w:hint="default"/>
        <w:b w:val="0"/>
        <w:bCs w:val="0"/>
        <w:i w:val="0"/>
        <w:iCs w:val="0"/>
        <w:caps w:val="0"/>
        <w:smallCaps w:val="0"/>
        <w:strike w:val="0"/>
        <w:dstrike w:val="0"/>
        <w:noProof w:val="0"/>
        <w:snapToGrid w:val="0"/>
        <w:vanish w:val="0"/>
        <w:color w:val="00B0F0"/>
        <w:spacing w:val="0"/>
        <w:w w:val="0"/>
        <w:kern w:val="0"/>
        <w:position w:val="0"/>
        <w:sz w:val="24"/>
        <w:szCs w:val="0"/>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abstractNum w:abstractNumId="123">
    <w:nsid w:val="7BB51AB0"/>
    <w:multiLevelType w:val="hybridMultilevel"/>
    <w:tmpl w:val="2272E8A2"/>
    <w:lvl w:ilvl="0" w:tplc="C0CE485E">
      <w:start w:val="2009"/>
      <w:numFmt w:val="bullet"/>
      <w:lvlText w:val="-"/>
      <w:lvlJc w:val="left"/>
      <w:pPr>
        <w:ind w:left="720" w:hanging="360"/>
      </w:pPr>
      <w:rPr>
        <w:rFonts w:ascii="HelveticaNeueLTStd-Roman" w:eastAsiaTheme="minorHAnsi" w:hAnsi="HelveticaNeueLTStd-Roman" w:cs="HelveticaNeueLTStd-Roman" w:hint="default"/>
      </w:rPr>
    </w:lvl>
    <w:lvl w:ilvl="1" w:tplc="B5784464" w:tentative="1">
      <w:start w:val="1"/>
      <w:numFmt w:val="bullet"/>
      <w:lvlText w:val="o"/>
      <w:lvlJc w:val="left"/>
      <w:pPr>
        <w:ind w:left="1440" w:hanging="360"/>
      </w:pPr>
      <w:rPr>
        <w:rFonts w:ascii="Courier New" w:hAnsi="Courier New" w:cs="Courier New" w:hint="default"/>
      </w:rPr>
    </w:lvl>
    <w:lvl w:ilvl="2" w:tplc="FCC2516E" w:tentative="1">
      <w:start w:val="1"/>
      <w:numFmt w:val="bullet"/>
      <w:lvlText w:val=""/>
      <w:lvlJc w:val="left"/>
      <w:pPr>
        <w:ind w:left="2160" w:hanging="360"/>
      </w:pPr>
      <w:rPr>
        <w:rFonts w:ascii="Wingdings" w:hAnsi="Wingdings" w:hint="default"/>
      </w:rPr>
    </w:lvl>
    <w:lvl w:ilvl="3" w:tplc="5B4032E2" w:tentative="1">
      <w:start w:val="1"/>
      <w:numFmt w:val="bullet"/>
      <w:lvlText w:val=""/>
      <w:lvlJc w:val="left"/>
      <w:pPr>
        <w:ind w:left="2880" w:hanging="360"/>
      </w:pPr>
      <w:rPr>
        <w:rFonts w:ascii="Symbol" w:hAnsi="Symbol" w:hint="default"/>
      </w:rPr>
    </w:lvl>
    <w:lvl w:ilvl="4" w:tplc="92762612" w:tentative="1">
      <w:start w:val="1"/>
      <w:numFmt w:val="bullet"/>
      <w:lvlText w:val="o"/>
      <w:lvlJc w:val="left"/>
      <w:pPr>
        <w:ind w:left="3600" w:hanging="360"/>
      </w:pPr>
      <w:rPr>
        <w:rFonts w:ascii="Courier New" w:hAnsi="Courier New" w:cs="Courier New" w:hint="default"/>
      </w:rPr>
    </w:lvl>
    <w:lvl w:ilvl="5" w:tplc="F13AF87E" w:tentative="1">
      <w:start w:val="1"/>
      <w:numFmt w:val="bullet"/>
      <w:lvlText w:val=""/>
      <w:lvlJc w:val="left"/>
      <w:pPr>
        <w:ind w:left="4320" w:hanging="360"/>
      </w:pPr>
      <w:rPr>
        <w:rFonts w:ascii="Wingdings" w:hAnsi="Wingdings" w:hint="default"/>
      </w:rPr>
    </w:lvl>
    <w:lvl w:ilvl="6" w:tplc="9B126912" w:tentative="1">
      <w:start w:val="1"/>
      <w:numFmt w:val="bullet"/>
      <w:lvlText w:val=""/>
      <w:lvlJc w:val="left"/>
      <w:pPr>
        <w:ind w:left="5040" w:hanging="360"/>
      </w:pPr>
      <w:rPr>
        <w:rFonts w:ascii="Symbol" w:hAnsi="Symbol" w:hint="default"/>
      </w:rPr>
    </w:lvl>
    <w:lvl w:ilvl="7" w:tplc="3D28B780" w:tentative="1">
      <w:start w:val="1"/>
      <w:numFmt w:val="bullet"/>
      <w:lvlText w:val="o"/>
      <w:lvlJc w:val="left"/>
      <w:pPr>
        <w:ind w:left="5760" w:hanging="360"/>
      </w:pPr>
      <w:rPr>
        <w:rFonts w:ascii="Courier New" w:hAnsi="Courier New" w:cs="Courier New" w:hint="default"/>
      </w:rPr>
    </w:lvl>
    <w:lvl w:ilvl="8" w:tplc="62FCF614" w:tentative="1">
      <w:start w:val="1"/>
      <w:numFmt w:val="bullet"/>
      <w:lvlText w:val=""/>
      <w:lvlJc w:val="left"/>
      <w:pPr>
        <w:ind w:left="6480" w:hanging="360"/>
      </w:pPr>
      <w:rPr>
        <w:rFonts w:ascii="Wingdings" w:hAnsi="Wingdings" w:hint="default"/>
      </w:rPr>
    </w:lvl>
  </w:abstractNum>
  <w:abstractNum w:abstractNumId="124">
    <w:nsid w:val="7C5A5A48"/>
    <w:multiLevelType w:val="hybridMultilevel"/>
    <w:tmpl w:val="B6BCBF58"/>
    <w:lvl w:ilvl="0" w:tplc="703AEF4E">
      <w:start w:val="1"/>
      <w:numFmt w:val="bullet"/>
      <w:lvlText w:val=""/>
      <w:lvlJc w:val="left"/>
      <w:pPr>
        <w:ind w:left="720" w:hanging="360"/>
      </w:pPr>
      <w:rPr>
        <w:rFonts w:ascii="Symbol" w:hAnsi="Symbol" w:hint="default"/>
        <w:sz w:val="16"/>
        <w:szCs w:val="16"/>
      </w:rPr>
    </w:lvl>
    <w:lvl w:ilvl="1" w:tplc="014AEE6A"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7D1738F9"/>
    <w:multiLevelType w:val="hybridMultilevel"/>
    <w:tmpl w:val="071ADC66"/>
    <w:lvl w:ilvl="0" w:tplc="703AEF4E">
      <w:start w:val="1"/>
      <w:numFmt w:val="bullet"/>
      <w:lvlText w:val=""/>
      <w:lvlJc w:val="left"/>
      <w:pPr>
        <w:ind w:left="720" w:hanging="360"/>
      </w:pPr>
      <w:rPr>
        <w:rFonts w:ascii="Symbol" w:hAnsi="Symbol" w:hint="default"/>
        <w:sz w:val="16"/>
        <w:szCs w:val="16"/>
      </w:rPr>
    </w:lvl>
    <w:lvl w:ilvl="1" w:tplc="014AEE6A" w:tentative="1">
      <w:start w:val="1"/>
      <w:numFmt w:val="bullet"/>
      <w:lvlText w:val="o"/>
      <w:lvlJc w:val="left"/>
      <w:pPr>
        <w:ind w:left="1440" w:hanging="360"/>
      </w:pPr>
      <w:rPr>
        <w:rFonts w:ascii="Courier New" w:hAnsi="Courier New" w:cs="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Symbo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Symbol" w:hint="default"/>
      </w:rPr>
    </w:lvl>
    <w:lvl w:ilvl="8" w:tplc="04090005" w:tentative="1">
      <w:start w:val="1"/>
      <w:numFmt w:val="bullet"/>
      <w:lvlText w:val=""/>
      <w:lvlJc w:val="left"/>
      <w:pPr>
        <w:ind w:left="6480" w:hanging="360"/>
      </w:pPr>
      <w:rPr>
        <w:rFonts w:ascii="Wingdings" w:hAnsi="Wingdings" w:hint="default"/>
      </w:rPr>
    </w:lvl>
  </w:abstractNum>
  <w:abstractNum w:abstractNumId="126">
    <w:nsid w:val="7D197665"/>
    <w:multiLevelType w:val="hybridMultilevel"/>
    <w:tmpl w:val="23A4B5FA"/>
    <w:lvl w:ilvl="0" w:tplc="A8B0DB78">
      <w:start w:val="1"/>
      <w:numFmt w:val="decimal"/>
      <w:lvlText w:val="(%1)"/>
      <w:lvlJc w:val="left"/>
      <w:pPr>
        <w:ind w:left="1494" w:hanging="360"/>
      </w:pPr>
      <w:rPr>
        <w:rFonts w:ascii="Tahoma" w:eastAsia="Times New Roman" w:hAnsi="Tahoma" w:cs="Tahoma"/>
      </w:rPr>
    </w:lvl>
    <w:lvl w:ilvl="1" w:tplc="042F0019" w:tentative="1">
      <w:start w:val="1"/>
      <w:numFmt w:val="lowerLetter"/>
      <w:lvlText w:val="%2."/>
      <w:lvlJc w:val="left"/>
      <w:pPr>
        <w:ind w:left="2214" w:hanging="360"/>
      </w:pPr>
    </w:lvl>
    <w:lvl w:ilvl="2" w:tplc="042F001B" w:tentative="1">
      <w:start w:val="1"/>
      <w:numFmt w:val="lowerRoman"/>
      <w:lvlText w:val="%3."/>
      <w:lvlJc w:val="right"/>
      <w:pPr>
        <w:ind w:left="2934" w:hanging="180"/>
      </w:pPr>
    </w:lvl>
    <w:lvl w:ilvl="3" w:tplc="042F000F" w:tentative="1">
      <w:start w:val="1"/>
      <w:numFmt w:val="decimal"/>
      <w:lvlText w:val="%4."/>
      <w:lvlJc w:val="left"/>
      <w:pPr>
        <w:ind w:left="3654" w:hanging="360"/>
      </w:pPr>
    </w:lvl>
    <w:lvl w:ilvl="4" w:tplc="042F0019" w:tentative="1">
      <w:start w:val="1"/>
      <w:numFmt w:val="lowerLetter"/>
      <w:lvlText w:val="%5."/>
      <w:lvlJc w:val="left"/>
      <w:pPr>
        <w:ind w:left="4374" w:hanging="360"/>
      </w:pPr>
    </w:lvl>
    <w:lvl w:ilvl="5" w:tplc="042F001B" w:tentative="1">
      <w:start w:val="1"/>
      <w:numFmt w:val="lowerRoman"/>
      <w:lvlText w:val="%6."/>
      <w:lvlJc w:val="right"/>
      <w:pPr>
        <w:ind w:left="5094" w:hanging="180"/>
      </w:pPr>
    </w:lvl>
    <w:lvl w:ilvl="6" w:tplc="042F000F" w:tentative="1">
      <w:start w:val="1"/>
      <w:numFmt w:val="decimal"/>
      <w:lvlText w:val="%7."/>
      <w:lvlJc w:val="left"/>
      <w:pPr>
        <w:ind w:left="5814" w:hanging="360"/>
      </w:pPr>
    </w:lvl>
    <w:lvl w:ilvl="7" w:tplc="042F0019" w:tentative="1">
      <w:start w:val="1"/>
      <w:numFmt w:val="lowerLetter"/>
      <w:lvlText w:val="%8."/>
      <w:lvlJc w:val="left"/>
      <w:pPr>
        <w:ind w:left="6534" w:hanging="360"/>
      </w:pPr>
    </w:lvl>
    <w:lvl w:ilvl="8" w:tplc="042F001B" w:tentative="1">
      <w:start w:val="1"/>
      <w:numFmt w:val="lowerRoman"/>
      <w:lvlText w:val="%9."/>
      <w:lvlJc w:val="right"/>
      <w:pPr>
        <w:ind w:left="7254" w:hanging="180"/>
      </w:pPr>
    </w:lvl>
  </w:abstractNum>
  <w:abstractNum w:abstractNumId="127">
    <w:nsid w:val="7EC633BC"/>
    <w:multiLevelType w:val="hybridMultilevel"/>
    <w:tmpl w:val="4464309A"/>
    <w:lvl w:ilvl="0" w:tplc="241A0019">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8">
    <w:nsid w:val="7F426405"/>
    <w:multiLevelType w:val="multilevel"/>
    <w:tmpl w:val="818EC182"/>
    <w:lvl w:ilvl="0">
      <w:start w:val="1"/>
      <w:numFmt w:val="bullet"/>
      <w:lvlRestart w:val="0"/>
      <w:lvlText w:val=""/>
      <w:lvlJc w:val="left"/>
      <w:pPr>
        <w:ind w:left="1134" w:hanging="567"/>
      </w:pPr>
      <w:rPr>
        <w:rFonts w:ascii="Wingdings" w:hAnsi="Wingdings" w:hint="default"/>
        <w:color w:val="9DBCB0"/>
        <w:sz w:val="24"/>
      </w:rPr>
    </w:lvl>
    <w:lvl w:ilvl="1">
      <w:start w:val="1997"/>
      <w:numFmt w:val="bullet"/>
      <w:lvlText w:val="-"/>
      <w:lvlJc w:val="left"/>
      <w:pPr>
        <w:tabs>
          <w:tab w:val="num" w:pos="1134"/>
        </w:tabs>
        <w:ind w:left="1559" w:hanging="425"/>
      </w:pPr>
      <w:rPr>
        <w:rFonts w:ascii="Arial" w:eastAsia="Times New Roman" w:hAnsi="Arial" w:cs="Arial" w:hint="default"/>
        <w:b w:val="0"/>
        <w:bCs w:val="0"/>
        <w:i w:val="0"/>
        <w:iCs w:val="0"/>
        <w:caps w:val="0"/>
        <w:smallCaps w:val="0"/>
        <w:strike w:val="0"/>
        <w:dstrike w:val="0"/>
        <w:noProof w:val="0"/>
        <w:snapToGrid w:val="0"/>
        <w:vanish w:val="0"/>
        <w:color w:val="auto"/>
        <w:spacing w:val="0"/>
        <w:w w:val="0"/>
        <w:kern w:val="0"/>
        <w:position w:val="0"/>
        <w:sz w:val="16"/>
        <w:szCs w:val="16"/>
        <w:u w:val="none"/>
        <w:vertAlign w:val="baseline"/>
        <w:em w:val="none"/>
      </w:rPr>
    </w:lvl>
    <w:lvl w:ilvl="2">
      <w:start w:val="1"/>
      <w:numFmt w:val="bullet"/>
      <w:lvlText w:val=""/>
      <w:lvlJc w:val="left"/>
      <w:pPr>
        <w:ind w:left="1985" w:hanging="426"/>
      </w:pPr>
      <w:rPr>
        <w:rFonts w:ascii="Wingdings" w:hAnsi="Wingdings" w:hint="default"/>
        <w:color w:val="9DBCB0"/>
        <w:sz w:val="24"/>
      </w:rPr>
    </w:lvl>
    <w:lvl w:ilvl="3">
      <w:start w:val="1"/>
      <w:numFmt w:val="none"/>
      <w:lvlText w:val=""/>
      <w:lvlJc w:val="left"/>
      <w:pPr>
        <w:ind w:left="2268" w:hanging="567"/>
      </w:pPr>
      <w:rPr>
        <w:rFonts w:hint="default"/>
      </w:rPr>
    </w:lvl>
    <w:lvl w:ilvl="4">
      <w:start w:val="1"/>
      <w:numFmt w:val="none"/>
      <w:lvlText w:val=""/>
      <w:lvlJc w:val="left"/>
      <w:pPr>
        <w:ind w:left="2835" w:hanging="567"/>
      </w:pPr>
      <w:rPr>
        <w:rFonts w:hint="default"/>
      </w:rPr>
    </w:lvl>
    <w:lvl w:ilvl="5">
      <w:start w:val="1"/>
      <w:numFmt w:val="none"/>
      <w:lvlText w:val=""/>
      <w:lvlJc w:val="left"/>
      <w:pPr>
        <w:ind w:left="3402" w:hanging="567"/>
      </w:pPr>
      <w:rPr>
        <w:rFonts w:hint="default"/>
      </w:rPr>
    </w:lvl>
    <w:lvl w:ilvl="6">
      <w:start w:val="1"/>
      <w:numFmt w:val="none"/>
      <w:lvlText w:val=""/>
      <w:lvlJc w:val="left"/>
      <w:pPr>
        <w:ind w:left="3969" w:hanging="567"/>
      </w:pPr>
      <w:rPr>
        <w:rFonts w:hint="default"/>
      </w:rPr>
    </w:lvl>
    <w:lvl w:ilvl="7">
      <w:start w:val="1"/>
      <w:numFmt w:val="none"/>
      <w:lvlText w:val=""/>
      <w:lvlJc w:val="left"/>
      <w:pPr>
        <w:ind w:left="4536" w:hanging="567"/>
      </w:pPr>
      <w:rPr>
        <w:rFonts w:hint="default"/>
      </w:rPr>
    </w:lvl>
    <w:lvl w:ilvl="8">
      <w:start w:val="1"/>
      <w:numFmt w:val="none"/>
      <w:lvlText w:val=""/>
      <w:lvlJc w:val="left"/>
      <w:pPr>
        <w:ind w:left="5103" w:hanging="567"/>
      </w:pPr>
      <w:rPr>
        <w:rFonts w:hint="default"/>
      </w:rPr>
    </w:lvl>
  </w:abstractNum>
  <w:num w:numId="1">
    <w:abstractNumId w:val="74"/>
  </w:num>
  <w:num w:numId="2">
    <w:abstractNumId w:val="105"/>
  </w:num>
  <w:num w:numId="3">
    <w:abstractNumId w:val="75"/>
  </w:num>
  <w:num w:numId="4">
    <w:abstractNumId w:val="7"/>
  </w:num>
  <w:num w:numId="5">
    <w:abstractNumId w:val="25"/>
  </w:num>
  <w:num w:numId="6">
    <w:abstractNumId w:val="42"/>
  </w:num>
  <w:num w:numId="7">
    <w:abstractNumId w:val="9"/>
  </w:num>
  <w:num w:numId="8">
    <w:abstractNumId w:val="15"/>
  </w:num>
  <w:num w:numId="9">
    <w:abstractNumId w:val="100"/>
  </w:num>
  <w:num w:numId="10">
    <w:abstractNumId w:val="42"/>
  </w:num>
  <w:num w:numId="11">
    <w:abstractNumId w:val="9"/>
  </w:num>
  <w:num w:numId="12">
    <w:abstractNumId w:val="87"/>
  </w:num>
  <w:num w:numId="13">
    <w:abstractNumId w:val="0"/>
  </w:num>
  <w:num w:numId="14">
    <w:abstractNumId w:val="115"/>
  </w:num>
  <w:num w:numId="15">
    <w:abstractNumId w:val="106"/>
  </w:num>
  <w:num w:numId="16">
    <w:abstractNumId w:val="65"/>
  </w:num>
  <w:num w:numId="17">
    <w:abstractNumId w:val="119"/>
  </w:num>
  <w:num w:numId="18">
    <w:abstractNumId w:val="29"/>
  </w:num>
  <w:num w:numId="19">
    <w:abstractNumId w:val="85"/>
  </w:num>
  <w:num w:numId="20">
    <w:abstractNumId w:val="33"/>
  </w:num>
  <w:num w:numId="21">
    <w:abstractNumId w:val="22"/>
  </w:num>
  <w:num w:numId="22">
    <w:abstractNumId w:val="51"/>
  </w:num>
  <w:num w:numId="23">
    <w:abstractNumId w:val="3"/>
  </w:num>
  <w:num w:numId="24">
    <w:abstractNumId w:val="18"/>
  </w:num>
  <w:num w:numId="25">
    <w:abstractNumId w:val="24"/>
  </w:num>
  <w:num w:numId="26">
    <w:abstractNumId w:val="5"/>
  </w:num>
  <w:num w:numId="27">
    <w:abstractNumId w:val="45"/>
  </w:num>
  <w:num w:numId="28">
    <w:abstractNumId w:val="1"/>
  </w:num>
  <w:num w:numId="29">
    <w:abstractNumId w:val="6"/>
  </w:num>
  <w:num w:numId="30">
    <w:abstractNumId w:val="88"/>
  </w:num>
  <w:num w:numId="31">
    <w:abstractNumId w:val="102"/>
  </w:num>
  <w:num w:numId="32">
    <w:abstractNumId w:val="101"/>
  </w:num>
  <w:num w:numId="33">
    <w:abstractNumId w:val="50"/>
  </w:num>
  <w:num w:numId="34">
    <w:abstractNumId w:val="69"/>
  </w:num>
  <w:num w:numId="35">
    <w:abstractNumId w:val="31"/>
  </w:num>
  <w:num w:numId="36">
    <w:abstractNumId w:val="108"/>
  </w:num>
  <w:num w:numId="37">
    <w:abstractNumId w:val="118"/>
  </w:num>
  <w:num w:numId="38">
    <w:abstractNumId w:val="111"/>
  </w:num>
  <w:num w:numId="39">
    <w:abstractNumId w:val="116"/>
  </w:num>
  <w:num w:numId="40">
    <w:abstractNumId w:val="41"/>
  </w:num>
  <w:num w:numId="41">
    <w:abstractNumId w:val="120"/>
  </w:num>
  <w:num w:numId="42">
    <w:abstractNumId w:val="53"/>
  </w:num>
  <w:num w:numId="43">
    <w:abstractNumId w:val="47"/>
  </w:num>
  <w:num w:numId="44">
    <w:abstractNumId w:val="96"/>
  </w:num>
  <w:num w:numId="45">
    <w:abstractNumId w:val="67"/>
  </w:num>
  <w:num w:numId="46">
    <w:abstractNumId w:val="48"/>
  </w:num>
  <w:num w:numId="47">
    <w:abstractNumId w:val="78"/>
  </w:num>
  <w:num w:numId="48">
    <w:abstractNumId w:val="59"/>
  </w:num>
  <w:num w:numId="49">
    <w:abstractNumId w:val="8"/>
  </w:num>
  <w:num w:numId="50">
    <w:abstractNumId w:val="117"/>
  </w:num>
  <w:num w:numId="51">
    <w:abstractNumId w:val="93"/>
  </w:num>
  <w:num w:numId="52">
    <w:abstractNumId w:val="38"/>
  </w:num>
  <w:num w:numId="53">
    <w:abstractNumId w:val="26"/>
  </w:num>
  <w:num w:numId="54">
    <w:abstractNumId w:val="62"/>
  </w:num>
  <w:num w:numId="55">
    <w:abstractNumId w:val="39"/>
  </w:num>
  <w:num w:numId="56">
    <w:abstractNumId w:val="76"/>
  </w:num>
  <w:num w:numId="57">
    <w:abstractNumId w:val="14"/>
  </w:num>
  <w:num w:numId="58">
    <w:abstractNumId w:val="77"/>
  </w:num>
  <w:num w:numId="59">
    <w:abstractNumId w:val="83"/>
  </w:num>
  <w:num w:numId="60">
    <w:abstractNumId w:val="47"/>
  </w:num>
  <w:num w:numId="6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97"/>
  </w:num>
  <w:num w:numId="63">
    <w:abstractNumId w:val="4"/>
  </w:num>
  <w:num w:numId="64">
    <w:abstractNumId w:val="110"/>
  </w:num>
  <w:num w:numId="65">
    <w:abstractNumId w:val="79"/>
  </w:num>
  <w:num w:numId="66">
    <w:abstractNumId w:val="125"/>
  </w:num>
  <w:num w:numId="67">
    <w:abstractNumId w:val="35"/>
  </w:num>
  <w:num w:numId="68">
    <w:abstractNumId w:val="112"/>
  </w:num>
  <w:num w:numId="69">
    <w:abstractNumId w:val="23"/>
  </w:num>
  <w:num w:numId="70">
    <w:abstractNumId w:val="124"/>
  </w:num>
  <w:num w:numId="71">
    <w:abstractNumId w:val="43"/>
  </w:num>
  <w:num w:numId="72">
    <w:abstractNumId w:val="37"/>
  </w:num>
  <w:num w:numId="73">
    <w:abstractNumId w:val="81"/>
  </w:num>
  <w:num w:numId="74">
    <w:abstractNumId w:val="32"/>
  </w:num>
  <w:num w:numId="75">
    <w:abstractNumId w:val="56"/>
  </w:num>
  <w:num w:numId="76">
    <w:abstractNumId w:val="123"/>
  </w:num>
  <w:num w:numId="77">
    <w:abstractNumId w:val="55"/>
  </w:num>
  <w:num w:numId="78">
    <w:abstractNumId w:val="89"/>
  </w:num>
  <w:num w:numId="79">
    <w:abstractNumId w:val="54"/>
  </w:num>
  <w:num w:numId="80">
    <w:abstractNumId w:val="126"/>
  </w:num>
  <w:num w:numId="81">
    <w:abstractNumId w:val="30"/>
  </w:num>
  <w:num w:numId="82">
    <w:abstractNumId w:val="99"/>
  </w:num>
  <w:num w:numId="83">
    <w:abstractNumId w:val="11"/>
  </w:num>
  <w:num w:numId="84">
    <w:abstractNumId w:val="98"/>
  </w:num>
  <w:num w:numId="85">
    <w:abstractNumId w:val="61"/>
  </w:num>
  <w:num w:numId="86">
    <w:abstractNumId w:val="28"/>
  </w:num>
  <w:num w:numId="87">
    <w:abstractNumId w:val="113"/>
  </w:num>
  <w:num w:numId="88">
    <w:abstractNumId w:val="72"/>
  </w:num>
  <w:num w:numId="89">
    <w:abstractNumId w:val="90"/>
  </w:num>
  <w:num w:numId="90">
    <w:abstractNumId w:val="104"/>
  </w:num>
  <w:num w:numId="91">
    <w:abstractNumId w:val="109"/>
  </w:num>
  <w:num w:numId="92">
    <w:abstractNumId w:val="13"/>
  </w:num>
  <w:num w:numId="93">
    <w:abstractNumId w:val="121"/>
  </w:num>
  <w:num w:numId="94">
    <w:abstractNumId w:val="80"/>
  </w:num>
  <w:num w:numId="95">
    <w:abstractNumId w:val="68"/>
  </w:num>
  <w:num w:numId="96">
    <w:abstractNumId w:val="114"/>
  </w:num>
  <w:num w:numId="97">
    <w:abstractNumId w:val="73"/>
  </w:num>
  <w:num w:numId="98">
    <w:abstractNumId w:val="95"/>
  </w:num>
  <w:num w:numId="99">
    <w:abstractNumId w:val="27"/>
  </w:num>
  <w:num w:numId="100">
    <w:abstractNumId w:val="122"/>
  </w:num>
  <w:num w:numId="101">
    <w:abstractNumId w:val="66"/>
  </w:num>
  <w:num w:numId="102">
    <w:abstractNumId w:val="46"/>
  </w:num>
  <w:num w:numId="103">
    <w:abstractNumId w:val="63"/>
  </w:num>
  <w:num w:numId="104">
    <w:abstractNumId w:val="60"/>
  </w:num>
  <w:num w:numId="105">
    <w:abstractNumId w:val="103"/>
  </w:num>
  <w:num w:numId="106">
    <w:abstractNumId w:val="91"/>
  </w:num>
  <w:num w:numId="107">
    <w:abstractNumId w:val="16"/>
  </w:num>
  <w:num w:numId="108">
    <w:abstractNumId w:val="20"/>
  </w:num>
  <w:num w:numId="109">
    <w:abstractNumId w:val="128"/>
  </w:num>
  <w:num w:numId="110">
    <w:abstractNumId w:val="40"/>
  </w:num>
  <w:num w:numId="111">
    <w:abstractNumId w:val="36"/>
  </w:num>
  <w:num w:numId="112">
    <w:abstractNumId w:val="52"/>
  </w:num>
  <w:num w:numId="113">
    <w:abstractNumId w:val="21"/>
  </w:num>
  <w:num w:numId="114">
    <w:abstractNumId w:val="58"/>
  </w:num>
  <w:num w:numId="115">
    <w:abstractNumId w:val="84"/>
  </w:num>
  <w:num w:numId="116">
    <w:abstractNumId w:val="34"/>
  </w:num>
  <w:num w:numId="117">
    <w:abstractNumId w:val="12"/>
  </w:num>
  <w:num w:numId="118">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abstractNumId w:val="10"/>
  </w:num>
  <w:num w:numId="120">
    <w:abstractNumId w:val="17"/>
  </w:num>
  <w:num w:numId="121">
    <w:abstractNumId w:val="57"/>
  </w:num>
  <w:num w:numId="122">
    <w:abstractNumId w:val="82"/>
  </w:num>
  <w:num w:numId="123">
    <w:abstractNumId w:val="70"/>
  </w:num>
  <w:num w:numId="124">
    <w:abstractNumId w:val="107"/>
  </w:num>
  <w:num w:numId="125">
    <w:abstractNumId w:val="44"/>
  </w:num>
  <w:num w:numId="126">
    <w:abstractNumId w:val="71"/>
  </w:num>
  <w:num w:numId="127">
    <w:abstractNumId w:val="86"/>
  </w:num>
  <w:num w:numId="128">
    <w:abstractNumId w:val="49"/>
  </w:num>
  <w:num w:numId="129">
    <w:abstractNumId w:val="64"/>
  </w:num>
  <w:num w:numId="130">
    <w:abstractNumId w:val="94"/>
  </w:num>
  <w:num w:numId="131">
    <w:abstractNumId w:val="19"/>
  </w:num>
  <w:num w:numId="132">
    <w:abstractNumId w:val="2"/>
  </w:num>
  <w:num w:numId="133">
    <w:abstractNumId w:val="92"/>
  </w:num>
  <w:num w:numId="134">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127"/>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de-DE"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6" w:nlCheck="1" w:checkStyle="1"/>
  <w:activeWritingStyle w:appName="MSWord" w:lang="fr-FR"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0"/>
  <w:activeWritingStyle w:appName="MSWord" w:lang="es-ES_tradnl" w:vendorID="64" w:dllVersion="131078" w:nlCheck="1" w:checkStyle="0"/>
  <w:activeWritingStyle w:appName="MSWord" w:lang="de-DE" w:vendorID="64" w:dllVersion="131078" w:nlCheck="1" w:checkStyle="0"/>
  <w:activeWritingStyle w:appName="MSWord" w:lang="ru-RU" w:vendorID="64" w:dllVersion="131078" w:nlCheck="1" w:checkStyle="0"/>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autoHyphenation/>
  <w:hyphenationZone w:val="425"/>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643F"/>
    <w:rsid w:val="00000654"/>
    <w:rsid w:val="00000B0D"/>
    <w:rsid w:val="00000F30"/>
    <w:rsid w:val="00001293"/>
    <w:rsid w:val="0000283C"/>
    <w:rsid w:val="00002C52"/>
    <w:rsid w:val="00002C82"/>
    <w:rsid w:val="00003404"/>
    <w:rsid w:val="00003501"/>
    <w:rsid w:val="000041D6"/>
    <w:rsid w:val="000042FA"/>
    <w:rsid w:val="000062F5"/>
    <w:rsid w:val="000067D1"/>
    <w:rsid w:val="0001012D"/>
    <w:rsid w:val="00010588"/>
    <w:rsid w:val="00010985"/>
    <w:rsid w:val="00011307"/>
    <w:rsid w:val="00011DC1"/>
    <w:rsid w:val="00012B21"/>
    <w:rsid w:val="00013182"/>
    <w:rsid w:val="000137A5"/>
    <w:rsid w:val="00013AFD"/>
    <w:rsid w:val="000154B9"/>
    <w:rsid w:val="00015A84"/>
    <w:rsid w:val="00015AC2"/>
    <w:rsid w:val="00015E66"/>
    <w:rsid w:val="00016DD3"/>
    <w:rsid w:val="00016E5B"/>
    <w:rsid w:val="000171F1"/>
    <w:rsid w:val="0001787B"/>
    <w:rsid w:val="000178E1"/>
    <w:rsid w:val="00017CCA"/>
    <w:rsid w:val="000206B1"/>
    <w:rsid w:val="0002199E"/>
    <w:rsid w:val="00021DB8"/>
    <w:rsid w:val="00021FC4"/>
    <w:rsid w:val="000223A3"/>
    <w:rsid w:val="00022783"/>
    <w:rsid w:val="00022981"/>
    <w:rsid w:val="00023890"/>
    <w:rsid w:val="00023B94"/>
    <w:rsid w:val="000252C5"/>
    <w:rsid w:val="000253B9"/>
    <w:rsid w:val="00026313"/>
    <w:rsid w:val="000275A8"/>
    <w:rsid w:val="000276AC"/>
    <w:rsid w:val="00027777"/>
    <w:rsid w:val="00027BF5"/>
    <w:rsid w:val="00027CDD"/>
    <w:rsid w:val="00027F5D"/>
    <w:rsid w:val="00030BA0"/>
    <w:rsid w:val="000313AE"/>
    <w:rsid w:val="000313C4"/>
    <w:rsid w:val="00032270"/>
    <w:rsid w:val="000323EC"/>
    <w:rsid w:val="000324FE"/>
    <w:rsid w:val="000325D9"/>
    <w:rsid w:val="0003364C"/>
    <w:rsid w:val="000336AF"/>
    <w:rsid w:val="00033C1B"/>
    <w:rsid w:val="00034269"/>
    <w:rsid w:val="00034FE7"/>
    <w:rsid w:val="00035E70"/>
    <w:rsid w:val="00036546"/>
    <w:rsid w:val="00037133"/>
    <w:rsid w:val="000372AA"/>
    <w:rsid w:val="00037903"/>
    <w:rsid w:val="00040220"/>
    <w:rsid w:val="00040420"/>
    <w:rsid w:val="00040A21"/>
    <w:rsid w:val="000438F4"/>
    <w:rsid w:val="0004448A"/>
    <w:rsid w:val="0004525E"/>
    <w:rsid w:val="0004564F"/>
    <w:rsid w:val="00045955"/>
    <w:rsid w:val="0004693C"/>
    <w:rsid w:val="00047C09"/>
    <w:rsid w:val="00047DC6"/>
    <w:rsid w:val="000503A6"/>
    <w:rsid w:val="0005151C"/>
    <w:rsid w:val="0005159B"/>
    <w:rsid w:val="00051D30"/>
    <w:rsid w:val="00051F1F"/>
    <w:rsid w:val="0005215C"/>
    <w:rsid w:val="0005307D"/>
    <w:rsid w:val="00053327"/>
    <w:rsid w:val="0005405B"/>
    <w:rsid w:val="00054226"/>
    <w:rsid w:val="00054246"/>
    <w:rsid w:val="000545D4"/>
    <w:rsid w:val="00055561"/>
    <w:rsid w:val="0005598B"/>
    <w:rsid w:val="00055D1D"/>
    <w:rsid w:val="000567B7"/>
    <w:rsid w:val="00056B56"/>
    <w:rsid w:val="00056DFC"/>
    <w:rsid w:val="000604DF"/>
    <w:rsid w:val="00060627"/>
    <w:rsid w:val="000616CF"/>
    <w:rsid w:val="00061EF6"/>
    <w:rsid w:val="00062986"/>
    <w:rsid w:val="00062E96"/>
    <w:rsid w:val="00063976"/>
    <w:rsid w:val="00063BDC"/>
    <w:rsid w:val="00063CA8"/>
    <w:rsid w:val="00063E61"/>
    <w:rsid w:val="00063EAF"/>
    <w:rsid w:val="00063EFA"/>
    <w:rsid w:val="000640B1"/>
    <w:rsid w:val="000646DC"/>
    <w:rsid w:val="00064E1D"/>
    <w:rsid w:val="000650AA"/>
    <w:rsid w:val="0006539E"/>
    <w:rsid w:val="0006592A"/>
    <w:rsid w:val="00065A51"/>
    <w:rsid w:val="00065EB9"/>
    <w:rsid w:val="000664F6"/>
    <w:rsid w:val="00067077"/>
    <w:rsid w:val="00067D12"/>
    <w:rsid w:val="00067E59"/>
    <w:rsid w:val="000706CD"/>
    <w:rsid w:val="00070EE9"/>
    <w:rsid w:val="00071069"/>
    <w:rsid w:val="00071487"/>
    <w:rsid w:val="000718F2"/>
    <w:rsid w:val="0007198E"/>
    <w:rsid w:val="00071CE9"/>
    <w:rsid w:val="0007402D"/>
    <w:rsid w:val="00074797"/>
    <w:rsid w:val="00074C60"/>
    <w:rsid w:val="00074E2E"/>
    <w:rsid w:val="000750B8"/>
    <w:rsid w:val="0007521A"/>
    <w:rsid w:val="0007582A"/>
    <w:rsid w:val="00075DA9"/>
    <w:rsid w:val="00076444"/>
    <w:rsid w:val="00076CB5"/>
    <w:rsid w:val="00076E65"/>
    <w:rsid w:val="0007760F"/>
    <w:rsid w:val="0007768C"/>
    <w:rsid w:val="00077859"/>
    <w:rsid w:val="00080084"/>
    <w:rsid w:val="0008054E"/>
    <w:rsid w:val="00080590"/>
    <w:rsid w:val="00080F3F"/>
    <w:rsid w:val="000810EA"/>
    <w:rsid w:val="0008178E"/>
    <w:rsid w:val="000817B3"/>
    <w:rsid w:val="00081B08"/>
    <w:rsid w:val="00081C3C"/>
    <w:rsid w:val="0008365F"/>
    <w:rsid w:val="00083695"/>
    <w:rsid w:val="00083976"/>
    <w:rsid w:val="00083F8B"/>
    <w:rsid w:val="0008471B"/>
    <w:rsid w:val="00085ABE"/>
    <w:rsid w:val="00086957"/>
    <w:rsid w:val="00086D5F"/>
    <w:rsid w:val="000870E5"/>
    <w:rsid w:val="000900F1"/>
    <w:rsid w:val="000904BF"/>
    <w:rsid w:val="000910A1"/>
    <w:rsid w:val="00091F7A"/>
    <w:rsid w:val="00092813"/>
    <w:rsid w:val="0009297C"/>
    <w:rsid w:val="00092CF3"/>
    <w:rsid w:val="00092EDD"/>
    <w:rsid w:val="000931CB"/>
    <w:rsid w:val="00093274"/>
    <w:rsid w:val="0009400C"/>
    <w:rsid w:val="0009443E"/>
    <w:rsid w:val="000955E6"/>
    <w:rsid w:val="00095630"/>
    <w:rsid w:val="00096EA3"/>
    <w:rsid w:val="000972F6"/>
    <w:rsid w:val="000A074C"/>
    <w:rsid w:val="000A0917"/>
    <w:rsid w:val="000A0B53"/>
    <w:rsid w:val="000A0E7C"/>
    <w:rsid w:val="000A1088"/>
    <w:rsid w:val="000A111F"/>
    <w:rsid w:val="000A1E83"/>
    <w:rsid w:val="000A2C49"/>
    <w:rsid w:val="000A4F46"/>
    <w:rsid w:val="000A5E7D"/>
    <w:rsid w:val="000A7CBD"/>
    <w:rsid w:val="000B0195"/>
    <w:rsid w:val="000B03AA"/>
    <w:rsid w:val="000B0915"/>
    <w:rsid w:val="000B15E2"/>
    <w:rsid w:val="000B2C85"/>
    <w:rsid w:val="000B3DEF"/>
    <w:rsid w:val="000B414F"/>
    <w:rsid w:val="000B452D"/>
    <w:rsid w:val="000B4C62"/>
    <w:rsid w:val="000B5457"/>
    <w:rsid w:val="000B58E2"/>
    <w:rsid w:val="000B5936"/>
    <w:rsid w:val="000B5ED7"/>
    <w:rsid w:val="000B6536"/>
    <w:rsid w:val="000B7002"/>
    <w:rsid w:val="000B7903"/>
    <w:rsid w:val="000B7E57"/>
    <w:rsid w:val="000C1319"/>
    <w:rsid w:val="000C16E1"/>
    <w:rsid w:val="000C26B5"/>
    <w:rsid w:val="000C2A3B"/>
    <w:rsid w:val="000C3218"/>
    <w:rsid w:val="000C38E9"/>
    <w:rsid w:val="000C4006"/>
    <w:rsid w:val="000C495A"/>
    <w:rsid w:val="000C4FB7"/>
    <w:rsid w:val="000C685A"/>
    <w:rsid w:val="000C6C14"/>
    <w:rsid w:val="000C6DFA"/>
    <w:rsid w:val="000C79F6"/>
    <w:rsid w:val="000D04B7"/>
    <w:rsid w:val="000D09F1"/>
    <w:rsid w:val="000D0BD8"/>
    <w:rsid w:val="000D1739"/>
    <w:rsid w:val="000D1C63"/>
    <w:rsid w:val="000D1D88"/>
    <w:rsid w:val="000D2DB3"/>
    <w:rsid w:val="000D3D74"/>
    <w:rsid w:val="000D3E49"/>
    <w:rsid w:val="000D4F14"/>
    <w:rsid w:val="000D6285"/>
    <w:rsid w:val="000D640E"/>
    <w:rsid w:val="000D66C4"/>
    <w:rsid w:val="000D701F"/>
    <w:rsid w:val="000D73C7"/>
    <w:rsid w:val="000D7F2A"/>
    <w:rsid w:val="000E32F2"/>
    <w:rsid w:val="000E35ED"/>
    <w:rsid w:val="000E3D00"/>
    <w:rsid w:val="000E3DD5"/>
    <w:rsid w:val="000E47AC"/>
    <w:rsid w:val="000E4814"/>
    <w:rsid w:val="000E4BD1"/>
    <w:rsid w:val="000E4CB0"/>
    <w:rsid w:val="000E640A"/>
    <w:rsid w:val="000E6719"/>
    <w:rsid w:val="000E7336"/>
    <w:rsid w:val="000E738B"/>
    <w:rsid w:val="000E7E2C"/>
    <w:rsid w:val="000E7F80"/>
    <w:rsid w:val="000F0149"/>
    <w:rsid w:val="000F0BD9"/>
    <w:rsid w:val="000F12C2"/>
    <w:rsid w:val="000F22DE"/>
    <w:rsid w:val="000F24AC"/>
    <w:rsid w:val="000F2864"/>
    <w:rsid w:val="000F2921"/>
    <w:rsid w:val="000F2D71"/>
    <w:rsid w:val="000F2E34"/>
    <w:rsid w:val="000F463C"/>
    <w:rsid w:val="000F521A"/>
    <w:rsid w:val="000F6437"/>
    <w:rsid w:val="000F6BF3"/>
    <w:rsid w:val="000F7282"/>
    <w:rsid w:val="000F74C7"/>
    <w:rsid w:val="000F7728"/>
    <w:rsid w:val="000F7FFC"/>
    <w:rsid w:val="0010113D"/>
    <w:rsid w:val="001019B2"/>
    <w:rsid w:val="00101A67"/>
    <w:rsid w:val="001028EE"/>
    <w:rsid w:val="00103388"/>
    <w:rsid w:val="001045B5"/>
    <w:rsid w:val="00104A79"/>
    <w:rsid w:val="0010538A"/>
    <w:rsid w:val="00106117"/>
    <w:rsid w:val="0010618A"/>
    <w:rsid w:val="0010720A"/>
    <w:rsid w:val="00107AAB"/>
    <w:rsid w:val="001105CF"/>
    <w:rsid w:val="00110B5D"/>
    <w:rsid w:val="00110C3A"/>
    <w:rsid w:val="001116DE"/>
    <w:rsid w:val="001117A1"/>
    <w:rsid w:val="00111F7F"/>
    <w:rsid w:val="00112D1B"/>
    <w:rsid w:val="001133FB"/>
    <w:rsid w:val="0011398A"/>
    <w:rsid w:val="00113BF3"/>
    <w:rsid w:val="00114051"/>
    <w:rsid w:val="0011429F"/>
    <w:rsid w:val="00114E0F"/>
    <w:rsid w:val="00114E59"/>
    <w:rsid w:val="00115D64"/>
    <w:rsid w:val="00115F30"/>
    <w:rsid w:val="0011638C"/>
    <w:rsid w:val="00116409"/>
    <w:rsid w:val="001177B2"/>
    <w:rsid w:val="00117AB3"/>
    <w:rsid w:val="00117E37"/>
    <w:rsid w:val="00120036"/>
    <w:rsid w:val="00120392"/>
    <w:rsid w:val="001205CC"/>
    <w:rsid w:val="00121413"/>
    <w:rsid w:val="001216CE"/>
    <w:rsid w:val="00121F72"/>
    <w:rsid w:val="00121F92"/>
    <w:rsid w:val="00122CE5"/>
    <w:rsid w:val="0012329D"/>
    <w:rsid w:val="00124F64"/>
    <w:rsid w:val="00125A78"/>
    <w:rsid w:val="00125AA5"/>
    <w:rsid w:val="00126FF0"/>
    <w:rsid w:val="0012717A"/>
    <w:rsid w:val="00127F7C"/>
    <w:rsid w:val="00130055"/>
    <w:rsid w:val="00130929"/>
    <w:rsid w:val="001313F0"/>
    <w:rsid w:val="00131CA6"/>
    <w:rsid w:val="00131D53"/>
    <w:rsid w:val="00132364"/>
    <w:rsid w:val="00134E88"/>
    <w:rsid w:val="001356ED"/>
    <w:rsid w:val="00136892"/>
    <w:rsid w:val="00136C98"/>
    <w:rsid w:val="00136D5C"/>
    <w:rsid w:val="00136DA7"/>
    <w:rsid w:val="00136DD3"/>
    <w:rsid w:val="001409CF"/>
    <w:rsid w:val="00141805"/>
    <w:rsid w:val="00141914"/>
    <w:rsid w:val="0014272B"/>
    <w:rsid w:val="00142F6A"/>
    <w:rsid w:val="0014316F"/>
    <w:rsid w:val="00144035"/>
    <w:rsid w:val="00144501"/>
    <w:rsid w:val="0014484F"/>
    <w:rsid w:val="001450C1"/>
    <w:rsid w:val="001451FB"/>
    <w:rsid w:val="00145532"/>
    <w:rsid w:val="001455D3"/>
    <w:rsid w:val="0014592E"/>
    <w:rsid w:val="00147181"/>
    <w:rsid w:val="001473AE"/>
    <w:rsid w:val="0015093D"/>
    <w:rsid w:val="0015093E"/>
    <w:rsid w:val="00150A02"/>
    <w:rsid w:val="0015193F"/>
    <w:rsid w:val="00152408"/>
    <w:rsid w:val="00152E6F"/>
    <w:rsid w:val="00153801"/>
    <w:rsid w:val="001540C1"/>
    <w:rsid w:val="00154522"/>
    <w:rsid w:val="0015476E"/>
    <w:rsid w:val="00154DBD"/>
    <w:rsid w:val="0015593B"/>
    <w:rsid w:val="0015607A"/>
    <w:rsid w:val="00156521"/>
    <w:rsid w:val="00156CB5"/>
    <w:rsid w:val="0015718A"/>
    <w:rsid w:val="00157359"/>
    <w:rsid w:val="00157B6B"/>
    <w:rsid w:val="00160399"/>
    <w:rsid w:val="001619B2"/>
    <w:rsid w:val="00161C7C"/>
    <w:rsid w:val="0016234F"/>
    <w:rsid w:val="00162E33"/>
    <w:rsid w:val="001637DF"/>
    <w:rsid w:val="00163D7E"/>
    <w:rsid w:val="0016454E"/>
    <w:rsid w:val="00164D7F"/>
    <w:rsid w:val="00164E5E"/>
    <w:rsid w:val="00165035"/>
    <w:rsid w:val="001650F6"/>
    <w:rsid w:val="0016549B"/>
    <w:rsid w:val="001654FB"/>
    <w:rsid w:val="00165B6E"/>
    <w:rsid w:val="001665B9"/>
    <w:rsid w:val="00166834"/>
    <w:rsid w:val="00166F04"/>
    <w:rsid w:val="00167319"/>
    <w:rsid w:val="001674FD"/>
    <w:rsid w:val="0016799B"/>
    <w:rsid w:val="00167ECF"/>
    <w:rsid w:val="00170DE8"/>
    <w:rsid w:val="0017188A"/>
    <w:rsid w:val="00171C64"/>
    <w:rsid w:val="00171E41"/>
    <w:rsid w:val="001722FB"/>
    <w:rsid w:val="00172852"/>
    <w:rsid w:val="00173E28"/>
    <w:rsid w:val="00174051"/>
    <w:rsid w:val="0017413D"/>
    <w:rsid w:val="001746D8"/>
    <w:rsid w:val="00174AD7"/>
    <w:rsid w:val="00174F62"/>
    <w:rsid w:val="00175A56"/>
    <w:rsid w:val="00175E13"/>
    <w:rsid w:val="001762F7"/>
    <w:rsid w:val="00176308"/>
    <w:rsid w:val="00176554"/>
    <w:rsid w:val="0017715E"/>
    <w:rsid w:val="00177A4B"/>
    <w:rsid w:val="00180113"/>
    <w:rsid w:val="001805C4"/>
    <w:rsid w:val="001814B4"/>
    <w:rsid w:val="001817CA"/>
    <w:rsid w:val="0018187C"/>
    <w:rsid w:val="00181F6B"/>
    <w:rsid w:val="00181FDD"/>
    <w:rsid w:val="00182004"/>
    <w:rsid w:val="001824DB"/>
    <w:rsid w:val="0018385D"/>
    <w:rsid w:val="00183D32"/>
    <w:rsid w:val="001844D6"/>
    <w:rsid w:val="0018576A"/>
    <w:rsid w:val="00185866"/>
    <w:rsid w:val="00186A6D"/>
    <w:rsid w:val="00187AB2"/>
    <w:rsid w:val="00187DCB"/>
    <w:rsid w:val="00187E37"/>
    <w:rsid w:val="00190071"/>
    <w:rsid w:val="0019044D"/>
    <w:rsid w:val="00190E9B"/>
    <w:rsid w:val="00191867"/>
    <w:rsid w:val="0019193C"/>
    <w:rsid w:val="00192785"/>
    <w:rsid w:val="00193631"/>
    <w:rsid w:val="001936D1"/>
    <w:rsid w:val="0019394E"/>
    <w:rsid w:val="00193D93"/>
    <w:rsid w:val="00194CA0"/>
    <w:rsid w:val="00194D69"/>
    <w:rsid w:val="00196211"/>
    <w:rsid w:val="00196BFF"/>
    <w:rsid w:val="00196D74"/>
    <w:rsid w:val="00197837"/>
    <w:rsid w:val="00197E78"/>
    <w:rsid w:val="001A00C8"/>
    <w:rsid w:val="001A0597"/>
    <w:rsid w:val="001A067E"/>
    <w:rsid w:val="001A0D8F"/>
    <w:rsid w:val="001A0FAD"/>
    <w:rsid w:val="001A12CC"/>
    <w:rsid w:val="001A1710"/>
    <w:rsid w:val="001A21B4"/>
    <w:rsid w:val="001A2C66"/>
    <w:rsid w:val="001A37D6"/>
    <w:rsid w:val="001A3F25"/>
    <w:rsid w:val="001A42F3"/>
    <w:rsid w:val="001A434D"/>
    <w:rsid w:val="001A4451"/>
    <w:rsid w:val="001A4A4E"/>
    <w:rsid w:val="001A5522"/>
    <w:rsid w:val="001A5CB0"/>
    <w:rsid w:val="001A6074"/>
    <w:rsid w:val="001A64CE"/>
    <w:rsid w:val="001A65EF"/>
    <w:rsid w:val="001A66E7"/>
    <w:rsid w:val="001A73B9"/>
    <w:rsid w:val="001A743F"/>
    <w:rsid w:val="001A7D65"/>
    <w:rsid w:val="001B04AE"/>
    <w:rsid w:val="001B0F75"/>
    <w:rsid w:val="001B19DB"/>
    <w:rsid w:val="001B1DCF"/>
    <w:rsid w:val="001B1FA0"/>
    <w:rsid w:val="001B2A6B"/>
    <w:rsid w:val="001B305A"/>
    <w:rsid w:val="001B3311"/>
    <w:rsid w:val="001B340F"/>
    <w:rsid w:val="001B3551"/>
    <w:rsid w:val="001B3CD0"/>
    <w:rsid w:val="001B41F8"/>
    <w:rsid w:val="001B4457"/>
    <w:rsid w:val="001B4E68"/>
    <w:rsid w:val="001B5261"/>
    <w:rsid w:val="001B540F"/>
    <w:rsid w:val="001B5736"/>
    <w:rsid w:val="001B5BC8"/>
    <w:rsid w:val="001B5EB2"/>
    <w:rsid w:val="001B69BB"/>
    <w:rsid w:val="001B6A2A"/>
    <w:rsid w:val="001B6D0A"/>
    <w:rsid w:val="001C1C5D"/>
    <w:rsid w:val="001C35CE"/>
    <w:rsid w:val="001C52C3"/>
    <w:rsid w:val="001C6FC4"/>
    <w:rsid w:val="001D0866"/>
    <w:rsid w:val="001D0BD4"/>
    <w:rsid w:val="001D1577"/>
    <w:rsid w:val="001D15F1"/>
    <w:rsid w:val="001D1AB0"/>
    <w:rsid w:val="001D1FB7"/>
    <w:rsid w:val="001D2391"/>
    <w:rsid w:val="001D2B6B"/>
    <w:rsid w:val="001D2C38"/>
    <w:rsid w:val="001D3320"/>
    <w:rsid w:val="001D3323"/>
    <w:rsid w:val="001D3ED2"/>
    <w:rsid w:val="001D4274"/>
    <w:rsid w:val="001D496F"/>
    <w:rsid w:val="001D4CC8"/>
    <w:rsid w:val="001D4F0C"/>
    <w:rsid w:val="001D56DD"/>
    <w:rsid w:val="001D57F4"/>
    <w:rsid w:val="001D5FFA"/>
    <w:rsid w:val="001D682D"/>
    <w:rsid w:val="001D725B"/>
    <w:rsid w:val="001D739F"/>
    <w:rsid w:val="001D73B2"/>
    <w:rsid w:val="001D7616"/>
    <w:rsid w:val="001D76D8"/>
    <w:rsid w:val="001D77FA"/>
    <w:rsid w:val="001D7962"/>
    <w:rsid w:val="001D796C"/>
    <w:rsid w:val="001D7A41"/>
    <w:rsid w:val="001D7AD7"/>
    <w:rsid w:val="001E017C"/>
    <w:rsid w:val="001E0291"/>
    <w:rsid w:val="001E033C"/>
    <w:rsid w:val="001E0443"/>
    <w:rsid w:val="001E0F48"/>
    <w:rsid w:val="001E1204"/>
    <w:rsid w:val="001E135A"/>
    <w:rsid w:val="001E19CC"/>
    <w:rsid w:val="001E1BD1"/>
    <w:rsid w:val="001E2910"/>
    <w:rsid w:val="001E342C"/>
    <w:rsid w:val="001E3740"/>
    <w:rsid w:val="001E4038"/>
    <w:rsid w:val="001E4E91"/>
    <w:rsid w:val="001E5DDD"/>
    <w:rsid w:val="001F02D9"/>
    <w:rsid w:val="001F03EF"/>
    <w:rsid w:val="001F13DC"/>
    <w:rsid w:val="001F1F23"/>
    <w:rsid w:val="001F2363"/>
    <w:rsid w:val="001F2496"/>
    <w:rsid w:val="001F32F5"/>
    <w:rsid w:val="001F38C5"/>
    <w:rsid w:val="001F4735"/>
    <w:rsid w:val="001F4A66"/>
    <w:rsid w:val="001F5614"/>
    <w:rsid w:val="001F5622"/>
    <w:rsid w:val="001F646A"/>
    <w:rsid w:val="001F7904"/>
    <w:rsid w:val="001F7DDF"/>
    <w:rsid w:val="00200101"/>
    <w:rsid w:val="00200677"/>
    <w:rsid w:val="00201406"/>
    <w:rsid w:val="002016C8"/>
    <w:rsid w:val="00201E39"/>
    <w:rsid w:val="00202F16"/>
    <w:rsid w:val="00203209"/>
    <w:rsid w:val="00203622"/>
    <w:rsid w:val="00204EBC"/>
    <w:rsid w:val="00204F53"/>
    <w:rsid w:val="00205460"/>
    <w:rsid w:val="00205705"/>
    <w:rsid w:val="002058BC"/>
    <w:rsid w:val="00205A9E"/>
    <w:rsid w:val="002065F8"/>
    <w:rsid w:val="00207FB1"/>
    <w:rsid w:val="0021013F"/>
    <w:rsid w:val="00210268"/>
    <w:rsid w:val="00210390"/>
    <w:rsid w:val="00211245"/>
    <w:rsid w:val="00211749"/>
    <w:rsid w:val="002121AC"/>
    <w:rsid w:val="00212557"/>
    <w:rsid w:val="00213F6B"/>
    <w:rsid w:val="0021468C"/>
    <w:rsid w:val="002151AE"/>
    <w:rsid w:val="00215307"/>
    <w:rsid w:val="00215B50"/>
    <w:rsid w:val="00216695"/>
    <w:rsid w:val="0021718B"/>
    <w:rsid w:val="002179D6"/>
    <w:rsid w:val="00220814"/>
    <w:rsid w:val="002209D4"/>
    <w:rsid w:val="002214F3"/>
    <w:rsid w:val="00221978"/>
    <w:rsid w:val="002226A0"/>
    <w:rsid w:val="0022295C"/>
    <w:rsid w:val="00222EA8"/>
    <w:rsid w:val="00226797"/>
    <w:rsid w:val="002269C2"/>
    <w:rsid w:val="00227E42"/>
    <w:rsid w:val="00227E81"/>
    <w:rsid w:val="00230397"/>
    <w:rsid w:val="002304EC"/>
    <w:rsid w:val="0023148C"/>
    <w:rsid w:val="00232818"/>
    <w:rsid w:val="00232AE9"/>
    <w:rsid w:val="00232C13"/>
    <w:rsid w:val="002335C9"/>
    <w:rsid w:val="0023405E"/>
    <w:rsid w:val="002343BB"/>
    <w:rsid w:val="00234939"/>
    <w:rsid w:val="00234EBE"/>
    <w:rsid w:val="00235B29"/>
    <w:rsid w:val="00235E14"/>
    <w:rsid w:val="00236609"/>
    <w:rsid w:val="00237079"/>
    <w:rsid w:val="002371C6"/>
    <w:rsid w:val="002374C1"/>
    <w:rsid w:val="0023764F"/>
    <w:rsid w:val="00237A87"/>
    <w:rsid w:val="0024043F"/>
    <w:rsid w:val="002407AF"/>
    <w:rsid w:val="0024090C"/>
    <w:rsid w:val="00240E6E"/>
    <w:rsid w:val="00240EF1"/>
    <w:rsid w:val="00241D1C"/>
    <w:rsid w:val="00242065"/>
    <w:rsid w:val="00242109"/>
    <w:rsid w:val="00242B2D"/>
    <w:rsid w:val="0024369B"/>
    <w:rsid w:val="002442D2"/>
    <w:rsid w:val="00244428"/>
    <w:rsid w:val="002463DD"/>
    <w:rsid w:val="0024687E"/>
    <w:rsid w:val="002477B7"/>
    <w:rsid w:val="00247F69"/>
    <w:rsid w:val="00247F9E"/>
    <w:rsid w:val="00250E62"/>
    <w:rsid w:val="00253C58"/>
    <w:rsid w:val="002546D4"/>
    <w:rsid w:val="0025482C"/>
    <w:rsid w:val="002550F5"/>
    <w:rsid w:val="002551FF"/>
    <w:rsid w:val="0025522F"/>
    <w:rsid w:val="00256BE9"/>
    <w:rsid w:val="00256D30"/>
    <w:rsid w:val="002570F6"/>
    <w:rsid w:val="0025752E"/>
    <w:rsid w:val="0025794F"/>
    <w:rsid w:val="00257986"/>
    <w:rsid w:val="00257E54"/>
    <w:rsid w:val="00260449"/>
    <w:rsid w:val="0026060D"/>
    <w:rsid w:val="00260EB2"/>
    <w:rsid w:val="00261600"/>
    <w:rsid w:val="00261649"/>
    <w:rsid w:val="00261679"/>
    <w:rsid w:val="002617E6"/>
    <w:rsid w:val="002618A5"/>
    <w:rsid w:val="00261975"/>
    <w:rsid w:val="00262368"/>
    <w:rsid w:val="002629A1"/>
    <w:rsid w:val="00263280"/>
    <w:rsid w:val="00263A6D"/>
    <w:rsid w:val="00263E8C"/>
    <w:rsid w:val="0026420D"/>
    <w:rsid w:val="00264B24"/>
    <w:rsid w:val="00264B7B"/>
    <w:rsid w:val="00265AC3"/>
    <w:rsid w:val="00267F9A"/>
    <w:rsid w:val="00270D31"/>
    <w:rsid w:val="00271435"/>
    <w:rsid w:val="002724ED"/>
    <w:rsid w:val="002728A0"/>
    <w:rsid w:val="0027306E"/>
    <w:rsid w:val="002736EB"/>
    <w:rsid w:val="00273EE9"/>
    <w:rsid w:val="0027477B"/>
    <w:rsid w:val="00274DC7"/>
    <w:rsid w:val="00274EB7"/>
    <w:rsid w:val="00275989"/>
    <w:rsid w:val="00275A02"/>
    <w:rsid w:val="00276E21"/>
    <w:rsid w:val="00277709"/>
    <w:rsid w:val="00277BAD"/>
    <w:rsid w:val="002800F4"/>
    <w:rsid w:val="002807DF"/>
    <w:rsid w:val="002816BD"/>
    <w:rsid w:val="0028294D"/>
    <w:rsid w:val="002836A6"/>
    <w:rsid w:val="00283A62"/>
    <w:rsid w:val="002845AA"/>
    <w:rsid w:val="00285F5B"/>
    <w:rsid w:val="002876ED"/>
    <w:rsid w:val="0029050F"/>
    <w:rsid w:val="00290D7A"/>
    <w:rsid w:val="00290DDD"/>
    <w:rsid w:val="002910E4"/>
    <w:rsid w:val="00291E8B"/>
    <w:rsid w:val="00292849"/>
    <w:rsid w:val="00292DCB"/>
    <w:rsid w:val="0029468D"/>
    <w:rsid w:val="00294982"/>
    <w:rsid w:val="00294AA2"/>
    <w:rsid w:val="00294C1B"/>
    <w:rsid w:val="0029505F"/>
    <w:rsid w:val="0029710A"/>
    <w:rsid w:val="002A0343"/>
    <w:rsid w:val="002A102E"/>
    <w:rsid w:val="002A2692"/>
    <w:rsid w:val="002A26CA"/>
    <w:rsid w:val="002A3A05"/>
    <w:rsid w:val="002A3A1C"/>
    <w:rsid w:val="002A4E93"/>
    <w:rsid w:val="002A6E02"/>
    <w:rsid w:val="002A745D"/>
    <w:rsid w:val="002A7BC9"/>
    <w:rsid w:val="002B0444"/>
    <w:rsid w:val="002B0A4C"/>
    <w:rsid w:val="002B0FEA"/>
    <w:rsid w:val="002B36D8"/>
    <w:rsid w:val="002B3711"/>
    <w:rsid w:val="002B3A16"/>
    <w:rsid w:val="002B3FA7"/>
    <w:rsid w:val="002B4378"/>
    <w:rsid w:val="002B5443"/>
    <w:rsid w:val="002B5C71"/>
    <w:rsid w:val="002B66D6"/>
    <w:rsid w:val="002C0267"/>
    <w:rsid w:val="002C0653"/>
    <w:rsid w:val="002C0A8A"/>
    <w:rsid w:val="002C0B03"/>
    <w:rsid w:val="002C1984"/>
    <w:rsid w:val="002C2268"/>
    <w:rsid w:val="002C24F2"/>
    <w:rsid w:val="002C2671"/>
    <w:rsid w:val="002C2CFF"/>
    <w:rsid w:val="002C33EA"/>
    <w:rsid w:val="002C4056"/>
    <w:rsid w:val="002C41E8"/>
    <w:rsid w:val="002C4598"/>
    <w:rsid w:val="002C4615"/>
    <w:rsid w:val="002C4A29"/>
    <w:rsid w:val="002C51FF"/>
    <w:rsid w:val="002C540E"/>
    <w:rsid w:val="002C562A"/>
    <w:rsid w:val="002C6259"/>
    <w:rsid w:val="002C6A76"/>
    <w:rsid w:val="002D108C"/>
    <w:rsid w:val="002D1272"/>
    <w:rsid w:val="002D1F11"/>
    <w:rsid w:val="002D20AD"/>
    <w:rsid w:val="002D23E6"/>
    <w:rsid w:val="002D26E1"/>
    <w:rsid w:val="002D26ED"/>
    <w:rsid w:val="002D3BB2"/>
    <w:rsid w:val="002D5823"/>
    <w:rsid w:val="002D6521"/>
    <w:rsid w:val="002D684A"/>
    <w:rsid w:val="002D6A3A"/>
    <w:rsid w:val="002D6C66"/>
    <w:rsid w:val="002D6D8A"/>
    <w:rsid w:val="002D783C"/>
    <w:rsid w:val="002D7949"/>
    <w:rsid w:val="002D7DFE"/>
    <w:rsid w:val="002D7E82"/>
    <w:rsid w:val="002E08D6"/>
    <w:rsid w:val="002E0C5B"/>
    <w:rsid w:val="002E11CD"/>
    <w:rsid w:val="002E20CB"/>
    <w:rsid w:val="002E2ACD"/>
    <w:rsid w:val="002E32D9"/>
    <w:rsid w:val="002E3322"/>
    <w:rsid w:val="002E36B2"/>
    <w:rsid w:val="002E3B70"/>
    <w:rsid w:val="002E3BCB"/>
    <w:rsid w:val="002E4930"/>
    <w:rsid w:val="002E6209"/>
    <w:rsid w:val="002E6D47"/>
    <w:rsid w:val="002E6FA7"/>
    <w:rsid w:val="002E79C7"/>
    <w:rsid w:val="002F020E"/>
    <w:rsid w:val="002F02BB"/>
    <w:rsid w:val="002F0EAD"/>
    <w:rsid w:val="002F2283"/>
    <w:rsid w:val="002F297F"/>
    <w:rsid w:val="002F344C"/>
    <w:rsid w:val="002F408B"/>
    <w:rsid w:val="002F475A"/>
    <w:rsid w:val="002F4CFA"/>
    <w:rsid w:val="002F4EF6"/>
    <w:rsid w:val="002F5B49"/>
    <w:rsid w:val="002F60B9"/>
    <w:rsid w:val="002F61B9"/>
    <w:rsid w:val="002F6C4E"/>
    <w:rsid w:val="002F78FD"/>
    <w:rsid w:val="002F796C"/>
    <w:rsid w:val="00300439"/>
    <w:rsid w:val="00302979"/>
    <w:rsid w:val="00302F81"/>
    <w:rsid w:val="003037B7"/>
    <w:rsid w:val="00303815"/>
    <w:rsid w:val="003039A0"/>
    <w:rsid w:val="00304617"/>
    <w:rsid w:val="00304E11"/>
    <w:rsid w:val="00304F7A"/>
    <w:rsid w:val="00305C96"/>
    <w:rsid w:val="00305D32"/>
    <w:rsid w:val="00305E18"/>
    <w:rsid w:val="00306AD5"/>
    <w:rsid w:val="003100C0"/>
    <w:rsid w:val="003101F1"/>
    <w:rsid w:val="003105A6"/>
    <w:rsid w:val="00310D31"/>
    <w:rsid w:val="003116C6"/>
    <w:rsid w:val="00311ABF"/>
    <w:rsid w:val="0031300E"/>
    <w:rsid w:val="0031332D"/>
    <w:rsid w:val="003138E7"/>
    <w:rsid w:val="003142FF"/>
    <w:rsid w:val="00314666"/>
    <w:rsid w:val="0031472A"/>
    <w:rsid w:val="003149B1"/>
    <w:rsid w:val="00314D66"/>
    <w:rsid w:val="00315296"/>
    <w:rsid w:val="0031570A"/>
    <w:rsid w:val="00315DDF"/>
    <w:rsid w:val="00315E42"/>
    <w:rsid w:val="00315F72"/>
    <w:rsid w:val="00316997"/>
    <w:rsid w:val="00316C21"/>
    <w:rsid w:val="0031738C"/>
    <w:rsid w:val="0032007A"/>
    <w:rsid w:val="00320CC6"/>
    <w:rsid w:val="00320DEA"/>
    <w:rsid w:val="00321396"/>
    <w:rsid w:val="0032157A"/>
    <w:rsid w:val="003219B7"/>
    <w:rsid w:val="00321CD2"/>
    <w:rsid w:val="00323111"/>
    <w:rsid w:val="00323D53"/>
    <w:rsid w:val="0032422E"/>
    <w:rsid w:val="00325753"/>
    <w:rsid w:val="00326A8F"/>
    <w:rsid w:val="00326CF8"/>
    <w:rsid w:val="00326EEE"/>
    <w:rsid w:val="0032743C"/>
    <w:rsid w:val="0032753A"/>
    <w:rsid w:val="003277C5"/>
    <w:rsid w:val="00330CE4"/>
    <w:rsid w:val="0033164D"/>
    <w:rsid w:val="00332170"/>
    <w:rsid w:val="00332FE3"/>
    <w:rsid w:val="0033342C"/>
    <w:rsid w:val="00333DB3"/>
    <w:rsid w:val="003346A7"/>
    <w:rsid w:val="0033477A"/>
    <w:rsid w:val="00334D2B"/>
    <w:rsid w:val="003355C1"/>
    <w:rsid w:val="00335B93"/>
    <w:rsid w:val="00335E6E"/>
    <w:rsid w:val="00335E7C"/>
    <w:rsid w:val="003360AE"/>
    <w:rsid w:val="003370C4"/>
    <w:rsid w:val="0033793A"/>
    <w:rsid w:val="0034061A"/>
    <w:rsid w:val="003406A8"/>
    <w:rsid w:val="003412FE"/>
    <w:rsid w:val="00341342"/>
    <w:rsid w:val="003418F0"/>
    <w:rsid w:val="003419C5"/>
    <w:rsid w:val="00342795"/>
    <w:rsid w:val="00343146"/>
    <w:rsid w:val="0034385D"/>
    <w:rsid w:val="00343E96"/>
    <w:rsid w:val="003449EF"/>
    <w:rsid w:val="00345AB9"/>
    <w:rsid w:val="003466B8"/>
    <w:rsid w:val="00346EA9"/>
    <w:rsid w:val="003472A9"/>
    <w:rsid w:val="003475E9"/>
    <w:rsid w:val="00347EA2"/>
    <w:rsid w:val="00350A8B"/>
    <w:rsid w:val="003518CA"/>
    <w:rsid w:val="00351E9C"/>
    <w:rsid w:val="003520CD"/>
    <w:rsid w:val="003525C9"/>
    <w:rsid w:val="00352F26"/>
    <w:rsid w:val="00353EB1"/>
    <w:rsid w:val="003552C6"/>
    <w:rsid w:val="003553E2"/>
    <w:rsid w:val="003558DE"/>
    <w:rsid w:val="003561B3"/>
    <w:rsid w:val="00357F22"/>
    <w:rsid w:val="00360F58"/>
    <w:rsid w:val="003612DF"/>
    <w:rsid w:val="00361575"/>
    <w:rsid w:val="00363191"/>
    <w:rsid w:val="003639C4"/>
    <w:rsid w:val="0036423F"/>
    <w:rsid w:val="00364F43"/>
    <w:rsid w:val="003655BE"/>
    <w:rsid w:val="0036582F"/>
    <w:rsid w:val="00365AED"/>
    <w:rsid w:val="00365C2C"/>
    <w:rsid w:val="0036727F"/>
    <w:rsid w:val="00367D88"/>
    <w:rsid w:val="00370F37"/>
    <w:rsid w:val="003716B0"/>
    <w:rsid w:val="00371C30"/>
    <w:rsid w:val="0037425F"/>
    <w:rsid w:val="00374BE9"/>
    <w:rsid w:val="00374F13"/>
    <w:rsid w:val="0037510E"/>
    <w:rsid w:val="003761BD"/>
    <w:rsid w:val="00377B68"/>
    <w:rsid w:val="00377BB5"/>
    <w:rsid w:val="00377E43"/>
    <w:rsid w:val="00377EE9"/>
    <w:rsid w:val="00380128"/>
    <w:rsid w:val="00380790"/>
    <w:rsid w:val="00380C41"/>
    <w:rsid w:val="00381854"/>
    <w:rsid w:val="003829DC"/>
    <w:rsid w:val="003833F1"/>
    <w:rsid w:val="00384B08"/>
    <w:rsid w:val="00384C0A"/>
    <w:rsid w:val="00384DF1"/>
    <w:rsid w:val="00384EC7"/>
    <w:rsid w:val="003853DE"/>
    <w:rsid w:val="00385C41"/>
    <w:rsid w:val="00385C70"/>
    <w:rsid w:val="003860F3"/>
    <w:rsid w:val="00386259"/>
    <w:rsid w:val="00386FE3"/>
    <w:rsid w:val="003874D8"/>
    <w:rsid w:val="00387820"/>
    <w:rsid w:val="003879EB"/>
    <w:rsid w:val="00387CEA"/>
    <w:rsid w:val="00387CF1"/>
    <w:rsid w:val="00390D9E"/>
    <w:rsid w:val="00391282"/>
    <w:rsid w:val="0039159D"/>
    <w:rsid w:val="00391770"/>
    <w:rsid w:val="00391BB4"/>
    <w:rsid w:val="00392015"/>
    <w:rsid w:val="003920F7"/>
    <w:rsid w:val="00392338"/>
    <w:rsid w:val="003926FE"/>
    <w:rsid w:val="003928DF"/>
    <w:rsid w:val="00392BDE"/>
    <w:rsid w:val="00392C32"/>
    <w:rsid w:val="00392C8C"/>
    <w:rsid w:val="0039350D"/>
    <w:rsid w:val="003950FE"/>
    <w:rsid w:val="00395A3F"/>
    <w:rsid w:val="0039623F"/>
    <w:rsid w:val="00396940"/>
    <w:rsid w:val="00396B4A"/>
    <w:rsid w:val="0039745A"/>
    <w:rsid w:val="00397E48"/>
    <w:rsid w:val="003A115A"/>
    <w:rsid w:val="003A1755"/>
    <w:rsid w:val="003A202F"/>
    <w:rsid w:val="003A23DA"/>
    <w:rsid w:val="003A319E"/>
    <w:rsid w:val="003A4172"/>
    <w:rsid w:val="003A4403"/>
    <w:rsid w:val="003A4BF8"/>
    <w:rsid w:val="003A4DC0"/>
    <w:rsid w:val="003A54C2"/>
    <w:rsid w:val="003A626D"/>
    <w:rsid w:val="003A770A"/>
    <w:rsid w:val="003A7984"/>
    <w:rsid w:val="003B078F"/>
    <w:rsid w:val="003B1C28"/>
    <w:rsid w:val="003B1C7B"/>
    <w:rsid w:val="003B1CAC"/>
    <w:rsid w:val="003B26F3"/>
    <w:rsid w:val="003B2E91"/>
    <w:rsid w:val="003B2EC8"/>
    <w:rsid w:val="003B3263"/>
    <w:rsid w:val="003B32A0"/>
    <w:rsid w:val="003B42C6"/>
    <w:rsid w:val="003B42E5"/>
    <w:rsid w:val="003B4434"/>
    <w:rsid w:val="003B46E3"/>
    <w:rsid w:val="003B4A9A"/>
    <w:rsid w:val="003B5347"/>
    <w:rsid w:val="003B553E"/>
    <w:rsid w:val="003B5BBF"/>
    <w:rsid w:val="003B60D1"/>
    <w:rsid w:val="003B66D7"/>
    <w:rsid w:val="003B6AC6"/>
    <w:rsid w:val="003B7905"/>
    <w:rsid w:val="003C1823"/>
    <w:rsid w:val="003C1BB7"/>
    <w:rsid w:val="003C1D38"/>
    <w:rsid w:val="003C25E7"/>
    <w:rsid w:val="003C2AE6"/>
    <w:rsid w:val="003C2BCC"/>
    <w:rsid w:val="003C2DF4"/>
    <w:rsid w:val="003C2E3A"/>
    <w:rsid w:val="003C3ACE"/>
    <w:rsid w:val="003C4ED6"/>
    <w:rsid w:val="003C560E"/>
    <w:rsid w:val="003C6B45"/>
    <w:rsid w:val="003C6C98"/>
    <w:rsid w:val="003C7226"/>
    <w:rsid w:val="003C7485"/>
    <w:rsid w:val="003D0288"/>
    <w:rsid w:val="003D02B2"/>
    <w:rsid w:val="003D0838"/>
    <w:rsid w:val="003D0C2F"/>
    <w:rsid w:val="003D0CC7"/>
    <w:rsid w:val="003D0F14"/>
    <w:rsid w:val="003D1B51"/>
    <w:rsid w:val="003D36E1"/>
    <w:rsid w:val="003D3898"/>
    <w:rsid w:val="003D4243"/>
    <w:rsid w:val="003D464D"/>
    <w:rsid w:val="003D47DA"/>
    <w:rsid w:val="003D4896"/>
    <w:rsid w:val="003D53BE"/>
    <w:rsid w:val="003D5863"/>
    <w:rsid w:val="003D6AD6"/>
    <w:rsid w:val="003D71F7"/>
    <w:rsid w:val="003D7953"/>
    <w:rsid w:val="003E109F"/>
    <w:rsid w:val="003E19D4"/>
    <w:rsid w:val="003E2423"/>
    <w:rsid w:val="003E3353"/>
    <w:rsid w:val="003E36E5"/>
    <w:rsid w:val="003E40F8"/>
    <w:rsid w:val="003E422C"/>
    <w:rsid w:val="003E4333"/>
    <w:rsid w:val="003E475C"/>
    <w:rsid w:val="003E4AF6"/>
    <w:rsid w:val="003E4C2C"/>
    <w:rsid w:val="003E54F1"/>
    <w:rsid w:val="003E5622"/>
    <w:rsid w:val="003E5A59"/>
    <w:rsid w:val="003E5EF8"/>
    <w:rsid w:val="003E714B"/>
    <w:rsid w:val="003E7917"/>
    <w:rsid w:val="003E7EB8"/>
    <w:rsid w:val="003F0231"/>
    <w:rsid w:val="003F06F1"/>
    <w:rsid w:val="003F0D91"/>
    <w:rsid w:val="003F0DC4"/>
    <w:rsid w:val="003F109E"/>
    <w:rsid w:val="003F23A1"/>
    <w:rsid w:val="003F307A"/>
    <w:rsid w:val="003F35BA"/>
    <w:rsid w:val="003F4EFF"/>
    <w:rsid w:val="003F5369"/>
    <w:rsid w:val="003F5E79"/>
    <w:rsid w:val="003F6E71"/>
    <w:rsid w:val="003F7E72"/>
    <w:rsid w:val="0040006E"/>
    <w:rsid w:val="004001E7"/>
    <w:rsid w:val="00400A6B"/>
    <w:rsid w:val="00400D3E"/>
    <w:rsid w:val="00401916"/>
    <w:rsid w:val="00401AED"/>
    <w:rsid w:val="004035BF"/>
    <w:rsid w:val="00404D90"/>
    <w:rsid w:val="00405138"/>
    <w:rsid w:val="00405F06"/>
    <w:rsid w:val="00406243"/>
    <w:rsid w:val="004068DB"/>
    <w:rsid w:val="0040692A"/>
    <w:rsid w:val="00406CE2"/>
    <w:rsid w:val="0041075A"/>
    <w:rsid w:val="00410837"/>
    <w:rsid w:val="00411BE9"/>
    <w:rsid w:val="00413CDA"/>
    <w:rsid w:val="00414197"/>
    <w:rsid w:val="004142CF"/>
    <w:rsid w:val="0041456D"/>
    <w:rsid w:val="004147F3"/>
    <w:rsid w:val="00414A42"/>
    <w:rsid w:val="00414B94"/>
    <w:rsid w:val="00414D97"/>
    <w:rsid w:val="00415C0B"/>
    <w:rsid w:val="00415D5C"/>
    <w:rsid w:val="00415F46"/>
    <w:rsid w:val="00417CCE"/>
    <w:rsid w:val="00420D3D"/>
    <w:rsid w:val="00421D44"/>
    <w:rsid w:val="00421F62"/>
    <w:rsid w:val="00422137"/>
    <w:rsid w:val="004227AF"/>
    <w:rsid w:val="004227CD"/>
    <w:rsid w:val="0042317A"/>
    <w:rsid w:val="00423728"/>
    <w:rsid w:val="0042372B"/>
    <w:rsid w:val="00423886"/>
    <w:rsid w:val="00423970"/>
    <w:rsid w:val="00423EEF"/>
    <w:rsid w:val="004241E3"/>
    <w:rsid w:val="0042505E"/>
    <w:rsid w:val="004256F5"/>
    <w:rsid w:val="0042621E"/>
    <w:rsid w:val="00426722"/>
    <w:rsid w:val="00426AE3"/>
    <w:rsid w:val="00426B5E"/>
    <w:rsid w:val="004273AF"/>
    <w:rsid w:val="00427F6F"/>
    <w:rsid w:val="004309A4"/>
    <w:rsid w:val="00431136"/>
    <w:rsid w:val="00432A1A"/>
    <w:rsid w:val="00432D53"/>
    <w:rsid w:val="0043328E"/>
    <w:rsid w:val="004333F2"/>
    <w:rsid w:val="0043434A"/>
    <w:rsid w:val="0043434E"/>
    <w:rsid w:val="00434E7B"/>
    <w:rsid w:val="00435471"/>
    <w:rsid w:val="00437898"/>
    <w:rsid w:val="00440392"/>
    <w:rsid w:val="00440B48"/>
    <w:rsid w:val="0044106A"/>
    <w:rsid w:val="00441D2F"/>
    <w:rsid w:val="004423ED"/>
    <w:rsid w:val="0044296D"/>
    <w:rsid w:val="00442C9C"/>
    <w:rsid w:val="00442E05"/>
    <w:rsid w:val="00443630"/>
    <w:rsid w:val="00444620"/>
    <w:rsid w:val="004448C1"/>
    <w:rsid w:val="00444A56"/>
    <w:rsid w:val="00444BAC"/>
    <w:rsid w:val="0044623A"/>
    <w:rsid w:val="0044627E"/>
    <w:rsid w:val="004464D2"/>
    <w:rsid w:val="004469B7"/>
    <w:rsid w:val="0044732D"/>
    <w:rsid w:val="00447D30"/>
    <w:rsid w:val="00447D82"/>
    <w:rsid w:val="00450041"/>
    <w:rsid w:val="004509BE"/>
    <w:rsid w:val="004516E0"/>
    <w:rsid w:val="00451772"/>
    <w:rsid w:val="00451CC2"/>
    <w:rsid w:val="00454525"/>
    <w:rsid w:val="00454B97"/>
    <w:rsid w:val="00454E82"/>
    <w:rsid w:val="0045507A"/>
    <w:rsid w:val="00455550"/>
    <w:rsid w:val="00455D0A"/>
    <w:rsid w:val="004566A5"/>
    <w:rsid w:val="00456DB9"/>
    <w:rsid w:val="00460008"/>
    <w:rsid w:val="00460818"/>
    <w:rsid w:val="00460A87"/>
    <w:rsid w:val="004618AB"/>
    <w:rsid w:val="00461EC8"/>
    <w:rsid w:val="00461F4B"/>
    <w:rsid w:val="00462949"/>
    <w:rsid w:val="00462CFB"/>
    <w:rsid w:val="004630C7"/>
    <w:rsid w:val="00463A30"/>
    <w:rsid w:val="00463D63"/>
    <w:rsid w:val="00464126"/>
    <w:rsid w:val="0046470B"/>
    <w:rsid w:val="00465041"/>
    <w:rsid w:val="0046513F"/>
    <w:rsid w:val="00465767"/>
    <w:rsid w:val="00465A17"/>
    <w:rsid w:val="00465D7F"/>
    <w:rsid w:val="00466375"/>
    <w:rsid w:val="00466E17"/>
    <w:rsid w:val="00466E43"/>
    <w:rsid w:val="0046743D"/>
    <w:rsid w:val="00467DFE"/>
    <w:rsid w:val="00470CAC"/>
    <w:rsid w:val="00470E93"/>
    <w:rsid w:val="004714B8"/>
    <w:rsid w:val="004731AB"/>
    <w:rsid w:val="00473E18"/>
    <w:rsid w:val="00475260"/>
    <w:rsid w:val="004754E9"/>
    <w:rsid w:val="0047585A"/>
    <w:rsid w:val="00475A17"/>
    <w:rsid w:val="00476578"/>
    <w:rsid w:val="00477053"/>
    <w:rsid w:val="00480023"/>
    <w:rsid w:val="00480514"/>
    <w:rsid w:val="004823AA"/>
    <w:rsid w:val="00482836"/>
    <w:rsid w:val="00482BB0"/>
    <w:rsid w:val="00483BCA"/>
    <w:rsid w:val="00483FBB"/>
    <w:rsid w:val="00484545"/>
    <w:rsid w:val="00484D60"/>
    <w:rsid w:val="0048514D"/>
    <w:rsid w:val="00485319"/>
    <w:rsid w:val="00485EA4"/>
    <w:rsid w:val="00487A79"/>
    <w:rsid w:val="00490F7C"/>
    <w:rsid w:val="00491813"/>
    <w:rsid w:val="0049202F"/>
    <w:rsid w:val="0049217B"/>
    <w:rsid w:val="0049251A"/>
    <w:rsid w:val="00492991"/>
    <w:rsid w:val="00493264"/>
    <w:rsid w:val="00494139"/>
    <w:rsid w:val="00495C6C"/>
    <w:rsid w:val="0049615E"/>
    <w:rsid w:val="004A17A3"/>
    <w:rsid w:val="004A218F"/>
    <w:rsid w:val="004A2489"/>
    <w:rsid w:val="004A292D"/>
    <w:rsid w:val="004A31AB"/>
    <w:rsid w:val="004A3581"/>
    <w:rsid w:val="004A4582"/>
    <w:rsid w:val="004A5563"/>
    <w:rsid w:val="004A5A4C"/>
    <w:rsid w:val="004A61E4"/>
    <w:rsid w:val="004A6564"/>
    <w:rsid w:val="004A711D"/>
    <w:rsid w:val="004A78CB"/>
    <w:rsid w:val="004A7B2C"/>
    <w:rsid w:val="004A7E6C"/>
    <w:rsid w:val="004B0421"/>
    <w:rsid w:val="004B0538"/>
    <w:rsid w:val="004B071D"/>
    <w:rsid w:val="004B0C29"/>
    <w:rsid w:val="004B0E9E"/>
    <w:rsid w:val="004B1CA5"/>
    <w:rsid w:val="004B20B0"/>
    <w:rsid w:val="004B20E8"/>
    <w:rsid w:val="004B2490"/>
    <w:rsid w:val="004B353F"/>
    <w:rsid w:val="004B3D89"/>
    <w:rsid w:val="004B3FF4"/>
    <w:rsid w:val="004B40D4"/>
    <w:rsid w:val="004B460B"/>
    <w:rsid w:val="004B512C"/>
    <w:rsid w:val="004B5CCC"/>
    <w:rsid w:val="004B5DFE"/>
    <w:rsid w:val="004C0313"/>
    <w:rsid w:val="004C0543"/>
    <w:rsid w:val="004C12D8"/>
    <w:rsid w:val="004C1464"/>
    <w:rsid w:val="004C1742"/>
    <w:rsid w:val="004C301D"/>
    <w:rsid w:val="004C32C4"/>
    <w:rsid w:val="004C3613"/>
    <w:rsid w:val="004C3728"/>
    <w:rsid w:val="004C657D"/>
    <w:rsid w:val="004D0C37"/>
    <w:rsid w:val="004D13E2"/>
    <w:rsid w:val="004D308A"/>
    <w:rsid w:val="004D3234"/>
    <w:rsid w:val="004D396D"/>
    <w:rsid w:val="004D44B8"/>
    <w:rsid w:val="004D503B"/>
    <w:rsid w:val="004D58CE"/>
    <w:rsid w:val="004D62CD"/>
    <w:rsid w:val="004D764A"/>
    <w:rsid w:val="004E04B8"/>
    <w:rsid w:val="004E06C7"/>
    <w:rsid w:val="004E0F64"/>
    <w:rsid w:val="004E0FB4"/>
    <w:rsid w:val="004E1ACD"/>
    <w:rsid w:val="004E1EE5"/>
    <w:rsid w:val="004E2A55"/>
    <w:rsid w:val="004E3811"/>
    <w:rsid w:val="004E48F1"/>
    <w:rsid w:val="004E56BB"/>
    <w:rsid w:val="004E5965"/>
    <w:rsid w:val="004E5E4B"/>
    <w:rsid w:val="004E6363"/>
    <w:rsid w:val="004E64AA"/>
    <w:rsid w:val="004E6EFD"/>
    <w:rsid w:val="004E779E"/>
    <w:rsid w:val="004E780D"/>
    <w:rsid w:val="004E78D4"/>
    <w:rsid w:val="004F020D"/>
    <w:rsid w:val="004F0210"/>
    <w:rsid w:val="004F0D89"/>
    <w:rsid w:val="004F0F78"/>
    <w:rsid w:val="004F133E"/>
    <w:rsid w:val="004F1AD9"/>
    <w:rsid w:val="004F2263"/>
    <w:rsid w:val="004F2C58"/>
    <w:rsid w:val="004F3579"/>
    <w:rsid w:val="004F3C54"/>
    <w:rsid w:val="004F41A6"/>
    <w:rsid w:val="004F59B2"/>
    <w:rsid w:val="004F62B2"/>
    <w:rsid w:val="005000C7"/>
    <w:rsid w:val="00501616"/>
    <w:rsid w:val="005022DD"/>
    <w:rsid w:val="005025FC"/>
    <w:rsid w:val="0050416C"/>
    <w:rsid w:val="0050424A"/>
    <w:rsid w:val="00504EB6"/>
    <w:rsid w:val="0050587D"/>
    <w:rsid w:val="00505CF7"/>
    <w:rsid w:val="00505D63"/>
    <w:rsid w:val="00505EC5"/>
    <w:rsid w:val="00506FC2"/>
    <w:rsid w:val="0051082C"/>
    <w:rsid w:val="00511284"/>
    <w:rsid w:val="0051150B"/>
    <w:rsid w:val="005119ED"/>
    <w:rsid w:val="0051232C"/>
    <w:rsid w:val="00513BC9"/>
    <w:rsid w:val="005140AB"/>
    <w:rsid w:val="005144BA"/>
    <w:rsid w:val="005159F4"/>
    <w:rsid w:val="00515F3B"/>
    <w:rsid w:val="0051631A"/>
    <w:rsid w:val="005167C6"/>
    <w:rsid w:val="00516F99"/>
    <w:rsid w:val="00517791"/>
    <w:rsid w:val="005208C7"/>
    <w:rsid w:val="00520FC4"/>
    <w:rsid w:val="0052147B"/>
    <w:rsid w:val="005216E0"/>
    <w:rsid w:val="00521866"/>
    <w:rsid w:val="00521A6C"/>
    <w:rsid w:val="00521C8D"/>
    <w:rsid w:val="00521D27"/>
    <w:rsid w:val="00521D85"/>
    <w:rsid w:val="00522302"/>
    <w:rsid w:val="00522A12"/>
    <w:rsid w:val="00522A69"/>
    <w:rsid w:val="00523669"/>
    <w:rsid w:val="005238A3"/>
    <w:rsid w:val="00523B09"/>
    <w:rsid w:val="00523E7D"/>
    <w:rsid w:val="0052452E"/>
    <w:rsid w:val="00524925"/>
    <w:rsid w:val="005249CF"/>
    <w:rsid w:val="00524C6A"/>
    <w:rsid w:val="00525067"/>
    <w:rsid w:val="00525904"/>
    <w:rsid w:val="0052768D"/>
    <w:rsid w:val="00527DD1"/>
    <w:rsid w:val="00527EB6"/>
    <w:rsid w:val="005302A8"/>
    <w:rsid w:val="005306F9"/>
    <w:rsid w:val="00530B4C"/>
    <w:rsid w:val="0053173E"/>
    <w:rsid w:val="00531C86"/>
    <w:rsid w:val="00531F7F"/>
    <w:rsid w:val="0053247B"/>
    <w:rsid w:val="00532949"/>
    <w:rsid w:val="005340E3"/>
    <w:rsid w:val="005345F0"/>
    <w:rsid w:val="005357B3"/>
    <w:rsid w:val="0053594F"/>
    <w:rsid w:val="00540465"/>
    <w:rsid w:val="0054083A"/>
    <w:rsid w:val="00540D4E"/>
    <w:rsid w:val="00541830"/>
    <w:rsid w:val="00541F6F"/>
    <w:rsid w:val="0054345B"/>
    <w:rsid w:val="00544FA6"/>
    <w:rsid w:val="005458BB"/>
    <w:rsid w:val="00545EFB"/>
    <w:rsid w:val="00546465"/>
    <w:rsid w:val="00547282"/>
    <w:rsid w:val="005472DA"/>
    <w:rsid w:val="00547DAF"/>
    <w:rsid w:val="00550F96"/>
    <w:rsid w:val="005517D9"/>
    <w:rsid w:val="00551E6F"/>
    <w:rsid w:val="00552332"/>
    <w:rsid w:val="005523AC"/>
    <w:rsid w:val="00552C72"/>
    <w:rsid w:val="00552CD0"/>
    <w:rsid w:val="005540F3"/>
    <w:rsid w:val="00554590"/>
    <w:rsid w:val="0055467F"/>
    <w:rsid w:val="00554FD2"/>
    <w:rsid w:val="005550C1"/>
    <w:rsid w:val="005557BC"/>
    <w:rsid w:val="00555B92"/>
    <w:rsid w:val="0055762F"/>
    <w:rsid w:val="005612EB"/>
    <w:rsid w:val="00561F01"/>
    <w:rsid w:val="00562001"/>
    <w:rsid w:val="00562304"/>
    <w:rsid w:val="00562E86"/>
    <w:rsid w:val="00563489"/>
    <w:rsid w:val="00563BC7"/>
    <w:rsid w:val="00564181"/>
    <w:rsid w:val="00564455"/>
    <w:rsid w:val="005650FC"/>
    <w:rsid w:val="00565B88"/>
    <w:rsid w:val="00566029"/>
    <w:rsid w:val="005667D1"/>
    <w:rsid w:val="005678D4"/>
    <w:rsid w:val="0057089B"/>
    <w:rsid w:val="00570E75"/>
    <w:rsid w:val="00570F09"/>
    <w:rsid w:val="005713C6"/>
    <w:rsid w:val="0057173B"/>
    <w:rsid w:val="005717BB"/>
    <w:rsid w:val="00571B70"/>
    <w:rsid w:val="00572449"/>
    <w:rsid w:val="005725BF"/>
    <w:rsid w:val="005726C2"/>
    <w:rsid w:val="00572740"/>
    <w:rsid w:val="00572A33"/>
    <w:rsid w:val="00572FE1"/>
    <w:rsid w:val="00573E36"/>
    <w:rsid w:val="00574242"/>
    <w:rsid w:val="00574646"/>
    <w:rsid w:val="00575496"/>
    <w:rsid w:val="00575DF8"/>
    <w:rsid w:val="00576115"/>
    <w:rsid w:val="005768B3"/>
    <w:rsid w:val="00577107"/>
    <w:rsid w:val="005778EB"/>
    <w:rsid w:val="00577947"/>
    <w:rsid w:val="005779BB"/>
    <w:rsid w:val="00577A4D"/>
    <w:rsid w:val="005815CA"/>
    <w:rsid w:val="00581A8D"/>
    <w:rsid w:val="00581D0E"/>
    <w:rsid w:val="00582190"/>
    <w:rsid w:val="00582B7C"/>
    <w:rsid w:val="00583899"/>
    <w:rsid w:val="00583D49"/>
    <w:rsid w:val="00584FA7"/>
    <w:rsid w:val="005861E5"/>
    <w:rsid w:val="005866B5"/>
    <w:rsid w:val="00587A03"/>
    <w:rsid w:val="005911CE"/>
    <w:rsid w:val="00591408"/>
    <w:rsid w:val="005922E9"/>
    <w:rsid w:val="00592568"/>
    <w:rsid w:val="005925AF"/>
    <w:rsid w:val="005927D0"/>
    <w:rsid w:val="00592DD9"/>
    <w:rsid w:val="005956AD"/>
    <w:rsid w:val="00595EB6"/>
    <w:rsid w:val="0059690F"/>
    <w:rsid w:val="00596B76"/>
    <w:rsid w:val="00597280"/>
    <w:rsid w:val="0059739F"/>
    <w:rsid w:val="005973DE"/>
    <w:rsid w:val="005A00E9"/>
    <w:rsid w:val="005A0298"/>
    <w:rsid w:val="005A169A"/>
    <w:rsid w:val="005A22C2"/>
    <w:rsid w:val="005A26A8"/>
    <w:rsid w:val="005A27A6"/>
    <w:rsid w:val="005A2F4B"/>
    <w:rsid w:val="005A38FE"/>
    <w:rsid w:val="005A3E85"/>
    <w:rsid w:val="005A4037"/>
    <w:rsid w:val="005A4C3B"/>
    <w:rsid w:val="005A5AF8"/>
    <w:rsid w:val="005A5D0A"/>
    <w:rsid w:val="005A6EB9"/>
    <w:rsid w:val="005A73F6"/>
    <w:rsid w:val="005A7B89"/>
    <w:rsid w:val="005A7DC2"/>
    <w:rsid w:val="005B15CE"/>
    <w:rsid w:val="005B1C78"/>
    <w:rsid w:val="005B1F2F"/>
    <w:rsid w:val="005B2AF1"/>
    <w:rsid w:val="005B3561"/>
    <w:rsid w:val="005B3E2D"/>
    <w:rsid w:val="005B4D8C"/>
    <w:rsid w:val="005B521E"/>
    <w:rsid w:val="005B5734"/>
    <w:rsid w:val="005B5845"/>
    <w:rsid w:val="005B59BA"/>
    <w:rsid w:val="005B7345"/>
    <w:rsid w:val="005B78C3"/>
    <w:rsid w:val="005C013C"/>
    <w:rsid w:val="005C0ABA"/>
    <w:rsid w:val="005C0F4A"/>
    <w:rsid w:val="005C1605"/>
    <w:rsid w:val="005C266A"/>
    <w:rsid w:val="005C2B8E"/>
    <w:rsid w:val="005C3687"/>
    <w:rsid w:val="005C36E0"/>
    <w:rsid w:val="005C3A30"/>
    <w:rsid w:val="005C3E19"/>
    <w:rsid w:val="005C570E"/>
    <w:rsid w:val="005C702A"/>
    <w:rsid w:val="005D0535"/>
    <w:rsid w:val="005D0831"/>
    <w:rsid w:val="005D0B9C"/>
    <w:rsid w:val="005D2480"/>
    <w:rsid w:val="005D2575"/>
    <w:rsid w:val="005D25A6"/>
    <w:rsid w:val="005D3939"/>
    <w:rsid w:val="005D4847"/>
    <w:rsid w:val="005D48D9"/>
    <w:rsid w:val="005D4B73"/>
    <w:rsid w:val="005D53E5"/>
    <w:rsid w:val="005D643A"/>
    <w:rsid w:val="005D6C1F"/>
    <w:rsid w:val="005D7550"/>
    <w:rsid w:val="005D7790"/>
    <w:rsid w:val="005E01EF"/>
    <w:rsid w:val="005E2028"/>
    <w:rsid w:val="005E334C"/>
    <w:rsid w:val="005E3A3E"/>
    <w:rsid w:val="005E6334"/>
    <w:rsid w:val="005E6643"/>
    <w:rsid w:val="005E6F0E"/>
    <w:rsid w:val="005E7046"/>
    <w:rsid w:val="005E7ED5"/>
    <w:rsid w:val="005E7F82"/>
    <w:rsid w:val="005F0F6B"/>
    <w:rsid w:val="005F1ED9"/>
    <w:rsid w:val="005F20C3"/>
    <w:rsid w:val="005F2CF8"/>
    <w:rsid w:val="005F2D44"/>
    <w:rsid w:val="005F3A27"/>
    <w:rsid w:val="005F46B4"/>
    <w:rsid w:val="005F47FF"/>
    <w:rsid w:val="005F4E8A"/>
    <w:rsid w:val="005F5626"/>
    <w:rsid w:val="005F5978"/>
    <w:rsid w:val="005F5D84"/>
    <w:rsid w:val="005F60F3"/>
    <w:rsid w:val="005F6362"/>
    <w:rsid w:val="005F6E03"/>
    <w:rsid w:val="005F774D"/>
    <w:rsid w:val="00600221"/>
    <w:rsid w:val="00600EC8"/>
    <w:rsid w:val="00602291"/>
    <w:rsid w:val="00602429"/>
    <w:rsid w:val="00602DBC"/>
    <w:rsid w:val="00603158"/>
    <w:rsid w:val="00603262"/>
    <w:rsid w:val="00603FB3"/>
    <w:rsid w:val="00605E36"/>
    <w:rsid w:val="00606108"/>
    <w:rsid w:val="006061DF"/>
    <w:rsid w:val="0060732C"/>
    <w:rsid w:val="00607ADE"/>
    <w:rsid w:val="00610B51"/>
    <w:rsid w:val="00610C90"/>
    <w:rsid w:val="006110AF"/>
    <w:rsid w:val="006110EC"/>
    <w:rsid w:val="00611191"/>
    <w:rsid w:val="0061207E"/>
    <w:rsid w:val="006140A6"/>
    <w:rsid w:val="00615689"/>
    <w:rsid w:val="0061618C"/>
    <w:rsid w:val="006164D4"/>
    <w:rsid w:val="0061653B"/>
    <w:rsid w:val="00616805"/>
    <w:rsid w:val="00616F86"/>
    <w:rsid w:val="006206D6"/>
    <w:rsid w:val="00620768"/>
    <w:rsid w:val="006207F1"/>
    <w:rsid w:val="00621A3D"/>
    <w:rsid w:val="00622712"/>
    <w:rsid w:val="00623F2E"/>
    <w:rsid w:val="006240FB"/>
    <w:rsid w:val="00624343"/>
    <w:rsid w:val="00624E18"/>
    <w:rsid w:val="006259BA"/>
    <w:rsid w:val="00625D59"/>
    <w:rsid w:val="006260ED"/>
    <w:rsid w:val="00626150"/>
    <w:rsid w:val="00627947"/>
    <w:rsid w:val="006279FD"/>
    <w:rsid w:val="00627E43"/>
    <w:rsid w:val="006305FC"/>
    <w:rsid w:val="00630D6E"/>
    <w:rsid w:val="006316AC"/>
    <w:rsid w:val="00631FA4"/>
    <w:rsid w:val="00632C94"/>
    <w:rsid w:val="00632DA1"/>
    <w:rsid w:val="0063420B"/>
    <w:rsid w:val="006361AF"/>
    <w:rsid w:val="00636217"/>
    <w:rsid w:val="006363EE"/>
    <w:rsid w:val="006365BC"/>
    <w:rsid w:val="00636A3E"/>
    <w:rsid w:val="00636E17"/>
    <w:rsid w:val="00637973"/>
    <w:rsid w:val="006404AD"/>
    <w:rsid w:val="00640647"/>
    <w:rsid w:val="00641A7B"/>
    <w:rsid w:val="006422D0"/>
    <w:rsid w:val="00643372"/>
    <w:rsid w:val="006433B5"/>
    <w:rsid w:val="00643B04"/>
    <w:rsid w:val="00644089"/>
    <w:rsid w:val="00644537"/>
    <w:rsid w:val="00644567"/>
    <w:rsid w:val="00644818"/>
    <w:rsid w:val="00644901"/>
    <w:rsid w:val="00644D0E"/>
    <w:rsid w:val="00645AE3"/>
    <w:rsid w:val="00645D4F"/>
    <w:rsid w:val="006467B1"/>
    <w:rsid w:val="006468AF"/>
    <w:rsid w:val="00646CA4"/>
    <w:rsid w:val="006471AF"/>
    <w:rsid w:val="00650457"/>
    <w:rsid w:val="006509E7"/>
    <w:rsid w:val="00650E34"/>
    <w:rsid w:val="006511C8"/>
    <w:rsid w:val="00652B16"/>
    <w:rsid w:val="00653BF8"/>
    <w:rsid w:val="00653DF2"/>
    <w:rsid w:val="00654137"/>
    <w:rsid w:val="006549A6"/>
    <w:rsid w:val="00654D97"/>
    <w:rsid w:val="00655309"/>
    <w:rsid w:val="0065694F"/>
    <w:rsid w:val="0065705C"/>
    <w:rsid w:val="006572CF"/>
    <w:rsid w:val="006575FB"/>
    <w:rsid w:val="00657D02"/>
    <w:rsid w:val="0066064B"/>
    <w:rsid w:val="006609B0"/>
    <w:rsid w:val="00660CBE"/>
    <w:rsid w:val="00661AC9"/>
    <w:rsid w:val="00661D22"/>
    <w:rsid w:val="0066238E"/>
    <w:rsid w:val="0066283D"/>
    <w:rsid w:val="00662BC6"/>
    <w:rsid w:val="00663012"/>
    <w:rsid w:val="006646FA"/>
    <w:rsid w:val="00664CC8"/>
    <w:rsid w:val="006658F3"/>
    <w:rsid w:val="00665A91"/>
    <w:rsid w:val="00665CC5"/>
    <w:rsid w:val="0066628F"/>
    <w:rsid w:val="00666A30"/>
    <w:rsid w:val="00667BB3"/>
    <w:rsid w:val="00671E77"/>
    <w:rsid w:val="00672446"/>
    <w:rsid w:val="00672975"/>
    <w:rsid w:val="006732AB"/>
    <w:rsid w:val="0067423E"/>
    <w:rsid w:val="006745C5"/>
    <w:rsid w:val="00674BF9"/>
    <w:rsid w:val="00676390"/>
    <w:rsid w:val="006771D7"/>
    <w:rsid w:val="0067777F"/>
    <w:rsid w:val="006804E9"/>
    <w:rsid w:val="006806B3"/>
    <w:rsid w:val="00681CCA"/>
    <w:rsid w:val="00681FD2"/>
    <w:rsid w:val="0068236B"/>
    <w:rsid w:val="00682AC8"/>
    <w:rsid w:val="006831CC"/>
    <w:rsid w:val="0068347D"/>
    <w:rsid w:val="00684931"/>
    <w:rsid w:val="006859DA"/>
    <w:rsid w:val="00686609"/>
    <w:rsid w:val="0068688D"/>
    <w:rsid w:val="00687D26"/>
    <w:rsid w:val="00687D8A"/>
    <w:rsid w:val="0069059E"/>
    <w:rsid w:val="00690ADA"/>
    <w:rsid w:val="00691A39"/>
    <w:rsid w:val="006922BA"/>
    <w:rsid w:val="00692EE7"/>
    <w:rsid w:val="00693429"/>
    <w:rsid w:val="00693759"/>
    <w:rsid w:val="00693B0A"/>
    <w:rsid w:val="00694452"/>
    <w:rsid w:val="006955B0"/>
    <w:rsid w:val="00695D82"/>
    <w:rsid w:val="00695DB6"/>
    <w:rsid w:val="00695F4D"/>
    <w:rsid w:val="00696729"/>
    <w:rsid w:val="00696913"/>
    <w:rsid w:val="00697138"/>
    <w:rsid w:val="00697994"/>
    <w:rsid w:val="006A00B6"/>
    <w:rsid w:val="006A067E"/>
    <w:rsid w:val="006A0C32"/>
    <w:rsid w:val="006A0C87"/>
    <w:rsid w:val="006A24DF"/>
    <w:rsid w:val="006A2837"/>
    <w:rsid w:val="006A47E5"/>
    <w:rsid w:val="006A5C55"/>
    <w:rsid w:val="006A782C"/>
    <w:rsid w:val="006B074C"/>
    <w:rsid w:val="006B0E23"/>
    <w:rsid w:val="006B2284"/>
    <w:rsid w:val="006B4468"/>
    <w:rsid w:val="006B59AE"/>
    <w:rsid w:val="006B5CBB"/>
    <w:rsid w:val="006B639B"/>
    <w:rsid w:val="006B68D3"/>
    <w:rsid w:val="006B6A48"/>
    <w:rsid w:val="006C0161"/>
    <w:rsid w:val="006C03E7"/>
    <w:rsid w:val="006C0F4F"/>
    <w:rsid w:val="006C13A7"/>
    <w:rsid w:val="006C1FF6"/>
    <w:rsid w:val="006C2CBC"/>
    <w:rsid w:val="006C49EA"/>
    <w:rsid w:val="006C4D0E"/>
    <w:rsid w:val="006C4F55"/>
    <w:rsid w:val="006C5EF7"/>
    <w:rsid w:val="006C67E2"/>
    <w:rsid w:val="006C686C"/>
    <w:rsid w:val="006C691F"/>
    <w:rsid w:val="006C6ADB"/>
    <w:rsid w:val="006C6CE8"/>
    <w:rsid w:val="006C7670"/>
    <w:rsid w:val="006D00A1"/>
    <w:rsid w:val="006D0DBA"/>
    <w:rsid w:val="006D1D5F"/>
    <w:rsid w:val="006D22C4"/>
    <w:rsid w:val="006D23BA"/>
    <w:rsid w:val="006D2623"/>
    <w:rsid w:val="006D2702"/>
    <w:rsid w:val="006D52BC"/>
    <w:rsid w:val="006D5311"/>
    <w:rsid w:val="006D56A8"/>
    <w:rsid w:val="006D5836"/>
    <w:rsid w:val="006D5C05"/>
    <w:rsid w:val="006D628F"/>
    <w:rsid w:val="006D64B5"/>
    <w:rsid w:val="006D6506"/>
    <w:rsid w:val="006D7402"/>
    <w:rsid w:val="006D7888"/>
    <w:rsid w:val="006D7A8B"/>
    <w:rsid w:val="006D7ED0"/>
    <w:rsid w:val="006E04EB"/>
    <w:rsid w:val="006E0B5A"/>
    <w:rsid w:val="006E0F4D"/>
    <w:rsid w:val="006E1082"/>
    <w:rsid w:val="006E2056"/>
    <w:rsid w:val="006E27E7"/>
    <w:rsid w:val="006E2AC4"/>
    <w:rsid w:val="006E2B08"/>
    <w:rsid w:val="006E2E63"/>
    <w:rsid w:val="006E3DA3"/>
    <w:rsid w:val="006E5497"/>
    <w:rsid w:val="006E5E9A"/>
    <w:rsid w:val="006E613F"/>
    <w:rsid w:val="006E7398"/>
    <w:rsid w:val="006E7720"/>
    <w:rsid w:val="006E7A8C"/>
    <w:rsid w:val="006E7DF3"/>
    <w:rsid w:val="006F0022"/>
    <w:rsid w:val="006F0313"/>
    <w:rsid w:val="006F0702"/>
    <w:rsid w:val="006F12E1"/>
    <w:rsid w:val="006F1369"/>
    <w:rsid w:val="006F19AC"/>
    <w:rsid w:val="006F20A4"/>
    <w:rsid w:val="006F223B"/>
    <w:rsid w:val="006F2A58"/>
    <w:rsid w:val="006F4204"/>
    <w:rsid w:val="006F4626"/>
    <w:rsid w:val="006F4710"/>
    <w:rsid w:val="006F4C44"/>
    <w:rsid w:val="006F548F"/>
    <w:rsid w:val="006F5AE1"/>
    <w:rsid w:val="006F6D2A"/>
    <w:rsid w:val="006F6DB3"/>
    <w:rsid w:val="006F6E6F"/>
    <w:rsid w:val="006F7607"/>
    <w:rsid w:val="006F7DD7"/>
    <w:rsid w:val="0070051C"/>
    <w:rsid w:val="00700AAC"/>
    <w:rsid w:val="00701210"/>
    <w:rsid w:val="0070126F"/>
    <w:rsid w:val="007015D3"/>
    <w:rsid w:val="00701748"/>
    <w:rsid w:val="00701ED6"/>
    <w:rsid w:val="0070209B"/>
    <w:rsid w:val="00702668"/>
    <w:rsid w:val="00702E2D"/>
    <w:rsid w:val="00702FFB"/>
    <w:rsid w:val="00703A8D"/>
    <w:rsid w:val="00703DAD"/>
    <w:rsid w:val="0070658F"/>
    <w:rsid w:val="00710504"/>
    <w:rsid w:val="00710F0A"/>
    <w:rsid w:val="0071130B"/>
    <w:rsid w:val="00711ABA"/>
    <w:rsid w:val="00711E88"/>
    <w:rsid w:val="00712473"/>
    <w:rsid w:val="0071266A"/>
    <w:rsid w:val="00712F04"/>
    <w:rsid w:val="00713C1D"/>
    <w:rsid w:val="0071443C"/>
    <w:rsid w:val="007154D6"/>
    <w:rsid w:val="00715EA8"/>
    <w:rsid w:val="007165AB"/>
    <w:rsid w:val="00716E02"/>
    <w:rsid w:val="00717891"/>
    <w:rsid w:val="00717D7F"/>
    <w:rsid w:val="0072076D"/>
    <w:rsid w:val="00720CF2"/>
    <w:rsid w:val="00720D69"/>
    <w:rsid w:val="00721051"/>
    <w:rsid w:val="00721193"/>
    <w:rsid w:val="00721E56"/>
    <w:rsid w:val="00722352"/>
    <w:rsid w:val="00722558"/>
    <w:rsid w:val="00723A91"/>
    <w:rsid w:val="00723E30"/>
    <w:rsid w:val="00724520"/>
    <w:rsid w:val="00726418"/>
    <w:rsid w:val="00726D93"/>
    <w:rsid w:val="00726F7B"/>
    <w:rsid w:val="007272B1"/>
    <w:rsid w:val="007277D8"/>
    <w:rsid w:val="00727847"/>
    <w:rsid w:val="00727B6E"/>
    <w:rsid w:val="00730169"/>
    <w:rsid w:val="00730CEC"/>
    <w:rsid w:val="00732783"/>
    <w:rsid w:val="00733662"/>
    <w:rsid w:val="00733ED0"/>
    <w:rsid w:val="00734BBA"/>
    <w:rsid w:val="00735D0E"/>
    <w:rsid w:val="00735FB5"/>
    <w:rsid w:val="00740D82"/>
    <w:rsid w:val="007410F1"/>
    <w:rsid w:val="00741243"/>
    <w:rsid w:val="00741BC6"/>
    <w:rsid w:val="00741C62"/>
    <w:rsid w:val="00741C90"/>
    <w:rsid w:val="00742D24"/>
    <w:rsid w:val="00742EBE"/>
    <w:rsid w:val="0074390D"/>
    <w:rsid w:val="00743A2A"/>
    <w:rsid w:val="00744C45"/>
    <w:rsid w:val="0074505A"/>
    <w:rsid w:val="007458A1"/>
    <w:rsid w:val="00745938"/>
    <w:rsid w:val="00745ACD"/>
    <w:rsid w:val="00745E72"/>
    <w:rsid w:val="00746813"/>
    <w:rsid w:val="00746BB5"/>
    <w:rsid w:val="00746EDF"/>
    <w:rsid w:val="007472AF"/>
    <w:rsid w:val="007500B6"/>
    <w:rsid w:val="007508FD"/>
    <w:rsid w:val="00750E54"/>
    <w:rsid w:val="00751149"/>
    <w:rsid w:val="00752E97"/>
    <w:rsid w:val="007531FB"/>
    <w:rsid w:val="00753DD2"/>
    <w:rsid w:val="007540F7"/>
    <w:rsid w:val="0075498D"/>
    <w:rsid w:val="00754BE1"/>
    <w:rsid w:val="00754D22"/>
    <w:rsid w:val="00755282"/>
    <w:rsid w:val="00755858"/>
    <w:rsid w:val="0075643F"/>
    <w:rsid w:val="0075666E"/>
    <w:rsid w:val="00756A3C"/>
    <w:rsid w:val="00756A66"/>
    <w:rsid w:val="007576DE"/>
    <w:rsid w:val="00760054"/>
    <w:rsid w:val="00760167"/>
    <w:rsid w:val="0076037D"/>
    <w:rsid w:val="007626E0"/>
    <w:rsid w:val="00762763"/>
    <w:rsid w:val="00762A94"/>
    <w:rsid w:val="007631E0"/>
    <w:rsid w:val="007631F6"/>
    <w:rsid w:val="007633FF"/>
    <w:rsid w:val="00763769"/>
    <w:rsid w:val="00764156"/>
    <w:rsid w:val="007642DD"/>
    <w:rsid w:val="00764404"/>
    <w:rsid w:val="00764660"/>
    <w:rsid w:val="00764D60"/>
    <w:rsid w:val="00764EDA"/>
    <w:rsid w:val="00764F44"/>
    <w:rsid w:val="00765E74"/>
    <w:rsid w:val="0077048A"/>
    <w:rsid w:val="007705D9"/>
    <w:rsid w:val="00770890"/>
    <w:rsid w:val="0077235B"/>
    <w:rsid w:val="0077327E"/>
    <w:rsid w:val="00773652"/>
    <w:rsid w:val="00773919"/>
    <w:rsid w:val="00773C15"/>
    <w:rsid w:val="00774630"/>
    <w:rsid w:val="00774754"/>
    <w:rsid w:val="007747DE"/>
    <w:rsid w:val="00775322"/>
    <w:rsid w:val="0077594D"/>
    <w:rsid w:val="007765A5"/>
    <w:rsid w:val="00776B36"/>
    <w:rsid w:val="007778A4"/>
    <w:rsid w:val="0078043C"/>
    <w:rsid w:val="0078074D"/>
    <w:rsid w:val="00780CB9"/>
    <w:rsid w:val="0078180B"/>
    <w:rsid w:val="0078193F"/>
    <w:rsid w:val="00782706"/>
    <w:rsid w:val="007838B6"/>
    <w:rsid w:val="00783EFF"/>
    <w:rsid w:val="007846CC"/>
    <w:rsid w:val="007851F4"/>
    <w:rsid w:val="00785370"/>
    <w:rsid w:val="007859F6"/>
    <w:rsid w:val="00786269"/>
    <w:rsid w:val="00786995"/>
    <w:rsid w:val="0078711A"/>
    <w:rsid w:val="0078719A"/>
    <w:rsid w:val="00787515"/>
    <w:rsid w:val="00787CDC"/>
    <w:rsid w:val="00787DED"/>
    <w:rsid w:val="0079124C"/>
    <w:rsid w:val="00793794"/>
    <w:rsid w:val="0079470B"/>
    <w:rsid w:val="0079502F"/>
    <w:rsid w:val="00796006"/>
    <w:rsid w:val="00796915"/>
    <w:rsid w:val="0079786C"/>
    <w:rsid w:val="007978B5"/>
    <w:rsid w:val="00797FB2"/>
    <w:rsid w:val="007A0CD9"/>
    <w:rsid w:val="007A1261"/>
    <w:rsid w:val="007A2E4B"/>
    <w:rsid w:val="007A2E98"/>
    <w:rsid w:val="007A3354"/>
    <w:rsid w:val="007A5AC1"/>
    <w:rsid w:val="007A6DE7"/>
    <w:rsid w:val="007A7205"/>
    <w:rsid w:val="007B005D"/>
    <w:rsid w:val="007B0E8D"/>
    <w:rsid w:val="007B0FB2"/>
    <w:rsid w:val="007B1940"/>
    <w:rsid w:val="007B1CBD"/>
    <w:rsid w:val="007B1CDE"/>
    <w:rsid w:val="007B2123"/>
    <w:rsid w:val="007B25B8"/>
    <w:rsid w:val="007B3672"/>
    <w:rsid w:val="007B4131"/>
    <w:rsid w:val="007B4267"/>
    <w:rsid w:val="007B43C4"/>
    <w:rsid w:val="007B4D19"/>
    <w:rsid w:val="007B5147"/>
    <w:rsid w:val="007B6BF0"/>
    <w:rsid w:val="007B6E32"/>
    <w:rsid w:val="007B7BF2"/>
    <w:rsid w:val="007B7FE7"/>
    <w:rsid w:val="007C025F"/>
    <w:rsid w:val="007C0348"/>
    <w:rsid w:val="007C0A0A"/>
    <w:rsid w:val="007C1328"/>
    <w:rsid w:val="007C13C4"/>
    <w:rsid w:val="007C1F7B"/>
    <w:rsid w:val="007C2CB6"/>
    <w:rsid w:val="007C41E3"/>
    <w:rsid w:val="007C4710"/>
    <w:rsid w:val="007C47B9"/>
    <w:rsid w:val="007C4F64"/>
    <w:rsid w:val="007C5060"/>
    <w:rsid w:val="007C6993"/>
    <w:rsid w:val="007C69D3"/>
    <w:rsid w:val="007C6BC2"/>
    <w:rsid w:val="007C6DF6"/>
    <w:rsid w:val="007C7B9C"/>
    <w:rsid w:val="007D0580"/>
    <w:rsid w:val="007D0B90"/>
    <w:rsid w:val="007D1001"/>
    <w:rsid w:val="007D149E"/>
    <w:rsid w:val="007D17ED"/>
    <w:rsid w:val="007D187E"/>
    <w:rsid w:val="007D1E8B"/>
    <w:rsid w:val="007D23BE"/>
    <w:rsid w:val="007D2C1A"/>
    <w:rsid w:val="007D4201"/>
    <w:rsid w:val="007D5154"/>
    <w:rsid w:val="007D5788"/>
    <w:rsid w:val="007D6197"/>
    <w:rsid w:val="007D6995"/>
    <w:rsid w:val="007D6B54"/>
    <w:rsid w:val="007E02FA"/>
    <w:rsid w:val="007E08E1"/>
    <w:rsid w:val="007E19B4"/>
    <w:rsid w:val="007E19FD"/>
    <w:rsid w:val="007E29DC"/>
    <w:rsid w:val="007E35B7"/>
    <w:rsid w:val="007E36CB"/>
    <w:rsid w:val="007E3E44"/>
    <w:rsid w:val="007E3EEE"/>
    <w:rsid w:val="007E551D"/>
    <w:rsid w:val="007E5908"/>
    <w:rsid w:val="007E5A47"/>
    <w:rsid w:val="007E7015"/>
    <w:rsid w:val="007E7633"/>
    <w:rsid w:val="007F209D"/>
    <w:rsid w:val="007F232C"/>
    <w:rsid w:val="007F2A37"/>
    <w:rsid w:val="007F3321"/>
    <w:rsid w:val="007F5459"/>
    <w:rsid w:val="007F58B6"/>
    <w:rsid w:val="007F6A9C"/>
    <w:rsid w:val="007F70B3"/>
    <w:rsid w:val="007F7A79"/>
    <w:rsid w:val="007F7EA2"/>
    <w:rsid w:val="008000A4"/>
    <w:rsid w:val="0080078B"/>
    <w:rsid w:val="008007BE"/>
    <w:rsid w:val="00801C61"/>
    <w:rsid w:val="00801D9A"/>
    <w:rsid w:val="008024CC"/>
    <w:rsid w:val="00802B91"/>
    <w:rsid w:val="00802BB7"/>
    <w:rsid w:val="00802E3E"/>
    <w:rsid w:val="00802E53"/>
    <w:rsid w:val="00803231"/>
    <w:rsid w:val="00803C45"/>
    <w:rsid w:val="008051D5"/>
    <w:rsid w:val="00805F8A"/>
    <w:rsid w:val="008061EE"/>
    <w:rsid w:val="00806391"/>
    <w:rsid w:val="0080645F"/>
    <w:rsid w:val="00806A26"/>
    <w:rsid w:val="00806C40"/>
    <w:rsid w:val="008070F0"/>
    <w:rsid w:val="0080786C"/>
    <w:rsid w:val="00807B39"/>
    <w:rsid w:val="00811076"/>
    <w:rsid w:val="008118FB"/>
    <w:rsid w:val="008119E6"/>
    <w:rsid w:val="008123FD"/>
    <w:rsid w:val="00814BB7"/>
    <w:rsid w:val="0081553D"/>
    <w:rsid w:val="00815DB4"/>
    <w:rsid w:val="00815DC2"/>
    <w:rsid w:val="00815E91"/>
    <w:rsid w:val="00816291"/>
    <w:rsid w:val="00816DF0"/>
    <w:rsid w:val="00817184"/>
    <w:rsid w:val="00817773"/>
    <w:rsid w:val="008203FD"/>
    <w:rsid w:val="0082061F"/>
    <w:rsid w:val="00820E04"/>
    <w:rsid w:val="00820F3A"/>
    <w:rsid w:val="008214D0"/>
    <w:rsid w:val="008219E6"/>
    <w:rsid w:val="00821C40"/>
    <w:rsid w:val="008227D1"/>
    <w:rsid w:val="00822CF0"/>
    <w:rsid w:val="00823466"/>
    <w:rsid w:val="0082478D"/>
    <w:rsid w:val="00824E85"/>
    <w:rsid w:val="00825528"/>
    <w:rsid w:val="00825723"/>
    <w:rsid w:val="008279B2"/>
    <w:rsid w:val="00827BBE"/>
    <w:rsid w:val="00827EC9"/>
    <w:rsid w:val="008304E1"/>
    <w:rsid w:val="00830604"/>
    <w:rsid w:val="00830B69"/>
    <w:rsid w:val="00830E0B"/>
    <w:rsid w:val="00830FA3"/>
    <w:rsid w:val="0083101A"/>
    <w:rsid w:val="00831165"/>
    <w:rsid w:val="008312A8"/>
    <w:rsid w:val="00832C64"/>
    <w:rsid w:val="008335AD"/>
    <w:rsid w:val="008341AD"/>
    <w:rsid w:val="0083425C"/>
    <w:rsid w:val="008343FF"/>
    <w:rsid w:val="00834EE5"/>
    <w:rsid w:val="0083564E"/>
    <w:rsid w:val="00835B6E"/>
    <w:rsid w:val="00836201"/>
    <w:rsid w:val="00836D6C"/>
    <w:rsid w:val="008404FE"/>
    <w:rsid w:val="008413A4"/>
    <w:rsid w:val="008414FB"/>
    <w:rsid w:val="00841946"/>
    <w:rsid w:val="00842120"/>
    <w:rsid w:val="00842C48"/>
    <w:rsid w:val="00842FEE"/>
    <w:rsid w:val="00843361"/>
    <w:rsid w:val="0084337D"/>
    <w:rsid w:val="00843A7A"/>
    <w:rsid w:val="00843E7B"/>
    <w:rsid w:val="00844921"/>
    <w:rsid w:val="00845C7D"/>
    <w:rsid w:val="008461DD"/>
    <w:rsid w:val="00846238"/>
    <w:rsid w:val="008466D7"/>
    <w:rsid w:val="00847430"/>
    <w:rsid w:val="00850427"/>
    <w:rsid w:val="008508D7"/>
    <w:rsid w:val="00850B67"/>
    <w:rsid w:val="008517A2"/>
    <w:rsid w:val="00851935"/>
    <w:rsid w:val="00851E7F"/>
    <w:rsid w:val="00852CED"/>
    <w:rsid w:val="0085341B"/>
    <w:rsid w:val="00854329"/>
    <w:rsid w:val="008549D6"/>
    <w:rsid w:val="008557E3"/>
    <w:rsid w:val="00855816"/>
    <w:rsid w:val="00855993"/>
    <w:rsid w:val="00855E20"/>
    <w:rsid w:val="0085624F"/>
    <w:rsid w:val="008562BA"/>
    <w:rsid w:val="00856AC2"/>
    <w:rsid w:val="00856B3E"/>
    <w:rsid w:val="00856CDC"/>
    <w:rsid w:val="00857B60"/>
    <w:rsid w:val="00860376"/>
    <w:rsid w:val="008608B3"/>
    <w:rsid w:val="00861791"/>
    <w:rsid w:val="00862290"/>
    <w:rsid w:val="008626F5"/>
    <w:rsid w:val="0086285E"/>
    <w:rsid w:val="008639B7"/>
    <w:rsid w:val="00863CAE"/>
    <w:rsid w:val="00864490"/>
    <w:rsid w:val="00864A3F"/>
    <w:rsid w:val="00864A55"/>
    <w:rsid w:val="008656E1"/>
    <w:rsid w:val="00866431"/>
    <w:rsid w:val="00866504"/>
    <w:rsid w:val="0086665E"/>
    <w:rsid w:val="00866D38"/>
    <w:rsid w:val="00866F22"/>
    <w:rsid w:val="008674D8"/>
    <w:rsid w:val="00867E26"/>
    <w:rsid w:val="00870177"/>
    <w:rsid w:val="0087132F"/>
    <w:rsid w:val="0087135B"/>
    <w:rsid w:val="00871469"/>
    <w:rsid w:val="008719BF"/>
    <w:rsid w:val="00871F28"/>
    <w:rsid w:val="00872CCA"/>
    <w:rsid w:val="00873406"/>
    <w:rsid w:val="008737C3"/>
    <w:rsid w:val="00873DED"/>
    <w:rsid w:val="00873E22"/>
    <w:rsid w:val="008754C4"/>
    <w:rsid w:val="008759D7"/>
    <w:rsid w:val="00875D48"/>
    <w:rsid w:val="00876718"/>
    <w:rsid w:val="00876929"/>
    <w:rsid w:val="00880A7C"/>
    <w:rsid w:val="00881130"/>
    <w:rsid w:val="008811C1"/>
    <w:rsid w:val="008821C3"/>
    <w:rsid w:val="008829C7"/>
    <w:rsid w:val="00883109"/>
    <w:rsid w:val="008835A7"/>
    <w:rsid w:val="00884314"/>
    <w:rsid w:val="008843F6"/>
    <w:rsid w:val="00884D6D"/>
    <w:rsid w:val="008853B5"/>
    <w:rsid w:val="00885895"/>
    <w:rsid w:val="00886211"/>
    <w:rsid w:val="0088799D"/>
    <w:rsid w:val="00890473"/>
    <w:rsid w:val="008909D8"/>
    <w:rsid w:val="00891B30"/>
    <w:rsid w:val="008927E0"/>
    <w:rsid w:val="00893486"/>
    <w:rsid w:val="00894D45"/>
    <w:rsid w:val="00894E49"/>
    <w:rsid w:val="008959D8"/>
    <w:rsid w:val="00895F22"/>
    <w:rsid w:val="00895F56"/>
    <w:rsid w:val="00896601"/>
    <w:rsid w:val="00896DD6"/>
    <w:rsid w:val="008A0506"/>
    <w:rsid w:val="008A0E6C"/>
    <w:rsid w:val="008A104B"/>
    <w:rsid w:val="008A1632"/>
    <w:rsid w:val="008A2506"/>
    <w:rsid w:val="008A31B3"/>
    <w:rsid w:val="008A4B3F"/>
    <w:rsid w:val="008A4F5D"/>
    <w:rsid w:val="008A5042"/>
    <w:rsid w:val="008A561B"/>
    <w:rsid w:val="008A5898"/>
    <w:rsid w:val="008A6A95"/>
    <w:rsid w:val="008A6EA3"/>
    <w:rsid w:val="008A6F38"/>
    <w:rsid w:val="008A7302"/>
    <w:rsid w:val="008A74D0"/>
    <w:rsid w:val="008A7620"/>
    <w:rsid w:val="008A76AD"/>
    <w:rsid w:val="008B016F"/>
    <w:rsid w:val="008B1C86"/>
    <w:rsid w:val="008B1F5B"/>
    <w:rsid w:val="008B20AB"/>
    <w:rsid w:val="008B3AC1"/>
    <w:rsid w:val="008B4F35"/>
    <w:rsid w:val="008B50AD"/>
    <w:rsid w:val="008B61A0"/>
    <w:rsid w:val="008B6930"/>
    <w:rsid w:val="008B7609"/>
    <w:rsid w:val="008C0030"/>
    <w:rsid w:val="008C09A0"/>
    <w:rsid w:val="008C13BE"/>
    <w:rsid w:val="008C17C1"/>
    <w:rsid w:val="008C2370"/>
    <w:rsid w:val="008C2807"/>
    <w:rsid w:val="008C30AF"/>
    <w:rsid w:val="008C3649"/>
    <w:rsid w:val="008C40D8"/>
    <w:rsid w:val="008C412D"/>
    <w:rsid w:val="008C4186"/>
    <w:rsid w:val="008C5798"/>
    <w:rsid w:val="008C61C9"/>
    <w:rsid w:val="008C7364"/>
    <w:rsid w:val="008C7673"/>
    <w:rsid w:val="008C780A"/>
    <w:rsid w:val="008D12BA"/>
    <w:rsid w:val="008D1B8D"/>
    <w:rsid w:val="008D3818"/>
    <w:rsid w:val="008D449D"/>
    <w:rsid w:val="008D4F22"/>
    <w:rsid w:val="008D5DB4"/>
    <w:rsid w:val="008D5EC2"/>
    <w:rsid w:val="008D6071"/>
    <w:rsid w:val="008D6C06"/>
    <w:rsid w:val="008D7E1C"/>
    <w:rsid w:val="008E031C"/>
    <w:rsid w:val="008E064B"/>
    <w:rsid w:val="008E06C2"/>
    <w:rsid w:val="008E0DA8"/>
    <w:rsid w:val="008E114C"/>
    <w:rsid w:val="008E1395"/>
    <w:rsid w:val="008E1F6C"/>
    <w:rsid w:val="008E25A4"/>
    <w:rsid w:val="008E34E1"/>
    <w:rsid w:val="008E3929"/>
    <w:rsid w:val="008E39E5"/>
    <w:rsid w:val="008E3BE2"/>
    <w:rsid w:val="008E43A0"/>
    <w:rsid w:val="008E49F5"/>
    <w:rsid w:val="008E5052"/>
    <w:rsid w:val="008E575A"/>
    <w:rsid w:val="008E5C45"/>
    <w:rsid w:val="008E5CF5"/>
    <w:rsid w:val="008E5FEA"/>
    <w:rsid w:val="008E603D"/>
    <w:rsid w:val="008E6EC3"/>
    <w:rsid w:val="008E7326"/>
    <w:rsid w:val="008E77D3"/>
    <w:rsid w:val="008F0D40"/>
    <w:rsid w:val="008F1EB2"/>
    <w:rsid w:val="008F262A"/>
    <w:rsid w:val="008F2963"/>
    <w:rsid w:val="008F327C"/>
    <w:rsid w:val="008F416B"/>
    <w:rsid w:val="008F48C7"/>
    <w:rsid w:val="008F5057"/>
    <w:rsid w:val="008F5087"/>
    <w:rsid w:val="008F5D0F"/>
    <w:rsid w:val="008F5EA6"/>
    <w:rsid w:val="008F5F58"/>
    <w:rsid w:val="008F636D"/>
    <w:rsid w:val="008F7556"/>
    <w:rsid w:val="008F76A2"/>
    <w:rsid w:val="008F79F0"/>
    <w:rsid w:val="00900A0F"/>
    <w:rsid w:val="009011B9"/>
    <w:rsid w:val="009016B4"/>
    <w:rsid w:val="009017B5"/>
    <w:rsid w:val="00902C8C"/>
    <w:rsid w:val="009032FF"/>
    <w:rsid w:val="00903C1F"/>
    <w:rsid w:val="009062E4"/>
    <w:rsid w:val="009066B8"/>
    <w:rsid w:val="00907607"/>
    <w:rsid w:val="0090785A"/>
    <w:rsid w:val="0091025E"/>
    <w:rsid w:val="00910B7D"/>
    <w:rsid w:val="00910CFD"/>
    <w:rsid w:val="009111C7"/>
    <w:rsid w:val="0091302D"/>
    <w:rsid w:val="0091437F"/>
    <w:rsid w:val="00914B66"/>
    <w:rsid w:val="00915ADE"/>
    <w:rsid w:val="009165E4"/>
    <w:rsid w:val="00916AE5"/>
    <w:rsid w:val="00916FB9"/>
    <w:rsid w:val="0091739A"/>
    <w:rsid w:val="00920398"/>
    <w:rsid w:val="00920BD5"/>
    <w:rsid w:val="00921349"/>
    <w:rsid w:val="00923457"/>
    <w:rsid w:val="00923663"/>
    <w:rsid w:val="00923B55"/>
    <w:rsid w:val="00923E79"/>
    <w:rsid w:val="00924351"/>
    <w:rsid w:val="0092498A"/>
    <w:rsid w:val="00924996"/>
    <w:rsid w:val="00925DF6"/>
    <w:rsid w:val="00926406"/>
    <w:rsid w:val="00926C86"/>
    <w:rsid w:val="009270B2"/>
    <w:rsid w:val="00927D45"/>
    <w:rsid w:val="00927DB0"/>
    <w:rsid w:val="00927EBF"/>
    <w:rsid w:val="0093003A"/>
    <w:rsid w:val="00930561"/>
    <w:rsid w:val="00932D0D"/>
    <w:rsid w:val="00932FC6"/>
    <w:rsid w:val="00933182"/>
    <w:rsid w:val="009334A0"/>
    <w:rsid w:val="00933C0F"/>
    <w:rsid w:val="00934406"/>
    <w:rsid w:val="00934BDA"/>
    <w:rsid w:val="00935B88"/>
    <w:rsid w:val="00935D61"/>
    <w:rsid w:val="009378E2"/>
    <w:rsid w:val="00937B2F"/>
    <w:rsid w:val="00937C28"/>
    <w:rsid w:val="00937D7C"/>
    <w:rsid w:val="009401E3"/>
    <w:rsid w:val="009404DE"/>
    <w:rsid w:val="00940CA5"/>
    <w:rsid w:val="00940EF7"/>
    <w:rsid w:val="009413A6"/>
    <w:rsid w:val="00941C89"/>
    <w:rsid w:val="009435BE"/>
    <w:rsid w:val="00944015"/>
    <w:rsid w:val="009445E8"/>
    <w:rsid w:val="00944E62"/>
    <w:rsid w:val="00944FD2"/>
    <w:rsid w:val="00945286"/>
    <w:rsid w:val="00945C32"/>
    <w:rsid w:val="00945DB6"/>
    <w:rsid w:val="00945F9F"/>
    <w:rsid w:val="00947252"/>
    <w:rsid w:val="00950187"/>
    <w:rsid w:val="00951406"/>
    <w:rsid w:val="00951B92"/>
    <w:rsid w:val="00952304"/>
    <w:rsid w:val="00952538"/>
    <w:rsid w:val="009528E8"/>
    <w:rsid w:val="00952BAE"/>
    <w:rsid w:val="0095409D"/>
    <w:rsid w:val="009547D2"/>
    <w:rsid w:val="00955A9A"/>
    <w:rsid w:val="0095693C"/>
    <w:rsid w:val="0095725A"/>
    <w:rsid w:val="00957347"/>
    <w:rsid w:val="00957915"/>
    <w:rsid w:val="009579D2"/>
    <w:rsid w:val="00957F1A"/>
    <w:rsid w:val="0096043A"/>
    <w:rsid w:val="0096045D"/>
    <w:rsid w:val="00960580"/>
    <w:rsid w:val="00960DF1"/>
    <w:rsid w:val="0096122E"/>
    <w:rsid w:val="0096127C"/>
    <w:rsid w:val="0096149C"/>
    <w:rsid w:val="00961CD0"/>
    <w:rsid w:val="00962789"/>
    <w:rsid w:val="0096286B"/>
    <w:rsid w:val="00962A8F"/>
    <w:rsid w:val="009641EF"/>
    <w:rsid w:val="009642C5"/>
    <w:rsid w:val="00965039"/>
    <w:rsid w:val="00965084"/>
    <w:rsid w:val="00965CAC"/>
    <w:rsid w:val="00965CE2"/>
    <w:rsid w:val="009664AB"/>
    <w:rsid w:val="009667AA"/>
    <w:rsid w:val="009673A3"/>
    <w:rsid w:val="00967868"/>
    <w:rsid w:val="00970929"/>
    <w:rsid w:val="00970946"/>
    <w:rsid w:val="00970E16"/>
    <w:rsid w:val="009714F7"/>
    <w:rsid w:val="009722D6"/>
    <w:rsid w:val="00972435"/>
    <w:rsid w:val="00973EA6"/>
    <w:rsid w:val="00974673"/>
    <w:rsid w:val="00974A91"/>
    <w:rsid w:val="00975FE2"/>
    <w:rsid w:val="009761FD"/>
    <w:rsid w:val="009762AD"/>
    <w:rsid w:val="009766C6"/>
    <w:rsid w:val="00976FD1"/>
    <w:rsid w:val="0097739F"/>
    <w:rsid w:val="00977929"/>
    <w:rsid w:val="00977BA7"/>
    <w:rsid w:val="00980D17"/>
    <w:rsid w:val="0098133F"/>
    <w:rsid w:val="00981612"/>
    <w:rsid w:val="00982373"/>
    <w:rsid w:val="0098297F"/>
    <w:rsid w:val="00982A9B"/>
    <w:rsid w:val="00982CA7"/>
    <w:rsid w:val="00982CE8"/>
    <w:rsid w:val="0098310E"/>
    <w:rsid w:val="00983A2A"/>
    <w:rsid w:val="00983E5A"/>
    <w:rsid w:val="009845A5"/>
    <w:rsid w:val="00984F84"/>
    <w:rsid w:val="00985655"/>
    <w:rsid w:val="00985784"/>
    <w:rsid w:val="00985D61"/>
    <w:rsid w:val="009866D8"/>
    <w:rsid w:val="0098771F"/>
    <w:rsid w:val="00987C6C"/>
    <w:rsid w:val="00987CFC"/>
    <w:rsid w:val="00991640"/>
    <w:rsid w:val="009919DC"/>
    <w:rsid w:val="00991FED"/>
    <w:rsid w:val="00992D24"/>
    <w:rsid w:val="00993E94"/>
    <w:rsid w:val="00994AE9"/>
    <w:rsid w:val="009962A3"/>
    <w:rsid w:val="009967F2"/>
    <w:rsid w:val="0099694E"/>
    <w:rsid w:val="009974E8"/>
    <w:rsid w:val="009A0DAF"/>
    <w:rsid w:val="009A27E5"/>
    <w:rsid w:val="009A2ABE"/>
    <w:rsid w:val="009A4A11"/>
    <w:rsid w:val="009A5A21"/>
    <w:rsid w:val="009A609B"/>
    <w:rsid w:val="009A701B"/>
    <w:rsid w:val="009A72E1"/>
    <w:rsid w:val="009B057E"/>
    <w:rsid w:val="009B2E09"/>
    <w:rsid w:val="009B333D"/>
    <w:rsid w:val="009B3365"/>
    <w:rsid w:val="009B33F3"/>
    <w:rsid w:val="009B35A7"/>
    <w:rsid w:val="009B47C7"/>
    <w:rsid w:val="009B5A34"/>
    <w:rsid w:val="009B5B42"/>
    <w:rsid w:val="009B5D6C"/>
    <w:rsid w:val="009B7366"/>
    <w:rsid w:val="009B7FCF"/>
    <w:rsid w:val="009C09D7"/>
    <w:rsid w:val="009C0C44"/>
    <w:rsid w:val="009C11A1"/>
    <w:rsid w:val="009C126E"/>
    <w:rsid w:val="009C165B"/>
    <w:rsid w:val="009C16EC"/>
    <w:rsid w:val="009C1BFD"/>
    <w:rsid w:val="009C2925"/>
    <w:rsid w:val="009C2ADD"/>
    <w:rsid w:val="009C2E7A"/>
    <w:rsid w:val="009C361C"/>
    <w:rsid w:val="009C3EC8"/>
    <w:rsid w:val="009C5AEB"/>
    <w:rsid w:val="009C5C86"/>
    <w:rsid w:val="009C5FE6"/>
    <w:rsid w:val="009C6B25"/>
    <w:rsid w:val="009C77AF"/>
    <w:rsid w:val="009D1050"/>
    <w:rsid w:val="009D19D7"/>
    <w:rsid w:val="009D2248"/>
    <w:rsid w:val="009D34EF"/>
    <w:rsid w:val="009D37A1"/>
    <w:rsid w:val="009D37F0"/>
    <w:rsid w:val="009D5A77"/>
    <w:rsid w:val="009D6030"/>
    <w:rsid w:val="009D6229"/>
    <w:rsid w:val="009E0280"/>
    <w:rsid w:val="009E0460"/>
    <w:rsid w:val="009E0F54"/>
    <w:rsid w:val="009E11AB"/>
    <w:rsid w:val="009E149F"/>
    <w:rsid w:val="009E20BF"/>
    <w:rsid w:val="009E254E"/>
    <w:rsid w:val="009E2925"/>
    <w:rsid w:val="009E32A1"/>
    <w:rsid w:val="009E3BB1"/>
    <w:rsid w:val="009E4135"/>
    <w:rsid w:val="009E47C1"/>
    <w:rsid w:val="009E4917"/>
    <w:rsid w:val="009E4A6A"/>
    <w:rsid w:val="009E4C48"/>
    <w:rsid w:val="009E4E6F"/>
    <w:rsid w:val="009E551A"/>
    <w:rsid w:val="009E6690"/>
    <w:rsid w:val="009E6D60"/>
    <w:rsid w:val="009F00B7"/>
    <w:rsid w:val="009F050E"/>
    <w:rsid w:val="009F09B6"/>
    <w:rsid w:val="009F1046"/>
    <w:rsid w:val="009F10B0"/>
    <w:rsid w:val="009F12BA"/>
    <w:rsid w:val="009F1711"/>
    <w:rsid w:val="009F23AF"/>
    <w:rsid w:val="009F3F79"/>
    <w:rsid w:val="009F4662"/>
    <w:rsid w:val="009F4937"/>
    <w:rsid w:val="009F5EE0"/>
    <w:rsid w:val="009F7C7B"/>
    <w:rsid w:val="00A00BB8"/>
    <w:rsid w:val="00A00F1E"/>
    <w:rsid w:val="00A01BF1"/>
    <w:rsid w:val="00A02AC9"/>
    <w:rsid w:val="00A02B24"/>
    <w:rsid w:val="00A02F26"/>
    <w:rsid w:val="00A039EF"/>
    <w:rsid w:val="00A03F1D"/>
    <w:rsid w:val="00A04A92"/>
    <w:rsid w:val="00A0503A"/>
    <w:rsid w:val="00A05352"/>
    <w:rsid w:val="00A059E4"/>
    <w:rsid w:val="00A06E89"/>
    <w:rsid w:val="00A07B01"/>
    <w:rsid w:val="00A07B26"/>
    <w:rsid w:val="00A10674"/>
    <w:rsid w:val="00A11016"/>
    <w:rsid w:val="00A1151C"/>
    <w:rsid w:val="00A1189A"/>
    <w:rsid w:val="00A12CD3"/>
    <w:rsid w:val="00A1310D"/>
    <w:rsid w:val="00A13219"/>
    <w:rsid w:val="00A133C1"/>
    <w:rsid w:val="00A14DC4"/>
    <w:rsid w:val="00A150C4"/>
    <w:rsid w:val="00A153F5"/>
    <w:rsid w:val="00A15723"/>
    <w:rsid w:val="00A15F33"/>
    <w:rsid w:val="00A165BC"/>
    <w:rsid w:val="00A16BA6"/>
    <w:rsid w:val="00A16D90"/>
    <w:rsid w:val="00A1749A"/>
    <w:rsid w:val="00A2024C"/>
    <w:rsid w:val="00A21026"/>
    <w:rsid w:val="00A21990"/>
    <w:rsid w:val="00A221EB"/>
    <w:rsid w:val="00A22429"/>
    <w:rsid w:val="00A24018"/>
    <w:rsid w:val="00A24523"/>
    <w:rsid w:val="00A24700"/>
    <w:rsid w:val="00A25700"/>
    <w:rsid w:val="00A26324"/>
    <w:rsid w:val="00A2641A"/>
    <w:rsid w:val="00A272D8"/>
    <w:rsid w:val="00A27DC5"/>
    <w:rsid w:val="00A30066"/>
    <w:rsid w:val="00A312B3"/>
    <w:rsid w:val="00A3139B"/>
    <w:rsid w:val="00A313E5"/>
    <w:rsid w:val="00A314D2"/>
    <w:rsid w:val="00A316E7"/>
    <w:rsid w:val="00A316FC"/>
    <w:rsid w:val="00A3228E"/>
    <w:rsid w:val="00A325EC"/>
    <w:rsid w:val="00A329AB"/>
    <w:rsid w:val="00A32A84"/>
    <w:rsid w:val="00A32F7F"/>
    <w:rsid w:val="00A32FBA"/>
    <w:rsid w:val="00A33DC5"/>
    <w:rsid w:val="00A33DD2"/>
    <w:rsid w:val="00A34295"/>
    <w:rsid w:val="00A344DA"/>
    <w:rsid w:val="00A35C98"/>
    <w:rsid w:val="00A3609D"/>
    <w:rsid w:val="00A36DBF"/>
    <w:rsid w:val="00A36F3F"/>
    <w:rsid w:val="00A37AC5"/>
    <w:rsid w:val="00A37F0D"/>
    <w:rsid w:val="00A40352"/>
    <w:rsid w:val="00A403BE"/>
    <w:rsid w:val="00A40488"/>
    <w:rsid w:val="00A405D2"/>
    <w:rsid w:val="00A40B26"/>
    <w:rsid w:val="00A41751"/>
    <w:rsid w:val="00A41C22"/>
    <w:rsid w:val="00A420D6"/>
    <w:rsid w:val="00A42174"/>
    <w:rsid w:val="00A42394"/>
    <w:rsid w:val="00A42B6E"/>
    <w:rsid w:val="00A42E7F"/>
    <w:rsid w:val="00A42FDB"/>
    <w:rsid w:val="00A43635"/>
    <w:rsid w:val="00A44006"/>
    <w:rsid w:val="00A44190"/>
    <w:rsid w:val="00A447FA"/>
    <w:rsid w:val="00A4555C"/>
    <w:rsid w:val="00A456C9"/>
    <w:rsid w:val="00A47082"/>
    <w:rsid w:val="00A4754C"/>
    <w:rsid w:val="00A50064"/>
    <w:rsid w:val="00A502A1"/>
    <w:rsid w:val="00A5048F"/>
    <w:rsid w:val="00A51AC9"/>
    <w:rsid w:val="00A51D5F"/>
    <w:rsid w:val="00A53F74"/>
    <w:rsid w:val="00A5424B"/>
    <w:rsid w:val="00A544B6"/>
    <w:rsid w:val="00A54AFB"/>
    <w:rsid w:val="00A56F4D"/>
    <w:rsid w:val="00A57256"/>
    <w:rsid w:val="00A57DC2"/>
    <w:rsid w:val="00A57E1C"/>
    <w:rsid w:val="00A60162"/>
    <w:rsid w:val="00A62152"/>
    <w:rsid w:val="00A623A5"/>
    <w:rsid w:val="00A624C3"/>
    <w:rsid w:val="00A62875"/>
    <w:rsid w:val="00A62A54"/>
    <w:rsid w:val="00A6345C"/>
    <w:rsid w:val="00A63500"/>
    <w:rsid w:val="00A63849"/>
    <w:rsid w:val="00A63898"/>
    <w:rsid w:val="00A64671"/>
    <w:rsid w:val="00A64C81"/>
    <w:rsid w:val="00A659FE"/>
    <w:rsid w:val="00A65D46"/>
    <w:rsid w:val="00A66153"/>
    <w:rsid w:val="00A663BE"/>
    <w:rsid w:val="00A671A8"/>
    <w:rsid w:val="00A70277"/>
    <w:rsid w:val="00A72CCA"/>
    <w:rsid w:val="00A73331"/>
    <w:rsid w:val="00A73D5D"/>
    <w:rsid w:val="00A73FA9"/>
    <w:rsid w:val="00A7501E"/>
    <w:rsid w:val="00A768B4"/>
    <w:rsid w:val="00A76B60"/>
    <w:rsid w:val="00A77183"/>
    <w:rsid w:val="00A77FAD"/>
    <w:rsid w:val="00A80836"/>
    <w:rsid w:val="00A8162F"/>
    <w:rsid w:val="00A816EF"/>
    <w:rsid w:val="00A81F84"/>
    <w:rsid w:val="00A8235E"/>
    <w:rsid w:val="00A82EFA"/>
    <w:rsid w:val="00A8377B"/>
    <w:rsid w:val="00A83BC4"/>
    <w:rsid w:val="00A84711"/>
    <w:rsid w:val="00A8480D"/>
    <w:rsid w:val="00A84D48"/>
    <w:rsid w:val="00A855B1"/>
    <w:rsid w:val="00A85879"/>
    <w:rsid w:val="00A85B30"/>
    <w:rsid w:val="00A85E0B"/>
    <w:rsid w:val="00A863AB"/>
    <w:rsid w:val="00A864D2"/>
    <w:rsid w:val="00A87796"/>
    <w:rsid w:val="00A91183"/>
    <w:rsid w:val="00A9146F"/>
    <w:rsid w:val="00A93548"/>
    <w:rsid w:val="00A93FF1"/>
    <w:rsid w:val="00A940E8"/>
    <w:rsid w:val="00A94C28"/>
    <w:rsid w:val="00A9519A"/>
    <w:rsid w:val="00A95EF5"/>
    <w:rsid w:val="00A96A6B"/>
    <w:rsid w:val="00A977B3"/>
    <w:rsid w:val="00A97BEE"/>
    <w:rsid w:val="00AA104F"/>
    <w:rsid w:val="00AA1686"/>
    <w:rsid w:val="00AA17BB"/>
    <w:rsid w:val="00AA18E5"/>
    <w:rsid w:val="00AA21F3"/>
    <w:rsid w:val="00AA25B5"/>
    <w:rsid w:val="00AA2730"/>
    <w:rsid w:val="00AA2DB8"/>
    <w:rsid w:val="00AA387E"/>
    <w:rsid w:val="00AA3AC0"/>
    <w:rsid w:val="00AA5AD0"/>
    <w:rsid w:val="00AA5B2D"/>
    <w:rsid w:val="00AA671A"/>
    <w:rsid w:val="00AA6E75"/>
    <w:rsid w:val="00AA7327"/>
    <w:rsid w:val="00AA7BD0"/>
    <w:rsid w:val="00AB079D"/>
    <w:rsid w:val="00AB100A"/>
    <w:rsid w:val="00AB1E2C"/>
    <w:rsid w:val="00AB2D8F"/>
    <w:rsid w:val="00AB3930"/>
    <w:rsid w:val="00AB3A3D"/>
    <w:rsid w:val="00AB498C"/>
    <w:rsid w:val="00AB5943"/>
    <w:rsid w:val="00AB603D"/>
    <w:rsid w:val="00AB76CF"/>
    <w:rsid w:val="00AC0075"/>
    <w:rsid w:val="00AC01E5"/>
    <w:rsid w:val="00AC0BF0"/>
    <w:rsid w:val="00AC14FB"/>
    <w:rsid w:val="00AC28AD"/>
    <w:rsid w:val="00AC2E02"/>
    <w:rsid w:val="00AC2EE7"/>
    <w:rsid w:val="00AC38CE"/>
    <w:rsid w:val="00AC3AEF"/>
    <w:rsid w:val="00AC45A7"/>
    <w:rsid w:val="00AC4A5E"/>
    <w:rsid w:val="00AC4B1E"/>
    <w:rsid w:val="00AC57E9"/>
    <w:rsid w:val="00AC634C"/>
    <w:rsid w:val="00AC713B"/>
    <w:rsid w:val="00AC7FFA"/>
    <w:rsid w:val="00AD0310"/>
    <w:rsid w:val="00AD0627"/>
    <w:rsid w:val="00AD153E"/>
    <w:rsid w:val="00AD172F"/>
    <w:rsid w:val="00AD2895"/>
    <w:rsid w:val="00AD3767"/>
    <w:rsid w:val="00AD49CC"/>
    <w:rsid w:val="00AD5244"/>
    <w:rsid w:val="00AD52EF"/>
    <w:rsid w:val="00AD5971"/>
    <w:rsid w:val="00AD6369"/>
    <w:rsid w:val="00AD63E7"/>
    <w:rsid w:val="00AD6BD0"/>
    <w:rsid w:val="00AD7442"/>
    <w:rsid w:val="00AD767E"/>
    <w:rsid w:val="00AD7DCB"/>
    <w:rsid w:val="00AD7EE2"/>
    <w:rsid w:val="00AE034A"/>
    <w:rsid w:val="00AE171B"/>
    <w:rsid w:val="00AE1FD5"/>
    <w:rsid w:val="00AE1FD7"/>
    <w:rsid w:val="00AE2074"/>
    <w:rsid w:val="00AE24EE"/>
    <w:rsid w:val="00AE2F13"/>
    <w:rsid w:val="00AE3166"/>
    <w:rsid w:val="00AE3455"/>
    <w:rsid w:val="00AE3764"/>
    <w:rsid w:val="00AE39DD"/>
    <w:rsid w:val="00AE4716"/>
    <w:rsid w:val="00AE48BF"/>
    <w:rsid w:val="00AE532B"/>
    <w:rsid w:val="00AE5647"/>
    <w:rsid w:val="00AE6275"/>
    <w:rsid w:val="00AE6782"/>
    <w:rsid w:val="00AE6992"/>
    <w:rsid w:val="00AE6B2B"/>
    <w:rsid w:val="00AE746C"/>
    <w:rsid w:val="00AE7639"/>
    <w:rsid w:val="00AF01E1"/>
    <w:rsid w:val="00AF17AD"/>
    <w:rsid w:val="00AF1A75"/>
    <w:rsid w:val="00AF2333"/>
    <w:rsid w:val="00AF2528"/>
    <w:rsid w:val="00AF3829"/>
    <w:rsid w:val="00AF3E8F"/>
    <w:rsid w:val="00AF5352"/>
    <w:rsid w:val="00AF5C93"/>
    <w:rsid w:val="00AF65A8"/>
    <w:rsid w:val="00AF70AB"/>
    <w:rsid w:val="00AF720D"/>
    <w:rsid w:val="00AF7BC3"/>
    <w:rsid w:val="00AF7BD0"/>
    <w:rsid w:val="00B00028"/>
    <w:rsid w:val="00B0049B"/>
    <w:rsid w:val="00B00BDC"/>
    <w:rsid w:val="00B00EB8"/>
    <w:rsid w:val="00B00EDF"/>
    <w:rsid w:val="00B015FE"/>
    <w:rsid w:val="00B0169D"/>
    <w:rsid w:val="00B0181F"/>
    <w:rsid w:val="00B01C17"/>
    <w:rsid w:val="00B01CCC"/>
    <w:rsid w:val="00B01D9C"/>
    <w:rsid w:val="00B02D9C"/>
    <w:rsid w:val="00B030BC"/>
    <w:rsid w:val="00B04E9C"/>
    <w:rsid w:val="00B05634"/>
    <w:rsid w:val="00B05E08"/>
    <w:rsid w:val="00B06A52"/>
    <w:rsid w:val="00B0702A"/>
    <w:rsid w:val="00B078B7"/>
    <w:rsid w:val="00B10ED1"/>
    <w:rsid w:val="00B11028"/>
    <w:rsid w:val="00B1189D"/>
    <w:rsid w:val="00B136CA"/>
    <w:rsid w:val="00B1463A"/>
    <w:rsid w:val="00B15004"/>
    <w:rsid w:val="00B15C52"/>
    <w:rsid w:val="00B1663F"/>
    <w:rsid w:val="00B170E0"/>
    <w:rsid w:val="00B205F8"/>
    <w:rsid w:val="00B20AF3"/>
    <w:rsid w:val="00B217A0"/>
    <w:rsid w:val="00B2281A"/>
    <w:rsid w:val="00B23EFB"/>
    <w:rsid w:val="00B24184"/>
    <w:rsid w:val="00B2474E"/>
    <w:rsid w:val="00B2481E"/>
    <w:rsid w:val="00B24B01"/>
    <w:rsid w:val="00B250F9"/>
    <w:rsid w:val="00B256E0"/>
    <w:rsid w:val="00B2611D"/>
    <w:rsid w:val="00B26BEE"/>
    <w:rsid w:val="00B2724C"/>
    <w:rsid w:val="00B272D7"/>
    <w:rsid w:val="00B27E94"/>
    <w:rsid w:val="00B319DF"/>
    <w:rsid w:val="00B327EE"/>
    <w:rsid w:val="00B32824"/>
    <w:rsid w:val="00B356C1"/>
    <w:rsid w:val="00B35D4A"/>
    <w:rsid w:val="00B36027"/>
    <w:rsid w:val="00B36385"/>
    <w:rsid w:val="00B36DCE"/>
    <w:rsid w:val="00B36E04"/>
    <w:rsid w:val="00B402AC"/>
    <w:rsid w:val="00B42538"/>
    <w:rsid w:val="00B42B23"/>
    <w:rsid w:val="00B4317A"/>
    <w:rsid w:val="00B44111"/>
    <w:rsid w:val="00B4416E"/>
    <w:rsid w:val="00B44A4C"/>
    <w:rsid w:val="00B4507B"/>
    <w:rsid w:val="00B45288"/>
    <w:rsid w:val="00B4616A"/>
    <w:rsid w:val="00B4709B"/>
    <w:rsid w:val="00B472B5"/>
    <w:rsid w:val="00B502B0"/>
    <w:rsid w:val="00B503C0"/>
    <w:rsid w:val="00B50B07"/>
    <w:rsid w:val="00B51AA2"/>
    <w:rsid w:val="00B535F4"/>
    <w:rsid w:val="00B53A4C"/>
    <w:rsid w:val="00B5409D"/>
    <w:rsid w:val="00B54B18"/>
    <w:rsid w:val="00B54B7F"/>
    <w:rsid w:val="00B55FB1"/>
    <w:rsid w:val="00B55FF7"/>
    <w:rsid w:val="00B5657B"/>
    <w:rsid w:val="00B5659D"/>
    <w:rsid w:val="00B56E3E"/>
    <w:rsid w:val="00B6037E"/>
    <w:rsid w:val="00B611AC"/>
    <w:rsid w:val="00B61DF9"/>
    <w:rsid w:val="00B61FF3"/>
    <w:rsid w:val="00B62098"/>
    <w:rsid w:val="00B621C2"/>
    <w:rsid w:val="00B6357F"/>
    <w:rsid w:val="00B64D98"/>
    <w:rsid w:val="00B64FA0"/>
    <w:rsid w:val="00B6687B"/>
    <w:rsid w:val="00B669AB"/>
    <w:rsid w:val="00B67592"/>
    <w:rsid w:val="00B67927"/>
    <w:rsid w:val="00B67AA0"/>
    <w:rsid w:val="00B67BD3"/>
    <w:rsid w:val="00B70B1B"/>
    <w:rsid w:val="00B71709"/>
    <w:rsid w:val="00B7264C"/>
    <w:rsid w:val="00B72CEB"/>
    <w:rsid w:val="00B72CF5"/>
    <w:rsid w:val="00B72FC7"/>
    <w:rsid w:val="00B73065"/>
    <w:rsid w:val="00B73185"/>
    <w:rsid w:val="00B73481"/>
    <w:rsid w:val="00B73584"/>
    <w:rsid w:val="00B73942"/>
    <w:rsid w:val="00B739D5"/>
    <w:rsid w:val="00B73D43"/>
    <w:rsid w:val="00B73E8D"/>
    <w:rsid w:val="00B74546"/>
    <w:rsid w:val="00B74CEE"/>
    <w:rsid w:val="00B76268"/>
    <w:rsid w:val="00B769DB"/>
    <w:rsid w:val="00B77353"/>
    <w:rsid w:val="00B7775B"/>
    <w:rsid w:val="00B77BEC"/>
    <w:rsid w:val="00B77D8E"/>
    <w:rsid w:val="00B77EA5"/>
    <w:rsid w:val="00B800E9"/>
    <w:rsid w:val="00B805E9"/>
    <w:rsid w:val="00B807F1"/>
    <w:rsid w:val="00B80C15"/>
    <w:rsid w:val="00B818F9"/>
    <w:rsid w:val="00B8398A"/>
    <w:rsid w:val="00B83AE6"/>
    <w:rsid w:val="00B84552"/>
    <w:rsid w:val="00B84629"/>
    <w:rsid w:val="00B84A30"/>
    <w:rsid w:val="00B84FF2"/>
    <w:rsid w:val="00B85D3E"/>
    <w:rsid w:val="00B86BEA"/>
    <w:rsid w:val="00B87CB3"/>
    <w:rsid w:val="00B90728"/>
    <w:rsid w:val="00B90C1B"/>
    <w:rsid w:val="00B90E7E"/>
    <w:rsid w:val="00B916A6"/>
    <w:rsid w:val="00B919AF"/>
    <w:rsid w:val="00B91B1E"/>
    <w:rsid w:val="00B91BCE"/>
    <w:rsid w:val="00B91DD3"/>
    <w:rsid w:val="00B91EFB"/>
    <w:rsid w:val="00B92130"/>
    <w:rsid w:val="00B92CA6"/>
    <w:rsid w:val="00B93A80"/>
    <w:rsid w:val="00B93E8E"/>
    <w:rsid w:val="00B94C3C"/>
    <w:rsid w:val="00B953D9"/>
    <w:rsid w:val="00B95AE7"/>
    <w:rsid w:val="00B95B2C"/>
    <w:rsid w:val="00B95CF8"/>
    <w:rsid w:val="00B96DFD"/>
    <w:rsid w:val="00B973BB"/>
    <w:rsid w:val="00B976B1"/>
    <w:rsid w:val="00B97A6F"/>
    <w:rsid w:val="00BA0712"/>
    <w:rsid w:val="00BA1E4D"/>
    <w:rsid w:val="00BA2F7C"/>
    <w:rsid w:val="00BA482E"/>
    <w:rsid w:val="00BA4BD4"/>
    <w:rsid w:val="00BA54CB"/>
    <w:rsid w:val="00BA561F"/>
    <w:rsid w:val="00BA68B8"/>
    <w:rsid w:val="00BA6D1B"/>
    <w:rsid w:val="00BA7539"/>
    <w:rsid w:val="00BA79C4"/>
    <w:rsid w:val="00BA7D68"/>
    <w:rsid w:val="00BB0FCE"/>
    <w:rsid w:val="00BB1924"/>
    <w:rsid w:val="00BB1B6C"/>
    <w:rsid w:val="00BB205F"/>
    <w:rsid w:val="00BB21C2"/>
    <w:rsid w:val="00BB21DA"/>
    <w:rsid w:val="00BB2ACF"/>
    <w:rsid w:val="00BB3672"/>
    <w:rsid w:val="00BB382D"/>
    <w:rsid w:val="00BB421B"/>
    <w:rsid w:val="00BB4604"/>
    <w:rsid w:val="00BB4AD6"/>
    <w:rsid w:val="00BB5AC3"/>
    <w:rsid w:val="00BB5D4C"/>
    <w:rsid w:val="00BB69D2"/>
    <w:rsid w:val="00BB6AB1"/>
    <w:rsid w:val="00BB7905"/>
    <w:rsid w:val="00BB7C96"/>
    <w:rsid w:val="00BC1753"/>
    <w:rsid w:val="00BC1FFB"/>
    <w:rsid w:val="00BC211D"/>
    <w:rsid w:val="00BC2EBE"/>
    <w:rsid w:val="00BC2FEC"/>
    <w:rsid w:val="00BC3028"/>
    <w:rsid w:val="00BC37DC"/>
    <w:rsid w:val="00BC485D"/>
    <w:rsid w:val="00BC4A94"/>
    <w:rsid w:val="00BC4DFF"/>
    <w:rsid w:val="00BC4E5B"/>
    <w:rsid w:val="00BC6242"/>
    <w:rsid w:val="00BC6C41"/>
    <w:rsid w:val="00BC6F0A"/>
    <w:rsid w:val="00BC7147"/>
    <w:rsid w:val="00BC71EC"/>
    <w:rsid w:val="00BC760F"/>
    <w:rsid w:val="00BC7E14"/>
    <w:rsid w:val="00BC7E5B"/>
    <w:rsid w:val="00BD01F7"/>
    <w:rsid w:val="00BD08C8"/>
    <w:rsid w:val="00BD0ACC"/>
    <w:rsid w:val="00BD0B40"/>
    <w:rsid w:val="00BD19F5"/>
    <w:rsid w:val="00BD1AC6"/>
    <w:rsid w:val="00BD1B0F"/>
    <w:rsid w:val="00BD1B2B"/>
    <w:rsid w:val="00BD1E91"/>
    <w:rsid w:val="00BD2319"/>
    <w:rsid w:val="00BD245C"/>
    <w:rsid w:val="00BD26D9"/>
    <w:rsid w:val="00BD3577"/>
    <w:rsid w:val="00BD5474"/>
    <w:rsid w:val="00BD5945"/>
    <w:rsid w:val="00BD5AF4"/>
    <w:rsid w:val="00BD67CE"/>
    <w:rsid w:val="00BD69AC"/>
    <w:rsid w:val="00BD6C90"/>
    <w:rsid w:val="00BD789B"/>
    <w:rsid w:val="00BE0117"/>
    <w:rsid w:val="00BE058F"/>
    <w:rsid w:val="00BE0E73"/>
    <w:rsid w:val="00BE1AC3"/>
    <w:rsid w:val="00BE1C21"/>
    <w:rsid w:val="00BE20D0"/>
    <w:rsid w:val="00BE488D"/>
    <w:rsid w:val="00BE4A49"/>
    <w:rsid w:val="00BE4BAA"/>
    <w:rsid w:val="00BE4E33"/>
    <w:rsid w:val="00BE5DB7"/>
    <w:rsid w:val="00BE6A13"/>
    <w:rsid w:val="00BE7112"/>
    <w:rsid w:val="00BE75E5"/>
    <w:rsid w:val="00BF0F2A"/>
    <w:rsid w:val="00BF2631"/>
    <w:rsid w:val="00BF3EBE"/>
    <w:rsid w:val="00BF400E"/>
    <w:rsid w:val="00BF527A"/>
    <w:rsid w:val="00BF61B5"/>
    <w:rsid w:val="00BF6534"/>
    <w:rsid w:val="00BF6CAB"/>
    <w:rsid w:val="00BF7008"/>
    <w:rsid w:val="00BF748C"/>
    <w:rsid w:val="00BF7E0B"/>
    <w:rsid w:val="00C008E6"/>
    <w:rsid w:val="00C011D9"/>
    <w:rsid w:val="00C02D51"/>
    <w:rsid w:val="00C02ECC"/>
    <w:rsid w:val="00C03A58"/>
    <w:rsid w:val="00C03E45"/>
    <w:rsid w:val="00C04044"/>
    <w:rsid w:val="00C04413"/>
    <w:rsid w:val="00C049E7"/>
    <w:rsid w:val="00C062B3"/>
    <w:rsid w:val="00C0683C"/>
    <w:rsid w:val="00C06FA3"/>
    <w:rsid w:val="00C07E2E"/>
    <w:rsid w:val="00C105CE"/>
    <w:rsid w:val="00C10879"/>
    <w:rsid w:val="00C10AD7"/>
    <w:rsid w:val="00C126B2"/>
    <w:rsid w:val="00C12E4C"/>
    <w:rsid w:val="00C1371C"/>
    <w:rsid w:val="00C137AE"/>
    <w:rsid w:val="00C138CC"/>
    <w:rsid w:val="00C13A54"/>
    <w:rsid w:val="00C15995"/>
    <w:rsid w:val="00C15EC8"/>
    <w:rsid w:val="00C165C3"/>
    <w:rsid w:val="00C1777D"/>
    <w:rsid w:val="00C17819"/>
    <w:rsid w:val="00C20347"/>
    <w:rsid w:val="00C216CC"/>
    <w:rsid w:val="00C218F0"/>
    <w:rsid w:val="00C21B3A"/>
    <w:rsid w:val="00C222A2"/>
    <w:rsid w:val="00C22461"/>
    <w:rsid w:val="00C22D53"/>
    <w:rsid w:val="00C23995"/>
    <w:rsid w:val="00C23C4A"/>
    <w:rsid w:val="00C24BCC"/>
    <w:rsid w:val="00C25EC0"/>
    <w:rsid w:val="00C26495"/>
    <w:rsid w:val="00C2671F"/>
    <w:rsid w:val="00C26EBF"/>
    <w:rsid w:val="00C27B01"/>
    <w:rsid w:val="00C27C31"/>
    <w:rsid w:val="00C27E35"/>
    <w:rsid w:val="00C3048D"/>
    <w:rsid w:val="00C3061A"/>
    <w:rsid w:val="00C31A6A"/>
    <w:rsid w:val="00C32473"/>
    <w:rsid w:val="00C34277"/>
    <w:rsid w:val="00C34B16"/>
    <w:rsid w:val="00C35306"/>
    <w:rsid w:val="00C3576E"/>
    <w:rsid w:val="00C35C68"/>
    <w:rsid w:val="00C36074"/>
    <w:rsid w:val="00C3666E"/>
    <w:rsid w:val="00C368FD"/>
    <w:rsid w:val="00C36920"/>
    <w:rsid w:val="00C36C83"/>
    <w:rsid w:val="00C4110E"/>
    <w:rsid w:val="00C420E7"/>
    <w:rsid w:val="00C4278C"/>
    <w:rsid w:val="00C428C9"/>
    <w:rsid w:val="00C42A23"/>
    <w:rsid w:val="00C44135"/>
    <w:rsid w:val="00C443AC"/>
    <w:rsid w:val="00C45BB4"/>
    <w:rsid w:val="00C45F50"/>
    <w:rsid w:val="00C46554"/>
    <w:rsid w:val="00C46659"/>
    <w:rsid w:val="00C46745"/>
    <w:rsid w:val="00C46838"/>
    <w:rsid w:val="00C46A51"/>
    <w:rsid w:val="00C4740F"/>
    <w:rsid w:val="00C5015E"/>
    <w:rsid w:val="00C50AD5"/>
    <w:rsid w:val="00C51738"/>
    <w:rsid w:val="00C51BE0"/>
    <w:rsid w:val="00C52CAF"/>
    <w:rsid w:val="00C52F59"/>
    <w:rsid w:val="00C54203"/>
    <w:rsid w:val="00C543AA"/>
    <w:rsid w:val="00C543F7"/>
    <w:rsid w:val="00C5506A"/>
    <w:rsid w:val="00C56FEA"/>
    <w:rsid w:val="00C5749A"/>
    <w:rsid w:val="00C57B1F"/>
    <w:rsid w:val="00C57B90"/>
    <w:rsid w:val="00C60F33"/>
    <w:rsid w:val="00C61679"/>
    <w:rsid w:val="00C61966"/>
    <w:rsid w:val="00C61D9A"/>
    <w:rsid w:val="00C622B8"/>
    <w:rsid w:val="00C6384B"/>
    <w:rsid w:val="00C63991"/>
    <w:rsid w:val="00C644D3"/>
    <w:rsid w:val="00C64551"/>
    <w:rsid w:val="00C646BD"/>
    <w:rsid w:val="00C649CC"/>
    <w:rsid w:val="00C64C1B"/>
    <w:rsid w:val="00C64C90"/>
    <w:rsid w:val="00C6548A"/>
    <w:rsid w:val="00C6610C"/>
    <w:rsid w:val="00C6611A"/>
    <w:rsid w:val="00C66C49"/>
    <w:rsid w:val="00C67C4B"/>
    <w:rsid w:val="00C67DD9"/>
    <w:rsid w:val="00C70F5F"/>
    <w:rsid w:val="00C71F08"/>
    <w:rsid w:val="00C7201A"/>
    <w:rsid w:val="00C721A2"/>
    <w:rsid w:val="00C72B78"/>
    <w:rsid w:val="00C72BBE"/>
    <w:rsid w:val="00C730E4"/>
    <w:rsid w:val="00C734B9"/>
    <w:rsid w:val="00C73AE5"/>
    <w:rsid w:val="00C74CFE"/>
    <w:rsid w:val="00C7632B"/>
    <w:rsid w:val="00C76D92"/>
    <w:rsid w:val="00C77595"/>
    <w:rsid w:val="00C80009"/>
    <w:rsid w:val="00C80A7D"/>
    <w:rsid w:val="00C80D07"/>
    <w:rsid w:val="00C8266C"/>
    <w:rsid w:val="00C83084"/>
    <w:rsid w:val="00C83786"/>
    <w:rsid w:val="00C84A48"/>
    <w:rsid w:val="00C860FD"/>
    <w:rsid w:val="00C866C4"/>
    <w:rsid w:val="00C86F8A"/>
    <w:rsid w:val="00C900FA"/>
    <w:rsid w:val="00C9066E"/>
    <w:rsid w:val="00C90D4E"/>
    <w:rsid w:val="00C9165F"/>
    <w:rsid w:val="00C92D83"/>
    <w:rsid w:val="00C93D87"/>
    <w:rsid w:val="00C93EB4"/>
    <w:rsid w:val="00C94153"/>
    <w:rsid w:val="00C949AE"/>
    <w:rsid w:val="00C96A38"/>
    <w:rsid w:val="00C96D63"/>
    <w:rsid w:val="00C97215"/>
    <w:rsid w:val="00C97475"/>
    <w:rsid w:val="00CA0146"/>
    <w:rsid w:val="00CA056C"/>
    <w:rsid w:val="00CA06E9"/>
    <w:rsid w:val="00CA0E6A"/>
    <w:rsid w:val="00CA10B7"/>
    <w:rsid w:val="00CA1457"/>
    <w:rsid w:val="00CA1C6C"/>
    <w:rsid w:val="00CA27FC"/>
    <w:rsid w:val="00CA3E6C"/>
    <w:rsid w:val="00CA3EAD"/>
    <w:rsid w:val="00CA4996"/>
    <w:rsid w:val="00CA5299"/>
    <w:rsid w:val="00CA5B09"/>
    <w:rsid w:val="00CA5D61"/>
    <w:rsid w:val="00CA613D"/>
    <w:rsid w:val="00CA6C40"/>
    <w:rsid w:val="00CA6D2A"/>
    <w:rsid w:val="00CA7744"/>
    <w:rsid w:val="00CA7C6F"/>
    <w:rsid w:val="00CA7FF2"/>
    <w:rsid w:val="00CB06C0"/>
    <w:rsid w:val="00CB073F"/>
    <w:rsid w:val="00CB0780"/>
    <w:rsid w:val="00CB1717"/>
    <w:rsid w:val="00CB1D60"/>
    <w:rsid w:val="00CB27C1"/>
    <w:rsid w:val="00CB361C"/>
    <w:rsid w:val="00CB38FD"/>
    <w:rsid w:val="00CB457A"/>
    <w:rsid w:val="00CB470D"/>
    <w:rsid w:val="00CB52F6"/>
    <w:rsid w:val="00CB584B"/>
    <w:rsid w:val="00CB631E"/>
    <w:rsid w:val="00CB7080"/>
    <w:rsid w:val="00CB7B77"/>
    <w:rsid w:val="00CB7C0D"/>
    <w:rsid w:val="00CB7FB1"/>
    <w:rsid w:val="00CC1D10"/>
    <w:rsid w:val="00CC2D79"/>
    <w:rsid w:val="00CC2DA2"/>
    <w:rsid w:val="00CC2FAD"/>
    <w:rsid w:val="00CC3393"/>
    <w:rsid w:val="00CC3EE4"/>
    <w:rsid w:val="00CC4000"/>
    <w:rsid w:val="00CC40D1"/>
    <w:rsid w:val="00CC4257"/>
    <w:rsid w:val="00CC42A0"/>
    <w:rsid w:val="00CC47B9"/>
    <w:rsid w:val="00CC5615"/>
    <w:rsid w:val="00CC5CDF"/>
    <w:rsid w:val="00CC5DEA"/>
    <w:rsid w:val="00CC7661"/>
    <w:rsid w:val="00CD1261"/>
    <w:rsid w:val="00CD1724"/>
    <w:rsid w:val="00CD1E74"/>
    <w:rsid w:val="00CD21FD"/>
    <w:rsid w:val="00CD23DA"/>
    <w:rsid w:val="00CD38F0"/>
    <w:rsid w:val="00CD528B"/>
    <w:rsid w:val="00CD5BE7"/>
    <w:rsid w:val="00CD5D76"/>
    <w:rsid w:val="00CD634B"/>
    <w:rsid w:val="00CD759A"/>
    <w:rsid w:val="00CD7738"/>
    <w:rsid w:val="00CE0085"/>
    <w:rsid w:val="00CE04B8"/>
    <w:rsid w:val="00CE0544"/>
    <w:rsid w:val="00CE1329"/>
    <w:rsid w:val="00CE13CA"/>
    <w:rsid w:val="00CE19DD"/>
    <w:rsid w:val="00CE1BED"/>
    <w:rsid w:val="00CE1ECF"/>
    <w:rsid w:val="00CE2413"/>
    <w:rsid w:val="00CE2B69"/>
    <w:rsid w:val="00CE3199"/>
    <w:rsid w:val="00CE3A3F"/>
    <w:rsid w:val="00CE47F6"/>
    <w:rsid w:val="00CE49A2"/>
    <w:rsid w:val="00CE58D3"/>
    <w:rsid w:val="00CE5BB7"/>
    <w:rsid w:val="00CE5EB3"/>
    <w:rsid w:val="00CF0509"/>
    <w:rsid w:val="00CF0A4B"/>
    <w:rsid w:val="00CF1692"/>
    <w:rsid w:val="00CF1909"/>
    <w:rsid w:val="00CF1B69"/>
    <w:rsid w:val="00CF28F0"/>
    <w:rsid w:val="00CF29EA"/>
    <w:rsid w:val="00CF2FC9"/>
    <w:rsid w:val="00CF3755"/>
    <w:rsid w:val="00CF4C79"/>
    <w:rsid w:val="00CF5A93"/>
    <w:rsid w:val="00CF6459"/>
    <w:rsid w:val="00CF67B7"/>
    <w:rsid w:val="00CF6B95"/>
    <w:rsid w:val="00CF6F9F"/>
    <w:rsid w:val="00CF751A"/>
    <w:rsid w:val="00D007E5"/>
    <w:rsid w:val="00D010B7"/>
    <w:rsid w:val="00D0173F"/>
    <w:rsid w:val="00D0265C"/>
    <w:rsid w:val="00D02F8B"/>
    <w:rsid w:val="00D03B41"/>
    <w:rsid w:val="00D03C4A"/>
    <w:rsid w:val="00D03DA0"/>
    <w:rsid w:val="00D043E4"/>
    <w:rsid w:val="00D04EB7"/>
    <w:rsid w:val="00D053B8"/>
    <w:rsid w:val="00D055E7"/>
    <w:rsid w:val="00D05DE4"/>
    <w:rsid w:val="00D063DB"/>
    <w:rsid w:val="00D06733"/>
    <w:rsid w:val="00D072F2"/>
    <w:rsid w:val="00D076A0"/>
    <w:rsid w:val="00D07F12"/>
    <w:rsid w:val="00D10206"/>
    <w:rsid w:val="00D10B16"/>
    <w:rsid w:val="00D10E60"/>
    <w:rsid w:val="00D11011"/>
    <w:rsid w:val="00D11910"/>
    <w:rsid w:val="00D11B9F"/>
    <w:rsid w:val="00D11E55"/>
    <w:rsid w:val="00D12070"/>
    <w:rsid w:val="00D12179"/>
    <w:rsid w:val="00D126EE"/>
    <w:rsid w:val="00D13DB0"/>
    <w:rsid w:val="00D13F62"/>
    <w:rsid w:val="00D14A49"/>
    <w:rsid w:val="00D14B4F"/>
    <w:rsid w:val="00D16295"/>
    <w:rsid w:val="00D1745B"/>
    <w:rsid w:val="00D17F07"/>
    <w:rsid w:val="00D21650"/>
    <w:rsid w:val="00D223DA"/>
    <w:rsid w:val="00D236F6"/>
    <w:rsid w:val="00D237C2"/>
    <w:rsid w:val="00D24BAA"/>
    <w:rsid w:val="00D24C18"/>
    <w:rsid w:val="00D24CEF"/>
    <w:rsid w:val="00D24FBA"/>
    <w:rsid w:val="00D25CB9"/>
    <w:rsid w:val="00D262A3"/>
    <w:rsid w:val="00D26729"/>
    <w:rsid w:val="00D27C43"/>
    <w:rsid w:val="00D27CC9"/>
    <w:rsid w:val="00D30497"/>
    <w:rsid w:val="00D318BE"/>
    <w:rsid w:val="00D31E89"/>
    <w:rsid w:val="00D327D0"/>
    <w:rsid w:val="00D32878"/>
    <w:rsid w:val="00D32910"/>
    <w:rsid w:val="00D329F2"/>
    <w:rsid w:val="00D32E31"/>
    <w:rsid w:val="00D3305A"/>
    <w:rsid w:val="00D33254"/>
    <w:rsid w:val="00D3356F"/>
    <w:rsid w:val="00D346DF"/>
    <w:rsid w:val="00D34712"/>
    <w:rsid w:val="00D354AD"/>
    <w:rsid w:val="00D35BB6"/>
    <w:rsid w:val="00D36BA5"/>
    <w:rsid w:val="00D408EA"/>
    <w:rsid w:val="00D41668"/>
    <w:rsid w:val="00D418DD"/>
    <w:rsid w:val="00D41AA9"/>
    <w:rsid w:val="00D41BDB"/>
    <w:rsid w:val="00D41D7A"/>
    <w:rsid w:val="00D4210C"/>
    <w:rsid w:val="00D43771"/>
    <w:rsid w:val="00D43F0B"/>
    <w:rsid w:val="00D4493F"/>
    <w:rsid w:val="00D44B3A"/>
    <w:rsid w:val="00D453DF"/>
    <w:rsid w:val="00D4557C"/>
    <w:rsid w:val="00D45829"/>
    <w:rsid w:val="00D45DFF"/>
    <w:rsid w:val="00D4647C"/>
    <w:rsid w:val="00D473C1"/>
    <w:rsid w:val="00D47985"/>
    <w:rsid w:val="00D50315"/>
    <w:rsid w:val="00D5257F"/>
    <w:rsid w:val="00D5364E"/>
    <w:rsid w:val="00D538FE"/>
    <w:rsid w:val="00D545FD"/>
    <w:rsid w:val="00D554E4"/>
    <w:rsid w:val="00D56391"/>
    <w:rsid w:val="00D56850"/>
    <w:rsid w:val="00D56965"/>
    <w:rsid w:val="00D56F5E"/>
    <w:rsid w:val="00D56FC4"/>
    <w:rsid w:val="00D57A86"/>
    <w:rsid w:val="00D60ACB"/>
    <w:rsid w:val="00D60D8A"/>
    <w:rsid w:val="00D62516"/>
    <w:rsid w:val="00D6300C"/>
    <w:rsid w:val="00D63E13"/>
    <w:rsid w:val="00D6401A"/>
    <w:rsid w:val="00D640D2"/>
    <w:rsid w:val="00D64CA7"/>
    <w:rsid w:val="00D64FF7"/>
    <w:rsid w:val="00D654F6"/>
    <w:rsid w:val="00D658CF"/>
    <w:rsid w:val="00D663B6"/>
    <w:rsid w:val="00D66CEC"/>
    <w:rsid w:val="00D66F94"/>
    <w:rsid w:val="00D66FE1"/>
    <w:rsid w:val="00D670E7"/>
    <w:rsid w:val="00D6754B"/>
    <w:rsid w:val="00D67F03"/>
    <w:rsid w:val="00D701D0"/>
    <w:rsid w:val="00D701D4"/>
    <w:rsid w:val="00D706B1"/>
    <w:rsid w:val="00D70CBE"/>
    <w:rsid w:val="00D70E01"/>
    <w:rsid w:val="00D70E33"/>
    <w:rsid w:val="00D717C2"/>
    <w:rsid w:val="00D71B6F"/>
    <w:rsid w:val="00D71DFD"/>
    <w:rsid w:val="00D724BC"/>
    <w:rsid w:val="00D728AB"/>
    <w:rsid w:val="00D72DC1"/>
    <w:rsid w:val="00D73841"/>
    <w:rsid w:val="00D73A74"/>
    <w:rsid w:val="00D73AC8"/>
    <w:rsid w:val="00D75C0B"/>
    <w:rsid w:val="00D76FC1"/>
    <w:rsid w:val="00D800A5"/>
    <w:rsid w:val="00D803C3"/>
    <w:rsid w:val="00D8066B"/>
    <w:rsid w:val="00D8078F"/>
    <w:rsid w:val="00D810C4"/>
    <w:rsid w:val="00D811C8"/>
    <w:rsid w:val="00D81B65"/>
    <w:rsid w:val="00D81D9B"/>
    <w:rsid w:val="00D8204F"/>
    <w:rsid w:val="00D826EE"/>
    <w:rsid w:val="00D82B21"/>
    <w:rsid w:val="00D82DB2"/>
    <w:rsid w:val="00D8333C"/>
    <w:rsid w:val="00D83898"/>
    <w:rsid w:val="00D846DE"/>
    <w:rsid w:val="00D8532A"/>
    <w:rsid w:val="00D85FB6"/>
    <w:rsid w:val="00D87025"/>
    <w:rsid w:val="00D87A73"/>
    <w:rsid w:val="00D87BF9"/>
    <w:rsid w:val="00D91484"/>
    <w:rsid w:val="00D9190E"/>
    <w:rsid w:val="00D92D96"/>
    <w:rsid w:val="00D92DF0"/>
    <w:rsid w:val="00D930D1"/>
    <w:rsid w:val="00D9435B"/>
    <w:rsid w:val="00D94E96"/>
    <w:rsid w:val="00D95004"/>
    <w:rsid w:val="00D973F9"/>
    <w:rsid w:val="00D9779B"/>
    <w:rsid w:val="00D97B2D"/>
    <w:rsid w:val="00DA018E"/>
    <w:rsid w:val="00DA0453"/>
    <w:rsid w:val="00DA0852"/>
    <w:rsid w:val="00DA0976"/>
    <w:rsid w:val="00DA0E42"/>
    <w:rsid w:val="00DA113D"/>
    <w:rsid w:val="00DA126F"/>
    <w:rsid w:val="00DA1798"/>
    <w:rsid w:val="00DA1D1C"/>
    <w:rsid w:val="00DA2DA3"/>
    <w:rsid w:val="00DA3045"/>
    <w:rsid w:val="00DA3A97"/>
    <w:rsid w:val="00DA43A8"/>
    <w:rsid w:val="00DA4495"/>
    <w:rsid w:val="00DA458E"/>
    <w:rsid w:val="00DA49F4"/>
    <w:rsid w:val="00DA501E"/>
    <w:rsid w:val="00DA60B5"/>
    <w:rsid w:val="00DA6C46"/>
    <w:rsid w:val="00DB015D"/>
    <w:rsid w:val="00DB0324"/>
    <w:rsid w:val="00DB0CF3"/>
    <w:rsid w:val="00DB1272"/>
    <w:rsid w:val="00DB127A"/>
    <w:rsid w:val="00DB153C"/>
    <w:rsid w:val="00DB1631"/>
    <w:rsid w:val="00DB1FE9"/>
    <w:rsid w:val="00DB216A"/>
    <w:rsid w:val="00DB23EB"/>
    <w:rsid w:val="00DB2E46"/>
    <w:rsid w:val="00DB303E"/>
    <w:rsid w:val="00DB365E"/>
    <w:rsid w:val="00DB3859"/>
    <w:rsid w:val="00DB3C90"/>
    <w:rsid w:val="00DB3D93"/>
    <w:rsid w:val="00DB4B79"/>
    <w:rsid w:val="00DB6DF8"/>
    <w:rsid w:val="00DB6F6C"/>
    <w:rsid w:val="00DB79AF"/>
    <w:rsid w:val="00DC0268"/>
    <w:rsid w:val="00DC02E1"/>
    <w:rsid w:val="00DC0705"/>
    <w:rsid w:val="00DC12B9"/>
    <w:rsid w:val="00DC13D4"/>
    <w:rsid w:val="00DC162B"/>
    <w:rsid w:val="00DC1E10"/>
    <w:rsid w:val="00DC2C5F"/>
    <w:rsid w:val="00DC2DC7"/>
    <w:rsid w:val="00DC2E4D"/>
    <w:rsid w:val="00DC2F3D"/>
    <w:rsid w:val="00DC3C4D"/>
    <w:rsid w:val="00DC4387"/>
    <w:rsid w:val="00DC43ED"/>
    <w:rsid w:val="00DC4C25"/>
    <w:rsid w:val="00DC4D51"/>
    <w:rsid w:val="00DC7236"/>
    <w:rsid w:val="00DD06B3"/>
    <w:rsid w:val="00DD09C6"/>
    <w:rsid w:val="00DD1068"/>
    <w:rsid w:val="00DD2767"/>
    <w:rsid w:val="00DD2B6E"/>
    <w:rsid w:val="00DD3001"/>
    <w:rsid w:val="00DD3FC2"/>
    <w:rsid w:val="00DD4E90"/>
    <w:rsid w:val="00DD5A90"/>
    <w:rsid w:val="00DD5F51"/>
    <w:rsid w:val="00DD5F78"/>
    <w:rsid w:val="00DD6E64"/>
    <w:rsid w:val="00DD7226"/>
    <w:rsid w:val="00DD7588"/>
    <w:rsid w:val="00DE1518"/>
    <w:rsid w:val="00DE252B"/>
    <w:rsid w:val="00DE2536"/>
    <w:rsid w:val="00DE319C"/>
    <w:rsid w:val="00DE3699"/>
    <w:rsid w:val="00DE3B91"/>
    <w:rsid w:val="00DE44C6"/>
    <w:rsid w:val="00DE54CF"/>
    <w:rsid w:val="00DE60BE"/>
    <w:rsid w:val="00DE6338"/>
    <w:rsid w:val="00DE74D6"/>
    <w:rsid w:val="00DF1FEC"/>
    <w:rsid w:val="00DF32CA"/>
    <w:rsid w:val="00DF4680"/>
    <w:rsid w:val="00DF51E4"/>
    <w:rsid w:val="00DF56C1"/>
    <w:rsid w:val="00DF5E77"/>
    <w:rsid w:val="00DF5F40"/>
    <w:rsid w:val="00DF6066"/>
    <w:rsid w:val="00DF7B5E"/>
    <w:rsid w:val="00E004B5"/>
    <w:rsid w:val="00E00AF6"/>
    <w:rsid w:val="00E00CCC"/>
    <w:rsid w:val="00E01518"/>
    <w:rsid w:val="00E01948"/>
    <w:rsid w:val="00E01DDA"/>
    <w:rsid w:val="00E02555"/>
    <w:rsid w:val="00E03371"/>
    <w:rsid w:val="00E03B64"/>
    <w:rsid w:val="00E04966"/>
    <w:rsid w:val="00E05FFF"/>
    <w:rsid w:val="00E0629C"/>
    <w:rsid w:val="00E06A87"/>
    <w:rsid w:val="00E10AD0"/>
    <w:rsid w:val="00E10D63"/>
    <w:rsid w:val="00E10E17"/>
    <w:rsid w:val="00E10F09"/>
    <w:rsid w:val="00E12491"/>
    <w:rsid w:val="00E13255"/>
    <w:rsid w:val="00E13BD0"/>
    <w:rsid w:val="00E14461"/>
    <w:rsid w:val="00E147D0"/>
    <w:rsid w:val="00E14C44"/>
    <w:rsid w:val="00E1530A"/>
    <w:rsid w:val="00E16F72"/>
    <w:rsid w:val="00E16FCF"/>
    <w:rsid w:val="00E17903"/>
    <w:rsid w:val="00E21241"/>
    <w:rsid w:val="00E21402"/>
    <w:rsid w:val="00E22065"/>
    <w:rsid w:val="00E223EA"/>
    <w:rsid w:val="00E22CAD"/>
    <w:rsid w:val="00E22DA8"/>
    <w:rsid w:val="00E23429"/>
    <w:rsid w:val="00E237DE"/>
    <w:rsid w:val="00E24219"/>
    <w:rsid w:val="00E25308"/>
    <w:rsid w:val="00E25864"/>
    <w:rsid w:val="00E25C90"/>
    <w:rsid w:val="00E25D71"/>
    <w:rsid w:val="00E25E06"/>
    <w:rsid w:val="00E25E56"/>
    <w:rsid w:val="00E26B3B"/>
    <w:rsid w:val="00E275FF"/>
    <w:rsid w:val="00E30077"/>
    <w:rsid w:val="00E3062F"/>
    <w:rsid w:val="00E32418"/>
    <w:rsid w:val="00E32FC6"/>
    <w:rsid w:val="00E342BB"/>
    <w:rsid w:val="00E344AD"/>
    <w:rsid w:val="00E34BEF"/>
    <w:rsid w:val="00E35F9A"/>
    <w:rsid w:val="00E36F1A"/>
    <w:rsid w:val="00E37329"/>
    <w:rsid w:val="00E37D83"/>
    <w:rsid w:val="00E40642"/>
    <w:rsid w:val="00E40C5B"/>
    <w:rsid w:val="00E41587"/>
    <w:rsid w:val="00E41896"/>
    <w:rsid w:val="00E428FE"/>
    <w:rsid w:val="00E43DE8"/>
    <w:rsid w:val="00E43E50"/>
    <w:rsid w:val="00E44ED8"/>
    <w:rsid w:val="00E45773"/>
    <w:rsid w:val="00E459B0"/>
    <w:rsid w:val="00E45A51"/>
    <w:rsid w:val="00E4660A"/>
    <w:rsid w:val="00E46697"/>
    <w:rsid w:val="00E470A3"/>
    <w:rsid w:val="00E473BC"/>
    <w:rsid w:val="00E47CB9"/>
    <w:rsid w:val="00E50097"/>
    <w:rsid w:val="00E50146"/>
    <w:rsid w:val="00E50203"/>
    <w:rsid w:val="00E502D0"/>
    <w:rsid w:val="00E506BF"/>
    <w:rsid w:val="00E50CE5"/>
    <w:rsid w:val="00E512EB"/>
    <w:rsid w:val="00E5188C"/>
    <w:rsid w:val="00E52DA7"/>
    <w:rsid w:val="00E53C3C"/>
    <w:rsid w:val="00E54C59"/>
    <w:rsid w:val="00E55021"/>
    <w:rsid w:val="00E55123"/>
    <w:rsid w:val="00E570E7"/>
    <w:rsid w:val="00E60CCF"/>
    <w:rsid w:val="00E61AC6"/>
    <w:rsid w:val="00E62257"/>
    <w:rsid w:val="00E626F5"/>
    <w:rsid w:val="00E62923"/>
    <w:rsid w:val="00E63F6A"/>
    <w:rsid w:val="00E64DC0"/>
    <w:rsid w:val="00E64E1A"/>
    <w:rsid w:val="00E653BB"/>
    <w:rsid w:val="00E6543C"/>
    <w:rsid w:val="00E65799"/>
    <w:rsid w:val="00E657EA"/>
    <w:rsid w:val="00E65961"/>
    <w:rsid w:val="00E65D4A"/>
    <w:rsid w:val="00E66CEB"/>
    <w:rsid w:val="00E67104"/>
    <w:rsid w:val="00E67666"/>
    <w:rsid w:val="00E702B7"/>
    <w:rsid w:val="00E705DE"/>
    <w:rsid w:val="00E71BB1"/>
    <w:rsid w:val="00E7240F"/>
    <w:rsid w:val="00E72B6F"/>
    <w:rsid w:val="00E72E0B"/>
    <w:rsid w:val="00E737EB"/>
    <w:rsid w:val="00E74217"/>
    <w:rsid w:val="00E74DF8"/>
    <w:rsid w:val="00E75305"/>
    <w:rsid w:val="00E75C1D"/>
    <w:rsid w:val="00E7643A"/>
    <w:rsid w:val="00E770AF"/>
    <w:rsid w:val="00E770F1"/>
    <w:rsid w:val="00E774FC"/>
    <w:rsid w:val="00E777B6"/>
    <w:rsid w:val="00E777D1"/>
    <w:rsid w:val="00E8029E"/>
    <w:rsid w:val="00E803AB"/>
    <w:rsid w:val="00E8076B"/>
    <w:rsid w:val="00E816FF"/>
    <w:rsid w:val="00E81872"/>
    <w:rsid w:val="00E83BF2"/>
    <w:rsid w:val="00E84462"/>
    <w:rsid w:val="00E84B0E"/>
    <w:rsid w:val="00E85C66"/>
    <w:rsid w:val="00E86327"/>
    <w:rsid w:val="00E86375"/>
    <w:rsid w:val="00E8691D"/>
    <w:rsid w:val="00E870C3"/>
    <w:rsid w:val="00E87194"/>
    <w:rsid w:val="00E87581"/>
    <w:rsid w:val="00E90117"/>
    <w:rsid w:val="00E90E07"/>
    <w:rsid w:val="00E913ED"/>
    <w:rsid w:val="00E91B14"/>
    <w:rsid w:val="00E92CF4"/>
    <w:rsid w:val="00E9395F"/>
    <w:rsid w:val="00E93CAC"/>
    <w:rsid w:val="00E9526A"/>
    <w:rsid w:val="00E95301"/>
    <w:rsid w:val="00E95660"/>
    <w:rsid w:val="00E9682C"/>
    <w:rsid w:val="00E96C80"/>
    <w:rsid w:val="00E974A1"/>
    <w:rsid w:val="00EA00DD"/>
    <w:rsid w:val="00EA03D0"/>
    <w:rsid w:val="00EA05B8"/>
    <w:rsid w:val="00EA0F99"/>
    <w:rsid w:val="00EA1302"/>
    <w:rsid w:val="00EA1FA7"/>
    <w:rsid w:val="00EA26A7"/>
    <w:rsid w:val="00EA27F7"/>
    <w:rsid w:val="00EA29D4"/>
    <w:rsid w:val="00EA2C59"/>
    <w:rsid w:val="00EA2D8C"/>
    <w:rsid w:val="00EA37B8"/>
    <w:rsid w:val="00EA4449"/>
    <w:rsid w:val="00EA47F2"/>
    <w:rsid w:val="00EA48F1"/>
    <w:rsid w:val="00EA4F17"/>
    <w:rsid w:val="00EA51F5"/>
    <w:rsid w:val="00EA561B"/>
    <w:rsid w:val="00EA6666"/>
    <w:rsid w:val="00EA6AA3"/>
    <w:rsid w:val="00EA6AF1"/>
    <w:rsid w:val="00EA77C6"/>
    <w:rsid w:val="00EA7ACB"/>
    <w:rsid w:val="00EB0C65"/>
    <w:rsid w:val="00EB12DD"/>
    <w:rsid w:val="00EB1C5F"/>
    <w:rsid w:val="00EB30A8"/>
    <w:rsid w:val="00EB36A4"/>
    <w:rsid w:val="00EB4308"/>
    <w:rsid w:val="00EB538C"/>
    <w:rsid w:val="00EB5EEF"/>
    <w:rsid w:val="00EB6CA0"/>
    <w:rsid w:val="00EB6EA9"/>
    <w:rsid w:val="00EB77B6"/>
    <w:rsid w:val="00EB7963"/>
    <w:rsid w:val="00EB79BD"/>
    <w:rsid w:val="00EB7E61"/>
    <w:rsid w:val="00EC022C"/>
    <w:rsid w:val="00EC05CA"/>
    <w:rsid w:val="00EC0AEF"/>
    <w:rsid w:val="00EC146D"/>
    <w:rsid w:val="00EC1A7E"/>
    <w:rsid w:val="00EC2896"/>
    <w:rsid w:val="00EC2ABC"/>
    <w:rsid w:val="00EC37C8"/>
    <w:rsid w:val="00EC4497"/>
    <w:rsid w:val="00EC6338"/>
    <w:rsid w:val="00EC6748"/>
    <w:rsid w:val="00EC73BF"/>
    <w:rsid w:val="00EC7645"/>
    <w:rsid w:val="00EC7B7D"/>
    <w:rsid w:val="00ED0757"/>
    <w:rsid w:val="00ED160B"/>
    <w:rsid w:val="00ED1776"/>
    <w:rsid w:val="00ED191F"/>
    <w:rsid w:val="00ED1E13"/>
    <w:rsid w:val="00ED2454"/>
    <w:rsid w:val="00ED2B22"/>
    <w:rsid w:val="00ED2DCD"/>
    <w:rsid w:val="00ED2E24"/>
    <w:rsid w:val="00ED3665"/>
    <w:rsid w:val="00ED39CE"/>
    <w:rsid w:val="00ED4E42"/>
    <w:rsid w:val="00ED4E57"/>
    <w:rsid w:val="00ED522E"/>
    <w:rsid w:val="00ED61CB"/>
    <w:rsid w:val="00ED622C"/>
    <w:rsid w:val="00ED6286"/>
    <w:rsid w:val="00ED6A5A"/>
    <w:rsid w:val="00ED72F2"/>
    <w:rsid w:val="00ED73D2"/>
    <w:rsid w:val="00ED7541"/>
    <w:rsid w:val="00ED7917"/>
    <w:rsid w:val="00ED7E50"/>
    <w:rsid w:val="00EE06A2"/>
    <w:rsid w:val="00EE0742"/>
    <w:rsid w:val="00EE0D39"/>
    <w:rsid w:val="00EE1D83"/>
    <w:rsid w:val="00EE1DE4"/>
    <w:rsid w:val="00EE2F31"/>
    <w:rsid w:val="00EE352C"/>
    <w:rsid w:val="00EE4315"/>
    <w:rsid w:val="00EE4AB8"/>
    <w:rsid w:val="00EE5A2D"/>
    <w:rsid w:val="00EE5DD0"/>
    <w:rsid w:val="00EE7283"/>
    <w:rsid w:val="00EF0253"/>
    <w:rsid w:val="00EF3454"/>
    <w:rsid w:val="00EF37AC"/>
    <w:rsid w:val="00EF3D6D"/>
    <w:rsid w:val="00EF4EB3"/>
    <w:rsid w:val="00EF4FAD"/>
    <w:rsid w:val="00EF51FC"/>
    <w:rsid w:val="00EF530F"/>
    <w:rsid w:val="00EF5723"/>
    <w:rsid w:val="00EF58AE"/>
    <w:rsid w:val="00EF7378"/>
    <w:rsid w:val="00EF7697"/>
    <w:rsid w:val="00EF778D"/>
    <w:rsid w:val="00F004B9"/>
    <w:rsid w:val="00F02404"/>
    <w:rsid w:val="00F02C97"/>
    <w:rsid w:val="00F02E04"/>
    <w:rsid w:val="00F02E77"/>
    <w:rsid w:val="00F0336F"/>
    <w:rsid w:val="00F03630"/>
    <w:rsid w:val="00F041D8"/>
    <w:rsid w:val="00F048D4"/>
    <w:rsid w:val="00F04913"/>
    <w:rsid w:val="00F05409"/>
    <w:rsid w:val="00F054BB"/>
    <w:rsid w:val="00F06335"/>
    <w:rsid w:val="00F064FF"/>
    <w:rsid w:val="00F06B1E"/>
    <w:rsid w:val="00F06E2F"/>
    <w:rsid w:val="00F0760F"/>
    <w:rsid w:val="00F079E2"/>
    <w:rsid w:val="00F110DD"/>
    <w:rsid w:val="00F112CB"/>
    <w:rsid w:val="00F11430"/>
    <w:rsid w:val="00F1169C"/>
    <w:rsid w:val="00F11C1C"/>
    <w:rsid w:val="00F11DB2"/>
    <w:rsid w:val="00F12DA9"/>
    <w:rsid w:val="00F13560"/>
    <w:rsid w:val="00F142F1"/>
    <w:rsid w:val="00F14607"/>
    <w:rsid w:val="00F1462E"/>
    <w:rsid w:val="00F151B0"/>
    <w:rsid w:val="00F159EA"/>
    <w:rsid w:val="00F15B84"/>
    <w:rsid w:val="00F174C3"/>
    <w:rsid w:val="00F17829"/>
    <w:rsid w:val="00F17A4A"/>
    <w:rsid w:val="00F209C4"/>
    <w:rsid w:val="00F21FA0"/>
    <w:rsid w:val="00F2281F"/>
    <w:rsid w:val="00F23FD3"/>
    <w:rsid w:val="00F2411C"/>
    <w:rsid w:val="00F241E4"/>
    <w:rsid w:val="00F2426F"/>
    <w:rsid w:val="00F246C0"/>
    <w:rsid w:val="00F24D4B"/>
    <w:rsid w:val="00F25445"/>
    <w:rsid w:val="00F258DF"/>
    <w:rsid w:val="00F26310"/>
    <w:rsid w:val="00F26A86"/>
    <w:rsid w:val="00F26E96"/>
    <w:rsid w:val="00F27139"/>
    <w:rsid w:val="00F271C1"/>
    <w:rsid w:val="00F275D1"/>
    <w:rsid w:val="00F2778F"/>
    <w:rsid w:val="00F279E2"/>
    <w:rsid w:val="00F27FD0"/>
    <w:rsid w:val="00F30546"/>
    <w:rsid w:val="00F30CB4"/>
    <w:rsid w:val="00F31EFE"/>
    <w:rsid w:val="00F327B6"/>
    <w:rsid w:val="00F3348A"/>
    <w:rsid w:val="00F3475B"/>
    <w:rsid w:val="00F35496"/>
    <w:rsid w:val="00F35AA1"/>
    <w:rsid w:val="00F3628D"/>
    <w:rsid w:val="00F377B7"/>
    <w:rsid w:val="00F37BB9"/>
    <w:rsid w:val="00F40932"/>
    <w:rsid w:val="00F40A33"/>
    <w:rsid w:val="00F414CB"/>
    <w:rsid w:val="00F42E3A"/>
    <w:rsid w:val="00F4391B"/>
    <w:rsid w:val="00F43F41"/>
    <w:rsid w:val="00F44A77"/>
    <w:rsid w:val="00F44F4F"/>
    <w:rsid w:val="00F455DB"/>
    <w:rsid w:val="00F457B8"/>
    <w:rsid w:val="00F45C30"/>
    <w:rsid w:val="00F45C37"/>
    <w:rsid w:val="00F45EA2"/>
    <w:rsid w:val="00F46C7C"/>
    <w:rsid w:val="00F46CE2"/>
    <w:rsid w:val="00F47623"/>
    <w:rsid w:val="00F47F14"/>
    <w:rsid w:val="00F50389"/>
    <w:rsid w:val="00F504B9"/>
    <w:rsid w:val="00F5084A"/>
    <w:rsid w:val="00F50BD6"/>
    <w:rsid w:val="00F50F1E"/>
    <w:rsid w:val="00F52470"/>
    <w:rsid w:val="00F52612"/>
    <w:rsid w:val="00F52663"/>
    <w:rsid w:val="00F52A45"/>
    <w:rsid w:val="00F534E2"/>
    <w:rsid w:val="00F55651"/>
    <w:rsid w:val="00F55D61"/>
    <w:rsid w:val="00F56439"/>
    <w:rsid w:val="00F56664"/>
    <w:rsid w:val="00F575EA"/>
    <w:rsid w:val="00F606BB"/>
    <w:rsid w:val="00F61648"/>
    <w:rsid w:val="00F61950"/>
    <w:rsid w:val="00F61CC2"/>
    <w:rsid w:val="00F62229"/>
    <w:rsid w:val="00F62657"/>
    <w:rsid w:val="00F63B1D"/>
    <w:rsid w:val="00F63FFA"/>
    <w:rsid w:val="00F640E8"/>
    <w:rsid w:val="00F642A9"/>
    <w:rsid w:val="00F6469F"/>
    <w:rsid w:val="00F64FCC"/>
    <w:rsid w:val="00F662CB"/>
    <w:rsid w:val="00F663CF"/>
    <w:rsid w:val="00F66A4E"/>
    <w:rsid w:val="00F67A3E"/>
    <w:rsid w:val="00F7013B"/>
    <w:rsid w:val="00F7165D"/>
    <w:rsid w:val="00F73053"/>
    <w:rsid w:val="00F74157"/>
    <w:rsid w:val="00F7452B"/>
    <w:rsid w:val="00F745FB"/>
    <w:rsid w:val="00F747AB"/>
    <w:rsid w:val="00F74F27"/>
    <w:rsid w:val="00F74FD9"/>
    <w:rsid w:val="00F75B1C"/>
    <w:rsid w:val="00F76A79"/>
    <w:rsid w:val="00F77427"/>
    <w:rsid w:val="00F7745D"/>
    <w:rsid w:val="00F774CA"/>
    <w:rsid w:val="00F800D0"/>
    <w:rsid w:val="00F80AB8"/>
    <w:rsid w:val="00F80AEE"/>
    <w:rsid w:val="00F80E43"/>
    <w:rsid w:val="00F80ED3"/>
    <w:rsid w:val="00F80FD2"/>
    <w:rsid w:val="00F81297"/>
    <w:rsid w:val="00F818CD"/>
    <w:rsid w:val="00F81A9D"/>
    <w:rsid w:val="00F8251D"/>
    <w:rsid w:val="00F8276B"/>
    <w:rsid w:val="00F82E61"/>
    <w:rsid w:val="00F82FFE"/>
    <w:rsid w:val="00F83046"/>
    <w:rsid w:val="00F83407"/>
    <w:rsid w:val="00F8384A"/>
    <w:rsid w:val="00F839E7"/>
    <w:rsid w:val="00F839FD"/>
    <w:rsid w:val="00F8414E"/>
    <w:rsid w:val="00F84553"/>
    <w:rsid w:val="00F84AA9"/>
    <w:rsid w:val="00F84B78"/>
    <w:rsid w:val="00F84BCA"/>
    <w:rsid w:val="00F8548D"/>
    <w:rsid w:val="00F856EF"/>
    <w:rsid w:val="00F85848"/>
    <w:rsid w:val="00F86CB8"/>
    <w:rsid w:val="00F8708C"/>
    <w:rsid w:val="00F87DAC"/>
    <w:rsid w:val="00F91858"/>
    <w:rsid w:val="00F91DC0"/>
    <w:rsid w:val="00F9288E"/>
    <w:rsid w:val="00F93B75"/>
    <w:rsid w:val="00F94956"/>
    <w:rsid w:val="00F951DB"/>
    <w:rsid w:val="00F95FE7"/>
    <w:rsid w:val="00F97A6E"/>
    <w:rsid w:val="00F97B18"/>
    <w:rsid w:val="00F97B41"/>
    <w:rsid w:val="00FA0BC8"/>
    <w:rsid w:val="00FA0FB6"/>
    <w:rsid w:val="00FA1117"/>
    <w:rsid w:val="00FA1A89"/>
    <w:rsid w:val="00FA2D88"/>
    <w:rsid w:val="00FA3171"/>
    <w:rsid w:val="00FA33C6"/>
    <w:rsid w:val="00FA3774"/>
    <w:rsid w:val="00FA3AD2"/>
    <w:rsid w:val="00FA4288"/>
    <w:rsid w:val="00FA5C3E"/>
    <w:rsid w:val="00FA5F7A"/>
    <w:rsid w:val="00FA6828"/>
    <w:rsid w:val="00FA684F"/>
    <w:rsid w:val="00FA7FBE"/>
    <w:rsid w:val="00FB01FA"/>
    <w:rsid w:val="00FB0739"/>
    <w:rsid w:val="00FB0AAF"/>
    <w:rsid w:val="00FB2184"/>
    <w:rsid w:val="00FB2409"/>
    <w:rsid w:val="00FB2C61"/>
    <w:rsid w:val="00FB472A"/>
    <w:rsid w:val="00FB489D"/>
    <w:rsid w:val="00FB4A8A"/>
    <w:rsid w:val="00FB5671"/>
    <w:rsid w:val="00FB5AB9"/>
    <w:rsid w:val="00FB6123"/>
    <w:rsid w:val="00FC0674"/>
    <w:rsid w:val="00FC18A0"/>
    <w:rsid w:val="00FC1B1F"/>
    <w:rsid w:val="00FC218F"/>
    <w:rsid w:val="00FC31B5"/>
    <w:rsid w:val="00FC3340"/>
    <w:rsid w:val="00FC361F"/>
    <w:rsid w:val="00FC3AB6"/>
    <w:rsid w:val="00FC40D6"/>
    <w:rsid w:val="00FC420B"/>
    <w:rsid w:val="00FC48D4"/>
    <w:rsid w:val="00FC510F"/>
    <w:rsid w:val="00FC56B6"/>
    <w:rsid w:val="00FC6CC4"/>
    <w:rsid w:val="00FC6D8F"/>
    <w:rsid w:val="00FC753C"/>
    <w:rsid w:val="00FC7864"/>
    <w:rsid w:val="00FD05C0"/>
    <w:rsid w:val="00FD0756"/>
    <w:rsid w:val="00FD0ECC"/>
    <w:rsid w:val="00FD18C0"/>
    <w:rsid w:val="00FD1D46"/>
    <w:rsid w:val="00FD1D4C"/>
    <w:rsid w:val="00FD38F7"/>
    <w:rsid w:val="00FD3B24"/>
    <w:rsid w:val="00FD407A"/>
    <w:rsid w:val="00FD4D16"/>
    <w:rsid w:val="00FD4E07"/>
    <w:rsid w:val="00FD5402"/>
    <w:rsid w:val="00FD548C"/>
    <w:rsid w:val="00FD57E6"/>
    <w:rsid w:val="00FD58C3"/>
    <w:rsid w:val="00FD5CB7"/>
    <w:rsid w:val="00FD6110"/>
    <w:rsid w:val="00FD7AB7"/>
    <w:rsid w:val="00FD7B0C"/>
    <w:rsid w:val="00FE09B8"/>
    <w:rsid w:val="00FE2538"/>
    <w:rsid w:val="00FE348C"/>
    <w:rsid w:val="00FE3CE6"/>
    <w:rsid w:val="00FE3E70"/>
    <w:rsid w:val="00FE40D0"/>
    <w:rsid w:val="00FE4D07"/>
    <w:rsid w:val="00FE639C"/>
    <w:rsid w:val="00FE6442"/>
    <w:rsid w:val="00FE64E6"/>
    <w:rsid w:val="00FE6A33"/>
    <w:rsid w:val="00FE6F70"/>
    <w:rsid w:val="00FE7001"/>
    <w:rsid w:val="00FE70A5"/>
    <w:rsid w:val="00FE76D2"/>
    <w:rsid w:val="00FE7A92"/>
    <w:rsid w:val="00FE7BBD"/>
    <w:rsid w:val="00FE7EF3"/>
    <w:rsid w:val="00FF10C4"/>
    <w:rsid w:val="00FF11BD"/>
    <w:rsid w:val="00FF1234"/>
    <w:rsid w:val="00FF150E"/>
    <w:rsid w:val="00FF1A8C"/>
    <w:rsid w:val="00FF2533"/>
    <w:rsid w:val="00FF2A20"/>
    <w:rsid w:val="00FF3265"/>
    <w:rsid w:val="00FF369A"/>
    <w:rsid w:val="00FF3A91"/>
    <w:rsid w:val="00FF4DBB"/>
    <w:rsid w:val="00FF510D"/>
    <w:rsid w:val="00FF5387"/>
    <w:rsid w:val="00FF57AC"/>
    <w:rsid w:val="00FF5A5B"/>
    <w:rsid w:val="00FF5B85"/>
    <w:rsid w:val="00FF6B8A"/>
    <w:rsid w:val="00FF76CA"/>
    <w:rsid w:val="00FF77A4"/>
    <w:rsid w:val="00FF7AC3"/>
    <w:rsid w:val="00FF7C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E4C37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15"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qFormat="1"/>
    <w:lsdException w:name="caption" w:uiPriority="0" w:qFormat="1"/>
    <w:lsdException w:name="footnote reference" w:qFormat="1"/>
    <w:lsdException w:name="page number" w:uiPriority="0"/>
    <w:lsdException w:name="List Bullet" w:qFormat="1"/>
    <w:lsdException w:name="List Number" w:qFormat="1"/>
    <w:lsdException w:name="List Bullet 2" w:uiPriority="0" w:qFormat="1"/>
    <w:lsdException w:name="List Bullet 3" w:qFormat="1"/>
    <w:lsdException w:name="List Number 2" w:qFormat="1"/>
    <w:lsdException w:name="List Number 5" w:qFormat="1"/>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Outline List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5"/>
    <w:qFormat/>
    <w:rsid w:val="00000654"/>
    <w:pPr>
      <w:spacing w:before="120" w:after="120" w:line="276" w:lineRule="auto"/>
      <w:jc w:val="both"/>
    </w:pPr>
    <w:rPr>
      <w:rFonts w:ascii="Tahoma" w:hAnsi="Tahoma"/>
      <w:sz w:val="22"/>
      <w:szCs w:val="22"/>
      <w:lang w:val="en-GB" w:eastAsia="en-GB"/>
    </w:rPr>
  </w:style>
  <w:style w:type="paragraph" w:styleId="Heading1">
    <w:name w:val="heading 1"/>
    <w:aliases w:val="~SectionHeading,h1,ΔΞ-Άρθρο,H11,H12,H111,H13,H112,H14,H113,H15,H114,H16,H115,H17,H116,H18,H117,H19,H118,H110,H119,H120,H1110,ÄÎ-¢ñèñï,messages,Titre 11,t1.T1.Titre 1,t1,sequence,Titre 0,Headline 1,Outline1,L1 Heading 1,1st level,h11,Num H1"/>
    <w:basedOn w:val="Normal"/>
    <w:next w:val="NumberedParagraph"/>
    <w:link w:val="Heading1Char"/>
    <w:autoRedefine/>
    <w:qFormat/>
    <w:rsid w:val="00E44ED8"/>
    <w:pPr>
      <w:numPr>
        <w:numId w:val="60"/>
      </w:numPr>
      <w:tabs>
        <w:tab w:val="left" w:pos="1134"/>
      </w:tabs>
      <w:spacing w:after="240"/>
      <w:ind w:left="714" w:hanging="357"/>
      <w:jc w:val="left"/>
      <w:outlineLvl w:val="0"/>
    </w:pPr>
    <w:rPr>
      <w:rFonts w:cs="Tahoma"/>
      <w:b/>
      <w:color w:val="44697D"/>
      <w:sz w:val="32"/>
      <w:szCs w:val="32"/>
      <w:u w:color="00B050"/>
    </w:rPr>
  </w:style>
  <w:style w:type="paragraph" w:styleId="Heading2">
    <w:name w:val="heading 2"/>
    <w:aliases w:val="Char,~SubHeading,Title2,h2,Νίκαιας_Κεφαλίδα2,Num H2,in head,after heading 1,Heading 2 Char Char Char Char Char Char,Heading 2 Char Char Char Char Char Char Char Char Char Char,Heading 21,2,Olga,1.1 HEADING 2"/>
    <w:basedOn w:val="Normal"/>
    <w:next w:val="NumberedParagraph"/>
    <w:link w:val="Heading2Char"/>
    <w:unhideWhenUsed/>
    <w:qFormat/>
    <w:rsid w:val="000A0E7C"/>
    <w:pPr>
      <w:keepNext/>
      <w:numPr>
        <w:ilvl w:val="1"/>
        <w:numId w:val="60"/>
      </w:numPr>
      <w:jc w:val="left"/>
      <w:outlineLvl w:val="1"/>
    </w:pPr>
    <w:rPr>
      <w:b/>
      <w:color w:val="44697D"/>
      <w:sz w:val="28"/>
      <w:szCs w:val="32"/>
    </w:rPr>
  </w:style>
  <w:style w:type="paragraph" w:styleId="Heading3">
    <w:name w:val="heading 3"/>
    <w:aliases w:val="Heading2,~MinorSubHeading,general3,Char3,h3,H31,H32,H311,h31,H33,H312,h32,H34,H313,h33,H35,H314,h34,H321,H3111,h311,H36,H315,h35,H322,H3112,h312,H331,H3121,h321,H341,H3131,h331,H351,H3141,h341,H37,H316,h36,H323,H3113,h313,H332,H3122,h322"/>
    <w:basedOn w:val="Normal"/>
    <w:next w:val="NumberedParagraph"/>
    <w:link w:val="Heading3Char"/>
    <w:unhideWhenUsed/>
    <w:qFormat/>
    <w:rsid w:val="00F27FD0"/>
    <w:pPr>
      <w:keepNext/>
      <w:keepLines/>
      <w:numPr>
        <w:ilvl w:val="2"/>
        <w:numId w:val="60"/>
      </w:numPr>
      <w:spacing w:before="360" w:after="240"/>
      <w:jc w:val="left"/>
      <w:outlineLvl w:val="2"/>
    </w:pPr>
    <w:rPr>
      <w:b/>
      <w:bCs/>
      <w:color w:val="44697D"/>
      <w:sz w:val="24"/>
      <w:szCs w:val="28"/>
    </w:rPr>
  </w:style>
  <w:style w:type="paragraph" w:styleId="Heading4">
    <w:name w:val="heading 4"/>
    <w:aliases w:val="~Level4Heading,Titre 4 Car Car Car Car Car,( i ),o,4,aa,LetHead4,MisHead4,Normalhead4,l4,I4,Normal Heading 4,Centred"/>
    <w:basedOn w:val="Normal"/>
    <w:next w:val="NumberedParagraph"/>
    <w:link w:val="Heading4Char"/>
    <w:unhideWhenUsed/>
    <w:qFormat/>
    <w:rsid w:val="007E36CB"/>
    <w:pPr>
      <w:keepNext/>
      <w:keepLines/>
      <w:numPr>
        <w:ilvl w:val="3"/>
        <w:numId w:val="60"/>
      </w:numPr>
      <w:spacing w:before="240" w:after="240"/>
      <w:jc w:val="left"/>
      <w:outlineLvl w:val="3"/>
    </w:pPr>
    <w:rPr>
      <w:b/>
      <w:bCs/>
      <w:iCs/>
      <w:color w:val="44697D"/>
      <w:szCs w:val="24"/>
    </w:rPr>
  </w:style>
  <w:style w:type="paragraph" w:styleId="Heading5">
    <w:name w:val="heading 5"/>
    <w:basedOn w:val="Normal"/>
    <w:next w:val="NumberedParagraph"/>
    <w:link w:val="Heading5Char"/>
    <w:unhideWhenUsed/>
    <w:qFormat/>
    <w:rsid w:val="007E36CB"/>
    <w:pPr>
      <w:numPr>
        <w:ilvl w:val="4"/>
        <w:numId w:val="26"/>
      </w:numPr>
      <w:spacing w:before="240"/>
      <w:jc w:val="left"/>
      <w:outlineLvl w:val="4"/>
    </w:pPr>
    <w:rPr>
      <w:b/>
      <w:i/>
      <w:color w:val="44697D"/>
      <w:sz w:val="21"/>
      <w:szCs w:val="20"/>
    </w:rPr>
  </w:style>
  <w:style w:type="paragraph" w:styleId="Heading6">
    <w:name w:val="heading 6"/>
    <w:basedOn w:val="Normal"/>
    <w:next w:val="NumberedParagraph"/>
    <w:link w:val="Heading6Char"/>
    <w:unhideWhenUsed/>
    <w:qFormat/>
    <w:rsid w:val="00EA26A7"/>
    <w:pPr>
      <w:numPr>
        <w:ilvl w:val="5"/>
        <w:numId w:val="26"/>
      </w:numPr>
      <w:spacing w:after="240"/>
      <w:jc w:val="left"/>
      <w:outlineLvl w:val="5"/>
    </w:pPr>
    <w:rPr>
      <w:b/>
      <w:color w:val="44697D"/>
      <w:sz w:val="32"/>
      <w:szCs w:val="20"/>
    </w:rPr>
  </w:style>
  <w:style w:type="paragraph" w:styleId="Heading7">
    <w:name w:val="heading 7"/>
    <w:basedOn w:val="Normal"/>
    <w:next w:val="Normal"/>
    <w:link w:val="Heading7Char"/>
    <w:unhideWhenUsed/>
    <w:qFormat/>
    <w:rsid w:val="00C2671F"/>
    <w:pPr>
      <w:keepNext/>
      <w:keepLines/>
      <w:numPr>
        <w:ilvl w:val="6"/>
        <w:numId w:val="26"/>
      </w:numPr>
      <w:spacing w:before="200" w:after="0"/>
      <w:outlineLvl w:val="6"/>
    </w:pPr>
    <w:rPr>
      <w:rFonts w:ascii="Cambria" w:hAnsi="Cambria"/>
      <w:i/>
      <w:iCs/>
      <w:color w:val="404040"/>
    </w:rPr>
  </w:style>
  <w:style w:type="paragraph" w:styleId="Heading8">
    <w:name w:val="heading 8"/>
    <w:basedOn w:val="Normal"/>
    <w:next w:val="Normal"/>
    <w:link w:val="Heading8Char"/>
    <w:unhideWhenUsed/>
    <w:qFormat/>
    <w:rsid w:val="007E36CB"/>
    <w:pPr>
      <w:keepNext/>
      <w:keepLines/>
      <w:numPr>
        <w:ilvl w:val="7"/>
        <w:numId w:val="26"/>
      </w:numPr>
      <w:spacing w:before="200" w:after="0"/>
      <w:outlineLvl w:val="7"/>
    </w:pPr>
    <w:rPr>
      <w:rFonts w:ascii="Cambria" w:hAnsi="Cambria"/>
      <w:color w:val="404040"/>
      <w:szCs w:val="20"/>
    </w:rPr>
  </w:style>
  <w:style w:type="paragraph" w:styleId="Heading9">
    <w:name w:val="heading 9"/>
    <w:basedOn w:val="Normal"/>
    <w:next w:val="Normal"/>
    <w:link w:val="Heading9Char"/>
    <w:unhideWhenUsed/>
    <w:qFormat/>
    <w:rsid w:val="007E36CB"/>
    <w:pPr>
      <w:keepNext/>
      <w:keepLines/>
      <w:numPr>
        <w:ilvl w:val="8"/>
        <w:numId w:val="26"/>
      </w:numPr>
      <w:spacing w:before="200" w:after="0"/>
      <w:outlineLvl w:val="8"/>
    </w:pPr>
    <w:rPr>
      <w:rFonts w:ascii="Cambria" w:hAnsi="Cambria"/>
      <w:i/>
      <w:iCs/>
      <w:color w:val="40404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uiPriority w:val="99"/>
    <w:unhideWhenUsed/>
    <w:rsid w:val="00820E04"/>
    <w:pPr>
      <w:tabs>
        <w:tab w:val="center" w:pos="4513"/>
        <w:tab w:val="right" w:pos="9026"/>
      </w:tabs>
    </w:pPr>
    <w:rPr>
      <w:rFonts w:ascii="Tahoma" w:hAnsi="Tahoma"/>
      <w:szCs w:val="22"/>
      <w:lang w:val="en-GB" w:eastAsia="en-GB"/>
    </w:rPr>
  </w:style>
  <w:style w:type="character" w:customStyle="1" w:styleId="HeaderChar">
    <w:name w:val="Header Char"/>
    <w:link w:val="Header"/>
    <w:uiPriority w:val="99"/>
    <w:rsid w:val="00820E04"/>
    <w:rPr>
      <w:rFonts w:ascii="Tahoma" w:hAnsi="Tahoma"/>
      <w:szCs w:val="22"/>
      <w:lang w:val="en-GB" w:eastAsia="en-GB" w:bidi="ar-SA"/>
    </w:rPr>
  </w:style>
  <w:style w:type="paragraph" w:styleId="Footer">
    <w:name w:val="footer"/>
    <w:aliases w:val="~Footer"/>
    <w:link w:val="FooterChar"/>
    <w:uiPriority w:val="99"/>
    <w:unhideWhenUsed/>
    <w:rsid w:val="00820E04"/>
    <w:pPr>
      <w:tabs>
        <w:tab w:val="center" w:pos="4513"/>
        <w:tab w:val="right" w:pos="9026"/>
      </w:tabs>
    </w:pPr>
    <w:rPr>
      <w:rFonts w:ascii="Tahoma" w:hAnsi="Tahoma"/>
      <w:szCs w:val="22"/>
      <w:lang w:val="en-GB" w:eastAsia="en-GB"/>
    </w:rPr>
  </w:style>
  <w:style w:type="character" w:customStyle="1" w:styleId="FooterChar">
    <w:name w:val="Footer Char"/>
    <w:aliases w:val="~Footer Char"/>
    <w:link w:val="Footer"/>
    <w:uiPriority w:val="99"/>
    <w:rsid w:val="00820E04"/>
    <w:rPr>
      <w:rFonts w:ascii="Tahoma" w:hAnsi="Tahoma"/>
      <w:szCs w:val="22"/>
      <w:lang w:val="en-GB" w:eastAsia="en-GB" w:bidi="ar-SA"/>
    </w:rPr>
  </w:style>
  <w:style w:type="table" w:styleId="TableGrid">
    <w:name w:val="Table Grid"/>
    <w:aliases w:val="GT0"/>
    <w:basedOn w:val="TableNormal"/>
    <w:uiPriority w:val="39"/>
    <w:rsid w:val="00895F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SectionHeading Char,h1 Char,ΔΞ-Άρθρο Char,H11 Char,H12 Char,H111 Char,H13 Char,H112 Char,H14 Char,H113 Char,H15 Char,H114 Char,H16 Char,H115 Char,H17 Char,H116 Char,H18 Char,H117 Char,H19 Char,H118 Char,H110 Char,H119 Char,H120 Char"/>
    <w:link w:val="Heading1"/>
    <w:rsid w:val="00E44ED8"/>
    <w:rPr>
      <w:rFonts w:ascii="Tahoma" w:hAnsi="Tahoma" w:cs="Tahoma"/>
      <w:b/>
      <w:color w:val="44697D"/>
      <w:sz w:val="32"/>
      <w:szCs w:val="32"/>
      <w:u w:color="00B050"/>
      <w:lang w:val="en-GB" w:eastAsia="en-GB"/>
    </w:rPr>
  </w:style>
  <w:style w:type="character" w:customStyle="1" w:styleId="Heading2Char">
    <w:name w:val="Heading 2 Char"/>
    <w:aliases w:val="Char Char,~SubHeading Char,Title2 Char,h2 Char,Νίκαιας_Κεφαλίδα2 Char,Num H2 Char,in head Char,after heading 1 Char,Heading 2 Char Char Char Char Char Char Char,Heading 2 Char Char Char Char Char Char Char Char Char Char Char,2 Char"/>
    <w:link w:val="Heading2"/>
    <w:rsid w:val="000A0E7C"/>
    <w:rPr>
      <w:rFonts w:ascii="Tahoma" w:hAnsi="Tahoma"/>
      <w:b/>
      <w:color w:val="44697D"/>
      <w:sz w:val="28"/>
      <w:szCs w:val="32"/>
      <w:lang w:val="en-GB" w:eastAsia="en-GB"/>
    </w:rPr>
  </w:style>
  <w:style w:type="character" w:customStyle="1" w:styleId="Heading3Char">
    <w:name w:val="Heading 3 Char"/>
    <w:aliases w:val="Heading2 Char,~MinorSubHeading Char,general3 Char,Char3 Char,h3 Char,H31 Char,H32 Char,H311 Char,h31 Char,H33 Char,H312 Char,h32 Char,H34 Char,H313 Char,h33 Char,H35 Char,H314 Char,h34 Char,H321 Char,H3111 Char,h311 Char,H36 Char,h35 Char"/>
    <w:link w:val="Heading3"/>
    <w:rsid w:val="00F27FD0"/>
    <w:rPr>
      <w:rFonts w:ascii="Tahoma" w:hAnsi="Tahoma"/>
      <w:b/>
      <w:bCs/>
      <w:color w:val="44697D"/>
      <w:sz w:val="24"/>
      <w:szCs w:val="28"/>
      <w:lang w:val="en-GB" w:eastAsia="en-GB"/>
    </w:rPr>
  </w:style>
  <w:style w:type="character" w:customStyle="1" w:styleId="Heading8Char">
    <w:name w:val="Heading 8 Char"/>
    <w:link w:val="Heading8"/>
    <w:rsid w:val="007E36CB"/>
    <w:rPr>
      <w:rFonts w:ascii="Cambria" w:hAnsi="Cambria"/>
      <w:color w:val="404040"/>
      <w:sz w:val="22"/>
      <w:lang w:val="en-GB" w:eastAsia="en-GB"/>
    </w:rPr>
  </w:style>
  <w:style w:type="character" w:customStyle="1" w:styleId="Heading9Char">
    <w:name w:val="Heading 9 Char"/>
    <w:link w:val="Heading9"/>
    <w:rsid w:val="007E36CB"/>
    <w:rPr>
      <w:rFonts w:ascii="Cambria" w:hAnsi="Cambria"/>
      <w:i/>
      <w:iCs/>
      <w:color w:val="404040"/>
      <w:sz w:val="22"/>
      <w:lang w:val="en-GB" w:eastAsia="en-GB"/>
    </w:rPr>
  </w:style>
  <w:style w:type="paragraph" w:customStyle="1" w:styleId="SectionHeading">
    <w:name w:val="Section Heading"/>
    <w:basedOn w:val="Normal"/>
    <w:link w:val="SectionHeadingChar"/>
    <w:qFormat/>
    <w:rsid w:val="007E36CB"/>
    <w:pPr>
      <w:jc w:val="center"/>
    </w:pPr>
    <w:rPr>
      <w:b/>
      <w:color w:val="44697D"/>
      <w:sz w:val="32"/>
      <w:szCs w:val="32"/>
    </w:rPr>
  </w:style>
  <w:style w:type="character" w:customStyle="1" w:styleId="Heading4Char">
    <w:name w:val="Heading 4 Char"/>
    <w:aliases w:val="~Level4Heading Char,Titre 4 Car Car Car Car Car Char,( i ) Char,o Char,4 Char,aa Char,LetHead4 Char,MisHead4 Char,Normalhead4 Char,l4 Char,I4 Char,Normal Heading 4 Char,Centred Char"/>
    <w:link w:val="Heading4"/>
    <w:rsid w:val="007E36CB"/>
    <w:rPr>
      <w:rFonts w:ascii="Tahoma" w:hAnsi="Tahoma"/>
      <w:b/>
      <w:bCs/>
      <w:iCs/>
      <w:color w:val="44697D"/>
      <w:sz w:val="22"/>
      <w:szCs w:val="24"/>
      <w:lang w:val="en-GB" w:eastAsia="en-GB"/>
    </w:rPr>
  </w:style>
  <w:style w:type="character" w:customStyle="1" w:styleId="Heading5Char">
    <w:name w:val="Heading 5 Char"/>
    <w:link w:val="Heading5"/>
    <w:rsid w:val="007E36CB"/>
    <w:rPr>
      <w:rFonts w:ascii="Tahoma" w:hAnsi="Tahoma"/>
      <w:b/>
      <w:i/>
      <w:color w:val="44697D"/>
      <w:sz w:val="21"/>
      <w:lang w:val="en-GB" w:eastAsia="en-GB"/>
    </w:rPr>
  </w:style>
  <w:style w:type="character" w:customStyle="1" w:styleId="Heading6Char">
    <w:name w:val="Heading 6 Char"/>
    <w:link w:val="Heading6"/>
    <w:rsid w:val="00EA26A7"/>
    <w:rPr>
      <w:rFonts w:ascii="Tahoma" w:hAnsi="Tahoma"/>
      <w:b/>
      <w:color w:val="44697D"/>
      <w:sz w:val="32"/>
      <w:lang w:val="en-GB" w:eastAsia="en-GB"/>
    </w:rPr>
  </w:style>
  <w:style w:type="character" w:customStyle="1" w:styleId="Heading7Char">
    <w:name w:val="Heading 7 Char"/>
    <w:link w:val="Heading7"/>
    <w:rsid w:val="00C2671F"/>
    <w:rPr>
      <w:rFonts w:ascii="Cambria" w:hAnsi="Cambria"/>
      <w:i/>
      <w:iCs/>
      <w:color w:val="404040"/>
      <w:sz w:val="22"/>
      <w:szCs w:val="22"/>
      <w:lang w:val="en-GB" w:eastAsia="en-GB"/>
    </w:rPr>
  </w:style>
  <w:style w:type="paragraph" w:styleId="ListBullet">
    <w:name w:val="List Bullet"/>
    <w:basedOn w:val="Normal"/>
    <w:link w:val="ListBulletChar"/>
    <w:uiPriority w:val="99"/>
    <w:unhideWhenUsed/>
    <w:qFormat/>
    <w:rsid w:val="003E2423"/>
    <w:pPr>
      <w:numPr>
        <w:numId w:val="9"/>
      </w:numPr>
      <w:spacing w:before="0" w:after="60"/>
    </w:pPr>
  </w:style>
  <w:style w:type="paragraph" w:styleId="ListBullet2">
    <w:name w:val="List Bullet 2"/>
    <w:basedOn w:val="Normal"/>
    <w:unhideWhenUsed/>
    <w:qFormat/>
    <w:rsid w:val="007E36CB"/>
    <w:pPr>
      <w:numPr>
        <w:ilvl w:val="1"/>
        <w:numId w:val="9"/>
      </w:numPr>
      <w:contextualSpacing/>
      <w:jc w:val="left"/>
    </w:pPr>
  </w:style>
  <w:style w:type="paragraph" w:styleId="ListBullet3">
    <w:name w:val="List Bullet 3"/>
    <w:basedOn w:val="Normal"/>
    <w:uiPriority w:val="99"/>
    <w:unhideWhenUsed/>
    <w:qFormat/>
    <w:rsid w:val="0015476E"/>
    <w:pPr>
      <w:numPr>
        <w:ilvl w:val="2"/>
        <w:numId w:val="9"/>
      </w:numPr>
      <w:contextualSpacing/>
    </w:pPr>
  </w:style>
  <w:style w:type="paragraph" w:customStyle="1" w:styleId="NumberedParagraph">
    <w:name w:val="Numbered Paragraph"/>
    <w:basedOn w:val="Normal"/>
    <w:link w:val="NumberedParagraphChar"/>
    <w:uiPriority w:val="1"/>
    <w:qFormat/>
    <w:rsid w:val="007E36CB"/>
  </w:style>
  <w:style w:type="paragraph" w:styleId="BalloonText">
    <w:name w:val="Balloon Text"/>
    <w:basedOn w:val="Normal"/>
    <w:link w:val="BalloonTextChar"/>
    <w:uiPriority w:val="99"/>
    <w:semiHidden/>
    <w:unhideWhenUsed/>
    <w:rsid w:val="007B1CBD"/>
    <w:pPr>
      <w:spacing w:before="0" w:after="0"/>
    </w:pPr>
    <w:rPr>
      <w:sz w:val="16"/>
      <w:szCs w:val="16"/>
    </w:rPr>
  </w:style>
  <w:style w:type="character" w:customStyle="1" w:styleId="NumberedParagraphChar">
    <w:name w:val="Numbered Paragraph Char"/>
    <w:link w:val="NumberedParagraph"/>
    <w:uiPriority w:val="1"/>
    <w:rsid w:val="007E36CB"/>
    <w:rPr>
      <w:rFonts w:ascii="Tahoma" w:hAnsi="Tahoma"/>
      <w:sz w:val="22"/>
      <w:szCs w:val="22"/>
      <w:lang w:val="en-GB" w:eastAsia="en-GB"/>
    </w:rPr>
  </w:style>
  <w:style w:type="character" w:customStyle="1" w:styleId="BalloonTextChar">
    <w:name w:val="Balloon Text Char"/>
    <w:link w:val="BalloonText"/>
    <w:uiPriority w:val="99"/>
    <w:semiHidden/>
    <w:rsid w:val="007B1CBD"/>
    <w:rPr>
      <w:rFonts w:ascii="Tahoma" w:hAnsi="Tahoma" w:cs="Tahoma"/>
      <w:sz w:val="16"/>
      <w:szCs w:val="16"/>
    </w:rPr>
  </w:style>
  <w:style w:type="paragraph" w:styleId="Caption">
    <w:name w:val="caption"/>
    <w:aliases w:val="Beschriftung Char,Beschriftung Char Char Char Char Char,Beschriftung Char Char Char,~Caption,Table Caption,Caption Char Char Char,Caption Char Char Char Char Char Char,Caption1,Caption Char Char Char1 Char,Caption Char Char Char1 Char Char Char"/>
    <w:basedOn w:val="Normal"/>
    <w:next w:val="Normal"/>
    <w:link w:val="CaptionChar"/>
    <w:unhideWhenUsed/>
    <w:qFormat/>
    <w:rsid w:val="008343FF"/>
    <w:pPr>
      <w:keepNext/>
      <w:spacing w:before="60" w:after="60"/>
      <w:jc w:val="center"/>
    </w:pPr>
    <w:rPr>
      <w:rFonts w:cs="Arial"/>
      <w:b/>
      <w:bCs/>
      <w:sz w:val="18"/>
      <w:szCs w:val="18"/>
    </w:rPr>
  </w:style>
  <w:style w:type="paragraph" w:customStyle="1" w:styleId="Annex">
    <w:name w:val="Annex"/>
    <w:basedOn w:val="Normal"/>
    <w:next w:val="NumberedParagraph"/>
    <w:link w:val="AnnexChar"/>
    <w:uiPriority w:val="10"/>
    <w:qFormat/>
    <w:rsid w:val="007E36CB"/>
    <w:pPr>
      <w:pageBreakBefore/>
      <w:numPr>
        <w:ilvl w:val="3"/>
        <w:numId w:val="3"/>
      </w:numPr>
      <w:spacing w:after="360"/>
      <w:jc w:val="left"/>
      <w:outlineLvl w:val="0"/>
    </w:pPr>
    <w:rPr>
      <w:rFonts w:ascii="Tahoma Bold" w:hAnsi="Tahoma Bold"/>
      <w:b/>
      <w:color w:val="44697D"/>
      <w:sz w:val="32"/>
      <w:szCs w:val="32"/>
    </w:rPr>
  </w:style>
  <w:style w:type="paragraph" w:customStyle="1" w:styleId="Pa1">
    <w:name w:val="Pa1"/>
    <w:basedOn w:val="Normal"/>
    <w:next w:val="Normal"/>
    <w:uiPriority w:val="99"/>
    <w:rsid w:val="0023764F"/>
    <w:pPr>
      <w:autoSpaceDE w:val="0"/>
      <w:autoSpaceDN w:val="0"/>
      <w:adjustRightInd w:val="0"/>
      <w:spacing w:before="0" w:after="0" w:line="241" w:lineRule="atLeast"/>
      <w:jc w:val="left"/>
    </w:pPr>
    <w:rPr>
      <w:rFonts w:eastAsia="Calibri" w:cs="Tahoma"/>
      <w:sz w:val="24"/>
      <w:szCs w:val="24"/>
      <w:lang w:val="pl-PL" w:eastAsia="en-US"/>
    </w:rPr>
  </w:style>
  <w:style w:type="paragraph" w:styleId="TOC1">
    <w:name w:val="toc 1"/>
    <w:basedOn w:val="Normal"/>
    <w:uiPriority w:val="39"/>
    <w:qFormat/>
    <w:rsid w:val="00623F2E"/>
    <w:pPr>
      <w:keepNext/>
      <w:tabs>
        <w:tab w:val="right" w:leader="dot" w:pos="9639"/>
      </w:tabs>
      <w:ind w:left="1134" w:hanging="1134"/>
      <w:jc w:val="left"/>
    </w:pPr>
    <w:rPr>
      <w:b/>
      <w:noProof/>
      <w:color w:val="44697D"/>
      <w:sz w:val="20"/>
    </w:rPr>
  </w:style>
  <w:style w:type="paragraph" w:styleId="TOC2">
    <w:name w:val="toc 2"/>
    <w:basedOn w:val="Normal"/>
    <w:uiPriority w:val="39"/>
    <w:qFormat/>
    <w:rsid w:val="00C860FD"/>
    <w:pPr>
      <w:tabs>
        <w:tab w:val="left" w:pos="1440"/>
        <w:tab w:val="right" w:leader="dot" w:pos="9639"/>
      </w:tabs>
      <w:ind w:left="1134" w:hanging="1134"/>
      <w:jc w:val="left"/>
    </w:pPr>
    <w:rPr>
      <w:b/>
      <w:noProof/>
      <w:color w:val="00B0F0"/>
      <w:kern w:val="18"/>
      <w:sz w:val="20"/>
      <w:lang w:eastAsia="en-US"/>
    </w:rPr>
  </w:style>
  <w:style w:type="character" w:styleId="Hyperlink">
    <w:name w:val="Hyperlink"/>
    <w:uiPriority w:val="99"/>
    <w:rsid w:val="006732AB"/>
    <w:rPr>
      <w:color w:val="0000FF"/>
      <w:u w:val="single"/>
    </w:rPr>
  </w:style>
  <w:style w:type="paragraph" w:styleId="TOC3">
    <w:name w:val="toc 3"/>
    <w:basedOn w:val="Normal"/>
    <w:next w:val="Normal"/>
    <w:uiPriority w:val="39"/>
    <w:qFormat/>
    <w:rsid w:val="00C860FD"/>
    <w:pPr>
      <w:tabs>
        <w:tab w:val="right" w:leader="dot" w:pos="9639"/>
      </w:tabs>
      <w:ind w:left="1134" w:hanging="850"/>
    </w:pPr>
    <w:rPr>
      <w:noProof/>
      <w:sz w:val="20"/>
      <w:szCs w:val="24"/>
    </w:rPr>
  </w:style>
  <w:style w:type="paragraph" w:styleId="Subtitle">
    <w:name w:val="Subtitle"/>
    <w:basedOn w:val="Normal"/>
    <w:link w:val="SubtitleChar"/>
    <w:qFormat/>
    <w:rsid w:val="006732AB"/>
    <w:pPr>
      <w:numPr>
        <w:numId w:val="1"/>
      </w:numPr>
      <w:tabs>
        <w:tab w:val="clear" w:pos="720"/>
      </w:tabs>
      <w:spacing w:before="0" w:after="60"/>
      <w:jc w:val="center"/>
      <w:outlineLvl w:val="1"/>
    </w:pPr>
    <w:rPr>
      <w:rFonts w:ascii="Arial" w:hAnsi="Arial"/>
      <w:sz w:val="24"/>
      <w:szCs w:val="24"/>
      <w:lang w:val="en-AU" w:eastAsia="en-AU"/>
    </w:rPr>
  </w:style>
  <w:style w:type="character" w:customStyle="1" w:styleId="SubtitleChar">
    <w:name w:val="Subtitle Char"/>
    <w:link w:val="Subtitle"/>
    <w:rsid w:val="006732AB"/>
    <w:rPr>
      <w:rFonts w:ascii="Arial" w:hAnsi="Arial"/>
      <w:sz w:val="24"/>
      <w:szCs w:val="24"/>
      <w:lang w:val="en-AU" w:eastAsia="en-AU"/>
    </w:rPr>
  </w:style>
  <w:style w:type="paragraph" w:styleId="TOCHeading">
    <w:name w:val="TOC Heading"/>
    <w:basedOn w:val="Heading1"/>
    <w:next w:val="Normal"/>
    <w:uiPriority w:val="39"/>
    <w:qFormat/>
    <w:rsid w:val="006732AB"/>
    <w:pPr>
      <w:keepNext/>
      <w:keepLines/>
      <w:spacing w:before="480" w:after="0"/>
      <w:ind w:left="0"/>
      <w:outlineLvl w:val="9"/>
    </w:pPr>
    <w:rPr>
      <w:rFonts w:ascii="Cambria" w:hAnsi="Cambria"/>
      <w:bCs/>
      <w:color w:val="365F91"/>
      <w:sz w:val="28"/>
      <w:szCs w:val="28"/>
      <w:lang w:val="en-US" w:eastAsia="en-US"/>
    </w:rPr>
  </w:style>
  <w:style w:type="paragraph" w:styleId="TableofFigures">
    <w:name w:val="table of figures"/>
    <w:basedOn w:val="Normal"/>
    <w:next w:val="Normal"/>
    <w:uiPriority w:val="99"/>
    <w:rsid w:val="00C860FD"/>
    <w:rPr>
      <w:sz w:val="20"/>
      <w:szCs w:val="24"/>
    </w:rPr>
  </w:style>
  <w:style w:type="paragraph" w:styleId="EndnoteText">
    <w:name w:val="endnote text"/>
    <w:basedOn w:val="Normal"/>
    <w:link w:val="EndnoteTextChar"/>
    <w:uiPriority w:val="99"/>
    <w:semiHidden/>
    <w:rsid w:val="00A7501E"/>
    <w:pPr>
      <w:widowControl w:val="0"/>
      <w:autoSpaceDE w:val="0"/>
      <w:autoSpaceDN w:val="0"/>
      <w:adjustRightInd w:val="0"/>
    </w:pPr>
    <w:rPr>
      <w:rFonts w:ascii="Courier New" w:hAnsi="Courier New"/>
      <w:szCs w:val="24"/>
      <w:lang w:val="en-US" w:eastAsia="en-US"/>
    </w:rPr>
  </w:style>
  <w:style w:type="character" w:customStyle="1" w:styleId="EndnoteTextChar">
    <w:name w:val="Endnote Text Char"/>
    <w:link w:val="EndnoteText"/>
    <w:uiPriority w:val="99"/>
    <w:semiHidden/>
    <w:rsid w:val="00A7501E"/>
    <w:rPr>
      <w:rFonts w:ascii="Courier New" w:eastAsia="Times New Roman" w:hAnsi="Courier New" w:cs="Times New Roman"/>
      <w:sz w:val="20"/>
      <w:szCs w:val="24"/>
      <w:lang w:val="en-US" w:eastAsia="en-US"/>
    </w:rPr>
  </w:style>
  <w:style w:type="character" w:customStyle="1" w:styleId="NormalIndentChar">
    <w:name w:val="Normal Indent Char"/>
    <w:link w:val="NormalIndent"/>
    <w:locked/>
    <w:rsid w:val="002121AC"/>
    <w:rPr>
      <w:rFonts w:ascii="Tahoma" w:hAnsi="Tahoma"/>
      <w:sz w:val="20"/>
    </w:rPr>
  </w:style>
  <w:style w:type="paragraph" w:customStyle="1" w:styleId="Table">
    <w:name w:val="Table"/>
    <w:basedOn w:val="Normal"/>
    <w:uiPriority w:val="15"/>
    <w:qFormat/>
    <w:rsid w:val="008B6930"/>
    <w:pPr>
      <w:tabs>
        <w:tab w:val="left" w:pos="567"/>
      </w:tabs>
      <w:spacing w:before="0" w:after="0"/>
      <w:jc w:val="left"/>
    </w:pPr>
    <w:rPr>
      <w:lang w:eastAsia="en-US"/>
    </w:rPr>
  </w:style>
  <w:style w:type="paragraph" w:customStyle="1" w:styleId="Indentnumbered">
    <w:name w:val="Indent numbered"/>
    <w:basedOn w:val="NormalIndent"/>
    <w:link w:val="IndentnumberedChar"/>
    <w:rsid w:val="0005159B"/>
    <w:pPr>
      <w:tabs>
        <w:tab w:val="num" w:pos="1134"/>
        <w:tab w:val="left" w:pos="1276"/>
      </w:tabs>
      <w:spacing w:before="100" w:after="100"/>
      <w:ind w:left="1134" w:hanging="567"/>
      <w:jc w:val="left"/>
    </w:pPr>
    <w:rPr>
      <w:szCs w:val="24"/>
      <w:lang w:val="en-US"/>
    </w:rPr>
  </w:style>
  <w:style w:type="character" w:customStyle="1" w:styleId="IndentnumberedChar">
    <w:name w:val="Indent numbered Char"/>
    <w:link w:val="Indentnumbered"/>
    <w:locked/>
    <w:rsid w:val="0005159B"/>
    <w:rPr>
      <w:rFonts w:ascii="Tahoma" w:eastAsia="Times New Roman" w:hAnsi="Tahoma" w:cs="Times New Roman"/>
      <w:sz w:val="20"/>
      <w:szCs w:val="24"/>
      <w:lang w:val="en-US"/>
    </w:rPr>
  </w:style>
  <w:style w:type="character" w:customStyle="1" w:styleId="CaptionChar">
    <w:name w:val="Caption Char"/>
    <w:aliases w:val="Beschriftung Char Char,Beschriftung Char Char Char Char Char Char,Beschriftung Char Char Char Char,~Caption Char,Table Caption Char,Caption Char Char Char Char,Caption Char Char Char Char Char Char Char,Caption1 Char"/>
    <w:link w:val="Caption"/>
    <w:locked/>
    <w:rsid w:val="008343FF"/>
    <w:rPr>
      <w:rFonts w:ascii="Tahoma" w:hAnsi="Tahoma" w:cs="Arial"/>
      <w:b/>
      <w:bCs/>
      <w:sz w:val="18"/>
      <w:szCs w:val="18"/>
      <w:lang w:val="en-GB" w:eastAsia="en-GB"/>
    </w:rPr>
  </w:style>
  <w:style w:type="paragraph" w:customStyle="1" w:styleId="Char21">
    <w:name w:val="Char21"/>
    <w:basedOn w:val="Normal"/>
    <w:uiPriority w:val="99"/>
    <w:rsid w:val="0005159B"/>
    <w:pPr>
      <w:spacing w:before="0" w:after="160" w:line="240" w:lineRule="exact"/>
      <w:jc w:val="left"/>
    </w:pPr>
    <w:rPr>
      <w:rFonts w:ascii="Arial" w:hAnsi="Arial"/>
      <w:szCs w:val="20"/>
      <w:lang w:val="en-US" w:eastAsia="en-US"/>
    </w:rPr>
  </w:style>
  <w:style w:type="paragraph" w:styleId="NormalIndent">
    <w:name w:val="Normal Indent"/>
    <w:basedOn w:val="Normal"/>
    <w:link w:val="NormalIndentChar"/>
    <w:unhideWhenUsed/>
    <w:rsid w:val="0005159B"/>
    <w:pPr>
      <w:ind w:left="720"/>
    </w:pPr>
    <w:rPr>
      <w:szCs w:val="20"/>
    </w:rPr>
  </w:style>
  <w:style w:type="paragraph" w:customStyle="1" w:styleId="NoParagraphStyle">
    <w:name w:val="[No Paragraph Style]"/>
    <w:rsid w:val="00B250F9"/>
    <w:pPr>
      <w:autoSpaceDE w:val="0"/>
      <w:autoSpaceDN w:val="0"/>
      <w:adjustRightInd w:val="0"/>
      <w:spacing w:line="288" w:lineRule="auto"/>
      <w:textAlignment w:val="center"/>
    </w:pPr>
    <w:rPr>
      <w:rFonts w:ascii="Times Regular" w:hAnsi="Times Regular" w:cs="Times Regular"/>
      <w:color w:val="000000"/>
      <w:sz w:val="24"/>
      <w:szCs w:val="24"/>
      <w:lang w:val="en-GB" w:eastAsia="en-GB"/>
    </w:rPr>
  </w:style>
  <w:style w:type="numbering" w:customStyle="1" w:styleId="ListBulletsWorldBankADB">
    <w:name w:val="ListBulletsWorldBank/ADB"/>
    <w:rsid w:val="0015476E"/>
    <w:pPr>
      <w:numPr>
        <w:numId w:val="2"/>
      </w:numPr>
    </w:pPr>
  </w:style>
  <w:style w:type="paragraph" w:styleId="ListParagraph">
    <w:name w:val="List Paragraph"/>
    <w:aliases w:val="Indent Paragraph,Lettre d'introduction,Heading 2_sj,Dot pt,List Paragraph Char Char Char,Indicator Text,Numbered Para 1,List Paragraph12,Bullet Points,MAIN CONTENT,Bullet 1,List Paragraph (numbered (a)),Bullit,List Paragraph Aktis,FM,Ha"/>
    <w:basedOn w:val="Normal"/>
    <w:link w:val="ListParagraphChar"/>
    <w:uiPriority w:val="34"/>
    <w:qFormat/>
    <w:rsid w:val="00945F9F"/>
    <w:pPr>
      <w:ind w:left="720"/>
      <w:contextualSpacing/>
    </w:pPr>
    <w:rPr>
      <w:szCs w:val="24"/>
    </w:rPr>
  </w:style>
  <w:style w:type="numbering" w:customStyle="1" w:styleId="IndentedNumberWorldBank">
    <w:name w:val="IndentedNumberWorldBank"/>
    <w:uiPriority w:val="99"/>
    <w:rsid w:val="00335E7C"/>
    <w:pPr>
      <w:numPr>
        <w:numId w:val="4"/>
      </w:numPr>
    </w:pPr>
  </w:style>
  <w:style w:type="paragraph" w:customStyle="1" w:styleId="Recommendation">
    <w:name w:val="Recommendation"/>
    <w:basedOn w:val="Normal"/>
    <w:next w:val="NumberedParagraph"/>
    <w:link w:val="RecommendationChar"/>
    <w:uiPriority w:val="10"/>
    <w:qFormat/>
    <w:rsid w:val="007E36CB"/>
    <w:pPr>
      <w:numPr>
        <w:numId w:val="10"/>
      </w:numPr>
      <w:jc w:val="left"/>
    </w:pPr>
    <w:rPr>
      <w:b/>
      <w:i/>
    </w:rPr>
  </w:style>
  <w:style w:type="paragraph" w:styleId="ListNumber">
    <w:name w:val="List Number"/>
    <w:basedOn w:val="Normal"/>
    <w:uiPriority w:val="99"/>
    <w:unhideWhenUsed/>
    <w:qFormat/>
    <w:rsid w:val="007E36CB"/>
    <w:pPr>
      <w:numPr>
        <w:numId w:val="8"/>
      </w:numPr>
      <w:spacing w:before="0" w:after="60"/>
      <w:jc w:val="left"/>
    </w:pPr>
  </w:style>
  <w:style w:type="paragraph" w:customStyle="1" w:styleId="USP">
    <w:name w:val="USP"/>
    <w:basedOn w:val="Normal"/>
    <w:next w:val="NumberedParagraph"/>
    <w:link w:val="USPChar"/>
    <w:uiPriority w:val="10"/>
    <w:qFormat/>
    <w:rsid w:val="007E36CB"/>
    <w:pPr>
      <w:numPr>
        <w:numId w:val="11"/>
      </w:numPr>
      <w:jc w:val="left"/>
    </w:pPr>
    <w:rPr>
      <w:b/>
      <w:i/>
    </w:rPr>
  </w:style>
  <w:style w:type="character" w:customStyle="1" w:styleId="RecommendationChar">
    <w:name w:val="Recommendation Char"/>
    <w:link w:val="Recommendation"/>
    <w:uiPriority w:val="10"/>
    <w:rsid w:val="007E36CB"/>
    <w:rPr>
      <w:rFonts w:ascii="Tahoma" w:hAnsi="Tahoma"/>
      <w:b/>
      <w:i/>
      <w:sz w:val="22"/>
      <w:szCs w:val="22"/>
      <w:lang w:val="en-GB" w:eastAsia="en-GB"/>
    </w:rPr>
  </w:style>
  <w:style w:type="numbering" w:customStyle="1" w:styleId="Recommnendation">
    <w:name w:val="Recommnendation"/>
    <w:uiPriority w:val="99"/>
    <w:rsid w:val="007838B6"/>
    <w:pPr>
      <w:numPr>
        <w:numId w:val="6"/>
      </w:numPr>
    </w:pPr>
  </w:style>
  <w:style w:type="numbering" w:customStyle="1" w:styleId="KeyIssues">
    <w:name w:val="KeyIssues"/>
    <w:uiPriority w:val="99"/>
    <w:rsid w:val="00DC2F3D"/>
    <w:pPr>
      <w:numPr>
        <w:numId w:val="5"/>
      </w:numPr>
    </w:pPr>
  </w:style>
  <w:style w:type="paragraph" w:customStyle="1" w:styleId="KeyIssue">
    <w:name w:val="Key Issue"/>
    <w:basedOn w:val="Normal"/>
    <w:next w:val="NumberedParagraph"/>
    <w:link w:val="KeyIssueChar"/>
    <w:uiPriority w:val="10"/>
    <w:qFormat/>
    <w:rsid w:val="007E36CB"/>
    <w:pPr>
      <w:numPr>
        <w:numId w:val="12"/>
      </w:numPr>
      <w:jc w:val="left"/>
    </w:pPr>
    <w:rPr>
      <w:b/>
      <w:i/>
    </w:rPr>
  </w:style>
  <w:style w:type="character" w:customStyle="1" w:styleId="USPChar">
    <w:name w:val="USP Char"/>
    <w:link w:val="USP"/>
    <w:uiPriority w:val="10"/>
    <w:rsid w:val="007E36CB"/>
    <w:rPr>
      <w:rFonts w:ascii="Tahoma" w:hAnsi="Tahoma"/>
      <w:b/>
      <w:i/>
      <w:sz w:val="22"/>
      <w:szCs w:val="22"/>
      <w:lang w:val="en-GB" w:eastAsia="en-GB"/>
    </w:rPr>
  </w:style>
  <w:style w:type="character" w:customStyle="1" w:styleId="KeyIssueChar">
    <w:name w:val="Key Issue Char"/>
    <w:link w:val="KeyIssue"/>
    <w:uiPriority w:val="10"/>
    <w:rsid w:val="007E36CB"/>
    <w:rPr>
      <w:rFonts w:ascii="Tahoma" w:hAnsi="Tahoma"/>
      <w:b/>
      <w:i/>
      <w:sz w:val="22"/>
      <w:szCs w:val="22"/>
      <w:lang w:val="en-GB" w:eastAsia="en-GB"/>
    </w:rPr>
  </w:style>
  <w:style w:type="numbering" w:customStyle="1" w:styleId="USPList">
    <w:name w:val="USP List"/>
    <w:uiPriority w:val="99"/>
    <w:rsid w:val="007838B6"/>
    <w:pPr>
      <w:numPr>
        <w:numId w:val="7"/>
      </w:numPr>
    </w:pPr>
  </w:style>
  <w:style w:type="character" w:customStyle="1" w:styleId="AnnexChar">
    <w:name w:val="Annex Char"/>
    <w:link w:val="Annex"/>
    <w:uiPriority w:val="10"/>
    <w:rsid w:val="007E36CB"/>
    <w:rPr>
      <w:rFonts w:ascii="Tahoma Bold" w:hAnsi="Tahoma Bold"/>
      <w:b/>
      <w:color w:val="44697D"/>
      <w:sz w:val="32"/>
      <w:szCs w:val="32"/>
      <w:lang w:val="en-GB" w:eastAsia="en-GB"/>
    </w:rPr>
  </w:style>
  <w:style w:type="character" w:customStyle="1" w:styleId="A1">
    <w:name w:val="A1"/>
    <w:uiPriority w:val="99"/>
    <w:rsid w:val="0023764F"/>
    <w:rPr>
      <w:color w:val="385F79"/>
      <w:sz w:val="14"/>
      <w:szCs w:val="14"/>
    </w:rPr>
  </w:style>
  <w:style w:type="character" w:customStyle="1" w:styleId="A2">
    <w:name w:val="A2"/>
    <w:uiPriority w:val="99"/>
    <w:rsid w:val="0023764F"/>
    <w:rPr>
      <w:color w:val="385F79"/>
      <w:sz w:val="12"/>
      <w:szCs w:val="12"/>
    </w:rPr>
  </w:style>
  <w:style w:type="paragraph" w:styleId="BodyText">
    <w:name w:val="Body Text"/>
    <w:aliases w:val="Body Text Char3 Char,Body Text Char2 Char1 Char,Body Text Char Char1 Char1 Char,Body Text Char2 Char Char Char Char,Body Text Char Char1 Char Char Char Char,Char Char Char Char Char Char Char,Body Text Char Char2 Char Char,heading3,uvlaka 2"/>
    <w:basedOn w:val="Normal"/>
    <w:link w:val="BodyTextChar1"/>
    <w:rsid w:val="001D796C"/>
    <w:pPr>
      <w:spacing w:before="60" w:after="60"/>
      <w:ind w:left="720"/>
      <w:jc w:val="left"/>
    </w:pPr>
    <w:rPr>
      <w:rFonts w:ascii="Arial" w:hAnsi="Arial"/>
      <w:sz w:val="24"/>
      <w:szCs w:val="24"/>
    </w:rPr>
  </w:style>
  <w:style w:type="character" w:customStyle="1" w:styleId="BodyTextChar">
    <w:name w:val="Body Text Char"/>
    <w:aliases w:val="heading3 Char,Body Text - Level 2 Char,uvlaka 2 Char,  uvlaka 2 Char,Biotope Char"/>
    <w:rsid w:val="001D796C"/>
    <w:rPr>
      <w:rFonts w:ascii="Tahoma" w:hAnsi="Tahoma"/>
      <w:sz w:val="20"/>
    </w:rPr>
  </w:style>
  <w:style w:type="paragraph" w:styleId="NoSpacing">
    <w:name w:val="No Spacing"/>
    <w:link w:val="NoSpacingChar"/>
    <w:uiPriority w:val="1"/>
    <w:qFormat/>
    <w:rsid w:val="002C4598"/>
    <w:pPr>
      <w:jc w:val="both"/>
    </w:pPr>
    <w:rPr>
      <w:rFonts w:ascii="Times New Roman" w:hAnsi="Times New Roman"/>
      <w:sz w:val="24"/>
      <w:szCs w:val="22"/>
      <w:lang w:val="en-GB"/>
    </w:rPr>
  </w:style>
  <w:style w:type="character" w:customStyle="1" w:styleId="BodyTextChar1">
    <w:name w:val="Body Text Char1"/>
    <w:aliases w:val="Body Text Char3 Char Char,Body Text Char2 Char1 Char Char,Body Text Char Char1 Char1 Char Char,Body Text Char2 Char Char Char Char Char,Body Text Char Char1 Char Char Char Char Char,Char Char Char Char Char Char Char Char,heading3 Char1"/>
    <w:link w:val="BodyText"/>
    <w:locked/>
    <w:rsid w:val="001D796C"/>
    <w:rPr>
      <w:rFonts w:ascii="Arial" w:eastAsia="Times New Roman" w:hAnsi="Arial" w:cs="Times New Roman"/>
      <w:sz w:val="24"/>
      <w:szCs w:val="24"/>
    </w:rPr>
  </w:style>
  <w:style w:type="paragraph" w:styleId="DocumentMap">
    <w:name w:val="Document Map"/>
    <w:basedOn w:val="Normal"/>
    <w:link w:val="DocumentMapChar"/>
    <w:uiPriority w:val="99"/>
    <w:semiHidden/>
    <w:unhideWhenUsed/>
    <w:rsid w:val="00176554"/>
    <w:pPr>
      <w:spacing w:before="0" w:after="0"/>
    </w:pPr>
    <w:rPr>
      <w:sz w:val="16"/>
      <w:szCs w:val="16"/>
    </w:rPr>
  </w:style>
  <w:style w:type="character" w:customStyle="1" w:styleId="DocumentMapChar">
    <w:name w:val="Document Map Char"/>
    <w:link w:val="DocumentMap"/>
    <w:uiPriority w:val="99"/>
    <w:semiHidden/>
    <w:rsid w:val="00176554"/>
    <w:rPr>
      <w:rFonts w:ascii="Tahoma" w:hAnsi="Tahoma" w:cs="Tahoma"/>
      <w:sz w:val="16"/>
      <w:szCs w:val="16"/>
    </w:rPr>
  </w:style>
  <w:style w:type="paragraph" w:customStyle="1" w:styleId="DefaultParagraphFontParaCharCharCharCharCharChar1Char">
    <w:name w:val="Default Paragraph Font Para Char Char Char Char Char Char1 Char"/>
    <w:basedOn w:val="Normal"/>
    <w:rsid w:val="008B6930"/>
    <w:pPr>
      <w:spacing w:before="0" w:after="160" w:line="240" w:lineRule="exact"/>
      <w:jc w:val="left"/>
    </w:pPr>
    <w:rPr>
      <w:rFonts w:ascii="Arial" w:hAnsi="Arial"/>
      <w:szCs w:val="20"/>
      <w:lang w:val="en-US" w:eastAsia="en-US"/>
    </w:rPr>
  </w:style>
  <w:style w:type="paragraph" w:customStyle="1" w:styleId="BasicParagraph">
    <w:name w:val="[Basic Paragraph]"/>
    <w:basedOn w:val="NoParagraphStyle"/>
    <w:uiPriority w:val="99"/>
    <w:rsid w:val="00193D93"/>
    <w:rPr>
      <w:rFonts w:ascii="Times New Roman" w:hAnsi="Times New Roman" w:cs="Times New Roman"/>
    </w:rPr>
  </w:style>
  <w:style w:type="character" w:styleId="PageNumber">
    <w:name w:val="page number"/>
    <w:basedOn w:val="DefaultParagraphFont"/>
    <w:unhideWhenUsed/>
    <w:rsid w:val="00820E04"/>
  </w:style>
  <w:style w:type="paragraph" w:styleId="FootnoteText">
    <w:name w:val="footnote text"/>
    <w:aliases w:val="Footnotes_UQ,Fußnotentextf,Fußnote,Footnote,Footnote Text Char1 Char,Footnote Text Char Char Char,Footnote Text Char1 Char Char Char,Footnote Text Char Char Char Char Char,Footnote Text Char1 Char1 Char,Footnote Text Char Char Char1 Char,f"/>
    <w:basedOn w:val="Normal"/>
    <w:link w:val="FootnoteTextChar"/>
    <w:unhideWhenUsed/>
    <w:qFormat/>
    <w:rsid w:val="0075643F"/>
    <w:pPr>
      <w:spacing w:before="0" w:after="0" w:line="280" w:lineRule="atLeast"/>
      <w:jc w:val="left"/>
    </w:pPr>
    <w:rPr>
      <w:rFonts w:ascii="Arial" w:hAnsi="Arial"/>
      <w:szCs w:val="20"/>
    </w:rPr>
  </w:style>
  <w:style w:type="character" w:customStyle="1" w:styleId="FootnoteTextChar">
    <w:name w:val="Footnote Text Char"/>
    <w:aliases w:val="Footnotes_UQ Char,Fußnotentextf Char,Fußnote Char,Footnote Char,Footnote Text Char1 Char Char,Footnote Text Char Char Char Char,Footnote Text Char1 Char Char Char Char,Footnote Text Char Char Char Char Char Char,f Char"/>
    <w:link w:val="FootnoteText"/>
    <w:qFormat/>
    <w:rsid w:val="0075643F"/>
    <w:rPr>
      <w:rFonts w:ascii="Arial" w:hAnsi="Arial"/>
      <w:lang w:val="en-GB"/>
    </w:rPr>
  </w:style>
  <w:style w:type="character" w:styleId="FootnoteReference">
    <w:name w:val="footnote reference"/>
    <w:aliases w:val="BVI fnr,ftref, BVI fnr,Char Char1,16 Point,Superscript 6 Point,Char Char Char Char Car Char,nota pié di pagina,Superscript 6 Point + 11 pt,Footnote Reference Number,Footnote Reference_LVL6,Footnote Reference_LVL61,Heading 2 Char1,fr"/>
    <w:link w:val="CarattereCarattereCharCharCharCharCharCharZchn"/>
    <w:uiPriority w:val="99"/>
    <w:unhideWhenUsed/>
    <w:qFormat/>
    <w:rsid w:val="0075643F"/>
    <w:rPr>
      <w:vertAlign w:val="superscript"/>
    </w:rPr>
  </w:style>
  <w:style w:type="character" w:customStyle="1" w:styleId="A0">
    <w:name w:val="A0"/>
    <w:uiPriority w:val="99"/>
    <w:rsid w:val="0075643F"/>
    <w:rPr>
      <w:rFonts w:ascii="Century Gothic" w:hAnsi="Century Gothic" w:cs="Century Gothic" w:hint="default"/>
      <w:b/>
      <w:bCs/>
      <w:color w:val="000000"/>
      <w:sz w:val="16"/>
      <w:szCs w:val="16"/>
    </w:rPr>
  </w:style>
  <w:style w:type="character" w:styleId="CommentReference">
    <w:name w:val="annotation reference"/>
    <w:uiPriority w:val="99"/>
    <w:unhideWhenUsed/>
    <w:rsid w:val="00063EAF"/>
    <w:rPr>
      <w:sz w:val="16"/>
      <w:szCs w:val="16"/>
    </w:rPr>
  </w:style>
  <w:style w:type="paragraph" w:styleId="CommentText">
    <w:name w:val="annotation text"/>
    <w:basedOn w:val="Normal"/>
    <w:link w:val="CommentTextChar"/>
    <w:uiPriority w:val="99"/>
    <w:unhideWhenUsed/>
    <w:rsid w:val="00063EAF"/>
    <w:rPr>
      <w:szCs w:val="20"/>
    </w:rPr>
  </w:style>
  <w:style w:type="character" w:customStyle="1" w:styleId="CommentTextChar">
    <w:name w:val="Comment Text Char"/>
    <w:link w:val="CommentText"/>
    <w:uiPriority w:val="99"/>
    <w:rsid w:val="00063EAF"/>
    <w:rPr>
      <w:rFonts w:ascii="Tahoma" w:hAnsi="Tahoma"/>
      <w:lang w:val="en-GB" w:eastAsia="en-GB"/>
    </w:rPr>
  </w:style>
  <w:style w:type="paragraph" w:styleId="CommentSubject">
    <w:name w:val="annotation subject"/>
    <w:basedOn w:val="CommentText"/>
    <w:next w:val="CommentText"/>
    <w:link w:val="CommentSubjectChar"/>
    <w:uiPriority w:val="99"/>
    <w:semiHidden/>
    <w:unhideWhenUsed/>
    <w:rsid w:val="00063EAF"/>
    <w:rPr>
      <w:b/>
      <w:bCs/>
    </w:rPr>
  </w:style>
  <w:style w:type="character" w:customStyle="1" w:styleId="CommentSubjectChar">
    <w:name w:val="Comment Subject Char"/>
    <w:link w:val="CommentSubject"/>
    <w:uiPriority w:val="99"/>
    <w:semiHidden/>
    <w:rsid w:val="00063EAF"/>
    <w:rPr>
      <w:rFonts w:ascii="Tahoma" w:hAnsi="Tahoma"/>
      <w:b/>
      <w:bCs/>
      <w:lang w:val="en-GB" w:eastAsia="en-GB"/>
    </w:rPr>
  </w:style>
  <w:style w:type="character" w:customStyle="1" w:styleId="None">
    <w:name w:val="None"/>
    <w:rsid w:val="00063EAF"/>
    <w:rPr>
      <w:rFonts w:ascii="Arial Bold" w:hAnsi="Arial Bold"/>
      <w:b/>
      <w:sz w:val="20"/>
    </w:rPr>
  </w:style>
  <w:style w:type="character" w:customStyle="1" w:styleId="NoSpacingChar">
    <w:name w:val="No Spacing Char"/>
    <w:link w:val="NoSpacing"/>
    <w:uiPriority w:val="1"/>
    <w:rsid w:val="00063EAF"/>
    <w:rPr>
      <w:rFonts w:ascii="Times New Roman" w:hAnsi="Times New Roman"/>
      <w:sz w:val="24"/>
      <w:szCs w:val="22"/>
      <w:lang w:val="en-GB" w:eastAsia="en-US" w:bidi="ar-SA"/>
    </w:rPr>
  </w:style>
  <w:style w:type="paragraph" w:customStyle="1" w:styleId="Default">
    <w:name w:val="Default"/>
    <w:rsid w:val="00063EAF"/>
    <w:pPr>
      <w:autoSpaceDE w:val="0"/>
      <w:autoSpaceDN w:val="0"/>
      <w:adjustRightInd w:val="0"/>
    </w:pPr>
    <w:rPr>
      <w:rFonts w:ascii="Constantia" w:eastAsia="Calibri" w:hAnsi="Constantia" w:cs="Constantia"/>
      <w:color w:val="000000"/>
      <w:sz w:val="24"/>
      <w:szCs w:val="24"/>
      <w:lang w:val="en-GB"/>
    </w:rPr>
  </w:style>
  <w:style w:type="character" w:customStyle="1" w:styleId="A4">
    <w:name w:val="A4"/>
    <w:uiPriority w:val="99"/>
    <w:rsid w:val="00063EAF"/>
    <w:rPr>
      <w:rFonts w:cs="Constantia"/>
      <w:color w:val="000000"/>
      <w:sz w:val="16"/>
      <w:szCs w:val="16"/>
    </w:rPr>
  </w:style>
  <w:style w:type="character" w:customStyle="1" w:styleId="ListParagraphChar">
    <w:name w:val="List Paragraph Char"/>
    <w:aliases w:val="Indent Paragraph Char,Lettre d'introduction Char,Heading 2_sj Char,Dot pt Char,List Paragraph Char Char Char Char,Indicator Text Char,Numbered Para 1 Char,List Paragraph12 Char,Bullet Points Char,MAIN CONTENT Char,Bullet 1 Char"/>
    <w:link w:val="ListParagraph"/>
    <w:uiPriority w:val="34"/>
    <w:qFormat/>
    <w:locked/>
    <w:rsid w:val="00063EAF"/>
    <w:rPr>
      <w:rFonts w:ascii="Tahoma" w:hAnsi="Tahoma"/>
      <w:szCs w:val="24"/>
      <w:lang w:val="en-GB" w:eastAsia="en-GB"/>
    </w:rPr>
  </w:style>
  <w:style w:type="paragraph" w:styleId="ListNumber2">
    <w:name w:val="List Number 2"/>
    <w:basedOn w:val="Normal"/>
    <w:uiPriority w:val="99"/>
    <w:unhideWhenUsed/>
    <w:qFormat/>
    <w:rsid w:val="00572A33"/>
    <w:pPr>
      <w:numPr>
        <w:numId w:val="13"/>
      </w:numPr>
      <w:contextualSpacing/>
    </w:pPr>
  </w:style>
  <w:style w:type="table" w:customStyle="1" w:styleId="PlainTable41">
    <w:name w:val="Plain Table 41"/>
    <w:basedOn w:val="TableNormal"/>
    <w:uiPriority w:val="44"/>
    <w:rsid w:val="00572A33"/>
    <w:rPr>
      <w:rFonts w:eastAsia="Calibri"/>
      <w:sz w:val="22"/>
      <w:szCs w:val="22"/>
      <w:lang w:val="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ListBulletChar">
    <w:name w:val="List Bullet Char"/>
    <w:link w:val="ListBullet"/>
    <w:uiPriority w:val="99"/>
    <w:rsid w:val="003E2423"/>
    <w:rPr>
      <w:rFonts w:ascii="Tahoma" w:hAnsi="Tahoma"/>
      <w:sz w:val="22"/>
      <w:szCs w:val="22"/>
      <w:lang w:val="en-GB" w:eastAsia="en-GB"/>
    </w:rPr>
  </w:style>
  <w:style w:type="numbering" w:customStyle="1" w:styleId="Style1">
    <w:name w:val="Style1"/>
    <w:uiPriority w:val="99"/>
    <w:rsid w:val="00572A33"/>
    <w:pPr>
      <w:numPr>
        <w:numId w:val="14"/>
      </w:numPr>
    </w:pPr>
  </w:style>
  <w:style w:type="paragraph" w:styleId="BodyText2">
    <w:name w:val="Body Text 2"/>
    <w:basedOn w:val="Normal"/>
    <w:link w:val="BodyText2Char"/>
    <w:uiPriority w:val="99"/>
    <w:unhideWhenUsed/>
    <w:rsid w:val="00572A33"/>
    <w:pPr>
      <w:spacing w:before="0" w:line="480" w:lineRule="auto"/>
      <w:jc w:val="left"/>
    </w:pPr>
    <w:rPr>
      <w:rFonts w:ascii="Arial" w:hAnsi="Arial"/>
      <w:szCs w:val="23"/>
    </w:rPr>
  </w:style>
  <w:style w:type="character" w:customStyle="1" w:styleId="BodyText2Char">
    <w:name w:val="Body Text 2 Char"/>
    <w:link w:val="BodyText2"/>
    <w:uiPriority w:val="99"/>
    <w:rsid w:val="00572A33"/>
    <w:rPr>
      <w:rFonts w:ascii="Arial" w:hAnsi="Arial" w:cs="Arial"/>
      <w:szCs w:val="23"/>
      <w:lang w:val="en-GB"/>
    </w:rPr>
  </w:style>
  <w:style w:type="character" w:customStyle="1" w:styleId="Hyperlink0">
    <w:name w:val="Hyperlink.0"/>
    <w:rsid w:val="00572A33"/>
    <w:rPr>
      <w:rFonts w:ascii="Arial Bold" w:hAnsi="Arial Bold"/>
      <w:b/>
      <w:sz w:val="20"/>
      <w:lang w:val="en-US"/>
    </w:rPr>
  </w:style>
  <w:style w:type="paragraph" w:customStyle="1" w:styleId="TextBoxWriting">
    <w:name w:val="Text Box Writing"/>
    <w:basedOn w:val="Normal"/>
    <w:link w:val="TextBoxWritingChar"/>
    <w:uiPriority w:val="15"/>
    <w:qFormat/>
    <w:rsid w:val="003D0838"/>
    <w:pPr>
      <w:spacing w:before="60" w:after="60"/>
    </w:pPr>
    <w:rPr>
      <w:rFonts w:eastAsia="Calibri"/>
      <w:color w:val="44697D"/>
      <w:sz w:val="18"/>
      <w:lang w:bidi="en-US"/>
    </w:rPr>
  </w:style>
  <w:style w:type="paragraph" w:customStyle="1" w:styleId="WYGTitle">
    <w:name w:val="WYG Title"/>
    <w:basedOn w:val="Normal"/>
    <w:uiPriority w:val="15"/>
    <w:qFormat/>
    <w:rsid w:val="003D0838"/>
    <w:pPr>
      <w:spacing w:before="0" w:after="200"/>
      <w:jc w:val="left"/>
    </w:pPr>
    <w:rPr>
      <w:rFonts w:eastAsia="Calibri"/>
      <w:color w:val="A6A6A6"/>
      <w:sz w:val="40"/>
      <w:lang w:eastAsia="en-US" w:bidi="en-US"/>
    </w:rPr>
  </w:style>
  <w:style w:type="character" w:customStyle="1" w:styleId="TextBoxWritingChar">
    <w:name w:val="Text Box Writing Char"/>
    <w:link w:val="TextBoxWriting"/>
    <w:uiPriority w:val="15"/>
    <w:rsid w:val="003D0838"/>
    <w:rPr>
      <w:rFonts w:ascii="Tahoma" w:eastAsia="Calibri" w:hAnsi="Tahoma"/>
      <w:color w:val="44697D"/>
      <w:sz w:val="18"/>
      <w:szCs w:val="22"/>
      <w:lang w:val="en-GB" w:bidi="en-US"/>
    </w:rPr>
  </w:style>
  <w:style w:type="paragraph" w:styleId="Title">
    <w:name w:val="Title"/>
    <w:basedOn w:val="Normal"/>
    <w:next w:val="Normal"/>
    <w:link w:val="TitleChar"/>
    <w:qFormat/>
    <w:rsid w:val="003D0838"/>
    <w:pPr>
      <w:numPr>
        <w:ilvl w:val="3"/>
        <w:numId w:val="19"/>
      </w:numPr>
      <w:pBdr>
        <w:bottom w:val="single" w:sz="8" w:space="4" w:color="5B9BD5"/>
      </w:pBdr>
      <w:spacing w:before="0" w:after="300"/>
      <w:contextualSpacing/>
    </w:pPr>
    <w:rPr>
      <w:rFonts w:ascii="Calibri Light" w:hAnsi="Calibri Light"/>
      <w:color w:val="323E4F"/>
      <w:spacing w:val="5"/>
      <w:kern w:val="28"/>
      <w:sz w:val="52"/>
      <w:szCs w:val="52"/>
      <w:lang w:bidi="en-US"/>
    </w:rPr>
  </w:style>
  <w:style w:type="character" w:customStyle="1" w:styleId="TitleChar">
    <w:name w:val="Title Char"/>
    <w:link w:val="Title"/>
    <w:rsid w:val="003D0838"/>
    <w:rPr>
      <w:rFonts w:ascii="Calibri Light" w:hAnsi="Calibri Light"/>
      <w:color w:val="323E4F"/>
      <w:spacing w:val="5"/>
      <w:kern w:val="28"/>
      <w:sz w:val="52"/>
      <w:szCs w:val="52"/>
      <w:lang w:val="en-GB" w:eastAsia="en-GB" w:bidi="en-US"/>
    </w:rPr>
  </w:style>
  <w:style w:type="paragraph" w:styleId="TOC4">
    <w:name w:val="toc 4"/>
    <w:basedOn w:val="Normal"/>
    <w:next w:val="Normal"/>
    <w:autoRedefine/>
    <w:uiPriority w:val="39"/>
    <w:unhideWhenUsed/>
    <w:rsid w:val="003D0838"/>
    <w:pPr>
      <w:spacing w:before="0" w:after="100"/>
      <w:ind w:left="600"/>
    </w:pPr>
    <w:rPr>
      <w:rFonts w:eastAsia="Calibri"/>
      <w:sz w:val="18"/>
      <w:lang w:eastAsia="en-US" w:bidi="en-US"/>
    </w:rPr>
  </w:style>
  <w:style w:type="paragraph" w:styleId="TOC5">
    <w:name w:val="toc 5"/>
    <w:basedOn w:val="Normal"/>
    <w:next w:val="Normal"/>
    <w:autoRedefine/>
    <w:uiPriority w:val="39"/>
    <w:unhideWhenUsed/>
    <w:rsid w:val="003D0838"/>
    <w:pPr>
      <w:spacing w:before="0" w:after="100"/>
      <w:ind w:left="800"/>
    </w:pPr>
    <w:rPr>
      <w:rFonts w:eastAsia="Calibri"/>
      <w:sz w:val="18"/>
      <w:lang w:eastAsia="en-US" w:bidi="en-US"/>
    </w:rPr>
  </w:style>
  <w:style w:type="paragraph" w:styleId="TOC6">
    <w:name w:val="toc 6"/>
    <w:basedOn w:val="Normal"/>
    <w:next w:val="Normal"/>
    <w:autoRedefine/>
    <w:uiPriority w:val="39"/>
    <w:unhideWhenUsed/>
    <w:rsid w:val="003D0838"/>
    <w:pPr>
      <w:spacing w:before="0" w:after="100"/>
      <w:ind w:left="1000"/>
    </w:pPr>
    <w:rPr>
      <w:rFonts w:eastAsia="Calibri"/>
      <w:sz w:val="18"/>
      <w:lang w:eastAsia="en-US" w:bidi="en-US"/>
    </w:rPr>
  </w:style>
  <w:style w:type="paragraph" w:styleId="TOC7">
    <w:name w:val="toc 7"/>
    <w:basedOn w:val="Normal"/>
    <w:next w:val="Normal"/>
    <w:autoRedefine/>
    <w:uiPriority w:val="39"/>
    <w:unhideWhenUsed/>
    <w:rsid w:val="003D0838"/>
    <w:pPr>
      <w:spacing w:before="0" w:after="100"/>
      <w:ind w:left="1200"/>
    </w:pPr>
    <w:rPr>
      <w:rFonts w:eastAsia="Calibri"/>
      <w:sz w:val="18"/>
      <w:lang w:eastAsia="en-US" w:bidi="en-US"/>
    </w:rPr>
  </w:style>
  <w:style w:type="paragraph" w:styleId="TOC8">
    <w:name w:val="toc 8"/>
    <w:basedOn w:val="Normal"/>
    <w:next w:val="Normal"/>
    <w:autoRedefine/>
    <w:uiPriority w:val="39"/>
    <w:unhideWhenUsed/>
    <w:rsid w:val="003D0838"/>
    <w:pPr>
      <w:spacing w:before="0" w:after="100"/>
      <w:ind w:left="1400"/>
    </w:pPr>
    <w:rPr>
      <w:rFonts w:eastAsia="Calibri"/>
      <w:sz w:val="18"/>
      <w:lang w:eastAsia="en-US" w:bidi="en-US"/>
    </w:rPr>
  </w:style>
  <w:style w:type="paragraph" w:styleId="TOC9">
    <w:name w:val="toc 9"/>
    <w:basedOn w:val="Normal"/>
    <w:next w:val="Normal"/>
    <w:autoRedefine/>
    <w:uiPriority w:val="39"/>
    <w:unhideWhenUsed/>
    <w:rsid w:val="003D0838"/>
    <w:pPr>
      <w:spacing w:before="0" w:after="100"/>
      <w:ind w:left="1600"/>
    </w:pPr>
    <w:rPr>
      <w:rFonts w:eastAsia="Calibri"/>
      <w:sz w:val="18"/>
      <w:lang w:eastAsia="en-US" w:bidi="en-US"/>
    </w:rPr>
  </w:style>
  <w:style w:type="paragraph" w:styleId="EnvelopeAddress">
    <w:name w:val="envelope address"/>
    <w:basedOn w:val="Normal"/>
    <w:uiPriority w:val="99"/>
    <w:semiHidden/>
    <w:unhideWhenUsed/>
    <w:rsid w:val="003D0838"/>
    <w:pPr>
      <w:framePr w:w="7920" w:h="1980" w:hRule="exact" w:hSpace="180" w:wrap="auto" w:hAnchor="page" w:xAlign="center" w:yAlign="bottom"/>
      <w:spacing w:before="0" w:after="200"/>
      <w:ind w:left="2880"/>
    </w:pPr>
    <w:rPr>
      <w:rFonts w:ascii="Calibri Light" w:hAnsi="Calibri Light"/>
      <w:sz w:val="18"/>
      <w:lang w:eastAsia="en-US" w:bidi="en-US"/>
    </w:rPr>
  </w:style>
  <w:style w:type="paragraph" w:styleId="BodyTextIndent">
    <w:name w:val="Body Text Indent"/>
    <w:basedOn w:val="Normal"/>
    <w:link w:val="BodyTextIndentChar"/>
    <w:uiPriority w:val="99"/>
    <w:semiHidden/>
    <w:unhideWhenUsed/>
    <w:rsid w:val="003D0838"/>
    <w:pPr>
      <w:spacing w:before="0" w:after="200"/>
      <w:ind w:left="283"/>
    </w:pPr>
    <w:rPr>
      <w:rFonts w:eastAsia="Calibri"/>
      <w:sz w:val="18"/>
      <w:lang w:bidi="en-US"/>
    </w:rPr>
  </w:style>
  <w:style w:type="character" w:customStyle="1" w:styleId="BodyTextIndentChar">
    <w:name w:val="Body Text Indent Char"/>
    <w:link w:val="BodyTextIndent"/>
    <w:uiPriority w:val="99"/>
    <w:semiHidden/>
    <w:rsid w:val="003D0838"/>
    <w:rPr>
      <w:rFonts w:ascii="Tahoma" w:eastAsia="Calibri" w:hAnsi="Tahoma"/>
      <w:sz w:val="18"/>
      <w:szCs w:val="22"/>
      <w:lang w:val="en-GB" w:bidi="en-US"/>
    </w:rPr>
  </w:style>
  <w:style w:type="paragraph" w:styleId="Date">
    <w:name w:val="Date"/>
    <w:basedOn w:val="Normal"/>
    <w:next w:val="Normal"/>
    <w:link w:val="DateChar"/>
    <w:uiPriority w:val="99"/>
    <w:unhideWhenUsed/>
    <w:rsid w:val="003D0838"/>
    <w:pPr>
      <w:spacing w:before="0" w:after="200"/>
    </w:pPr>
    <w:rPr>
      <w:rFonts w:eastAsia="Calibri"/>
      <w:sz w:val="18"/>
      <w:lang w:bidi="en-US"/>
    </w:rPr>
  </w:style>
  <w:style w:type="character" w:customStyle="1" w:styleId="DateChar">
    <w:name w:val="Date Char"/>
    <w:link w:val="Date"/>
    <w:uiPriority w:val="99"/>
    <w:rsid w:val="003D0838"/>
    <w:rPr>
      <w:rFonts w:ascii="Tahoma" w:eastAsia="Calibri" w:hAnsi="Tahoma"/>
      <w:sz w:val="18"/>
      <w:szCs w:val="22"/>
      <w:lang w:val="en-GB" w:bidi="en-US"/>
    </w:rPr>
  </w:style>
  <w:style w:type="paragraph" w:styleId="BodyText3">
    <w:name w:val="Body Text 3"/>
    <w:basedOn w:val="Normal"/>
    <w:link w:val="BodyText3Char"/>
    <w:uiPriority w:val="99"/>
    <w:semiHidden/>
    <w:unhideWhenUsed/>
    <w:rsid w:val="003D0838"/>
    <w:pPr>
      <w:spacing w:before="0" w:after="200"/>
    </w:pPr>
    <w:rPr>
      <w:rFonts w:eastAsia="Calibri"/>
      <w:sz w:val="16"/>
      <w:szCs w:val="16"/>
      <w:lang w:bidi="en-US"/>
    </w:rPr>
  </w:style>
  <w:style w:type="character" w:customStyle="1" w:styleId="BodyText3Char">
    <w:name w:val="Body Text 3 Char"/>
    <w:link w:val="BodyText3"/>
    <w:uiPriority w:val="99"/>
    <w:semiHidden/>
    <w:rsid w:val="003D0838"/>
    <w:rPr>
      <w:rFonts w:ascii="Tahoma" w:eastAsia="Calibri" w:hAnsi="Tahoma"/>
      <w:sz w:val="16"/>
      <w:szCs w:val="16"/>
      <w:lang w:val="en-GB" w:bidi="en-US"/>
    </w:rPr>
  </w:style>
  <w:style w:type="paragraph" w:styleId="BodyTextIndent2">
    <w:name w:val="Body Text Indent 2"/>
    <w:basedOn w:val="Normal"/>
    <w:link w:val="BodyTextIndent2Char"/>
    <w:uiPriority w:val="99"/>
    <w:semiHidden/>
    <w:unhideWhenUsed/>
    <w:rsid w:val="003D0838"/>
    <w:pPr>
      <w:spacing w:before="0" w:after="200" w:line="480" w:lineRule="auto"/>
      <w:ind w:left="283"/>
    </w:pPr>
    <w:rPr>
      <w:rFonts w:eastAsia="Calibri"/>
      <w:sz w:val="18"/>
      <w:lang w:bidi="en-US"/>
    </w:rPr>
  </w:style>
  <w:style w:type="character" w:customStyle="1" w:styleId="BodyTextIndent2Char">
    <w:name w:val="Body Text Indent 2 Char"/>
    <w:link w:val="BodyTextIndent2"/>
    <w:uiPriority w:val="99"/>
    <w:semiHidden/>
    <w:rsid w:val="003D0838"/>
    <w:rPr>
      <w:rFonts w:ascii="Tahoma" w:eastAsia="Calibri" w:hAnsi="Tahoma"/>
      <w:sz w:val="18"/>
      <w:szCs w:val="22"/>
      <w:lang w:val="en-GB" w:bidi="en-US"/>
    </w:rPr>
  </w:style>
  <w:style w:type="paragraph" w:styleId="BodyTextIndent3">
    <w:name w:val="Body Text Indent 3"/>
    <w:basedOn w:val="Normal"/>
    <w:link w:val="BodyTextIndent3Char"/>
    <w:uiPriority w:val="99"/>
    <w:semiHidden/>
    <w:unhideWhenUsed/>
    <w:rsid w:val="003D0838"/>
    <w:pPr>
      <w:spacing w:before="0" w:after="200"/>
      <w:ind w:left="283"/>
    </w:pPr>
    <w:rPr>
      <w:rFonts w:eastAsia="Calibri"/>
      <w:sz w:val="16"/>
      <w:szCs w:val="16"/>
      <w:lang w:bidi="en-US"/>
    </w:rPr>
  </w:style>
  <w:style w:type="character" w:customStyle="1" w:styleId="BodyTextIndent3Char">
    <w:name w:val="Body Text Indent 3 Char"/>
    <w:link w:val="BodyTextIndent3"/>
    <w:uiPriority w:val="99"/>
    <w:semiHidden/>
    <w:rsid w:val="003D0838"/>
    <w:rPr>
      <w:rFonts w:ascii="Tahoma" w:eastAsia="Calibri" w:hAnsi="Tahoma"/>
      <w:sz w:val="16"/>
      <w:szCs w:val="16"/>
      <w:lang w:val="en-GB" w:bidi="en-US"/>
    </w:rPr>
  </w:style>
  <w:style w:type="paragraph" w:styleId="PlainText">
    <w:name w:val="Plain Text"/>
    <w:basedOn w:val="Normal"/>
    <w:link w:val="PlainTextChar"/>
    <w:uiPriority w:val="99"/>
    <w:semiHidden/>
    <w:unhideWhenUsed/>
    <w:rsid w:val="003D0838"/>
    <w:pPr>
      <w:spacing w:before="0" w:after="200"/>
    </w:pPr>
    <w:rPr>
      <w:rFonts w:ascii="Consolas" w:eastAsia="Calibri" w:hAnsi="Consolas"/>
      <w:sz w:val="21"/>
      <w:szCs w:val="21"/>
      <w:lang w:bidi="en-US"/>
    </w:rPr>
  </w:style>
  <w:style w:type="character" w:customStyle="1" w:styleId="PlainTextChar">
    <w:name w:val="Plain Text Char"/>
    <w:link w:val="PlainText"/>
    <w:uiPriority w:val="99"/>
    <w:semiHidden/>
    <w:rsid w:val="003D0838"/>
    <w:rPr>
      <w:rFonts w:ascii="Consolas" w:eastAsia="Calibri" w:hAnsi="Consolas"/>
      <w:sz w:val="21"/>
      <w:szCs w:val="21"/>
      <w:lang w:val="en-GB" w:bidi="en-US"/>
    </w:rPr>
  </w:style>
  <w:style w:type="paragraph" w:styleId="NormalWeb">
    <w:name w:val="Normal (Web)"/>
    <w:basedOn w:val="Normal"/>
    <w:uiPriority w:val="99"/>
    <w:unhideWhenUsed/>
    <w:rsid w:val="003D0838"/>
    <w:pPr>
      <w:spacing w:before="0" w:after="200"/>
    </w:pPr>
    <w:rPr>
      <w:rFonts w:ascii="Times New Roman" w:eastAsia="Calibri" w:hAnsi="Times New Roman"/>
      <w:sz w:val="18"/>
      <w:lang w:eastAsia="en-US" w:bidi="en-US"/>
    </w:rPr>
  </w:style>
  <w:style w:type="character" w:styleId="PlaceholderText">
    <w:name w:val="Placeholder Text"/>
    <w:uiPriority w:val="99"/>
    <w:semiHidden/>
    <w:rsid w:val="003D0838"/>
    <w:rPr>
      <w:color w:val="808080"/>
    </w:rPr>
  </w:style>
  <w:style w:type="paragraph" w:customStyle="1" w:styleId="Numbered">
    <w:name w:val="Numbered"/>
    <w:basedOn w:val="Normal"/>
    <w:rsid w:val="003D0838"/>
    <w:pPr>
      <w:overflowPunct w:val="0"/>
      <w:autoSpaceDE w:val="0"/>
      <w:autoSpaceDN w:val="0"/>
      <w:adjustRightInd w:val="0"/>
      <w:spacing w:before="0" w:after="200"/>
      <w:textAlignment w:val="baseline"/>
    </w:pPr>
    <w:rPr>
      <w:rFonts w:eastAsia="Calibri"/>
      <w:sz w:val="18"/>
      <w:lang w:eastAsia="en-US" w:bidi="en-US"/>
    </w:rPr>
  </w:style>
  <w:style w:type="paragraph" w:customStyle="1" w:styleId="bullet">
    <w:name w:val="bullet"/>
    <w:basedOn w:val="BodyText3"/>
    <w:rsid w:val="003D0838"/>
    <w:pPr>
      <w:numPr>
        <w:numId w:val="15"/>
      </w:numPr>
      <w:tabs>
        <w:tab w:val="clear" w:pos="397"/>
      </w:tabs>
      <w:spacing w:after="60"/>
      <w:ind w:left="1134" w:hanging="567"/>
    </w:pPr>
    <w:rPr>
      <w:sz w:val="20"/>
    </w:rPr>
  </w:style>
  <w:style w:type="paragraph" w:customStyle="1" w:styleId="Tablebullet">
    <w:name w:val="Table bullet"/>
    <w:basedOn w:val="Normal"/>
    <w:rsid w:val="003D0838"/>
    <w:pPr>
      <w:spacing w:before="0" w:after="200"/>
      <w:jc w:val="left"/>
    </w:pPr>
    <w:rPr>
      <w:rFonts w:eastAsia="Calibri" w:cs="Tahoma"/>
      <w:sz w:val="18"/>
      <w:lang w:eastAsia="en-US" w:bidi="en-US"/>
    </w:rPr>
  </w:style>
  <w:style w:type="paragraph" w:customStyle="1" w:styleId="Bullets">
    <w:name w:val="Bullets"/>
    <w:basedOn w:val="Normal"/>
    <w:uiPriority w:val="99"/>
    <w:rsid w:val="003D0838"/>
    <w:pPr>
      <w:numPr>
        <w:numId w:val="16"/>
      </w:numPr>
      <w:tabs>
        <w:tab w:val="clear" w:pos="360"/>
      </w:tabs>
      <w:spacing w:before="60" w:after="60"/>
      <w:ind w:left="1134" w:hanging="567"/>
    </w:pPr>
    <w:rPr>
      <w:rFonts w:eastAsia="Calibri"/>
      <w:sz w:val="18"/>
      <w:lang w:eastAsia="en-US" w:bidi="en-US"/>
    </w:rPr>
  </w:style>
  <w:style w:type="numbering" w:customStyle="1" w:styleId="Style2">
    <w:name w:val="Style2"/>
    <w:uiPriority w:val="99"/>
    <w:rsid w:val="003D0838"/>
    <w:pPr>
      <w:numPr>
        <w:numId w:val="17"/>
      </w:numPr>
    </w:pPr>
  </w:style>
  <w:style w:type="paragraph" w:customStyle="1" w:styleId="Footnotes">
    <w:name w:val="Footnotes"/>
    <w:basedOn w:val="Normal"/>
    <w:uiPriority w:val="15"/>
    <w:rsid w:val="003D0838"/>
    <w:pPr>
      <w:spacing w:before="0" w:after="200"/>
      <w:jc w:val="left"/>
    </w:pPr>
    <w:rPr>
      <w:rFonts w:eastAsia="Calibri"/>
      <w:sz w:val="18"/>
      <w:szCs w:val="18"/>
      <w:vertAlign w:val="superscript"/>
      <w:lang w:eastAsia="en-US" w:bidi="en-US"/>
    </w:rPr>
  </w:style>
  <w:style w:type="character" w:styleId="FollowedHyperlink">
    <w:name w:val="FollowedHyperlink"/>
    <w:uiPriority w:val="99"/>
    <w:semiHidden/>
    <w:unhideWhenUsed/>
    <w:rsid w:val="003D0838"/>
    <w:rPr>
      <w:color w:val="954F72"/>
      <w:u w:val="single"/>
    </w:rPr>
  </w:style>
  <w:style w:type="paragraph" w:styleId="ListBullet4">
    <w:name w:val="List Bullet 4"/>
    <w:basedOn w:val="Normal"/>
    <w:uiPriority w:val="99"/>
    <w:rsid w:val="003D0838"/>
    <w:pPr>
      <w:numPr>
        <w:numId w:val="18"/>
      </w:numPr>
      <w:tabs>
        <w:tab w:val="num" w:pos="567"/>
      </w:tabs>
      <w:spacing w:before="60" w:after="60"/>
      <w:ind w:left="2835" w:hanging="2268"/>
      <w:jc w:val="left"/>
    </w:pPr>
    <w:rPr>
      <w:rFonts w:eastAsia="Calibri" w:cs="Tahoma"/>
      <w:sz w:val="16"/>
      <w:szCs w:val="16"/>
      <w:lang w:eastAsia="en-US" w:bidi="en-US"/>
    </w:rPr>
  </w:style>
  <w:style w:type="paragraph" w:styleId="ListNumber5">
    <w:name w:val="List Number 5"/>
    <w:basedOn w:val="Normal"/>
    <w:uiPriority w:val="99"/>
    <w:qFormat/>
    <w:rsid w:val="003D0838"/>
    <w:pPr>
      <w:numPr>
        <w:numId w:val="20"/>
      </w:numPr>
      <w:spacing w:before="60" w:after="60"/>
      <w:ind w:left="1701" w:hanging="1134"/>
    </w:pPr>
    <w:rPr>
      <w:rFonts w:eastAsia="Calibri"/>
      <w:sz w:val="18"/>
      <w:lang w:eastAsia="en-US" w:bidi="en-US"/>
    </w:rPr>
  </w:style>
  <w:style w:type="paragraph" w:customStyle="1" w:styleId="WYGHeader">
    <w:name w:val="WYG Header"/>
    <w:link w:val="WYGHeaderChar"/>
    <w:uiPriority w:val="15"/>
    <w:qFormat/>
    <w:rsid w:val="003D0838"/>
    <w:rPr>
      <w:rFonts w:ascii="Tahoma" w:eastAsia="Calibri" w:hAnsi="Tahoma"/>
      <w:noProof/>
      <w:color w:val="44697D"/>
      <w:szCs w:val="22"/>
      <w:lang w:val="en-GB" w:eastAsia="en-GB" w:bidi="en-US"/>
    </w:rPr>
  </w:style>
  <w:style w:type="character" w:customStyle="1" w:styleId="WYGHeaderChar">
    <w:name w:val="WYG Header Char"/>
    <w:link w:val="WYGHeader"/>
    <w:uiPriority w:val="15"/>
    <w:rsid w:val="003D0838"/>
    <w:rPr>
      <w:rFonts w:ascii="Tahoma" w:eastAsia="Calibri" w:hAnsi="Tahoma"/>
      <w:noProof/>
      <w:color w:val="44697D"/>
      <w:szCs w:val="22"/>
      <w:lang w:bidi="en-US"/>
    </w:rPr>
  </w:style>
  <w:style w:type="paragraph" w:customStyle="1" w:styleId="WYGFooter">
    <w:name w:val="WYG Footer"/>
    <w:link w:val="WYGFooterChar"/>
    <w:uiPriority w:val="15"/>
    <w:qFormat/>
    <w:rsid w:val="003D0838"/>
    <w:pPr>
      <w:tabs>
        <w:tab w:val="right" w:pos="9639"/>
      </w:tabs>
    </w:pPr>
    <w:rPr>
      <w:rFonts w:ascii="Tahoma" w:eastAsia="Calibri" w:hAnsi="Tahoma" w:cs="Tahoma"/>
      <w:bCs/>
      <w:color w:val="44697D"/>
      <w:lang w:val="en-GB" w:eastAsia="en-GB" w:bidi="en-US"/>
    </w:rPr>
  </w:style>
  <w:style w:type="character" w:customStyle="1" w:styleId="WYGFooterChar">
    <w:name w:val="WYG Footer Char"/>
    <w:link w:val="WYGFooter"/>
    <w:uiPriority w:val="15"/>
    <w:rsid w:val="003D0838"/>
    <w:rPr>
      <w:rFonts w:ascii="Tahoma" w:eastAsia="Calibri" w:hAnsi="Tahoma" w:cs="Tahoma"/>
      <w:bCs/>
      <w:color w:val="44697D"/>
      <w:lang w:bidi="en-US"/>
    </w:rPr>
  </w:style>
  <w:style w:type="character" w:customStyle="1" w:styleId="SectionHeadingChar">
    <w:name w:val="Section Heading Char"/>
    <w:link w:val="SectionHeading"/>
    <w:rsid w:val="003D0838"/>
    <w:rPr>
      <w:rFonts w:ascii="Tahoma" w:hAnsi="Tahoma"/>
      <w:b/>
      <w:color w:val="44697D"/>
      <w:sz w:val="32"/>
      <w:szCs w:val="32"/>
      <w:lang w:val="en-GB" w:eastAsia="en-GB"/>
    </w:rPr>
  </w:style>
  <w:style w:type="character" w:styleId="BookTitle">
    <w:name w:val="Book Title"/>
    <w:aliases w:val="WYG Title Header"/>
    <w:uiPriority w:val="33"/>
    <w:qFormat/>
    <w:rsid w:val="003D0838"/>
    <w:rPr>
      <w:color w:val="6A6C71"/>
      <w:sz w:val="40"/>
      <w:szCs w:val="40"/>
    </w:rPr>
  </w:style>
  <w:style w:type="paragraph" w:customStyle="1" w:styleId="MMTopic1">
    <w:name w:val="MM Topic 1"/>
    <w:basedOn w:val="Heading1"/>
    <w:qFormat/>
    <w:rsid w:val="003D0838"/>
    <w:pPr>
      <w:keepNext/>
      <w:spacing w:before="360" w:after="180"/>
      <w:ind w:left="1134" w:hanging="1134"/>
      <w:jc w:val="both"/>
    </w:pPr>
    <w:rPr>
      <w:rFonts w:ascii="Calibri" w:hAnsi="Calibri" w:cs="Arial"/>
      <w:bCs/>
      <w:caps/>
      <w:color w:val="1F4E79"/>
      <w:kern w:val="32"/>
      <w:sz w:val="36"/>
      <w:szCs w:val="28"/>
      <w:lang w:val="fr-FR" w:eastAsia="es-ES"/>
    </w:rPr>
  </w:style>
  <w:style w:type="paragraph" w:customStyle="1" w:styleId="MMTopic2">
    <w:name w:val="MM Topic 2"/>
    <w:basedOn w:val="Heading2"/>
    <w:link w:val="MMTopic2Car"/>
    <w:qFormat/>
    <w:rsid w:val="003D0838"/>
    <w:pPr>
      <w:numPr>
        <w:ilvl w:val="0"/>
        <w:numId w:val="0"/>
      </w:numPr>
      <w:spacing w:before="0" w:after="0"/>
      <w:ind w:left="1134" w:hanging="1134"/>
      <w:jc w:val="both"/>
    </w:pPr>
    <w:rPr>
      <w:bCs/>
      <w:iCs/>
      <w:color w:val="2E74B5"/>
      <w:sz w:val="26"/>
      <w:szCs w:val="28"/>
      <w:lang w:val="fr-FR" w:eastAsia="es-ES"/>
    </w:rPr>
  </w:style>
  <w:style w:type="paragraph" w:customStyle="1" w:styleId="MMTopic3">
    <w:name w:val="MM Topic 3"/>
    <w:basedOn w:val="Heading3"/>
    <w:link w:val="MMTopic3Car"/>
    <w:qFormat/>
    <w:rsid w:val="003D0838"/>
    <w:pPr>
      <w:keepLines w:val="0"/>
      <w:spacing w:before="0" w:after="0"/>
      <w:ind w:left="1134" w:hanging="1134"/>
    </w:pPr>
    <w:rPr>
      <w:color w:val="2E74B5"/>
      <w:sz w:val="22"/>
      <w:szCs w:val="26"/>
      <w:lang w:val="fr-FR" w:eastAsia="es-ES"/>
    </w:rPr>
  </w:style>
  <w:style w:type="character" w:customStyle="1" w:styleId="MMTopic3Car">
    <w:name w:val="MM Topic 3 Car"/>
    <w:link w:val="MMTopic3"/>
    <w:rsid w:val="003D0838"/>
    <w:rPr>
      <w:rFonts w:ascii="Tahoma" w:hAnsi="Tahoma"/>
      <w:b/>
      <w:bCs/>
      <w:color w:val="2E74B5"/>
      <w:sz w:val="22"/>
      <w:szCs w:val="26"/>
      <w:lang w:val="fr-FR" w:eastAsia="es-ES"/>
    </w:rPr>
  </w:style>
  <w:style w:type="table" w:customStyle="1" w:styleId="TableGrid0">
    <w:name w:val="TableGrid"/>
    <w:rsid w:val="003D0838"/>
    <w:rPr>
      <w:sz w:val="22"/>
      <w:szCs w:val="22"/>
      <w:lang w:val="en-GB" w:eastAsia="en-GB"/>
    </w:rPr>
    <w:tblPr>
      <w:tblCellMar>
        <w:top w:w="0" w:type="dxa"/>
        <w:left w:w="0" w:type="dxa"/>
        <w:bottom w:w="0" w:type="dxa"/>
        <w:right w:w="0" w:type="dxa"/>
      </w:tblCellMar>
    </w:tblPr>
  </w:style>
  <w:style w:type="character" w:customStyle="1" w:styleId="MMTopic2Car">
    <w:name w:val="MM Topic 2 Car"/>
    <w:link w:val="MMTopic2"/>
    <w:rsid w:val="003D0838"/>
    <w:rPr>
      <w:rFonts w:ascii="Tahoma" w:hAnsi="Tahoma" w:cs="Arial"/>
      <w:b/>
      <w:bCs/>
      <w:iCs/>
      <w:color w:val="2E74B5"/>
      <w:sz w:val="26"/>
      <w:szCs w:val="28"/>
      <w:lang w:val="fr-FR" w:eastAsia="es-ES"/>
    </w:rPr>
  </w:style>
  <w:style w:type="paragraph" w:customStyle="1" w:styleId="Puce1">
    <w:name w:val="Puce 1"/>
    <w:basedOn w:val="Normal"/>
    <w:rsid w:val="003D0838"/>
    <w:pPr>
      <w:tabs>
        <w:tab w:val="left" w:pos="284"/>
        <w:tab w:val="num" w:pos="720"/>
      </w:tabs>
      <w:suppressAutoHyphens/>
      <w:spacing w:before="0" w:after="200"/>
      <w:ind w:left="720" w:hanging="720"/>
    </w:pPr>
    <w:rPr>
      <w:rFonts w:ascii="Arial" w:hAnsi="Arial"/>
      <w:szCs w:val="20"/>
      <w:lang w:val="it-IT" w:eastAsia="ar-SA" w:bidi="en-US"/>
    </w:rPr>
  </w:style>
  <w:style w:type="paragraph" w:customStyle="1" w:styleId="Normal1">
    <w:name w:val="Normal1"/>
    <w:rsid w:val="003D0838"/>
    <w:pPr>
      <w:spacing w:before="120" w:after="120" w:line="276" w:lineRule="auto"/>
    </w:pPr>
    <w:rPr>
      <w:rFonts w:ascii="Arial" w:eastAsia="Arial" w:hAnsi="Arial" w:cs="Arial"/>
      <w:color w:val="000000"/>
      <w:lang w:val="en-GB" w:eastAsia="en-GB"/>
    </w:rPr>
  </w:style>
  <w:style w:type="character" w:customStyle="1" w:styleId="TableTextLeftChar">
    <w:name w:val="~TableTextLeft Char"/>
    <w:link w:val="TableTextLeft"/>
    <w:rsid w:val="00577947"/>
    <w:rPr>
      <w:rFonts w:ascii="Arial" w:hAnsi="Arial" w:cs="Arial"/>
      <w:sz w:val="17"/>
      <w:szCs w:val="24"/>
      <w:lang w:eastAsia="en-GB"/>
    </w:rPr>
  </w:style>
  <w:style w:type="paragraph" w:customStyle="1" w:styleId="TableTextLeft">
    <w:name w:val="~TableTextLeft"/>
    <w:basedOn w:val="Normal"/>
    <w:link w:val="TableTextLeftChar"/>
    <w:uiPriority w:val="8"/>
    <w:qFormat/>
    <w:rsid w:val="00577947"/>
    <w:pPr>
      <w:spacing w:before="60" w:after="20"/>
      <w:jc w:val="left"/>
    </w:pPr>
    <w:rPr>
      <w:rFonts w:ascii="Arial" w:hAnsi="Arial"/>
      <w:sz w:val="17"/>
      <w:szCs w:val="24"/>
    </w:rPr>
  </w:style>
  <w:style w:type="paragraph" w:customStyle="1" w:styleId="TableHeadingLeft">
    <w:name w:val="~TableHeadingLeft"/>
    <w:basedOn w:val="TableTextLeft"/>
    <w:uiPriority w:val="8"/>
    <w:qFormat/>
    <w:rsid w:val="00577947"/>
    <w:pPr>
      <w:keepNext/>
      <w:spacing w:before="80" w:after="40"/>
    </w:pPr>
    <w:rPr>
      <w:b/>
      <w:color w:val="FFFFFF"/>
    </w:rPr>
  </w:style>
  <w:style w:type="paragraph" w:customStyle="1" w:styleId="TableHeadingRight">
    <w:name w:val="~TableHeadingRight"/>
    <w:basedOn w:val="TableHeadingLeft"/>
    <w:uiPriority w:val="99"/>
    <w:rsid w:val="00577947"/>
    <w:pPr>
      <w:jc w:val="right"/>
    </w:pPr>
  </w:style>
  <w:style w:type="paragraph" w:customStyle="1" w:styleId="TableTextRight">
    <w:name w:val="~TableTextRight"/>
    <w:basedOn w:val="TableTextLeft"/>
    <w:uiPriority w:val="99"/>
    <w:rsid w:val="00577947"/>
    <w:pPr>
      <w:jc w:val="right"/>
    </w:pPr>
  </w:style>
  <w:style w:type="paragraph" w:customStyle="1" w:styleId="BodyTextbold12ptbefore">
    <w:name w:val="Body Text bold 12pt before"/>
    <w:basedOn w:val="Normal"/>
    <w:next w:val="BodyText"/>
    <w:rsid w:val="0000283C"/>
    <w:pPr>
      <w:spacing w:before="240" w:line="360" w:lineRule="auto"/>
      <w:jc w:val="left"/>
    </w:pPr>
    <w:rPr>
      <w:b/>
      <w:szCs w:val="24"/>
      <w:lang w:eastAsia="en-US"/>
    </w:rPr>
  </w:style>
  <w:style w:type="paragraph" w:styleId="ListNumber3">
    <w:name w:val="List Number 3"/>
    <w:basedOn w:val="ListNumber2"/>
    <w:uiPriority w:val="99"/>
    <w:semiHidden/>
    <w:unhideWhenUsed/>
    <w:rsid w:val="00A14DC4"/>
    <w:pPr>
      <w:numPr>
        <w:numId w:val="0"/>
      </w:numPr>
      <w:tabs>
        <w:tab w:val="num" w:pos="1080"/>
        <w:tab w:val="num" w:pos="1211"/>
        <w:tab w:val="left" w:pos="1276"/>
        <w:tab w:val="num" w:pos="1440"/>
      </w:tabs>
      <w:spacing w:before="0" w:after="270" w:line="270" w:lineRule="atLeast"/>
      <w:ind w:left="1276" w:hanging="425"/>
      <w:contextualSpacing w:val="0"/>
      <w:jc w:val="left"/>
    </w:pPr>
    <w:rPr>
      <w:rFonts w:ascii="Times New Roman" w:hAnsi="Times New Roman"/>
      <w:sz w:val="23"/>
      <w:szCs w:val="23"/>
      <w:lang w:eastAsia="da-DK"/>
    </w:rPr>
  </w:style>
  <w:style w:type="paragraph" w:styleId="ListNumber4">
    <w:name w:val="List Number 4"/>
    <w:basedOn w:val="Normal"/>
    <w:uiPriority w:val="99"/>
    <w:semiHidden/>
    <w:unhideWhenUsed/>
    <w:rsid w:val="00A14DC4"/>
    <w:pPr>
      <w:spacing w:before="0" w:after="0" w:line="270" w:lineRule="atLeast"/>
      <w:ind w:left="1701" w:hanging="425"/>
      <w:jc w:val="left"/>
    </w:pPr>
    <w:rPr>
      <w:rFonts w:ascii="Times New Roman" w:hAnsi="Times New Roman"/>
      <w:sz w:val="23"/>
      <w:szCs w:val="23"/>
      <w:lang w:eastAsia="da-DK"/>
    </w:rPr>
  </w:style>
  <w:style w:type="paragraph" w:customStyle="1" w:styleId="COWIAddress">
    <w:name w:val="COWI Address"/>
    <w:basedOn w:val="Normal"/>
    <w:uiPriority w:val="99"/>
    <w:semiHidden/>
    <w:rsid w:val="00A14DC4"/>
    <w:pPr>
      <w:framePr w:w="2722" w:wrap="notBeside" w:vAnchor="page" w:hAnchor="page" w:xAlign="right" w:y="1855" w:anchorLock="1"/>
      <w:spacing w:before="0" w:after="0" w:line="200" w:lineRule="exact"/>
      <w:jc w:val="left"/>
    </w:pPr>
    <w:rPr>
      <w:rFonts w:ascii="Arial" w:hAnsi="Arial" w:cs="Arial"/>
      <w:b/>
      <w:bCs/>
      <w:noProof/>
      <w:sz w:val="16"/>
      <w:szCs w:val="16"/>
      <w:lang w:eastAsia="da-DK"/>
    </w:rPr>
  </w:style>
  <w:style w:type="paragraph" w:customStyle="1" w:styleId="COWIHeader">
    <w:name w:val="COWI Header"/>
    <w:basedOn w:val="Normal"/>
    <w:uiPriority w:val="99"/>
    <w:semiHidden/>
    <w:rsid w:val="00A14DC4"/>
    <w:pPr>
      <w:framePr w:w="7088" w:h="2630" w:wrap="notBeside" w:vAnchor="page" w:hAnchor="margin" w:x="-2267" w:y="1798" w:anchorLock="1"/>
      <w:tabs>
        <w:tab w:val="left" w:pos="2268"/>
      </w:tabs>
      <w:spacing w:before="0" w:after="130" w:line="270" w:lineRule="atLeast"/>
      <w:ind w:left="2268" w:hanging="2268"/>
      <w:jc w:val="left"/>
    </w:pPr>
    <w:rPr>
      <w:rFonts w:ascii="Times New Roman" w:hAnsi="Times New Roman"/>
      <w:sz w:val="23"/>
      <w:szCs w:val="23"/>
      <w:lang w:eastAsia="da-DK"/>
    </w:rPr>
  </w:style>
  <w:style w:type="paragraph" w:customStyle="1" w:styleId="CowiTitle">
    <w:name w:val="CowiTitle"/>
    <w:basedOn w:val="COWIHeader"/>
    <w:uiPriority w:val="99"/>
    <w:semiHidden/>
    <w:rsid w:val="00A14DC4"/>
    <w:pPr>
      <w:framePr w:wrap="notBeside"/>
    </w:pPr>
  </w:style>
  <w:style w:type="paragraph" w:customStyle="1" w:styleId="CowiSubject">
    <w:name w:val="CowiSubject"/>
    <w:basedOn w:val="COWIHeader"/>
    <w:uiPriority w:val="99"/>
    <w:semiHidden/>
    <w:rsid w:val="00A14DC4"/>
    <w:pPr>
      <w:framePr w:wrap="notBeside"/>
    </w:pPr>
  </w:style>
  <w:style w:type="paragraph" w:customStyle="1" w:styleId="CowiClient">
    <w:name w:val="CowiClient"/>
    <w:basedOn w:val="COWIHeader"/>
    <w:next w:val="COWIHeader"/>
    <w:uiPriority w:val="99"/>
    <w:semiHidden/>
    <w:rsid w:val="00A14DC4"/>
    <w:pPr>
      <w:framePr w:wrap="notBeside"/>
    </w:pPr>
  </w:style>
  <w:style w:type="paragraph" w:customStyle="1" w:styleId="CowiPrepared">
    <w:name w:val="CowiPrepared"/>
    <w:basedOn w:val="COWIHeader"/>
    <w:next w:val="COWIHeader"/>
    <w:uiPriority w:val="99"/>
    <w:semiHidden/>
    <w:rsid w:val="00A14DC4"/>
    <w:pPr>
      <w:framePr w:wrap="notBeside"/>
    </w:pPr>
  </w:style>
  <w:style w:type="paragraph" w:customStyle="1" w:styleId="MeetingHead1">
    <w:name w:val="MeetingHead1"/>
    <w:basedOn w:val="Normal"/>
    <w:next w:val="Normal"/>
    <w:semiHidden/>
    <w:rsid w:val="00A14DC4"/>
    <w:pPr>
      <w:framePr w:w="6804" w:h="3119" w:wrap="notBeside" w:vAnchor="page" w:hAnchor="margin" w:x="-1700" w:y="1986" w:anchorLock="1"/>
      <w:tabs>
        <w:tab w:val="left" w:pos="2268"/>
      </w:tabs>
      <w:spacing w:before="0" w:after="360" w:line="280" w:lineRule="exact"/>
      <w:ind w:left="2268" w:hanging="2268"/>
      <w:jc w:val="left"/>
    </w:pPr>
    <w:rPr>
      <w:rFonts w:ascii="Verdana" w:hAnsi="Verdana" w:cs="Arial"/>
      <w:caps/>
      <w:szCs w:val="23"/>
      <w:lang w:eastAsia="da-DK"/>
    </w:rPr>
  </w:style>
  <w:style w:type="character" w:customStyle="1" w:styleId="COWIHeaderFont">
    <w:name w:val="COWI Header Font"/>
    <w:uiPriority w:val="99"/>
    <w:semiHidden/>
    <w:rsid w:val="00A14DC4"/>
    <w:rPr>
      <w:rFonts w:ascii="Arial" w:hAnsi="Arial" w:cs="Arial" w:hint="default"/>
      <w:b/>
      <w:bCs/>
      <w:sz w:val="16"/>
      <w:szCs w:val="16"/>
    </w:rPr>
  </w:style>
  <w:style w:type="character" w:customStyle="1" w:styleId="COWIHeaderFontLarge">
    <w:name w:val="COWI Header Font Large"/>
    <w:uiPriority w:val="99"/>
    <w:semiHidden/>
    <w:rsid w:val="00A14DC4"/>
    <w:rPr>
      <w:rFonts w:ascii="Arial" w:hAnsi="Arial" w:cs="Arial" w:hint="default"/>
      <w:b/>
      <w:bCs/>
      <w:sz w:val="24"/>
      <w:szCs w:val="24"/>
    </w:rPr>
  </w:style>
  <w:style w:type="numbering" w:customStyle="1" w:styleId="CowiNumberList">
    <w:name w:val="CowiNumberList"/>
    <w:rsid w:val="00A14DC4"/>
    <w:pPr>
      <w:numPr>
        <w:numId w:val="21"/>
      </w:numPr>
    </w:pPr>
  </w:style>
  <w:style w:type="numbering" w:styleId="111111">
    <w:name w:val="Outline List 2"/>
    <w:basedOn w:val="NoList"/>
    <w:uiPriority w:val="99"/>
    <w:unhideWhenUsed/>
    <w:rsid w:val="00A14DC4"/>
    <w:pPr>
      <w:numPr>
        <w:numId w:val="22"/>
      </w:numPr>
    </w:pPr>
  </w:style>
  <w:style w:type="paragraph" w:customStyle="1" w:styleId="TableText">
    <w:name w:val="Table Text"/>
    <w:basedOn w:val="Normal"/>
    <w:link w:val="TableTextChar"/>
    <w:qFormat/>
    <w:rsid w:val="00152408"/>
    <w:pPr>
      <w:spacing w:before="0" w:line="220" w:lineRule="atLeast"/>
      <w:jc w:val="left"/>
    </w:pPr>
    <w:rPr>
      <w:rFonts w:ascii="Verdana" w:hAnsi="Verdana"/>
      <w:sz w:val="16"/>
      <w:szCs w:val="23"/>
      <w:lang w:eastAsia="da-DK"/>
    </w:rPr>
  </w:style>
  <w:style w:type="paragraph" w:customStyle="1" w:styleId="TableTextNoSpace">
    <w:name w:val="Table Text NoSpace"/>
    <w:basedOn w:val="TableText"/>
    <w:uiPriority w:val="7"/>
    <w:qFormat/>
    <w:rsid w:val="00152408"/>
    <w:pPr>
      <w:spacing w:after="0"/>
    </w:pPr>
  </w:style>
  <w:style w:type="paragraph" w:customStyle="1" w:styleId="TextBodyClean">
    <w:name w:val="Text Body Clean"/>
    <w:basedOn w:val="BodyText"/>
    <w:rsid w:val="00866D38"/>
    <w:pPr>
      <w:spacing w:before="0" w:after="120"/>
      <w:ind w:left="0"/>
      <w:jc w:val="both"/>
    </w:pPr>
    <w:rPr>
      <w:rFonts w:ascii="Tahoma" w:hAnsi="Tahoma" w:cs="Tahoma"/>
      <w:kern w:val="1"/>
      <w:sz w:val="22"/>
      <w:szCs w:val="20"/>
      <w:lang w:eastAsia="zh-CN"/>
    </w:rPr>
  </w:style>
  <w:style w:type="paragraph" w:customStyle="1" w:styleId="CorpsA">
    <w:name w:val="Corps A"/>
    <w:rsid w:val="00F663CF"/>
    <w:pPr>
      <w:pBdr>
        <w:top w:val="nil"/>
        <w:left w:val="nil"/>
        <w:bottom w:val="nil"/>
        <w:right w:val="nil"/>
        <w:between w:val="nil"/>
        <w:bar w:val="nil"/>
      </w:pBdr>
      <w:spacing w:before="120" w:after="120" w:line="276" w:lineRule="auto"/>
    </w:pPr>
    <w:rPr>
      <w:rFonts w:ascii="Arial" w:eastAsia="Arial Unicode MS" w:hAnsi="Arial" w:cs="Arial Unicode MS"/>
      <w:color w:val="000000"/>
      <w:u w:color="000000"/>
      <w:bdr w:val="nil"/>
    </w:rPr>
  </w:style>
  <w:style w:type="paragraph" w:customStyle="1" w:styleId="Corps">
    <w:name w:val="Corps"/>
    <w:rsid w:val="00F663CF"/>
    <w:pPr>
      <w:pBdr>
        <w:top w:val="nil"/>
        <w:left w:val="nil"/>
        <w:bottom w:val="nil"/>
        <w:right w:val="nil"/>
        <w:between w:val="nil"/>
        <w:bar w:val="nil"/>
      </w:pBdr>
      <w:spacing w:before="120" w:after="120" w:line="276" w:lineRule="auto"/>
    </w:pPr>
    <w:rPr>
      <w:rFonts w:ascii="Arial" w:eastAsia="Arial Unicode MS" w:hAnsi="Arial" w:cs="Arial Unicode MS"/>
      <w:color w:val="000000"/>
      <w:u w:color="000000"/>
      <w:bdr w:val="nil"/>
    </w:rPr>
  </w:style>
  <w:style w:type="paragraph" w:customStyle="1" w:styleId="Listepuces1">
    <w:name w:val="Liste à puces1"/>
    <w:rsid w:val="00F663CF"/>
    <w:pPr>
      <w:pBdr>
        <w:top w:val="nil"/>
        <w:left w:val="nil"/>
        <w:bottom w:val="nil"/>
        <w:right w:val="nil"/>
        <w:between w:val="nil"/>
        <w:bar w:val="nil"/>
      </w:pBdr>
      <w:tabs>
        <w:tab w:val="left" w:pos="425"/>
      </w:tabs>
      <w:spacing w:before="120" w:after="270" w:line="270" w:lineRule="atLeast"/>
    </w:pPr>
    <w:rPr>
      <w:rFonts w:ascii="Arial" w:eastAsia="Arial" w:hAnsi="Arial" w:cs="Arial"/>
      <w:color w:val="000000"/>
      <w:u w:color="000000"/>
      <w:bdr w:val="nil"/>
    </w:rPr>
  </w:style>
  <w:style w:type="paragraph" w:styleId="Revision">
    <w:name w:val="Revision"/>
    <w:hidden/>
    <w:uiPriority w:val="99"/>
    <w:semiHidden/>
    <w:rsid w:val="000E32F2"/>
    <w:rPr>
      <w:rFonts w:ascii="Tahoma" w:hAnsi="Tahoma"/>
      <w:szCs w:val="22"/>
      <w:lang w:val="en-GB" w:eastAsia="en-GB"/>
    </w:rPr>
  </w:style>
  <w:style w:type="paragraph" w:customStyle="1" w:styleId="E1">
    <w:name w:val="E1"/>
    <w:basedOn w:val="Normal"/>
    <w:link w:val="E1Zchn"/>
    <w:qFormat/>
    <w:rsid w:val="00C644D3"/>
    <w:pPr>
      <w:widowControl w:val="0"/>
      <w:numPr>
        <w:numId w:val="23"/>
      </w:numPr>
      <w:spacing w:before="0" w:after="0" w:line="260" w:lineRule="atLeast"/>
    </w:pPr>
    <w:rPr>
      <w:rFonts w:ascii="Arial" w:eastAsia="Arial Unicode MS" w:hAnsi="Arial"/>
      <w:snapToGrid w:val="0"/>
      <w:szCs w:val="20"/>
      <w:lang w:eastAsia="de-DE"/>
    </w:rPr>
  </w:style>
  <w:style w:type="character" w:customStyle="1" w:styleId="E1Zchn">
    <w:name w:val="E1 Zchn"/>
    <w:link w:val="E1"/>
    <w:rsid w:val="00C644D3"/>
    <w:rPr>
      <w:rFonts w:ascii="Arial" w:eastAsia="Arial Unicode MS" w:hAnsi="Arial"/>
      <w:snapToGrid w:val="0"/>
      <w:sz w:val="22"/>
      <w:lang w:val="en-GB" w:eastAsia="de-DE"/>
    </w:rPr>
  </w:style>
  <w:style w:type="table" w:styleId="LightList-Accent5">
    <w:name w:val="Light List Accent 5"/>
    <w:basedOn w:val="TableNormal"/>
    <w:uiPriority w:val="61"/>
    <w:rsid w:val="00E50203"/>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LightGrid-Accent11">
    <w:name w:val="Light Grid - Accent 11"/>
    <w:basedOn w:val="TableNormal"/>
    <w:uiPriority w:val="62"/>
    <w:rsid w:val="00592568"/>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Arial Bold" w:eastAsia="Times New Roman" w:hAnsi="Arial Bold"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Arial Bold" w:eastAsia="Times New Roman" w:hAnsi="Arial Bold"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Arial Bold" w:eastAsia="Times New Roman" w:hAnsi="Arial Bold" w:cs="Times New Roman"/>
        <w:b/>
        <w:bCs/>
      </w:rPr>
    </w:tblStylePr>
    <w:tblStylePr w:type="lastCol">
      <w:rPr>
        <w:rFonts w:ascii="Arial Bold" w:eastAsia="Times New Roman" w:hAnsi="Arial Bold"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List-Accent6">
    <w:name w:val="Light List Accent 6"/>
    <w:basedOn w:val="TableNormal"/>
    <w:uiPriority w:val="61"/>
    <w:rsid w:val="00592568"/>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paragraph" w:customStyle="1" w:styleId="Bullet1">
    <w:name w:val="~Bullet1"/>
    <w:basedOn w:val="Normal"/>
    <w:uiPriority w:val="99"/>
    <w:rsid w:val="007846CC"/>
    <w:pPr>
      <w:numPr>
        <w:numId w:val="24"/>
      </w:numPr>
      <w:spacing w:before="0" w:after="0" w:line="260" w:lineRule="exact"/>
      <w:jc w:val="left"/>
    </w:pPr>
    <w:rPr>
      <w:rFonts w:ascii="Arial" w:hAnsi="Arial" w:cs="Arial"/>
      <w:szCs w:val="24"/>
      <w:lang w:val="en-US"/>
    </w:rPr>
  </w:style>
  <w:style w:type="paragraph" w:customStyle="1" w:styleId="Bullet2">
    <w:name w:val="~Bullet2"/>
    <w:basedOn w:val="Bullet1"/>
    <w:uiPriority w:val="99"/>
    <w:rsid w:val="007846CC"/>
    <w:pPr>
      <w:numPr>
        <w:ilvl w:val="1"/>
      </w:numPr>
      <w:tabs>
        <w:tab w:val="num" w:pos="2727"/>
      </w:tabs>
    </w:pPr>
  </w:style>
  <w:style w:type="paragraph" w:customStyle="1" w:styleId="Bullet3">
    <w:name w:val="~Bullet3"/>
    <w:basedOn w:val="Bullet2"/>
    <w:uiPriority w:val="99"/>
    <w:rsid w:val="007846CC"/>
    <w:pPr>
      <w:numPr>
        <w:ilvl w:val="2"/>
      </w:numPr>
      <w:tabs>
        <w:tab w:val="clear" w:pos="2727"/>
      </w:tabs>
    </w:pPr>
  </w:style>
  <w:style w:type="character" w:styleId="Strong">
    <w:name w:val="Strong"/>
    <w:uiPriority w:val="22"/>
    <w:qFormat/>
    <w:rsid w:val="007846CC"/>
    <w:rPr>
      <w:b/>
      <w:bCs/>
    </w:rPr>
  </w:style>
  <w:style w:type="character" w:styleId="Emphasis">
    <w:name w:val="Emphasis"/>
    <w:uiPriority w:val="20"/>
    <w:qFormat/>
    <w:rsid w:val="007846CC"/>
    <w:rPr>
      <w:i/>
      <w:iCs/>
    </w:rPr>
  </w:style>
  <w:style w:type="character" w:customStyle="1" w:styleId="A8">
    <w:name w:val="A8"/>
    <w:uiPriority w:val="99"/>
    <w:rsid w:val="007846CC"/>
    <w:rPr>
      <w:rFonts w:ascii="FranklinGothicBookCmpITC" w:hAnsi="FranklinGothicBookCmpITC" w:cs="FranklinGothicBookCmpITC"/>
      <w:color w:val="221E1F"/>
      <w:sz w:val="10"/>
      <w:szCs w:val="10"/>
    </w:rPr>
  </w:style>
  <w:style w:type="paragraph" w:customStyle="1" w:styleId="FrontPage">
    <w:name w:val="FrontPage"/>
    <w:basedOn w:val="Normal"/>
    <w:uiPriority w:val="7"/>
    <w:qFormat/>
    <w:rsid w:val="007846CC"/>
    <w:pPr>
      <w:keepNext/>
      <w:keepLines/>
      <w:suppressAutoHyphens/>
      <w:spacing w:before="240" w:after="240" w:line="360" w:lineRule="atLeast"/>
      <w:jc w:val="left"/>
    </w:pPr>
    <w:rPr>
      <w:rFonts w:ascii="Arial" w:hAnsi="Arial" w:cs="Arial"/>
      <w:b/>
      <w:color w:val="004B9C"/>
      <w:sz w:val="44"/>
      <w:szCs w:val="44"/>
      <w:lang w:eastAsia="da-DK"/>
    </w:rPr>
  </w:style>
  <w:style w:type="paragraph" w:customStyle="1" w:styleId="BulletParagraph">
    <w:name w:val="Bullet Paragraph"/>
    <w:basedOn w:val="ListParagraph"/>
    <w:qFormat/>
    <w:rsid w:val="00D33254"/>
    <w:pPr>
      <w:tabs>
        <w:tab w:val="num" w:pos="567"/>
      </w:tabs>
      <w:spacing w:before="0" w:after="200"/>
      <w:ind w:left="1134" w:hanging="567"/>
      <w:contextualSpacing w:val="0"/>
      <w:jc w:val="left"/>
    </w:pPr>
    <w:rPr>
      <w:rFonts w:ascii="Times New Roman" w:hAnsi="Times New Roman"/>
      <w:sz w:val="24"/>
    </w:rPr>
  </w:style>
  <w:style w:type="numbering" w:styleId="ArticleSection">
    <w:name w:val="Outline List 3"/>
    <w:basedOn w:val="NoList"/>
    <w:rsid w:val="00AF70AB"/>
    <w:pPr>
      <w:numPr>
        <w:numId w:val="25"/>
      </w:numPr>
    </w:pPr>
  </w:style>
  <w:style w:type="paragraph" w:customStyle="1" w:styleId="BodyText0">
    <w:name w:val="~BodyText"/>
    <w:basedOn w:val="Normal"/>
    <w:link w:val="BodyTextChar0"/>
    <w:uiPriority w:val="99"/>
    <w:rsid w:val="00253C58"/>
    <w:pPr>
      <w:spacing w:before="260" w:line="260" w:lineRule="exact"/>
      <w:jc w:val="left"/>
    </w:pPr>
    <w:rPr>
      <w:rFonts w:ascii="Arial" w:hAnsi="Arial" w:cs="Arial"/>
      <w:szCs w:val="24"/>
    </w:rPr>
  </w:style>
  <w:style w:type="paragraph" w:customStyle="1" w:styleId="Disclaimer">
    <w:name w:val="~Disclaimer"/>
    <w:basedOn w:val="Normal"/>
    <w:uiPriority w:val="34"/>
    <w:rsid w:val="00253C58"/>
    <w:pPr>
      <w:spacing w:before="200" w:line="200" w:lineRule="exact"/>
      <w:jc w:val="left"/>
    </w:pPr>
    <w:rPr>
      <w:rFonts w:ascii="Arial" w:hAnsi="Arial" w:cs="Arial"/>
      <w:sz w:val="16"/>
      <w:szCs w:val="16"/>
    </w:rPr>
  </w:style>
  <w:style w:type="paragraph" w:customStyle="1" w:styleId="SummaryHeading">
    <w:name w:val="~SummaryHeading"/>
    <w:basedOn w:val="Normal"/>
    <w:next w:val="Normal"/>
    <w:uiPriority w:val="99"/>
    <w:rsid w:val="00253C58"/>
    <w:pPr>
      <w:keepNext/>
      <w:pageBreakBefore/>
      <w:framePr w:w="9520" w:h="1140" w:hRule="exact" w:wrap="notBeside" w:vAnchor="page" w:hAnchor="page" w:x="1305" w:y="1702" w:anchorLock="1"/>
      <w:spacing w:after="360"/>
      <w:jc w:val="left"/>
      <w:outlineLvl w:val="0"/>
    </w:pPr>
    <w:rPr>
      <w:rFonts w:ascii="Arial" w:hAnsi="Arial" w:cs="Arial"/>
      <w:sz w:val="48"/>
      <w:szCs w:val="24"/>
    </w:rPr>
  </w:style>
  <w:style w:type="paragraph" w:customStyle="1" w:styleId="ListBulletNoSpace">
    <w:name w:val="List Bullet NoSpace"/>
    <w:basedOn w:val="ListBullet"/>
    <w:link w:val="ListBulletNoSpaceChar"/>
    <w:qFormat/>
    <w:rsid w:val="00253C58"/>
    <w:pPr>
      <w:numPr>
        <w:numId w:val="0"/>
      </w:numPr>
      <w:tabs>
        <w:tab w:val="left" w:pos="425"/>
      </w:tabs>
      <w:spacing w:before="120" w:after="0" w:line="360" w:lineRule="auto"/>
      <w:ind w:left="425" w:hanging="425"/>
    </w:pPr>
    <w:rPr>
      <w:rFonts w:ascii="Arial" w:hAnsi="Arial"/>
      <w:szCs w:val="23"/>
      <w:lang w:eastAsia="da-DK"/>
    </w:rPr>
  </w:style>
  <w:style w:type="character" w:customStyle="1" w:styleId="ListBulletNoSpaceChar">
    <w:name w:val="List Bullet NoSpace Char"/>
    <w:link w:val="ListBulletNoSpace"/>
    <w:rsid w:val="00253C58"/>
    <w:rPr>
      <w:rFonts w:ascii="Arial" w:hAnsi="Arial"/>
      <w:szCs w:val="23"/>
      <w:lang w:val="en-GB" w:eastAsia="da-DK"/>
    </w:rPr>
  </w:style>
  <w:style w:type="paragraph" w:customStyle="1" w:styleId="Text">
    <w:name w:val="Text"/>
    <w:basedOn w:val="Normal"/>
    <w:uiPriority w:val="99"/>
    <w:rsid w:val="00253C58"/>
    <w:rPr>
      <w:rFonts w:ascii="Arial" w:hAnsi="Arial"/>
      <w:szCs w:val="20"/>
    </w:rPr>
  </w:style>
  <w:style w:type="numbering" w:customStyle="1" w:styleId="CurrentList11">
    <w:name w:val="Current List11"/>
    <w:rsid w:val="00253C58"/>
    <w:pPr>
      <w:numPr>
        <w:numId w:val="27"/>
      </w:numPr>
    </w:pPr>
  </w:style>
  <w:style w:type="paragraph" w:styleId="HTMLPreformatted">
    <w:name w:val="HTML Preformatted"/>
    <w:basedOn w:val="Normal"/>
    <w:link w:val="HTMLPreformattedChar"/>
    <w:uiPriority w:val="99"/>
    <w:semiHidden/>
    <w:unhideWhenUsed/>
    <w:rsid w:val="00253C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hAnsi="Courier New" w:cs="Courier New"/>
      <w:szCs w:val="20"/>
      <w:lang w:eastAsia="en-US"/>
    </w:rPr>
  </w:style>
  <w:style w:type="character" w:customStyle="1" w:styleId="HTMLPreformattedChar">
    <w:name w:val="HTML Preformatted Char"/>
    <w:link w:val="HTMLPreformatted"/>
    <w:uiPriority w:val="99"/>
    <w:semiHidden/>
    <w:rsid w:val="00253C58"/>
    <w:rPr>
      <w:rFonts w:ascii="Courier New" w:hAnsi="Courier New" w:cs="Courier New"/>
      <w:lang w:val="en-GB"/>
    </w:rPr>
  </w:style>
  <w:style w:type="character" w:styleId="EndnoteReference">
    <w:name w:val="endnote reference"/>
    <w:uiPriority w:val="99"/>
    <w:semiHidden/>
    <w:unhideWhenUsed/>
    <w:rsid w:val="00253C58"/>
    <w:rPr>
      <w:vertAlign w:val="superscript"/>
    </w:rPr>
  </w:style>
  <w:style w:type="table" w:customStyle="1" w:styleId="TableGrid1">
    <w:name w:val="Table Grid1"/>
    <w:basedOn w:val="TableNormal"/>
    <w:next w:val="TableGrid"/>
    <w:uiPriority w:val="59"/>
    <w:rsid w:val="00253C58"/>
    <w:pPr>
      <w:spacing w:line="27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253C58"/>
    <w:pPr>
      <w:spacing w:line="27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w4winMark">
    <w:name w:val="tw4winMark"/>
    <w:rsid w:val="00253C58"/>
    <w:rPr>
      <w:rFonts w:ascii="Courier New" w:hAnsi="Courier New"/>
      <w:vanish/>
      <w:color w:val="800080"/>
      <w:vertAlign w:val="subscript"/>
    </w:rPr>
  </w:style>
  <w:style w:type="paragraph" w:customStyle="1" w:styleId="TableContents">
    <w:name w:val="Table Contents"/>
    <w:basedOn w:val="Normal"/>
    <w:uiPriority w:val="99"/>
    <w:rsid w:val="00253C58"/>
    <w:pPr>
      <w:widowControl w:val="0"/>
      <w:suppressLineNumbers/>
      <w:suppressAutoHyphens/>
      <w:spacing w:before="0" w:after="0"/>
      <w:jc w:val="left"/>
    </w:pPr>
    <w:rPr>
      <w:rFonts w:ascii="Times New Roman" w:hAnsi="Times New Roman"/>
      <w:sz w:val="24"/>
      <w:szCs w:val="24"/>
      <w:lang w:eastAsia="en-US"/>
    </w:rPr>
  </w:style>
  <w:style w:type="paragraph" w:customStyle="1" w:styleId="BodyTextNoSpace">
    <w:name w:val="Body Text NoSpace"/>
    <w:basedOn w:val="BodyText"/>
    <w:uiPriority w:val="99"/>
    <w:rsid w:val="00253C58"/>
    <w:pPr>
      <w:spacing w:before="0" w:after="0" w:line="280" w:lineRule="atLeast"/>
      <w:ind w:left="0"/>
    </w:pPr>
    <w:rPr>
      <w:rFonts w:cs="Arial"/>
      <w:sz w:val="20"/>
      <w:szCs w:val="20"/>
      <w:lang w:eastAsia="da-DK"/>
    </w:rPr>
  </w:style>
  <w:style w:type="character" w:customStyle="1" w:styleId="hps">
    <w:name w:val="hps"/>
    <w:basedOn w:val="DefaultParagraphFont"/>
    <w:rsid w:val="00253C58"/>
  </w:style>
  <w:style w:type="paragraph" w:customStyle="1" w:styleId="Header4">
    <w:name w:val="Header 4"/>
    <w:basedOn w:val="Heading3"/>
    <w:uiPriority w:val="99"/>
    <w:rsid w:val="00253C58"/>
    <w:pPr>
      <w:keepLines w:val="0"/>
      <w:numPr>
        <w:ilvl w:val="0"/>
        <w:numId w:val="0"/>
      </w:numPr>
      <w:tabs>
        <w:tab w:val="num" w:pos="992"/>
      </w:tabs>
      <w:spacing w:before="240" w:after="120"/>
      <w:ind w:left="992" w:hanging="992"/>
      <w:jc w:val="both"/>
    </w:pPr>
    <w:rPr>
      <w:rFonts w:ascii="Arial" w:hAnsi="Arial" w:cs="Arial"/>
      <w:b w:val="0"/>
      <w:color w:val="339966"/>
      <w:sz w:val="22"/>
      <w:szCs w:val="26"/>
    </w:rPr>
  </w:style>
  <w:style w:type="paragraph" w:customStyle="1" w:styleId="Normal3">
    <w:name w:val="Normal3"/>
    <w:basedOn w:val="Heading2"/>
    <w:link w:val="NormalChar"/>
    <w:qFormat/>
    <w:rsid w:val="00253C58"/>
    <w:pPr>
      <w:numPr>
        <w:ilvl w:val="0"/>
        <w:numId w:val="0"/>
      </w:numPr>
      <w:spacing w:before="0" w:line="240" w:lineRule="auto"/>
      <w:jc w:val="both"/>
      <w:outlineLvl w:val="9"/>
    </w:pPr>
    <w:rPr>
      <w:rFonts w:ascii="Arial" w:hAnsi="Arial" w:cs="Arial"/>
      <w:b w:val="0"/>
      <w:bCs/>
      <w:iCs/>
      <w:color w:val="auto"/>
      <w:sz w:val="22"/>
      <w:szCs w:val="28"/>
      <w:lang w:eastAsia="en-US"/>
    </w:rPr>
  </w:style>
  <w:style w:type="character" w:customStyle="1" w:styleId="NormalChar">
    <w:name w:val="Normal Char"/>
    <w:link w:val="Normal3"/>
    <w:rsid w:val="00253C58"/>
    <w:rPr>
      <w:rFonts w:ascii="Arial" w:hAnsi="Arial" w:cs="Arial"/>
      <w:bCs/>
      <w:iCs/>
      <w:sz w:val="22"/>
      <w:szCs w:val="28"/>
      <w:lang w:val="en-GB"/>
    </w:rPr>
  </w:style>
  <w:style w:type="paragraph" w:styleId="Index1">
    <w:name w:val="index 1"/>
    <w:basedOn w:val="Normal"/>
    <w:next w:val="Normal"/>
    <w:autoRedefine/>
    <w:uiPriority w:val="99"/>
    <w:unhideWhenUsed/>
    <w:rsid w:val="00253C58"/>
    <w:pPr>
      <w:spacing w:before="0" w:after="0"/>
      <w:ind w:left="200" w:hanging="200"/>
      <w:jc w:val="left"/>
    </w:pPr>
    <w:rPr>
      <w:rFonts w:ascii="Arial" w:eastAsia="Calibri" w:hAnsi="Arial"/>
      <w:lang w:eastAsia="en-US"/>
    </w:rPr>
  </w:style>
  <w:style w:type="paragraph" w:styleId="Index2">
    <w:name w:val="index 2"/>
    <w:basedOn w:val="Normal"/>
    <w:next w:val="Normal"/>
    <w:autoRedefine/>
    <w:uiPriority w:val="99"/>
    <w:unhideWhenUsed/>
    <w:rsid w:val="00253C58"/>
    <w:pPr>
      <w:spacing w:before="0" w:after="0"/>
      <w:ind w:left="400" w:hanging="200"/>
      <w:jc w:val="left"/>
    </w:pPr>
    <w:rPr>
      <w:rFonts w:ascii="Arial" w:eastAsia="Calibri" w:hAnsi="Arial"/>
      <w:lang w:eastAsia="en-US"/>
    </w:rPr>
  </w:style>
  <w:style w:type="paragraph" w:styleId="Index3">
    <w:name w:val="index 3"/>
    <w:basedOn w:val="Normal"/>
    <w:next w:val="Normal"/>
    <w:autoRedefine/>
    <w:uiPriority w:val="99"/>
    <w:unhideWhenUsed/>
    <w:rsid w:val="00253C58"/>
    <w:pPr>
      <w:spacing w:before="0" w:after="0"/>
      <w:ind w:left="600" w:hanging="200"/>
      <w:jc w:val="left"/>
    </w:pPr>
    <w:rPr>
      <w:rFonts w:ascii="Arial" w:eastAsia="Calibri" w:hAnsi="Arial"/>
      <w:lang w:eastAsia="en-US"/>
    </w:rPr>
  </w:style>
  <w:style w:type="paragraph" w:styleId="ListBullet5">
    <w:name w:val="List Bullet 5"/>
    <w:basedOn w:val="Normal"/>
    <w:uiPriority w:val="99"/>
    <w:unhideWhenUsed/>
    <w:rsid w:val="00253C58"/>
    <w:pPr>
      <w:numPr>
        <w:numId w:val="28"/>
      </w:numPr>
      <w:spacing w:line="360" w:lineRule="auto"/>
      <w:contextualSpacing/>
      <w:jc w:val="left"/>
    </w:pPr>
    <w:rPr>
      <w:rFonts w:ascii="Arial" w:eastAsia="Calibri" w:hAnsi="Arial"/>
      <w:lang w:eastAsia="en-US"/>
    </w:rPr>
  </w:style>
  <w:style w:type="paragraph" w:styleId="ListContinue">
    <w:name w:val="List Continue"/>
    <w:basedOn w:val="Normal"/>
    <w:uiPriority w:val="99"/>
    <w:unhideWhenUsed/>
    <w:rsid w:val="00253C58"/>
    <w:pPr>
      <w:spacing w:line="360" w:lineRule="auto"/>
      <w:ind w:left="360"/>
      <w:contextualSpacing/>
      <w:jc w:val="left"/>
    </w:pPr>
    <w:rPr>
      <w:rFonts w:ascii="Arial" w:eastAsia="Calibri" w:hAnsi="Arial"/>
      <w:lang w:eastAsia="en-US"/>
    </w:rPr>
  </w:style>
  <w:style w:type="paragraph" w:styleId="ListContinue2">
    <w:name w:val="List Continue 2"/>
    <w:basedOn w:val="Normal"/>
    <w:uiPriority w:val="99"/>
    <w:unhideWhenUsed/>
    <w:rsid w:val="00253C58"/>
    <w:pPr>
      <w:spacing w:line="360" w:lineRule="auto"/>
      <w:ind w:left="720"/>
      <w:contextualSpacing/>
      <w:jc w:val="left"/>
    </w:pPr>
    <w:rPr>
      <w:rFonts w:ascii="Arial" w:eastAsia="Calibri" w:hAnsi="Arial"/>
      <w:lang w:eastAsia="en-US"/>
    </w:rPr>
  </w:style>
  <w:style w:type="paragraph" w:styleId="List">
    <w:name w:val="List"/>
    <w:basedOn w:val="Normal"/>
    <w:uiPriority w:val="99"/>
    <w:unhideWhenUsed/>
    <w:rsid w:val="00253C58"/>
    <w:pPr>
      <w:spacing w:line="360" w:lineRule="auto"/>
      <w:ind w:left="360" w:hanging="360"/>
      <w:contextualSpacing/>
      <w:jc w:val="left"/>
    </w:pPr>
    <w:rPr>
      <w:rFonts w:ascii="Arial" w:eastAsia="Calibri" w:hAnsi="Arial"/>
      <w:lang w:eastAsia="en-US"/>
    </w:rPr>
  </w:style>
  <w:style w:type="paragraph" w:styleId="List2">
    <w:name w:val="List 2"/>
    <w:basedOn w:val="Normal"/>
    <w:uiPriority w:val="99"/>
    <w:unhideWhenUsed/>
    <w:rsid w:val="00253C58"/>
    <w:pPr>
      <w:spacing w:line="360" w:lineRule="auto"/>
      <w:ind w:left="720" w:hanging="360"/>
      <w:contextualSpacing/>
      <w:jc w:val="left"/>
    </w:pPr>
    <w:rPr>
      <w:rFonts w:ascii="Arial" w:eastAsia="Calibri" w:hAnsi="Arial"/>
      <w:lang w:eastAsia="en-US"/>
    </w:rPr>
  </w:style>
  <w:style w:type="paragraph" w:customStyle="1" w:styleId="ListLetters">
    <w:name w:val="List Letters"/>
    <w:basedOn w:val="Normal"/>
    <w:uiPriority w:val="99"/>
    <w:qFormat/>
    <w:rsid w:val="00253C58"/>
    <w:pPr>
      <w:numPr>
        <w:numId w:val="29"/>
      </w:numPr>
      <w:spacing w:line="360" w:lineRule="auto"/>
      <w:jc w:val="left"/>
    </w:pPr>
    <w:rPr>
      <w:rFonts w:ascii="Arial" w:eastAsia="Calibri" w:hAnsi="Arial"/>
      <w:lang w:eastAsia="en-US"/>
    </w:rPr>
  </w:style>
  <w:style w:type="table" w:styleId="LightGrid-Accent6">
    <w:name w:val="Light Grid Accent 6"/>
    <w:basedOn w:val="TableNormal"/>
    <w:uiPriority w:val="62"/>
    <w:semiHidden/>
    <w:unhideWhenUsed/>
    <w:rsid w:val="00253C58"/>
    <w:rPr>
      <w:rFonts w:eastAsia="Calibri"/>
      <w:sz w:val="22"/>
      <w:szCs w:val="22"/>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Lines="0" w:beforeAutospacing="0" w:afterLines="0" w:afterAutospacing="0" w:line="240" w:lineRule="auto"/>
      </w:pPr>
      <w:rPr>
        <w:rFonts w:ascii="Arial Bold" w:eastAsia="Times New Roman" w:hAnsi="Arial Bold" w:cs="Times New Roman" w:hint="default"/>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Lines="0" w:beforeAutospacing="0" w:afterLines="0" w:afterAutospacing="0" w:line="240" w:lineRule="auto"/>
      </w:pPr>
      <w:rPr>
        <w:rFonts w:ascii="Arial Bold" w:eastAsia="Times New Roman" w:hAnsi="Arial Bold" w:cs="Times New Roman" w:hint="default"/>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Arial Bold" w:eastAsia="Times New Roman" w:hAnsi="Arial Bold" w:cs="Times New Roman" w:hint="default"/>
        <w:b/>
        <w:bCs/>
      </w:rPr>
    </w:tblStylePr>
    <w:tblStylePr w:type="lastCol">
      <w:rPr>
        <w:rFonts w:ascii="Arial Bold" w:eastAsia="Times New Roman" w:hAnsi="Arial Bold" w:cs="Times New Roman" w:hint="default"/>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apple-converted-space">
    <w:name w:val="apple-converted-space"/>
    <w:basedOn w:val="DefaultParagraphFont"/>
    <w:rsid w:val="00253C58"/>
  </w:style>
  <w:style w:type="paragraph" w:customStyle="1" w:styleId="TitlePage">
    <w:name w:val="Title Page"/>
    <w:basedOn w:val="Heading4"/>
    <w:uiPriority w:val="15"/>
    <w:qFormat/>
    <w:rsid w:val="00965039"/>
    <w:pPr>
      <w:numPr>
        <w:ilvl w:val="0"/>
        <w:numId w:val="0"/>
      </w:numPr>
      <w:ind w:left="2268"/>
    </w:pPr>
    <w:rPr>
      <w:rFonts w:ascii="Arial" w:hAnsi="Arial"/>
      <w:b w:val="0"/>
      <w:color w:val="FFFFFF"/>
      <w:sz w:val="30"/>
      <w:szCs w:val="30"/>
      <w:lang w:val="sv-SE"/>
    </w:rPr>
  </w:style>
  <w:style w:type="character" w:customStyle="1" w:styleId="fontstyle01">
    <w:name w:val="fontstyle01"/>
    <w:rsid w:val="00083F8B"/>
    <w:rPr>
      <w:rFonts w:ascii="Tahoma" w:hAnsi="Tahoma" w:cs="Tahoma" w:hint="default"/>
      <w:b w:val="0"/>
      <w:bCs w:val="0"/>
      <w:i w:val="0"/>
      <w:iCs w:val="0"/>
      <w:color w:val="000000"/>
      <w:sz w:val="20"/>
      <w:szCs w:val="20"/>
    </w:rPr>
  </w:style>
  <w:style w:type="paragraph" w:customStyle="1" w:styleId="RepriseTitre1">
    <w:name w:val="Reprise Titre 1"/>
    <w:basedOn w:val="Normal"/>
    <w:link w:val="RepriseTitre1Car"/>
    <w:uiPriority w:val="6"/>
    <w:semiHidden/>
    <w:qFormat/>
    <w:rsid w:val="00ED2454"/>
    <w:pPr>
      <w:spacing w:before="520" w:after="200"/>
      <w:ind w:left="426" w:right="-204"/>
      <w:jc w:val="left"/>
    </w:pPr>
    <w:rPr>
      <w:rFonts w:ascii="Calibri" w:eastAsia="Calibri" w:hAnsi="Calibri"/>
      <w:noProof/>
      <w:color w:val="ED7D31"/>
      <w:sz w:val="24"/>
      <w:lang w:val="mk-MK" w:eastAsia="en-US"/>
    </w:rPr>
  </w:style>
  <w:style w:type="character" w:customStyle="1" w:styleId="RepriseTitre1Car">
    <w:name w:val="Reprise Titre 1 Car"/>
    <w:link w:val="RepriseTitre1"/>
    <w:uiPriority w:val="6"/>
    <w:semiHidden/>
    <w:rsid w:val="00ED2454"/>
    <w:rPr>
      <w:rFonts w:ascii="Calibri" w:eastAsia="Calibri" w:hAnsi="Calibri" w:cs="Times New Roman"/>
      <w:noProof/>
      <w:color w:val="ED7D31"/>
      <w:sz w:val="24"/>
      <w:szCs w:val="22"/>
      <w:lang w:val="mk-MK"/>
    </w:rPr>
  </w:style>
  <w:style w:type="paragraph" w:customStyle="1" w:styleId="Footnote">
    <w:name w:val="Foot note"/>
    <w:basedOn w:val="FootnoteText"/>
    <w:link w:val="FootnoteCar"/>
    <w:qFormat/>
    <w:rsid w:val="007472AF"/>
    <w:pPr>
      <w:spacing w:after="80" w:line="240" w:lineRule="auto"/>
      <w:jc w:val="both"/>
    </w:pPr>
    <w:rPr>
      <w:rFonts w:ascii="Calibri" w:eastAsia="Calibri" w:hAnsi="Calibri"/>
      <w:i/>
      <w:color w:val="E7E6E6"/>
      <w:sz w:val="16"/>
      <w:lang w:val="en-IE" w:eastAsia="en-US"/>
    </w:rPr>
  </w:style>
  <w:style w:type="character" w:customStyle="1" w:styleId="FootnoteCar">
    <w:name w:val="Foot note Car"/>
    <w:link w:val="Footnote"/>
    <w:rsid w:val="007472AF"/>
    <w:rPr>
      <w:rFonts w:ascii="Calibri" w:eastAsia="Calibri" w:hAnsi="Calibri" w:cs="Times New Roman"/>
      <w:i/>
      <w:color w:val="E7E6E6"/>
      <w:sz w:val="16"/>
      <w:lang w:val="en-IE"/>
    </w:rPr>
  </w:style>
  <w:style w:type="table" w:customStyle="1" w:styleId="LightList-Accent51">
    <w:name w:val="Light List - Accent 51"/>
    <w:basedOn w:val="TableNormal"/>
    <w:next w:val="LightList-Accent5"/>
    <w:uiPriority w:val="61"/>
    <w:rsid w:val="007472AF"/>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paragraph" w:customStyle="1" w:styleId="normalforattendance">
    <w:name w:val="normal for attendance"/>
    <w:basedOn w:val="Normal"/>
    <w:uiPriority w:val="99"/>
    <w:rsid w:val="00A15F33"/>
    <w:pPr>
      <w:spacing w:before="60" w:after="60"/>
    </w:pPr>
    <w:rPr>
      <w:rFonts w:ascii="Arial" w:hAnsi="Arial"/>
      <w:szCs w:val="20"/>
    </w:rPr>
  </w:style>
  <w:style w:type="character" w:customStyle="1" w:styleId="FootnoteTextChar1">
    <w:name w:val="Footnote Text Char1"/>
    <w:aliases w:val="DTE-Voetnoottekst Char2,DTE-Voetnoottekst Char Char1,single space Char1,fn Char1,FOOTNOTES Char1,Footnote Text Char2 Char Char1,Footnote Text Char1 Char Char Char1,Footnote Text Char2 Char Char Char Char1,Geneva 9 Char1"/>
    <w:uiPriority w:val="99"/>
    <w:locked/>
    <w:rsid w:val="00A15F33"/>
    <w:rPr>
      <w:sz w:val="20"/>
      <w:lang w:val="en-GB" w:eastAsia="da-DK"/>
    </w:rPr>
  </w:style>
  <w:style w:type="paragraph" w:customStyle="1" w:styleId="Bullet20">
    <w:name w:val="Bullet 2"/>
    <w:basedOn w:val="Normal"/>
    <w:rsid w:val="00A15F33"/>
    <w:pPr>
      <w:numPr>
        <w:numId w:val="30"/>
      </w:numPr>
      <w:jc w:val="left"/>
    </w:pPr>
    <w:rPr>
      <w:rFonts w:ascii="Arial" w:hAnsi="Arial"/>
      <w:szCs w:val="20"/>
      <w:lang w:val="en-IE" w:eastAsia="en-US"/>
    </w:rPr>
  </w:style>
  <w:style w:type="paragraph" w:customStyle="1" w:styleId="Buleted">
    <w:name w:val="Buleted"/>
    <w:basedOn w:val="Normal"/>
    <w:rsid w:val="00A15F33"/>
    <w:pPr>
      <w:numPr>
        <w:numId w:val="31"/>
      </w:numPr>
      <w:spacing w:before="0"/>
    </w:pPr>
    <w:rPr>
      <w:rFonts w:eastAsia="ヒラギノ角ゴ Pro W3" w:cs="Tahoma"/>
      <w:sz w:val="20"/>
      <w:szCs w:val="20"/>
      <w:lang w:val="en-US" w:eastAsia="en-US"/>
    </w:rPr>
  </w:style>
  <w:style w:type="paragraph" w:customStyle="1" w:styleId="yiv1866888825msolistparagraph">
    <w:name w:val="yiv1866888825msolistparagraph"/>
    <w:basedOn w:val="Normal"/>
    <w:uiPriority w:val="99"/>
    <w:rsid w:val="00A15F33"/>
    <w:pPr>
      <w:spacing w:before="100" w:beforeAutospacing="1" w:after="100" w:afterAutospacing="1"/>
      <w:jc w:val="left"/>
    </w:pPr>
    <w:rPr>
      <w:rFonts w:ascii="Times New Roman" w:hAnsi="Times New Roman"/>
      <w:sz w:val="24"/>
      <w:szCs w:val="24"/>
      <w:lang w:val="en-US" w:eastAsia="en-US"/>
    </w:rPr>
  </w:style>
  <w:style w:type="paragraph" w:customStyle="1" w:styleId="Pa7">
    <w:name w:val="Pa7"/>
    <w:basedOn w:val="Normal"/>
    <w:next w:val="Normal"/>
    <w:rsid w:val="00A15F33"/>
    <w:pPr>
      <w:autoSpaceDE w:val="0"/>
      <w:autoSpaceDN w:val="0"/>
      <w:adjustRightInd w:val="0"/>
      <w:spacing w:before="0" w:after="80" w:line="176" w:lineRule="atLeast"/>
      <w:jc w:val="left"/>
    </w:pPr>
    <w:rPr>
      <w:rFonts w:ascii="ITC Franklin Gothic Std Book" w:hAnsi="ITC Franklin Gothic Std Book"/>
      <w:sz w:val="24"/>
      <w:szCs w:val="24"/>
      <w:lang w:val="en-US" w:eastAsia="en-US"/>
    </w:rPr>
  </w:style>
  <w:style w:type="numbering" w:customStyle="1" w:styleId="CowiHeadings">
    <w:name w:val="CowiHeadings"/>
    <w:rsid w:val="00A15F33"/>
    <w:pPr>
      <w:numPr>
        <w:numId w:val="32"/>
      </w:numPr>
    </w:pPr>
  </w:style>
  <w:style w:type="paragraph" w:customStyle="1" w:styleId="SecHeadNonToc">
    <w:name w:val="~SecHeadNonToc"/>
    <w:basedOn w:val="Normal"/>
    <w:next w:val="Normal"/>
    <w:uiPriority w:val="7"/>
    <w:qFormat/>
    <w:rsid w:val="00A15F33"/>
    <w:pPr>
      <w:keepNext/>
      <w:pageBreakBefore/>
      <w:spacing w:before="0" w:after="1200" w:line="264" w:lineRule="auto"/>
      <w:jc w:val="left"/>
    </w:pPr>
    <w:rPr>
      <w:rFonts w:ascii="Calibri" w:hAnsi="Calibri"/>
      <w:b/>
      <w:bCs/>
      <w:sz w:val="40"/>
      <w:szCs w:val="40"/>
      <w:lang w:eastAsia="en-US"/>
    </w:rPr>
  </w:style>
  <w:style w:type="paragraph" w:customStyle="1" w:styleId="AppHead">
    <w:name w:val="~AppHead"/>
    <w:basedOn w:val="SecHeadNonToc"/>
    <w:next w:val="Normal"/>
    <w:uiPriority w:val="4"/>
    <w:qFormat/>
    <w:rsid w:val="00A15F33"/>
    <w:pPr>
      <w:numPr>
        <w:numId w:val="33"/>
      </w:numPr>
      <w:outlineLvl w:val="0"/>
    </w:pPr>
    <w:rPr>
      <w:rFonts w:ascii="Arial" w:hAnsi="Arial" w:cs="Arial"/>
      <w:bCs w:val="0"/>
      <w:color w:val="000000"/>
    </w:rPr>
  </w:style>
  <w:style w:type="paragraph" w:customStyle="1" w:styleId="AppSubHead">
    <w:name w:val="~AppSubHead"/>
    <w:basedOn w:val="SecHeadNonToc"/>
    <w:next w:val="Normal"/>
    <w:uiPriority w:val="4"/>
    <w:qFormat/>
    <w:rsid w:val="00A15F33"/>
    <w:pPr>
      <w:pageBreakBefore w:val="0"/>
      <w:numPr>
        <w:ilvl w:val="1"/>
        <w:numId w:val="33"/>
      </w:numPr>
      <w:spacing w:before="240" w:after="120"/>
      <w:outlineLvl w:val="1"/>
    </w:pPr>
    <w:rPr>
      <w:rFonts w:ascii="Arial" w:hAnsi="Arial" w:cs="Arial"/>
      <w:bCs w:val="0"/>
      <w:color w:val="5B9BD5"/>
      <w:sz w:val="22"/>
      <w:szCs w:val="22"/>
    </w:rPr>
  </w:style>
  <w:style w:type="paragraph" w:customStyle="1" w:styleId="AppMinorSubHead">
    <w:name w:val="~AppMinorSubHead"/>
    <w:basedOn w:val="SecHeadNonToc"/>
    <w:next w:val="Normal"/>
    <w:uiPriority w:val="4"/>
    <w:qFormat/>
    <w:rsid w:val="00A15F33"/>
    <w:pPr>
      <w:pageBreakBefore w:val="0"/>
      <w:numPr>
        <w:ilvl w:val="2"/>
        <w:numId w:val="33"/>
      </w:numPr>
      <w:spacing w:before="240" w:after="120"/>
      <w:outlineLvl w:val="2"/>
    </w:pPr>
    <w:rPr>
      <w:rFonts w:ascii="Arial" w:hAnsi="Arial" w:cs="Arial"/>
      <w:bCs w:val="0"/>
      <w:color w:val="5B9BD5"/>
      <w:sz w:val="20"/>
      <w:szCs w:val="20"/>
    </w:rPr>
  </w:style>
  <w:style w:type="paragraph" w:customStyle="1" w:styleId="Spacer">
    <w:name w:val="~Spacer"/>
    <w:basedOn w:val="NoSpacing"/>
    <w:uiPriority w:val="34"/>
    <w:semiHidden/>
    <w:rsid w:val="00A15F33"/>
    <w:pPr>
      <w:jc w:val="left"/>
    </w:pPr>
    <w:rPr>
      <w:rFonts w:ascii="Arial" w:hAnsi="Arial"/>
      <w:sz w:val="2"/>
      <w:szCs w:val="2"/>
    </w:rPr>
  </w:style>
  <w:style w:type="numbering" w:customStyle="1" w:styleId="SecListStyle">
    <w:name w:val="~SecListStyle"/>
    <w:uiPriority w:val="99"/>
    <w:rsid w:val="00A15F33"/>
    <w:pPr>
      <w:numPr>
        <w:numId w:val="34"/>
      </w:numPr>
    </w:pPr>
  </w:style>
  <w:style w:type="numbering" w:customStyle="1" w:styleId="AppListStyle">
    <w:name w:val="~AppListStyle"/>
    <w:uiPriority w:val="99"/>
    <w:rsid w:val="00A15F33"/>
    <w:pPr>
      <w:numPr>
        <w:numId w:val="33"/>
      </w:numPr>
    </w:pPr>
  </w:style>
  <w:style w:type="table" w:customStyle="1" w:styleId="MMTable">
    <w:name w:val="~MMTable"/>
    <w:basedOn w:val="TableNormal"/>
    <w:uiPriority w:val="99"/>
    <w:rsid w:val="00A15F33"/>
    <w:pPr>
      <w:spacing w:before="40" w:after="40"/>
    </w:pPr>
    <w:rPr>
      <w:rFonts w:ascii="Arial" w:hAnsi="Arial"/>
      <w:sz w:val="16"/>
      <w:szCs w:val="16"/>
      <w:lang w:val="en-GB"/>
    </w:rPr>
    <w:tblPr>
      <w:tblStyleRowBandSize w:val="1"/>
      <w:tblBorders>
        <w:top w:val="single" w:sz="8" w:space="0" w:color="auto"/>
        <w:bottom w:val="single" w:sz="8" w:space="0" w:color="auto"/>
        <w:insideH w:val="single" w:sz="2" w:space="0" w:color="5B9BD5"/>
      </w:tblBorders>
      <w:tblCellMar>
        <w:left w:w="0" w:type="dxa"/>
        <w:right w:w="0" w:type="dxa"/>
      </w:tblCellMar>
    </w:tblPr>
    <w:tblStylePr w:type="firstRow">
      <w:tblPr/>
      <w:trPr>
        <w:cantSplit/>
        <w:tblHeader/>
      </w:trPr>
      <w:tcPr>
        <w:tcBorders>
          <w:top w:val="nil"/>
          <w:left w:val="nil"/>
          <w:bottom w:val="single" w:sz="8" w:space="0" w:color="auto"/>
          <w:right w:val="nil"/>
          <w:insideH w:val="single" w:sz="4" w:space="0" w:color="auto"/>
          <w:insideV w:val="nil"/>
          <w:tl2br w:val="nil"/>
          <w:tr2bl w:val="nil"/>
        </w:tcBorders>
      </w:tcPr>
    </w:tblStylePr>
    <w:tblStylePr w:type="band1Horz">
      <w:tblPr/>
      <w:tcPr>
        <w:shd w:val="clear" w:color="auto" w:fill="D5DCE4"/>
      </w:tcPr>
    </w:tblStylePr>
  </w:style>
  <w:style w:type="paragraph" w:styleId="List3">
    <w:name w:val="List 3"/>
    <w:basedOn w:val="Normal"/>
    <w:uiPriority w:val="99"/>
    <w:unhideWhenUsed/>
    <w:rsid w:val="00A15F33"/>
    <w:pPr>
      <w:spacing w:line="360" w:lineRule="auto"/>
      <w:ind w:left="849" w:hanging="283"/>
      <w:contextualSpacing/>
      <w:jc w:val="left"/>
    </w:pPr>
    <w:rPr>
      <w:rFonts w:ascii="Arial" w:eastAsia="Calibri" w:hAnsi="Arial"/>
      <w:sz w:val="20"/>
      <w:lang w:eastAsia="en-US"/>
    </w:rPr>
  </w:style>
  <w:style w:type="paragraph" w:styleId="List4">
    <w:name w:val="List 4"/>
    <w:basedOn w:val="Normal"/>
    <w:uiPriority w:val="99"/>
    <w:unhideWhenUsed/>
    <w:rsid w:val="00A15F33"/>
    <w:pPr>
      <w:spacing w:line="360" w:lineRule="auto"/>
      <w:ind w:left="1132" w:hanging="283"/>
      <w:contextualSpacing/>
      <w:jc w:val="left"/>
    </w:pPr>
    <w:rPr>
      <w:rFonts w:ascii="Arial" w:eastAsia="Calibri" w:hAnsi="Arial"/>
      <w:sz w:val="20"/>
      <w:lang w:eastAsia="en-US"/>
    </w:rPr>
  </w:style>
  <w:style w:type="paragraph" w:styleId="List5">
    <w:name w:val="List 5"/>
    <w:basedOn w:val="Normal"/>
    <w:uiPriority w:val="99"/>
    <w:unhideWhenUsed/>
    <w:rsid w:val="00A15F33"/>
    <w:pPr>
      <w:spacing w:line="360" w:lineRule="auto"/>
      <w:ind w:left="1415" w:hanging="283"/>
      <w:contextualSpacing/>
      <w:jc w:val="left"/>
    </w:pPr>
    <w:rPr>
      <w:rFonts w:ascii="Arial" w:eastAsia="Calibri" w:hAnsi="Arial"/>
      <w:sz w:val="20"/>
      <w:lang w:eastAsia="en-US"/>
    </w:rPr>
  </w:style>
  <w:style w:type="character" w:styleId="LineNumber">
    <w:name w:val="line number"/>
    <w:basedOn w:val="DefaultParagraphFont"/>
    <w:uiPriority w:val="99"/>
    <w:unhideWhenUsed/>
    <w:rsid w:val="00A15F33"/>
  </w:style>
  <w:style w:type="paragraph" w:styleId="IndexHeading">
    <w:name w:val="index heading"/>
    <w:basedOn w:val="Normal"/>
    <w:next w:val="Index1"/>
    <w:uiPriority w:val="99"/>
    <w:unhideWhenUsed/>
    <w:rsid w:val="00A15F33"/>
    <w:pPr>
      <w:spacing w:line="360" w:lineRule="auto"/>
      <w:jc w:val="left"/>
    </w:pPr>
    <w:rPr>
      <w:rFonts w:ascii="Calibri Light" w:hAnsi="Calibri Light"/>
      <w:b/>
      <w:bCs/>
      <w:sz w:val="20"/>
      <w:lang w:eastAsia="en-US"/>
    </w:rPr>
  </w:style>
  <w:style w:type="paragraph" w:customStyle="1" w:styleId="Lista">
    <w:name w:val="List a"/>
    <w:aliases w:val="b,c"/>
    <w:basedOn w:val="ListParagraph"/>
    <w:uiPriority w:val="99"/>
    <w:qFormat/>
    <w:rsid w:val="00A15F33"/>
    <w:pPr>
      <w:numPr>
        <w:numId w:val="35"/>
      </w:numPr>
      <w:spacing w:before="0" w:after="0" w:line="360" w:lineRule="auto"/>
      <w:jc w:val="left"/>
    </w:pPr>
    <w:rPr>
      <w:rFonts w:ascii="Arial" w:eastAsia="Calibri" w:hAnsi="Arial" w:cs="Arial"/>
      <w:sz w:val="20"/>
      <w:szCs w:val="22"/>
      <w:lang w:eastAsia="en-US"/>
    </w:rPr>
  </w:style>
  <w:style w:type="character" w:customStyle="1" w:styleId="Heading3Char1">
    <w:name w:val="Heading 3 Char1"/>
    <w:aliases w:val="Heading2 Char1"/>
    <w:semiHidden/>
    <w:rsid w:val="00A15F33"/>
    <w:rPr>
      <w:rFonts w:ascii="Calibri Light" w:eastAsia="Times New Roman" w:hAnsi="Calibri Light" w:cs="Times New Roman"/>
      <w:color w:val="1F4D78"/>
      <w:sz w:val="24"/>
      <w:szCs w:val="24"/>
      <w:lang w:val="en-GB"/>
    </w:rPr>
  </w:style>
  <w:style w:type="paragraph" w:customStyle="1" w:styleId="msonormal0">
    <w:name w:val="msonormal"/>
    <w:basedOn w:val="Normal"/>
    <w:uiPriority w:val="99"/>
    <w:rsid w:val="00A15F33"/>
    <w:pPr>
      <w:spacing w:before="100" w:beforeAutospacing="1" w:after="119"/>
      <w:jc w:val="left"/>
    </w:pPr>
    <w:rPr>
      <w:rFonts w:ascii="Times New Roman" w:hAnsi="Times New Roman"/>
      <w:sz w:val="24"/>
      <w:szCs w:val="24"/>
      <w:lang w:val="en-US" w:eastAsia="en-US"/>
    </w:rPr>
  </w:style>
  <w:style w:type="paragraph" w:customStyle="1" w:styleId="CaptionTablesFigures">
    <w:name w:val="Caption Tables Figures"/>
    <w:basedOn w:val="Normal"/>
    <w:uiPriority w:val="15"/>
    <w:qFormat/>
    <w:rsid w:val="006D7402"/>
    <w:pPr>
      <w:overflowPunct w:val="0"/>
      <w:autoSpaceDE w:val="0"/>
      <w:autoSpaceDN w:val="0"/>
      <w:adjustRightInd w:val="0"/>
      <w:spacing w:after="0"/>
      <w:jc w:val="center"/>
      <w:textAlignment w:val="baseline"/>
    </w:pPr>
    <w:rPr>
      <w:rFonts w:cs="Arial"/>
      <w:bCs/>
      <w:iCs/>
      <w:sz w:val="18"/>
      <w:szCs w:val="18"/>
    </w:rPr>
  </w:style>
  <w:style w:type="character" w:customStyle="1" w:styleId="tlid-translation">
    <w:name w:val="tlid-translation"/>
    <w:basedOn w:val="DefaultParagraphFont"/>
    <w:rsid w:val="00A60162"/>
  </w:style>
  <w:style w:type="table" w:customStyle="1" w:styleId="Kokan">
    <w:name w:val="Kokan"/>
    <w:basedOn w:val="TableNormal"/>
    <w:uiPriority w:val="99"/>
    <w:qFormat/>
    <w:rsid w:val="006D7888"/>
    <w:rPr>
      <w:rFonts w:ascii="Tahoma" w:hAnsi="Tahoma"/>
      <w:sz w:val="18"/>
    </w:rPr>
    <w:tblP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Pr>
    <w:tcPr>
      <w:shd w:val="clear" w:color="auto" w:fill="auto"/>
    </w:tcPr>
    <w:tblStylePr w:type="firstRow">
      <w:pPr>
        <w:jc w:val="center"/>
      </w:pPr>
      <w:rPr>
        <w:rFonts w:ascii="Tahoma" w:hAnsi="Tahoma"/>
        <w:color w:val="FFFFFF"/>
        <w:sz w:val="18"/>
      </w:rPr>
      <w:tblPr/>
      <w:tcPr>
        <w:shd w:val="clear" w:color="auto" w:fill="5B9BD5"/>
        <w:vAlign w:val="center"/>
      </w:tcPr>
    </w:tblStylePr>
    <w:tblStylePr w:type="lastRow">
      <w:rPr>
        <w:rFonts w:ascii="Tahoma" w:hAnsi="Tahoma"/>
        <w:sz w:val="18"/>
      </w:rPr>
      <w:tblPr/>
      <w:tcPr>
        <w:tcBorders>
          <w:top w:val="double" w:sz="4" w:space="0" w:color="auto"/>
          <w:left w:val="double" w:sz="4" w:space="0" w:color="auto"/>
          <w:bottom w:val="double" w:sz="4" w:space="0" w:color="auto"/>
          <w:right w:val="double" w:sz="4" w:space="0" w:color="auto"/>
          <w:insideH w:val="double" w:sz="4" w:space="0" w:color="auto"/>
          <w:insideV w:val="double" w:sz="4" w:space="0" w:color="auto"/>
        </w:tcBorders>
        <w:shd w:val="clear" w:color="auto" w:fill="AEAAAA"/>
      </w:tcPr>
    </w:tblStylePr>
    <w:tblStylePr w:type="lastCol">
      <w:tblPr/>
      <w:tcPr>
        <w:shd w:val="clear" w:color="auto" w:fill="FFFFFF"/>
      </w:tcPr>
    </w:tblStylePr>
  </w:style>
  <w:style w:type="table" w:customStyle="1" w:styleId="TableGrid3">
    <w:name w:val="Table Grid3"/>
    <w:basedOn w:val="TableNormal"/>
    <w:next w:val="TableGrid"/>
    <w:uiPriority w:val="99"/>
    <w:rsid w:val="00A768B4"/>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0">
    <w:name w:val="~BodyText Char"/>
    <w:link w:val="BodyText0"/>
    <w:uiPriority w:val="99"/>
    <w:locked/>
    <w:rsid w:val="00BF0F2A"/>
    <w:rPr>
      <w:rFonts w:ascii="Arial" w:hAnsi="Arial" w:cs="Arial"/>
      <w:sz w:val="22"/>
      <w:szCs w:val="24"/>
      <w:lang w:val="en-GB" w:eastAsia="en-GB"/>
    </w:rPr>
  </w:style>
  <w:style w:type="paragraph" w:customStyle="1" w:styleId="ListBullet3NoSpace">
    <w:name w:val="List Bullet 3 NoSpace"/>
    <w:basedOn w:val="ListBullet3"/>
    <w:uiPriority w:val="4"/>
    <w:qFormat/>
    <w:rsid w:val="00DB3C90"/>
    <w:pPr>
      <w:numPr>
        <w:numId w:val="38"/>
      </w:numPr>
      <w:tabs>
        <w:tab w:val="left" w:pos="1276"/>
      </w:tabs>
      <w:spacing w:before="0" w:after="0" w:line="270" w:lineRule="atLeast"/>
      <w:contextualSpacing w:val="0"/>
      <w:jc w:val="left"/>
    </w:pPr>
    <w:rPr>
      <w:rFonts w:ascii="Arial" w:hAnsi="Arial" w:cs="Arial"/>
      <w:sz w:val="20"/>
      <w:szCs w:val="20"/>
      <w:lang w:eastAsia="da-DK"/>
    </w:rPr>
  </w:style>
  <w:style w:type="paragraph" w:customStyle="1" w:styleId="title-doc-first">
    <w:name w:val="title-doc-first"/>
    <w:basedOn w:val="Normal"/>
    <w:rsid w:val="00DB3C90"/>
    <w:pPr>
      <w:spacing w:before="100" w:beforeAutospacing="1" w:after="100" w:afterAutospacing="1" w:line="240" w:lineRule="auto"/>
      <w:jc w:val="left"/>
    </w:pPr>
    <w:rPr>
      <w:rFonts w:ascii="Times New Roman" w:hAnsi="Times New Roman"/>
      <w:sz w:val="24"/>
      <w:szCs w:val="24"/>
      <w:lang w:val="en-US" w:eastAsia="en-US"/>
    </w:rPr>
  </w:style>
  <w:style w:type="paragraph" w:customStyle="1" w:styleId="doc-ti">
    <w:name w:val="doc-ti"/>
    <w:basedOn w:val="Normal"/>
    <w:rsid w:val="00DB3C90"/>
    <w:pPr>
      <w:spacing w:before="100" w:beforeAutospacing="1" w:after="100" w:afterAutospacing="1" w:line="240" w:lineRule="auto"/>
      <w:jc w:val="left"/>
    </w:pPr>
    <w:rPr>
      <w:rFonts w:ascii="Times New Roman" w:hAnsi="Times New Roman"/>
      <w:sz w:val="24"/>
      <w:szCs w:val="24"/>
      <w:lang w:val="en-US" w:eastAsia="en-US"/>
    </w:rPr>
  </w:style>
  <w:style w:type="paragraph" w:customStyle="1" w:styleId="Arial10tablebullet">
    <w:name w:val="Arial 10 table bullet"/>
    <w:basedOn w:val="Normal"/>
    <w:qFormat/>
    <w:rsid w:val="00DB3C90"/>
    <w:pPr>
      <w:framePr w:hSpace="180" w:wrap="around" w:vAnchor="text" w:hAnchor="text" w:y="1"/>
      <w:numPr>
        <w:numId w:val="39"/>
      </w:numPr>
      <w:tabs>
        <w:tab w:val="left" w:pos="113"/>
      </w:tabs>
      <w:spacing w:before="0" w:after="0" w:line="240" w:lineRule="auto"/>
      <w:ind w:left="113" w:hanging="113"/>
      <w:suppressOverlap/>
      <w:jc w:val="left"/>
    </w:pPr>
    <w:rPr>
      <w:rFonts w:ascii="Arial" w:hAnsi="Arial"/>
      <w:sz w:val="20"/>
      <w:szCs w:val="20"/>
    </w:rPr>
  </w:style>
  <w:style w:type="character" w:customStyle="1" w:styleId="UnresolvedMention">
    <w:name w:val="Unresolved Mention"/>
    <w:basedOn w:val="DefaultParagraphFont"/>
    <w:uiPriority w:val="99"/>
    <w:semiHidden/>
    <w:unhideWhenUsed/>
    <w:rsid w:val="00DB3C90"/>
    <w:rPr>
      <w:color w:val="605E5C"/>
      <w:shd w:val="clear" w:color="auto" w:fill="E1DFDD"/>
    </w:rPr>
  </w:style>
  <w:style w:type="paragraph" w:customStyle="1" w:styleId="NumberIndent">
    <w:name w:val="Number Indent"/>
    <w:basedOn w:val="ListBullet"/>
    <w:uiPriority w:val="35"/>
    <w:rsid w:val="00932FC6"/>
    <w:pPr>
      <w:numPr>
        <w:numId w:val="42"/>
      </w:numPr>
      <w:spacing w:after="120"/>
      <w:ind w:left="510" w:hanging="255"/>
      <w:contextualSpacing/>
      <w:jc w:val="left"/>
    </w:pPr>
    <w:rPr>
      <w:rFonts w:ascii="Arial" w:eastAsiaTheme="minorHAnsi" w:hAnsi="Arial" w:cstheme="minorBidi"/>
      <w:lang w:eastAsia="en-US"/>
    </w:rPr>
  </w:style>
  <w:style w:type="character" w:customStyle="1" w:styleId="gd">
    <w:name w:val="gd"/>
    <w:basedOn w:val="DefaultParagraphFont"/>
    <w:rsid w:val="00172852"/>
  </w:style>
  <w:style w:type="paragraph" w:customStyle="1" w:styleId="CarattereCarattereCharCharCharCharCharCharZchn">
    <w:name w:val="Carattere Carattere Char Char Char Char Char Char Zchn"/>
    <w:aliases w:val="ftref Char Char Char Char Char Char Zchn,Char Char Char Char Char Char Char Char Zchn,ftref Char Char Char1 Zchn,Carattere Carattere Char Char Char Char Char Char Char Zchn"/>
    <w:basedOn w:val="Normal"/>
    <w:next w:val="Normal"/>
    <w:link w:val="FootnoteReference"/>
    <w:uiPriority w:val="99"/>
    <w:rsid w:val="00172852"/>
    <w:pPr>
      <w:spacing w:before="0" w:after="160" w:line="240" w:lineRule="exact"/>
    </w:pPr>
    <w:rPr>
      <w:rFonts w:ascii="Calibri" w:hAnsi="Calibri"/>
      <w:sz w:val="20"/>
      <w:szCs w:val="20"/>
      <w:vertAlign w:val="superscript"/>
      <w:lang w:val="en-US" w:eastAsia="en-US"/>
    </w:rPr>
  </w:style>
  <w:style w:type="table" w:customStyle="1" w:styleId="Simple1">
    <w:name w:val="Simple1"/>
    <w:basedOn w:val="TableNormal"/>
    <w:uiPriority w:val="99"/>
    <w:qFormat/>
    <w:rsid w:val="00172852"/>
    <w:pPr>
      <w:jc w:val="center"/>
    </w:pPr>
    <w:rPr>
      <w:rFonts w:ascii="Times New Roman" w:hAnsi="Times New Roman"/>
      <w:lang w:val="mk-MK" w:eastAsia="mk-MK"/>
    </w:rPr>
    <w:tblPr>
      <w:tblBorders>
        <w:top w:val="single" w:sz="12" w:space="0" w:color="auto"/>
        <w:bottom w:val="single" w:sz="12" w:space="0" w:color="auto"/>
      </w:tblBorders>
    </w:tblPr>
    <w:tcPr>
      <w:vAlign w:val="center"/>
    </w:tcPr>
  </w:style>
  <w:style w:type="table" w:customStyle="1" w:styleId="LightShading1">
    <w:name w:val="Light Shading1"/>
    <w:uiPriority w:val="99"/>
    <w:rsid w:val="00172852"/>
    <w:rPr>
      <w:rFonts w:ascii="Times New Roman" w:hAnsi="Times New Roman"/>
      <w:color w:val="000000"/>
      <w:lang w:eastAsia="mk-MK"/>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paragraph" w:customStyle="1" w:styleId="Species">
    <w:name w:val="Species"/>
    <w:basedOn w:val="Heading2"/>
    <w:rsid w:val="00172852"/>
    <w:pPr>
      <w:numPr>
        <w:numId w:val="0"/>
      </w:numPr>
      <w:tabs>
        <w:tab w:val="num" w:pos="360"/>
      </w:tabs>
      <w:spacing w:before="360" w:after="360" w:line="240" w:lineRule="auto"/>
      <w:ind w:left="360" w:hanging="360"/>
    </w:pPr>
    <w:rPr>
      <w:rFonts w:ascii="Times New Roman" w:hAnsi="Times New Roman"/>
      <w:color w:val="auto"/>
      <w:szCs w:val="24"/>
      <w:u w:val="single"/>
      <w:lang w:val="bg-BG" w:eastAsia="en-US"/>
    </w:rPr>
  </w:style>
  <w:style w:type="paragraph" w:customStyle="1" w:styleId="Subspecies">
    <w:name w:val="Subspecies"/>
    <w:basedOn w:val="Heading3"/>
    <w:rsid w:val="00172852"/>
    <w:pPr>
      <w:keepLines w:val="0"/>
      <w:numPr>
        <w:numId w:val="0"/>
      </w:numPr>
      <w:tabs>
        <w:tab w:val="num" w:pos="360"/>
      </w:tabs>
      <w:spacing w:before="240" w:line="240" w:lineRule="auto"/>
      <w:ind w:left="360" w:hanging="360"/>
      <w:jc w:val="both"/>
    </w:pPr>
    <w:rPr>
      <w:rFonts w:ascii="Times New Roman" w:hAnsi="Times New Roman"/>
      <w:bCs w:val="0"/>
      <w:color w:val="auto"/>
      <w:szCs w:val="24"/>
      <w:u w:val="single"/>
      <w:lang w:eastAsia="en-US"/>
    </w:rPr>
  </w:style>
  <w:style w:type="paragraph" w:customStyle="1" w:styleId="Genus">
    <w:name w:val="Genus"/>
    <w:basedOn w:val="Heading1"/>
    <w:rsid w:val="00172852"/>
    <w:pPr>
      <w:keepNext/>
      <w:numPr>
        <w:numId w:val="53"/>
      </w:numPr>
      <w:spacing w:before="480" w:line="240" w:lineRule="auto"/>
      <w:jc w:val="both"/>
    </w:pPr>
    <w:rPr>
      <w:rFonts w:ascii="Times New Roman" w:hAnsi="Times New Roman"/>
      <w:color w:val="auto"/>
      <w:szCs w:val="24"/>
      <w:u w:val="single"/>
      <w:lang w:val="en-US" w:eastAsia="en-US"/>
    </w:rPr>
  </w:style>
  <w:style w:type="table" w:customStyle="1" w:styleId="Simple">
    <w:name w:val="Simple"/>
    <w:basedOn w:val="TableNormal"/>
    <w:uiPriority w:val="99"/>
    <w:qFormat/>
    <w:rsid w:val="00172852"/>
    <w:rPr>
      <w:rFonts w:asciiTheme="minorHAnsi" w:eastAsiaTheme="minorHAnsi" w:hAnsiTheme="minorHAnsi" w:cstheme="minorBidi"/>
      <w:sz w:val="22"/>
      <w:szCs w:val="22"/>
      <w:lang w:val="mk-MK"/>
    </w:rPr>
    <w:tblPr>
      <w:tblBorders>
        <w:top w:val="single" w:sz="8" w:space="0" w:color="auto"/>
        <w:bottom w:val="single" w:sz="8" w:space="0" w:color="auto"/>
      </w:tblBorders>
    </w:tblPr>
  </w:style>
  <w:style w:type="character" w:styleId="SubtleEmphasis">
    <w:name w:val="Subtle Emphasis"/>
    <w:basedOn w:val="DefaultParagraphFont"/>
    <w:uiPriority w:val="19"/>
    <w:qFormat/>
    <w:rsid w:val="00BE1C21"/>
    <w:rPr>
      <w:i/>
      <w:iCs/>
      <w:color w:val="404040" w:themeColor="text1" w:themeTint="BF"/>
    </w:rPr>
  </w:style>
  <w:style w:type="paragraph" w:customStyle="1" w:styleId="TableHeading">
    <w:name w:val="Table Heading"/>
    <w:basedOn w:val="Normal"/>
    <w:link w:val="TableHeadingChar"/>
    <w:uiPriority w:val="8"/>
    <w:qFormat/>
    <w:rsid w:val="00860376"/>
    <w:pPr>
      <w:keepLines/>
      <w:spacing w:before="40" w:after="40" w:line="240" w:lineRule="atLeast"/>
      <w:ind w:right="-1"/>
    </w:pPr>
    <w:rPr>
      <w:rFonts w:asciiTheme="majorHAnsi" w:hAnsiTheme="majorHAnsi"/>
      <w:color w:val="FFFFFF" w:themeColor="background1"/>
      <w:szCs w:val="20"/>
      <w:lang w:eastAsia="en-US"/>
    </w:rPr>
  </w:style>
  <w:style w:type="character" w:customStyle="1" w:styleId="TableHeadingChar">
    <w:name w:val="Table Heading Char"/>
    <w:basedOn w:val="DefaultParagraphFont"/>
    <w:link w:val="TableHeading"/>
    <w:uiPriority w:val="8"/>
    <w:rsid w:val="00860376"/>
    <w:rPr>
      <w:rFonts w:asciiTheme="majorHAnsi" w:hAnsiTheme="majorHAnsi"/>
      <w:color w:val="FFFFFF" w:themeColor="background1"/>
      <w:sz w:val="22"/>
      <w:lang w:val="en-GB"/>
    </w:rPr>
  </w:style>
  <w:style w:type="paragraph" w:customStyle="1" w:styleId="Tableau-textesetchiffres-BIOTOPE">
    <w:name w:val="Tableau - textes et chiffres - BIOTOPE"/>
    <w:basedOn w:val="Normal"/>
    <w:link w:val="Tableau-textesetchiffres-BIOTOPECar"/>
    <w:qFormat/>
    <w:rsid w:val="003B46E3"/>
    <w:pPr>
      <w:widowControl w:val="0"/>
      <w:autoSpaceDE w:val="0"/>
      <w:autoSpaceDN w:val="0"/>
      <w:adjustRightInd w:val="0"/>
      <w:spacing w:after="0" w:line="240" w:lineRule="auto"/>
      <w:ind w:right="57"/>
    </w:pPr>
    <w:rPr>
      <w:rFonts w:ascii="Trebuchet MS" w:hAnsi="Trebuchet MS" w:cs="Liberation Sans"/>
      <w:iCs/>
      <w:color w:val="000000"/>
      <w:sz w:val="16"/>
      <w:szCs w:val="16"/>
      <w:lang w:val="fr-FR" w:eastAsia="fr-FR"/>
    </w:rPr>
  </w:style>
  <w:style w:type="character" w:customStyle="1" w:styleId="Tableau-textesetchiffres-BIOTOPECar">
    <w:name w:val="Tableau - textes et chiffres - BIOTOPE Car"/>
    <w:link w:val="Tableau-textesetchiffres-BIOTOPE"/>
    <w:rsid w:val="003B46E3"/>
    <w:rPr>
      <w:rFonts w:ascii="Trebuchet MS" w:hAnsi="Trebuchet MS" w:cs="Liberation Sans"/>
      <w:iCs/>
      <w:color w:val="000000"/>
      <w:sz w:val="16"/>
      <w:szCs w:val="16"/>
      <w:lang w:val="fr-FR" w:eastAsia="fr-FR"/>
    </w:rPr>
  </w:style>
  <w:style w:type="paragraph" w:customStyle="1" w:styleId="NumBodyText">
    <w:name w:val="Num Body Text"/>
    <w:basedOn w:val="Normal"/>
    <w:link w:val="NumBodyTextChar"/>
    <w:uiPriority w:val="1"/>
    <w:qFormat/>
    <w:rsid w:val="009D6030"/>
    <w:pPr>
      <w:tabs>
        <w:tab w:val="num" w:pos="0"/>
      </w:tabs>
      <w:ind w:hanging="850"/>
      <w:jc w:val="left"/>
    </w:pPr>
    <w:rPr>
      <w:rFonts w:ascii="Arial" w:eastAsiaTheme="minorHAnsi" w:hAnsi="Arial" w:cstheme="minorBidi"/>
      <w:lang w:eastAsia="en-US"/>
    </w:rPr>
  </w:style>
  <w:style w:type="character" w:customStyle="1" w:styleId="NumBodyTextChar">
    <w:name w:val="Num Body Text Char"/>
    <w:basedOn w:val="DefaultParagraphFont"/>
    <w:link w:val="NumBodyText"/>
    <w:uiPriority w:val="1"/>
    <w:locked/>
    <w:rsid w:val="009D6030"/>
    <w:rPr>
      <w:rFonts w:ascii="Arial" w:eastAsiaTheme="minorHAnsi" w:hAnsi="Arial" w:cstheme="minorBidi"/>
      <w:sz w:val="22"/>
      <w:szCs w:val="22"/>
      <w:lang w:val="en-GB"/>
    </w:rPr>
  </w:style>
  <w:style w:type="paragraph" w:customStyle="1" w:styleId="H4">
    <w:name w:val="H4"/>
    <w:basedOn w:val="Heading4"/>
    <w:next w:val="BodyText"/>
    <w:uiPriority w:val="4"/>
    <w:qFormat/>
    <w:rsid w:val="00197837"/>
    <w:pPr>
      <w:numPr>
        <w:ilvl w:val="0"/>
        <w:numId w:val="0"/>
      </w:numPr>
      <w:spacing w:before="120" w:after="120"/>
    </w:pPr>
    <w:rPr>
      <w:rFonts w:ascii="Arial" w:eastAsiaTheme="majorEastAsia" w:hAnsi="Arial" w:cstheme="majorBidi"/>
      <w:bCs w:val="0"/>
      <w:color w:val="auto"/>
      <w:szCs w:val="22"/>
      <w:lang w:eastAsia="en-US"/>
    </w:rPr>
  </w:style>
  <w:style w:type="table" w:customStyle="1" w:styleId="WSP">
    <w:name w:val="WSP"/>
    <w:basedOn w:val="TableNormal"/>
    <w:uiPriority w:val="99"/>
    <w:rsid w:val="000D2DB3"/>
    <w:rPr>
      <w:rFonts w:ascii="Arial" w:eastAsiaTheme="minorHAnsi" w:hAnsi="Arial" w:cstheme="minorBidi"/>
      <w:color w:val="FFC000" w:themeColor="accent4"/>
      <w:sz w:val="22"/>
      <w:szCs w:val="22"/>
      <w:lang w:val="en-GB"/>
    </w:rPr>
    <w:tblPr>
      <w:tblStyleRowBandSize w:val="1"/>
      <w:tblBorders>
        <w:top w:val="single" w:sz="4" w:space="0" w:color="4472C4" w:themeColor="accent1"/>
        <w:left w:val="single" w:sz="4" w:space="0" w:color="4472C4" w:themeColor="accent1"/>
        <w:bottom w:val="single" w:sz="4" w:space="0" w:color="4472C4" w:themeColor="accent1"/>
        <w:right w:val="single" w:sz="4" w:space="0" w:color="4472C4" w:themeColor="accent1"/>
        <w:insideH w:val="single" w:sz="4" w:space="0" w:color="AEAAAA" w:themeColor="background2" w:themeShade="BF"/>
        <w:insideV w:val="single" w:sz="4" w:space="0" w:color="AEAAAA" w:themeColor="background2" w:themeShade="BF"/>
      </w:tblBorders>
      <w:tblCellMar>
        <w:top w:w="57" w:type="dxa"/>
        <w:bottom w:w="57" w:type="dxa"/>
      </w:tblCellMar>
    </w:tblPr>
    <w:tblStylePr w:type="firstRow">
      <w:rPr>
        <w:color w:val="ED7D31" w:themeColor="accent2"/>
      </w:rPr>
      <w:tblPr/>
      <w:tcPr>
        <w:tcBorders>
          <w:top w:val="single" w:sz="4" w:space="0" w:color="4472C4" w:themeColor="accent1"/>
          <w:left w:val="single" w:sz="4" w:space="0" w:color="4472C4" w:themeColor="accent1"/>
          <w:bottom w:val="single" w:sz="4" w:space="0" w:color="ED7D31" w:themeColor="accent2"/>
          <w:right w:val="single" w:sz="4" w:space="0" w:color="4472C4" w:themeColor="accent1"/>
          <w:insideH w:val="nil"/>
          <w:insideV w:val="single" w:sz="4" w:space="0" w:color="AEAAAA" w:themeColor="background2" w:themeShade="BF"/>
          <w:tl2br w:val="nil"/>
          <w:tr2bl w:val="nil"/>
        </w:tcBorders>
      </w:tcPr>
    </w:tblStylePr>
    <w:tblStylePr w:type="band1Horz">
      <w:tblPr/>
      <w:tcPr>
        <w:tcBorders>
          <w:top w:val="single" w:sz="4" w:space="0" w:color="AEAAAA" w:themeColor="background2" w:themeShade="BF"/>
          <w:left w:val="single" w:sz="4" w:space="0" w:color="4472C4" w:themeColor="accent1"/>
          <w:bottom w:val="single" w:sz="4" w:space="0" w:color="AEAAAA" w:themeColor="background2" w:themeShade="BF"/>
          <w:right w:val="single" w:sz="4" w:space="0" w:color="4472C4" w:themeColor="accent1"/>
          <w:insideH w:val="nil"/>
          <w:insideV w:val="single" w:sz="4" w:space="0" w:color="AEAAAA" w:themeColor="background2" w:themeShade="BF"/>
          <w:tl2br w:val="nil"/>
          <w:tr2bl w:val="nil"/>
        </w:tcBorders>
        <w:shd w:val="clear" w:color="auto" w:fill="4472C4" w:themeFill="accent1"/>
      </w:tcPr>
    </w:tblStylePr>
  </w:style>
  <w:style w:type="paragraph" w:customStyle="1" w:styleId="TableTitle">
    <w:name w:val="Table Title"/>
    <w:basedOn w:val="BodyText"/>
    <w:uiPriority w:val="7"/>
    <w:qFormat/>
    <w:rsid w:val="000D2DB3"/>
    <w:pPr>
      <w:spacing w:before="240"/>
      <w:ind w:left="0"/>
    </w:pPr>
    <w:rPr>
      <w:rFonts w:eastAsiaTheme="minorHAnsi" w:cstheme="minorBidi"/>
      <w:b/>
      <w:sz w:val="22"/>
      <w:szCs w:val="22"/>
      <w:lang w:eastAsia="en-US"/>
    </w:rPr>
  </w:style>
  <w:style w:type="character" w:customStyle="1" w:styleId="TableTextChar">
    <w:name w:val="Table Text Char"/>
    <w:basedOn w:val="DefaultParagraphFont"/>
    <w:link w:val="TableText"/>
    <w:rsid w:val="000D2DB3"/>
    <w:rPr>
      <w:rFonts w:ascii="Verdana" w:hAnsi="Verdana"/>
      <w:sz w:val="16"/>
      <w:szCs w:val="23"/>
      <w:lang w:val="en-GB" w:eastAsia="da-DK"/>
    </w:rPr>
  </w:style>
  <w:style w:type="paragraph" w:customStyle="1" w:styleId="Pa31">
    <w:name w:val="Pa31"/>
    <w:basedOn w:val="Normal"/>
    <w:next w:val="Normal"/>
    <w:uiPriority w:val="99"/>
    <w:rsid w:val="00023B94"/>
    <w:pPr>
      <w:autoSpaceDE w:val="0"/>
      <w:autoSpaceDN w:val="0"/>
      <w:adjustRightInd w:val="0"/>
      <w:spacing w:before="0" w:after="0" w:line="221" w:lineRule="atLeast"/>
      <w:jc w:val="left"/>
    </w:pPr>
    <w:rPr>
      <w:rFonts w:ascii="TheSans B3 Light" w:eastAsiaTheme="minorHAnsi" w:hAnsi="TheSans B3 Light" w:cstheme="minorBidi"/>
      <w:sz w:val="24"/>
      <w:szCs w:val="24"/>
      <w:lang w:val="en-US" w:eastAsia="en-US"/>
    </w:rPr>
  </w:style>
  <w:style w:type="paragraph" w:customStyle="1" w:styleId="Pa11">
    <w:name w:val="Pa11"/>
    <w:basedOn w:val="Normal"/>
    <w:next w:val="Normal"/>
    <w:uiPriority w:val="99"/>
    <w:rsid w:val="009A701B"/>
    <w:pPr>
      <w:autoSpaceDE w:val="0"/>
      <w:autoSpaceDN w:val="0"/>
      <w:adjustRightInd w:val="0"/>
      <w:spacing w:before="0" w:after="0" w:line="321" w:lineRule="atLeast"/>
      <w:jc w:val="left"/>
    </w:pPr>
    <w:rPr>
      <w:rFonts w:ascii="TheSans B6 SemiBold" w:eastAsiaTheme="minorHAnsi" w:hAnsi="TheSans B6 SemiBold" w:cstheme="minorBidi"/>
      <w:sz w:val="24"/>
      <w:szCs w:val="24"/>
      <w:lang w:val="en-US" w:eastAsia="en-US"/>
    </w:rPr>
  </w:style>
  <w:style w:type="paragraph" w:customStyle="1" w:styleId="Pa22">
    <w:name w:val="Pa22"/>
    <w:basedOn w:val="Normal"/>
    <w:next w:val="Normal"/>
    <w:uiPriority w:val="99"/>
    <w:rsid w:val="009A701B"/>
    <w:pPr>
      <w:autoSpaceDE w:val="0"/>
      <w:autoSpaceDN w:val="0"/>
      <w:adjustRightInd w:val="0"/>
      <w:spacing w:before="0" w:after="0" w:line="221" w:lineRule="atLeast"/>
      <w:jc w:val="left"/>
    </w:pPr>
    <w:rPr>
      <w:rFonts w:ascii="TheSans B6 SemiBold" w:eastAsiaTheme="minorHAnsi" w:hAnsi="TheSans B6 SemiBold" w:cstheme="minorBidi"/>
      <w:sz w:val="24"/>
      <w:szCs w:val="24"/>
      <w:lang w:val="en-US" w:eastAsia="en-US"/>
    </w:rPr>
  </w:style>
  <w:style w:type="character" w:customStyle="1" w:styleId="A15">
    <w:name w:val="A15"/>
    <w:uiPriority w:val="99"/>
    <w:rsid w:val="00561F01"/>
    <w:rPr>
      <w:rFonts w:cs="TheSans B3 Light"/>
      <w:color w:val="221E1F"/>
      <w:sz w:val="20"/>
      <w:szCs w:val="20"/>
    </w:rPr>
  </w:style>
  <w:style w:type="paragraph" w:customStyle="1" w:styleId="WW-Default">
    <w:name w:val="WW-Default"/>
    <w:rsid w:val="00815E91"/>
    <w:pPr>
      <w:widowControl w:val="0"/>
      <w:suppressAutoHyphens/>
      <w:autoSpaceDE w:val="0"/>
    </w:pPr>
    <w:rPr>
      <w:rFonts w:ascii="Times New Roman" w:hAnsi="Times New Roman"/>
      <w:color w:val="000000"/>
      <w:sz w:val="24"/>
      <w:szCs w:val="24"/>
      <w:lang w:val="en-CA" w:eastAsia="ar-SA"/>
    </w:rPr>
  </w:style>
  <w:style w:type="paragraph" w:customStyle="1" w:styleId="yiv1566806162msonormal">
    <w:name w:val="yiv1566806162msonormal"/>
    <w:basedOn w:val="Normal"/>
    <w:rsid w:val="00873DED"/>
    <w:pPr>
      <w:spacing w:before="100" w:beforeAutospacing="1" w:after="100" w:afterAutospacing="1"/>
      <w:jc w:val="left"/>
    </w:pPr>
    <w:rPr>
      <w:rFonts w:ascii="Times New Roman" w:hAnsi="Times New Roman"/>
      <w:sz w:val="24"/>
      <w:szCs w:val="24"/>
      <w:lang w:val="en-US" w:eastAsia="en-US"/>
    </w:rPr>
  </w:style>
  <w:style w:type="paragraph" w:customStyle="1" w:styleId="TableParagraph">
    <w:name w:val="Table Paragraph"/>
    <w:basedOn w:val="Normal"/>
    <w:uiPriority w:val="1"/>
    <w:qFormat/>
    <w:rsid w:val="00B55FB1"/>
    <w:pPr>
      <w:widowControl w:val="0"/>
      <w:autoSpaceDE w:val="0"/>
      <w:autoSpaceDN w:val="0"/>
      <w:adjustRightInd w:val="0"/>
      <w:spacing w:before="0" w:after="0" w:line="240" w:lineRule="auto"/>
      <w:jc w:val="left"/>
    </w:pPr>
    <w:rPr>
      <w:rFonts w:ascii="Times New Roman" w:hAnsi="Times New Roman"/>
      <w:sz w:val="24"/>
      <w:szCs w:val="24"/>
    </w:rPr>
  </w:style>
  <w:style w:type="paragraph" w:customStyle="1" w:styleId="1209Bullets1">
    <w:name w:val="1209Bullets1"/>
    <w:basedOn w:val="ListParagraph"/>
    <w:link w:val="1209Bullets1Char"/>
    <w:qFormat/>
    <w:rsid w:val="00B55FB1"/>
    <w:pPr>
      <w:widowControl w:val="0"/>
      <w:numPr>
        <w:numId w:val="102"/>
      </w:numPr>
      <w:spacing w:after="0" w:line="240" w:lineRule="auto"/>
      <w:contextualSpacing w:val="0"/>
    </w:pPr>
    <w:rPr>
      <w:rFonts w:ascii="Arial" w:hAnsi="Arial" w:cs="Arial"/>
      <w:sz w:val="24"/>
      <w:szCs w:val="20"/>
      <w:lang w:eastAsia="fr-BE"/>
    </w:rPr>
  </w:style>
  <w:style w:type="paragraph" w:customStyle="1" w:styleId="1209Bullets2">
    <w:name w:val="1209Bullets2"/>
    <w:basedOn w:val="Normal"/>
    <w:qFormat/>
    <w:rsid w:val="00B55FB1"/>
    <w:pPr>
      <w:widowControl w:val="0"/>
      <w:numPr>
        <w:ilvl w:val="1"/>
        <w:numId w:val="102"/>
      </w:numPr>
      <w:tabs>
        <w:tab w:val="clear" w:pos="1440"/>
        <w:tab w:val="num" w:pos="1843"/>
      </w:tabs>
      <w:spacing w:before="60" w:after="0" w:line="240" w:lineRule="auto"/>
      <w:ind w:left="2127" w:hanging="357"/>
    </w:pPr>
    <w:rPr>
      <w:rFonts w:ascii="Arial" w:hAnsi="Arial" w:cs="Arial"/>
      <w:color w:val="000000"/>
      <w:sz w:val="24"/>
      <w:szCs w:val="24"/>
      <w:lang w:val="mk-MK" w:eastAsia="fr-BE"/>
    </w:rPr>
  </w:style>
  <w:style w:type="character" w:customStyle="1" w:styleId="1209Bullets1Char">
    <w:name w:val="1209Bullets1 Char"/>
    <w:link w:val="1209Bullets1"/>
    <w:rsid w:val="00B55FB1"/>
    <w:rPr>
      <w:rFonts w:ascii="Arial" w:hAnsi="Arial" w:cs="Arial"/>
      <w:sz w:val="24"/>
      <w:lang w:val="en-GB" w:eastAsia="fr-BE"/>
    </w:rPr>
  </w:style>
  <w:style w:type="paragraph" w:customStyle="1" w:styleId="1209Bullets3">
    <w:name w:val="1209Bullets3"/>
    <w:basedOn w:val="Normal"/>
    <w:qFormat/>
    <w:rsid w:val="00B55FB1"/>
    <w:pPr>
      <w:widowControl w:val="0"/>
      <w:numPr>
        <w:ilvl w:val="2"/>
        <w:numId w:val="102"/>
      </w:numPr>
      <w:tabs>
        <w:tab w:val="clear" w:pos="2160"/>
        <w:tab w:val="num" w:pos="360"/>
        <w:tab w:val="num" w:pos="1980"/>
      </w:tabs>
      <w:spacing w:before="0" w:after="0"/>
      <w:ind w:left="1980" w:firstLine="0"/>
    </w:pPr>
    <w:rPr>
      <w:rFonts w:ascii="Arial" w:hAnsi="Arial" w:cs="Arial"/>
      <w:sz w:val="20"/>
      <w:szCs w:val="20"/>
      <w:lang w:eastAsia="fr-BE"/>
    </w:rPr>
  </w:style>
  <w:style w:type="paragraph" w:customStyle="1" w:styleId="1209Heading3">
    <w:name w:val="1209Heading3"/>
    <w:basedOn w:val="Heading2"/>
    <w:link w:val="1209Heading3Char"/>
    <w:qFormat/>
    <w:rsid w:val="00B55FB1"/>
    <w:pPr>
      <w:keepNext w:val="0"/>
      <w:widowControl w:val="0"/>
      <w:numPr>
        <w:ilvl w:val="0"/>
        <w:numId w:val="0"/>
      </w:numPr>
      <w:spacing w:before="240" w:after="0"/>
      <w:ind w:right="6"/>
    </w:pPr>
    <w:rPr>
      <w:rFonts w:ascii="Arial" w:eastAsia="Calibri" w:hAnsi="Arial" w:cs="Arial"/>
      <w:bCs/>
      <w:iCs/>
      <w:color w:val="auto"/>
      <w:sz w:val="22"/>
      <w:szCs w:val="22"/>
      <w:lang w:eastAsia="el-GR"/>
    </w:rPr>
  </w:style>
  <w:style w:type="character" w:customStyle="1" w:styleId="1209Heading3Char">
    <w:name w:val="1209Heading3 Char"/>
    <w:link w:val="1209Heading3"/>
    <w:rsid w:val="00B55FB1"/>
    <w:rPr>
      <w:rFonts w:ascii="Arial" w:eastAsia="Calibri" w:hAnsi="Arial" w:cs="Arial"/>
      <w:b/>
      <w:bCs/>
      <w:iCs/>
      <w:sz w:val="22"/>
      <w:szCs w:val="22"/>
      <w:lang w:val="en-GB" w:eastAsia="el-GR"/>
    </w:rPr>
  </w:style>
  <w:style w:type="character" w:customStyle="1" w:styleId="st1">
    <w:name w:val="st1"/>
    <w:basedOn w:val="DefaultParagraphFont"/>
    <w:rsid w:val="001E0F4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US" w:eastAsia="en-US" w:bidi="ar-SA"/>
      </w:rPr>
    </w:rPrDefault>
    <w:pPrDefault/>
  </w:docDefaults>
  <w:latentStyles w:defLockedState="0" w:defUIPriority="99" w:defSemiHidden="1" w:defUnhideWhenUsed="1" w:defQFormat="0" w:count="267">
    <w:lsdException w:name="Normal" w:semiHidden="0" w:uiPriority="15"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qFormat="1"/>
    <w:lsdException w:name="caption" w:uiPriority="0" w:qFormat="1"/>
    <w:lsdException w:name="footnote reference" w:qFormat="1"/>
    <w:lsdException w:name="page number" w:uiPriority="0"/>
    <w:lsdException w:name="List Bullet" w:qFormat="1"/>
    <w:lsdException w:name="List Number" w:qFormat="1"/>
    <w:lsdException w:name="List Bullet 2" w:uiPriority="0" w:qFormat="1"/>
    <w:lsdException w:name="List Bullet 3" w:qFormat="1"/>
    <w:lsdException w:name="List Number 2" w:qFormat="1"/>
    <w:lsdException w:name="List Number 5" w:qFormat="1"/>
    <w:lsdException w:name="Title" w:semiHidden="0" w:uiPriority="0" w:unhideWhenUsed="0" w:qFormat="1"/>
    <w:lsdException w:name="Default Paragraph Font" w:uiPriority="1"/>
    <w:lsdException w:name="Body Text" w:uiPriority="0"/>
    <w:lsdException w:name="Subtitle" w:semiHidden="0" w:uiPriority="0" w:unhideWhenUsed="0" w:qFormat="1"/>
    <w:lsdException w:name="Strong" w:semiHidden="0" w:uiPriority="22" w:unhideWhenUsed="0" w:qFormat="1"/>
    <w:lsdException w:name="Emphasis" w:semiHidden="0" w:uiPriority="20" w:unhideWhenUsed="0" w:qFormat="1"/>
    <w:lsdException w:name="Outline List 3"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5"/>
    <w:qFormat/>
    <w:rsid w:val="00000654"/>
    <w:pPr>
      <w:spacing w:before="120" w:after="120" w:line="276" w:lineRule="auto"/>
      <w:jc w:val="both"/>
    </w:pPr>
    <w:rPr>
      <w:rFonts w:ascii="Tahoma" w:hAnsi="Tahoma"/>
      <w:sz w:val="22"/>
      <w:szCs w:val="22"/>
      <w:lang w:val="en-GB" w:eastAsia="en-GB"/>
    </w:rPr>
  </w:style>
  <w:style w:type="paragraph" w:styleId="Heading1">
    <w:name w:val="heading 1"/>
    <w:aliases w:val="~SectionHeading,h1,ΔΞ-Άρθρο,H11,H12,H111,H13,H112,H14,H113,H15,H114,H16,H115,H17,H116,H18,H117,H19,H118,H110,H119,H120,H1110,ÄÎ-¢ñèñï,messages,Titre 11,t1.T1.Titre 1,t1,sequence,Titre 0,Headline 1,Outline1,L1 Heading 1,1st level,h11,Num H1"/>
    <w:basedOn w:val="Normal"/>
    <w:next w:val="NumberedParagraph"/>
    <w:link w:val="Heading1Char"/>
    <w:autoRedefine/>
    <w:qFormat/>
    <w:rsid w:val="00E44ED8"/>
    <w:pPr>
      <w:numPr>
        <w:numId w:val="60"/>
      </w:numPr>
      <w:tabs>
        <w:tab w:val="left" w:pos="1134"/>
      </w:tabs>
      <w:spacing w:after="240"/>
      <w:ind w:left="714" w:hanging="357"/>
      <w:jc w:val="left"/>
      <w:outlineLvl w:val="0"/>
    </w:pPr>
    <w:rPr>
      <w:rFonts w:cs="Tahoma"/>
      <w:b/>
      <w:color w:val="44697D"/>
      <w:sz w:val="32"/>
      <w:szCs w:val="32"/>
      <w:u w:color="00B050"/>
    </w:rPr>
  </w:style>
  <w:style w:type="paragraph" w:styleId="Heading2">
    <w:name w:val="heading 2"/>
    <w:aliases w:val="Char,~SubHeading,Title2,h2,Νίκαιας_Κεφαλίδα2,Num H2,in head,after heading 1,Heading 2 Char Char Char Char Char Char,Heading 2 Char Char Char Char Char Char Char Char Char Char,Heading 21,2,Olga,1.1 HEADING 2"/>
    <w:basedOn w:val="Normal"/>
    <w:next w:val="NumberedParagraph"/>
    <w:link w:val="Heading2Char"/>
    <w:unhideWhenUsed/>
    <w:qFormat/>
    <w:rsid w:val="000A0E7C"/>
    <w:pPr>
      <w:keepNext/>
      <w:numPr>
        <w:ilvl w:val="1"/>
        <w:numId w:val="60"/>
      </w:numPr>
      <w:jc w:val="left"/>
      <w:outlineLvl w:val="1"/>
    </w:pPr>
    <w:rPr>
      <w:b/>
      <w:color w:val="44697D"/>
      <w:sz w:val="28"/>
      <w:szCs w:val="32"/>
    </w:rPr>
  </w:style>
  <w:style w:type="paragraph" w:styleId="Heading3">
    <w:name w:val="heading 3"/>
    <w:aliases w:val="Heading2,~MinorSubHeading,general3,Char3,h3,H31,H32,H311,h31,H33,H312,h32,H34,H313,h33,H35,H314,h34,H321,H3111,h311,H36,H315,h35,H322,H3112,h312,H331,H3121,h321,H341,H3131,h331,H351,H3141,h341,H37,H316,h36,H323,H3113,h313,H332,H3122,h322"/>
    <w:basedOn w:val="Normal"/>
    <w:next w:val="NumberedParagraph"/>
    <w:link w:val="Heading3Char"/>
    <w:unhideWhenUsed/>
    <w:qFormat/>
    <w:rsid w:val="00F27FD0"/>
    <w:pPr>
      <w:keepNext/>
      <w:keepLines/>
      <w:numPr>
        <w:ilvl w:val="2"/>
        <w:numId w:val="60"/>
      </w:numPr>
      <w:spacing w:before="360" w:after="240"/>
      <w:jc w:val="left"/>
      <w:outlineLvl w:val="2"/>
    </w:pPr>
    <w:rPr>
      <w:b/>
      <w:bCs/>
      <w:color w:val="44697D"/>
      <w:sz w:val="24"/>
      <w:szCs w:val="28"/>
    </w:rPr>
  </w:style>
  <w:style w:type="paragraph" w:styleId="Heading4">
    <w:name w:val="heading 4"/>
    <w:aliases w:val="~Level4Heading,Titre 4 Car Car Car Car Car,( i ),o,4,aa,LetHead4,MisHead4,Normalhead4,l4,I4,Normal Heading 4,Centred"/>
    <w:basedOn w:val="Normal"/>
    <w:next w:val="NumberedParagraph"/>
    <w:link w:val="Heading4Char"/>
    <w:unhideWhenUsed/>
    <w:qFormat/>
    <w:rsid w:val="007E36CB"/>
    <w:pPr>
      <w:keepNext/>
      <w:keepLines/>
      <w:numPr>
        <w:ilvl w:val="3"/>
        <w:numId w:val="60"/>
      </w:numPr>
      <w:spacing w:before="240" w:after="240"/>
      <w:jc w:val="left"/>
      <w:outlineLvl w:val="3"/>
    </w:pPr>
    <w:rPr>
      <w:b/>
      <w:bCs/>
      <w:iCs/>
      <w:color w:val="44697D"/>
      <w:szCs w:val="24"/>
    </w:rPr>
  </w:style>
  <w:style w:type="paragraph" w:styleId="Heading5">
    <w:name w:val="heading 5"/>
    <w:basedOn w:val="Normal"/>
    <w:next w:val="NumberedParagraph"/>
    <w:link w:val="Heading5Char"/>
    <w:unhideWhenUsed/>
    <w:qFormat/>
    <w:rsid w:val="007E36CB"/>
    <w:pPr>
      <w:numPr>
        <w:ilvl w:val="4"/>
        <w:numId w:val="26"/>
      </w:numPr>
      <w:spacing w:before="240"/>
      <w:jc w:val="left"/>
      <w:outlineLvl w:val="4"/>
    </w:pPr>
    <w:rPr>
      <w:b/>
      <w:i/>
      <w:color w:val="44697D"/>
      <w:sz w:val="21"/>
      <w:szCs w:val="20"/>
    </w:rPr>
  </w:style>
  <w:style w:type="paragraph" w:styleId="Heading6">
    <w:name w:val="heading 6"/>
    <w:basedOn w:val="Normal"/>
    <w:next w:val="NumberedParagraph"/>
    <w:link w:val="Heading6Char"/>
    <w:unhideWhenUsed/>
    <w:qFormat/>
    <w:rsid w:val="00EA26A7"/>
    <w:pPr>
      <w:numPr>
        <w:ilvl w:val="5"/>
        <w:numId w:val="26"/>
      </w:numPr>
      <w:spacing w:after="240"/>
      <w:jc w:val="left"/>
      <w:outlineLvl w:val="5"/>
    </w:pPr>
    <w:rPr>
      <w:b/>
      <w:color w:val="44697D"/>
      <w:sz w:val="32"/>
      <w:szCs w:val="20"/>
    </w:rPr>
  </w:style>
  <w:style w:type="paragraph" w:styleId="Heading7">
    <w:name w:val="heading 7"/>
    <w:basedOn w:val="Normal"/>
    <w:next w:val="Normal"/>
    <w:link w:val="Heading7Char"/>
    <w:unhideWhenUsed/>
    <w:qFormat/>
    <w:rsid w:val="00C2671F"/>
    <w:pPr>
      <w:keepNext/>
      <w:keepLines/>
      <w:numPr>
        <w:ilvl w:val="6"/>
        <w:numId w:val="26"/>
      </w:numPr>
      <w:spacing w:before="200" w:after="0"/>
      <w:outlineLvl w:val="6"/>
    </w:pPr>
    <w:rPr>
      <w:rFonts w:ascii="Cambria" w:hAnsi="Cambria"/>
      <w:i/>
      <w:iCs/>
      <w:color w:val="404040"/>
    </w:rPr>
  </w:style>
  <w:style w:type="paragraph" w:styleId="Heading8">
    <w:name w:val="heading 8"/>
    <w:basedOn w:val="Normal"/>
    <w:next w:val="Normal"/>
    <w:link w:val="Heading8Char"/>
    <w:unhideWhenUsed/>
    <w:qFormat/>
    <w:rsid w:val="007E36CB"/>
    <w:pPr>
      <w:keepNext/>
      <w:keepLines/>
      <w:numPr>
        <w:ilvl w:val="7"/>
        <w:numId w:val="26"/>
      </w:numPr>
      <w:spacing w:before="200" w:after="0"/>
      <w:outlineLvl w:val="7"/>
    </w:pPr>
    <w:rPr>
      <w:rFonts w:ascii="Cambria" w:hAnsi="Cambria"/>
      <w:color w:val="404040"/>
      <w:szCs w:val="20"/>
    </w:rPr>
  </w:style>
  <w:style w:type="paragraph" w:styleId="Heading9">
    <w:name w:val="heading 9"/>
    <w:basedOn w:val="Normal"/>
    <w:next w:val="Normal"/>
    <w:link w:val="Heading9Char"/>
    <w:unhideWhenUsed/>
    <w:qFormat/>
    <w:rsid w:val="007E36CB"/>
    <w:pPr>
      <w:keepNext/>
      <w:keepLines/>
      <w:numPr>
        <w:ilvl w:val="8"/>
        <w:numId w:val="26"/>
      </w:numPr>
      <w:spacing w:before="200" w:after="0"/>
      <w:outlineLvl w:val="8"/>
    </w:pPr>
    <w:rPr>
      <w:rFonts w:ascii="Cambria" w:hAnsi="Cambria"/>
      <w:i/>
      <w:iCs/>
      <w:color w:val="40404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uiPriority w:val="99"/>
    <w:unhideWhenUsed/>
    <w:rsid w:val="00820E04"/>
    <w:pPr>
      <w:tabs>
        <w:tab w:val="center" w:pos="4513"/>
        <w:tab w:val="right" w:pos="9026"/>
      </w:tabs>
    </w:pPr>
    <w:rPr>
      <w:rFonts w:ascii="Tahoma" w:hAnsi="Tahoma"/>
      <w:szCs w:val="22"/>
      <w:lang w:val="en-GB" w:eastAsia="en-GB"/>
    </w:rPr>
  </w:style>
  <w:style w:type="character" w:customStyle="1" w:styleId="HeaderChar">
    <w:name w:val="Header Char"/>
    <w:link w:val="Header"/>
    <w:uiPriority w:val="99"/>
    <w:rsid w:val="00820E04"/>
    <w:rPr>
      <w:rFonts w:ascii="Tahoma" w:hAnsi="Tahoma"/>
      <w:szCs w:val="22"/>
      <w:lang w:val="en-GB" w:eastAsia="en-GB" w:bidi="ar-SA"/>
    </w:rPr>
  </w:style>
  <w:style w:type="paragraph" w:styleId="Footer">
    <w:name w:val="footer"/>
    <w:aliases w:val="~Footer"/>
    <w:link w:val="FooterChar"/>
    <w:uiPriority w:val="99"/>
    <w:unhideWhenUsed/>
    <w:rsid w:val="00820E04"/>
    <w:pPr>
      <w:tabs>
        <w:tab w:val="center" w:pos="4513"/>
        <w:tab w:val="right" w:pos="9026"/>
      </w:tabs>
    </w:pPr>
    <w:rPr>
      <w:rFonts w:ascii="Tahoma" w:hAnsi="Tahoma"/>
      <w:szCs w:val="22"/>
      <w:lang w:val="en-GB" w:eastAsia="en-GB"/>
    </w:rPr>
  </w:style>
  <w:style w:type="character" w:customStyle="1" w:styleId="FooterChar">
    <w:name w:val="Footer Char"/>
    <w:aliases w:val="~Footer Char"/>
    <w:link w:val="Footer"/>
    <w:uiPriority w:val="99"/>
    <w:rsid w:val="00820E04"/>
    <w:rPr>
      <w:rFonts w:ascii="Tahoma" w:hAnsi="Tahoma"/>
      <w:szCs w:val="22"/>
      <w:lang w:val="en-GB" w:eastAsia="en-GB" w:bidi="ar-SA"/>
    </w:rPr>
  </w:style>
  <w:style w:type="table" w:styleId="TableGrid">
    <w:name w:val="Table Grid"/>
    <w:aliases w:val="GT0"/>
    <w:basedOn w:val="TableNormal"/>
    <w:uiPriority w:val="39"/>
    <w:rsid w:val="00895F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SectionHeading Char,h1 Char,ΔΞ-Άρθρο Char,H11 Char,H12 Char,H111 Char,H13 Char,H112 Char,H14 Char,H113 Char,H15 Char,H114 Char,H16 Char,H115 Char,H17 Char,H116 Char,H18 Char,H117 Char,H19 Char,H118 Char,H110 Char,H119 Char,H120 Char"/>
    <w:link w:val="Heading1"/>
    <w:rsid w:val="00E44ED8"/>
    <w:rPr>
      <w:rFonts w:ascii="Tahoma" w:hAnsi="Tahoma" w:cs="Tahoma"/>
      <w:b/>
      <w:color w:val="44697D"/>
      <w:sz w:val="32"/>
      <w:szCs w:val="32"/>
      <w:u w:color="00B050"/>
      <w:lang w:val="en-GB" w:eastAsia="en-GB"/>
    </w:rPr>
  </w:style>
  <w:style w:type="character" w:customStyle="1" w:styleId="Heading2Char">
    <w:name w:val="Heading 2 Char"/>
    <w:aliases w:val="Char Char,~SubHeading Char,Title2 Char,h2 Char,Νίκαιας_Κεφαλίδα2 Char,Num H2 Char,in head Char,after heading 1 Char,Heading 2 Char Char Char Char Char Char Char,Heading 2 Char Char Char Char Char Char Char Char Char Char Char,2 Char"/>
    <w:link w:val="Heading2"/>
    <w:rsid w:val="000A0E7C"/>
    <w:rPr>
      <w:rFonts w:ascii="Tahoma" w:hAnsi="Tahoma"/>
      <w:b/>
      <w:color w:val="44697D"/>
      <w:sz w:val="28"/>
      <w:szCs w:val="32"/>
      <w:lang w:val="en-GB" w:eastAsia="en-GB"/>
    </w:rPr>
  </w:style>
  <w:style w:type="character" w:customStyle="1" w:styleId="Heading3Char">
    <w:name w:val="Heading 3 Char"/>
    <w:aliases w:val="Heading2 Char,~MinorSubHeading Char,general3 Char,Char3 Char,h3 Char,H31 Char,H32 Char,H311 Char,h31 Char,H33 Char,H312 Char,h32 Char,H34 Char,H313 Char,h33 Char,H35 Char,H314 Char,h34 Char,H321 Char,H3111 Char,h311 Char,H36 Char,h35 Char"/>
    <w:link w:val="Heading3"/>
    <w:rsid w:val="00F27FD0"/>
    <w:rPr>
      <w:rFonts w:ascii="Tahoma" w:hAnsi="Tahoma"/>
      <w:b/>
      <w:bCs/>
      <w:color w:val="44697D"/>
      <w:sz w:val="24"/>
      <w:szCs w:val="28"/>
      <w:lang w:val="en-GB" w:eastAsia="en-GB"/>
    </w:rPr>
  </w:style>
  <w:style w:type="character" w:customStyle="1" w:styleId="Heading8Char">
    <w:name w:val="Heading 8 Char"/>
    <w:link w:val="Heading8"/>
    <w:rsid w:val="007E36CB"/>
    <w:rPr>
      <w:rFonts w:ascii="Cambria" w:hAnsi="Cambria"/>
      <w:color w:val="404040"/>
      <w:sz w:val="22"/>
      <w:lang w:val="en-GB" w:eastAsia="en-GB"/>
    </w:rPr>
  </w:style>
  <w:style w:type="character" w:customStyle="1" w:styleId="Heading9Char">
    <w:name w:val="Heading 9 Char"/>
    <w:link w:val="Heading9"/>
    <w:rsid w:val="007E36CB"/>
    <w:rPr>
      <w:rFonts w:ascii="Cambria" w:hAnsi="Cambria"/>
      <w:i/>
      <w:iCs/>
      <w:color w:val="404040"/>
      <w:sz w:val="22"/>
      <w:lang w:val="en-GB" w:eastAsia="en-GB"/>
    </w:rPr>
  </w:style>
  <w:style w:type="paragraph" w:customStyle="1" w:styleId="SectionHeading">
    <w:name w:val="Section Heading"/>
    <w:basedOn w:val="Normal"/>
    <w:link w:val="SectionHeadingChar"/>
    <w:qFormat/>
    <w:rsid w:val="007E36CB"/>
    <w:pPr>
      <w:jc w:val="center"/>
    </w:pPr>
    <w:rPr>
      <w:b/>
      <w:color w:val="44697D"/>
      <w:sz w:val="32"/>
      <w:szCs w:val="32"/>
    </w:rPr>
  </w:style>
  <w:style w:type="character" w:customStyle="1" w:styleId="Heading4Char">
    <w:name w:val="Heading 4 Char"/>
    <w:aliases w:val="~Level4Heading Char,Titre 4 Car Car Car Car Car Char,( i ) Char,o Char,4 Char,aa Char,LetHead4 Char,MisHead4 Char,Normalhead4 Char,l4 Char,I4 Char,Normal Heading 4 Char,Centred Char"/>
    <w:link w:val="Heading4"/>
    <w:rsid w:val="007E36CB"/>
    <w:rPr>
      <w:rFonts w:ascii="Tahoma" w:hAnsi="Tahoma"/>
      <w:b/>
      <w:bCs/>
      <w:iCs/>
      <w:color w:val="44697D"/>
      <w:sz w:val="22"/>
      <w:szCs w:val="24"/>
      <w:lang w:val="en-GB" w:eastAsia="en-GB"/>
    </w:rPr>
  </w:style>
  <w:style w:type="character" w:customStyle="1" w:styleId="Heading5Char">
    <w:name w:val="Heading 5 Char"/>
    <w:link w:val="Heading5"/>
    <w:rsid w:val="007E36CB"/>
    <w:rPr>
      <w:rFonts w:ascii="Tahoma" w:hAnsi="Tahoma"/>
      <w:b/>
      <w:i/>
      <w:color w:val="44697D"/>
      <w:sz w:val="21"/>
      <w:lang w:val="en-GB" w:eastAsia="en-GB"/>
    </w:rPr>
  </w:style>
  <w:style w:type="character" w:customStyle="1" w:styleId="Heading6Char">
    <w:name w:val="Heading 6 Char"/>
    <w:link w:val="Heading6"/>
    <w:rsid w:val="00EA26A7"/>
    <w:rPr>
      <w:rFonts w:ascii="Tahoma" w:hAnsi="Tahoma"/>
      <w:b/>
      <w:color w:val="44697D"/>
      <w:sz w:val="32"/>
      <w:lang w:val="en-GB" w:eastAsia="en-GB"/>
    </w:rPr>
  </w:style>
  <w:style w:type="character" w:customStyle="1" w:styleId="Heading7Char">
    <w:name w:val="Heading 7 Char"/>
    <w:link w:val="Heading7"/>
    <w:rsid w:val="00C2671F"/>
    <w:rPr>
      <w:rFonts w:ascii="Cambria" w:hAnsi="Cambria"/>
      <w:i/>
      <w:iCs/>
      <w:color w:val="404040"/>
      <w:sz w:val="22"/>
      <w:szCs w:val="22"/>
      <w:lang w:val="en-GB" w:eastAsia="en-GB"/>
    </w:rPr>
  </w:style>
  <w:style w:type="paragraph" w:styleId="ListBullet">
    <w:name w:val="List Bullet"/>
    <w:basedOn w:val="Normal"/>
    <w:link w:val="ListBulletChar"/>
    <w:uiPriority w:val="99"/>
    <w:unhideWhenUsed/>
    <w:qFormat/>
    <w:rsid w:val="003E2423"/>
    <w:pPr>
      <w:numPr>
        <w:numId w:val="9"/>
      </w:numPr>
      <w:spacing w:before="0" w:after="60"/>
    </w:pPr>
  </w:style>
  <w:style w:type="paragraph" w:styleId="ListBullet2">
    <w:name w:val="List Bullet 2"/>
    <w:basedOn w:val="Normal"/>
    <w:unhideWhenUsed/>
    <w:qFormat/>
    <w:rsid w:val="007E36CB"/>
    <w:pPr>
      <w:numPr>
        <w:ilvl w:val="1"/>
        <w:numId w:val="9"/>
      </w:numPr>
      <w:contextualSpacing/>
      <w:jc w:val="left"/>
    </w:pPr>
  </w:style>
  <w:style w:type="paragraph" w:styleId="ListBullet3">
    <w:name w:val="List Bullet 3"/>
    <w:basedOn w:val="Normal"/>
    <w:uiPriority w:val="99"/>
    <w:unhideWhenUsed/>
    <w:qFormat/>
    <w:rsid w:val="0015476E"/>
    <w:pPr>
      <w:numPr>
        <w:ilvl w:val="2"/>
        <w:numId w:val="9"/>
      </w:numPr>
      <w:contextualSpacing/>
    </w:pPr>
  </w:style>
  <w:style w:type="paragraph" w:customStyle="1" w:styleId="NumberedParagraph">
    <w:name w:val="Numbered Paragraph"/>
    <w:basedOn w:val="Normal"/>
    <w:link w:val="NumberedParagraphChar"/>
    <w:uiPriority w:val="1"/>
    <w:qFormat/>
    <w:rsid w:val="007E36CB"/>
  </w:style>
  <w:style w:type="paragraph" w:styleId="BalloonText">
    <w:name w:val="Balloon Text"/>
    <w:basedOn w:val="Normal"/>
    <w:link w:val="BalloonTextChar"/>
    <w:uiPriority w:val="99"/>
    <w:semiHidden/>
    <w:unhideWhenUsed/>
    <w:rsid w:val="007B1CBD"/>
    <w:pPr>
      <w:spacing w:before="0" w:after="0"/>
    </w:pPr>
    <w:rPr>
      <w:sz w:val="16"/>
      <w:szCs w:val="16"/>
    </w:rPr>
  </w:style>
  <w:style w:type="character" w:customStyle="1" w:styleId="NumberedParagraphChar">
    <w:name w:val="Numbered Paragraph Char"/>
    <w:link w:val="NumberedParagraph"/>
    <w:uiPriority w:val="1"/>
    <w:rsid w:val="007E36CB"/>
    <w:rPr>
      <w:rFonts w:ascii="Tahoma" w:hAnsi="Tahoma"/>
      <w:sz w:val="22"/>
      <w:szCs w:val="22"/>
      <w:lang w:val="en-GB" w:eastAsia="en-GB"/>
    </w:rPr>
  </w:style>
  <w:style w:type="character" w:customStyle="1" w:styleId="BalloonTextChar">
    <w:name w:val="Balloon Text Char"/>
    <w:link w:val="BalloonText"/>
    <w:uiPriority w:val="99"/>
    <w:semiHidden/>
    <w:rsid w:val="007B1CBD"/>
    <w:rPr>
      <w:rFonts w:ascii="Tahoma" w:hAnsi="Tahoma" w:cs="Tahoma"/>
      <w:sz w:val="16"/>
      <w:szCs w:val="16"/>
    </w:rPr>
  </w:style>
  <w:style w:type="paragraph" w:styleId="Caption">
    <w:name w:val="caption"/>
    <w:aliases w:val="Beschriftung Char,Beschriftung Char Char Char Char Char,Beschriftung Char Char Char,~Caption,Table Caption,Caption Char Char Char,Caption Char Char Char Char Char Char,Caption1,Caption Char Char Char1 Char,Caption Char Char Char1 Char Char Char"/>
    <w:basedOn w:val="Normal"/>
    <w:next w:val="Normal"/>
    <w:link w:val="CaptionChar"/>
    <w:unhideWhenUsed/>
    <w:qFormat/>
    <w:rsid w:val="008343FF"/>
    <w:pPr>
      <w:keepNext/>
      <w:spacing w:before="60" w:after="60"/>
      <w:jc w:val="center"/>
    </w:pPr>
    <w:rPr>
      <w:rFonts w:cs="Arial"/>
      <w:b/>
      <w:bCs/>
      <w:sz w:val="18"/>
      <w:szCs w:val="18"/>
    </w:rPr>
  </w:style>
  <w:style w:type="paragraph" w:customStyle="1" w:styleId="Annex">
    <w:name w:val="Annex"/>
    <w:basedOn w:val="Normal"/>
    <w:next w:val="NumberedParagraph"/>
    <w:link w:val="AnnexChar"/>
    <w:uiPriority w:val="10"/>
    <w:qFormat/>
    <w:rsid w:val="007E36CB"/>
    <w:pPr>
      <w:pageBreakBefore/>
      <w:numPr>
        <w:ilvl w:val="3"/>
        <w:numId w:val="3"/>
      </w:numPr>
      <w:spacing w:after="360"/>
      <w:jc w:val="left"/>
      <w:outlineLvl w:val="0"/>
    </w:pPr>
    <w:rPr>
      <w:rFonts w:ascii="Tahoma Bold" w:hAnsi="Tahoma Bold"/>
      <w:b/>
      <w:color w:val="44697D"/>
      <w:sz w:val="32"/>
      <w:szCs w:val="32"/>
    </w:rPr>
  </w:style>
  <w:style w:type="paragraph" w:customStyle="1" w:styleId="Pa1">
    <w:name w:val="Pa1"/>
    <w:basedOn w:val="Normal"/>
    <w:next w:val="Normal"/>
    <w:uiPriority w:val="99"/>
    <w:rsid w:val="0023764F"/>
    <w:pPr>
      <w:autoSpaceDE w:val="0"/>
      <w:autoSpaceDN w:val="0"/>
      <w:adjustRightInd w:val="0"/>
      <w:spacing w:before="0" w:after="0" w:line="241" w:lineRule="atLeast"/>
      <w:jc w:val="left"/>
    </w:pPr>
    <w:rPr>
      <w:rFonts w:eastAsia="Calibri" w:cs="Tahoma"/>
      <w:sz w:val="24"/>
      <w:szCs w:val="24"/>
      <w:lang w:val="pl-PL" w:eastAsia="en-US"/>
    </w:rPr>
  </w:style>
  <w:style w:type="paragraph" w:styleId="TOC1">
    <w:name w:val="toc 1"/>
    <w:basedOn w:val="Normal"/>
    <w:uiPriority w:val="39"/>
    <w:qFormat/>
    <w:rsid w:val="00623F2E"/>
    <w:pPr>
      <w:keepNext/>
      <w:tabs>
        <w:tab w:val="right" w:leader="dot" w:pos="9639"/>
      </w:tabs>
      <w:ind w:left="1134" w:hanging="1134"/>
      <w:jc w:val="left"/>
    </w:pPr>
    <w:rPr>
      <w:b/>
      <w:noProof/>
      <w:color w:val="44697D"/>
      <w:sz w:val="20"/>
    </w:rPr>
  </w:style>
  <w:style w:type="paragraph" w:styleId="TOC2">
    <w:name w:val="toc 2"/>
    <w:basedOn w:val="Normal"/>
    <w:uiPriority w:val="39"/>
    <w:qFormat/>
    <w:rsid w:val="00C860FD"/>
    <w:pPr>
      <w:tabs>
        <w:tab w:val="left" w:pos="1440"/>
        <w:tab w:val="right" w:leader="dot" w:pos="9639"/>
      </w:tabs>
      <w:ind w:left="1134" w:hanging="1134"/>
      <w:jc w:val="left"/>
    </w:pPr>
    <w:rPr>
      <w:b/>
      <w:noProof/>
      <w:color w:val="00B0F0"/>
      <w:kern w:val="18"/>
      <w:sz w:val="20"/>
      <w:lang w:eastAsia="en-US"/>
    </w:rPr>
  </w:style>
  <w:style w:type="character" w:styleId="Hyperlink">
    <w:name w:val="Hyperlink"/>
    <w:uiPriority w:val="99"/>
    <w:rsid w:val="006732AB"/>
    <w:rPr>
      <w:color w:val="0000FF"/>
      <w:u w:val="single"/>
    </w:rPr>
  </w:style>
  <w:style w:type="paragraph" w:styleId="TOC3">
    <w:name w:val="toc 3"/>
    <w:basedOn w:val="Normal"/>
    <w:next w:val="Normal"/>
    <w:uiPriority w:val="39"/>
    <w:qFormat/>
    <w:rsid w:val="00C860FD"/>
    <w:pPr>
      <w:tabs>
        <w:tab w:val="right" w:leader="dot" w:pos="9639"/>
      </w:tabs>
      <w:ind w:left="1134" w:hanging="850"/>
    </w:pPr>
    <w:rPr>
      <w:noProof/>
      <w:sz w:val="20"/>
      <w:szCs w:val="24"/>
    </w:rPr>
  </w:style>
  <w:style w:type="paragraph" w:styleId="Subtitle">
    <w:name w:val="Subtitle"/>
    <w:basedOn w:val="Normal"/>
    <w:link w:val="SubtitleChar"/>
    <w:qFormat/>
    <w:rsid w:val="006732AB"/>
    <w:pPr>
      <w:numPr>
        <w:numId w:val="1"/>
      </w:numPr>
      <w:tabs>
        <w:tab w:val="clear" w:pos="720"/>
      </w:tabs>
      <w:spacing w:before="0" w:after="60"/>
      <w:jc w:val="center"/>
      <w:outlineLvl w:val="1"/>
    </w:pPr>
    <w:rPr>
      <w:rFonts w:ascii="Arial" w:hAnsi="Arial"/>
      <w:sz w:val="24"/>
      <w:szCs w:val="24"/>
      <w:lang w:val="en-AU" w:eastAsia="en-AU"/>
    </w:rPr>
  </w:style>
  <w:style w:type="character" w:customStyle="1" w:styleId="SubtitleChar">
    <w:name w:val="Subtitle Char"/>
    <w:link w:val="Subtitle"/>
    <w:rsid w:val="006732AB"/>
    <w:rPr>
      <w:rFonts w:ascii="Arial" w:hAnsi="Arial"/>
      <w:sz w:val="24"/>
      <w:szCs w:val="24"/>
      <w:lang w:val="en-AU" w:eastAsia="en-AU"/>
    </w:rPr>
  </w:style>
  <w:style w:type="paragraph" w:styleId="TOCHeading">
    <w:name w:val="TOC Heading"/>
    <w:basedOn w:val="Heading1"/>
    <w:next w:val="Normal"/>
    <w:uiPriority w:val="39"/>
    <w:qFormat/>
    <w:rsid w:val="006732AB"/>
    <w:pPr>
      <w:keepNext/>
      <w:keepLines/>
      <w:spacing w:before="480" w:after="0"/>
      <w:ind w:left="0"/>
      <w:outlineLvl w:val="9"/>
    </w:pPr>
    <w:rPr>
      <w:rFonts w:ascii="Cambria" w:hAnsi="Cambria"/>
      <w:bCs/>
      <w:color w:val="365F91"/>
      <w:sz w:val="28"/>
      <w:szCs w:val="28"/>
      <w:lang w:val="en-US" w:eastAsia="en-US"/>
    </w:rPr>
  </w:style>
  <w:style w:type="paragraph" w:styleId="TableofFigures">
    <w:name w:val="table of figures"/>
    <w:basedOn w:val="Normal"/>
    <w:next w:val="Normal"/>
    <w:uiPriority w:val="99"/>
    <w:rsid w:val="00C860FD"/>
    <w:rPr>
      <w:sz w:val="20"/>
      <w:szCs w:val="24"/>
    </w:rPr>
  </w:style>
  <w:style w:type="paragraph" w:styleId="EndnoteText">
    <w:name w:val="endnote text"/>
    <w:basedOn w:val="Normal"/>
    <w:link w:val="EndnoteTextChar"/>
    <w:uiPriority w:val="99"/>
    <w:semiHidden/>
    <w:rsid w:val="00A7501E"/>
    <w:pPr>
      <w:widowControl w:val="0"/>
      <w:autoSpaceDE w:val="0"/>
      <w:autoSpaceDN w:val="0"/>
      <w:adjustRightInd w:val="0"/>
    </w:pPr>
    <w:rPr>
      <w:rFonts w:ascii="Courier New" w:hAnsi="Courier New"/>
      <w:szCs w:val="24"/>
      <w:lang w:val="en-US" w:eastAsia="en-US"/>
    </w:rPr>
  </w:style>
  <w:style w:type="character" w:customStyle="1" w:styleId="EndnoteTextChar">
    <w:name w:val="Endnote Text Char"/>
    <w:link w:val="EndnoteText"/>
    <w:uiPriority w:val="99"/>
    <w:semiHidden/>
    <w:rsid w:val="00A7501E"/>
    <w:rPr>
      <w:rFonts w:ascii="Courier New" w:eastAsia="Times New Roman" w:hAnsi="Courier New" w:cs="Times New Roman"/>
      <w:sz w:val="20"/>
      <w:szCs w:val="24"/>
      <w:lang w:val="en-US" w:eastAsia="en-US"/>
    </w:rPr>
  </w:style>
  <w:style w:type="character" w:customStyle="1" w:styleId="NormalIndentChar">
    <w:name w:val="Normal Indent Char"/>
    <w:link w:val="NormalIndent"/>
    <w:locked/>
    <w:rsid w:val="002121AC"/>
    <w:rPr>
      <w:rFonts w:ascii="Tahoma" w:hAnsi="Tahoma"/>
      <w:sz w:val="20"/>
    </w:rPr>
  </w:style>
  <w:style w:type="paragraph" w:customStyle="1" w:styleId="Table">
    <w:name w:val="Table"/>
    <w:basedOn w:val="Normal"/>
    <w:uiPriority w:val="15"/>
    <w:qFormat/>
    <w:rsid w:val="008B6930"/>
    <w:pPr>
      <w:tabs>
        <w:tab w:val="left" w:pos="567"/>
      </w:tabs>
      <w:spacing w:before="0" w:after="0"/>
      <w:jc w:val="left"/>
    </w:pPr>
    <w:rPr>
      <w:lang w:eastAsia="en-US"/>
    </w:rPr>
  </w:style>
  <w:style w:type="paragraph" w:customStyle="1" w:styleId="Indentnumbered">
    <w:name w:val="Indent numbered"/>
    <w:basedOn w:val="NormalIndent"/>
    <w:link w:val="IndentnumberedChar"/>
    <w:rsid w:val="0005159B"/>
    <w:pPr>
      <w:tabs>
        <w:tab w:val="num" w:pos="1134"/>
        <w:tab w:val="left" w:pos="1276"/>
      </w:tabs>
      <w:spacing w:before="100" w:after="100"/>
      <w:ind w:left="1134" w:hanging="567"/>
      <w:jc w:val="left"/>
    </w:pPr>
    <w:rPr>
      <w:szCs w:val="24"/>
      <w:lang w:val="en-US"/>
    </w:rPr>
  </w:style>
  <w:style w:type="character" w:customStyle="1" w:styleId="IndentnumberedChar">
    <w:name w:val="Indent numbered Char"/>
    <w:link w:val="Indentnumbered"/>
    <w:locked/>
    <w:rsid w:val="0005159B"/>
    <w:rPr>
      <w:rFonts w:ascii="Tahoma" w:eastAsia="Times New Roman" w:hAnsi="Tahoma" w:cs="Times New Roman"/>
      <w:sz w:val="20"/>
      <w:szCs w:val="24"/>
      <w:lang w:val="en-US"/>
    </w:rPr>
  </w:style>
  <w:style w:type="character" w:customStyle="1" w:styleId="CaptionChar">
    <w:name w:val="Caption Char"/>
    <w:aliases w:val="Beschriftung Char Char,Beschriftung Char Char Char Char Char Char,Beschriftung Char Char Char Char,~Caption Char,Table Caption Char,Caption Char Char Char Char,Caption Char Char Char Char Char Char Char,Caption1 Char"/>
    <w:link w:val="Caption"/>
    <w:locked/>
    <w:rsid w:val="008343FF"/>
    <w:rPr>
      <w:rFonts w:ascii="Tahoma" w:hAnsi="Tahoma" w:cs="Arial"/>
      <w:b/>
      <w:bCs/>
      <w:sz w:val="18"/>
      <w:szCs w:val="18"/>
      <w:lang w:val="en-GB" w:eastAsia="en-GB"/>
    </w:rPr>
  </w:style>
  <w:style w:type="paragraph" w:customStyle="1" w:styleId="Char21">
    <w:name w:val="Char21"/>
    <w:basedOn w:val="Normal"/>
    <w:uiPriority w:val="99"/>
    <w:rsid w:val="0005159B"/>
    <w:pPr>
      <w:spacing w:before="0" w:after="160" w:line="240" w:lineRule="exact"/>
      <w:jc w:val="left"/>
    </w:pPr>
    <w:rPr>
      <w:rFonts w:ascii="Arial" w:hAnsi="Arial"/>
      <w:szCs w:val="20"/>
      <w:lang w:val="en-US" w:eastAsia="en-US"/>
    </w:rPr>
  </w:style>
  <w:style w:type="paragraph" w:styleId="NormalIndent">
    <w:name w:val="Normal Indent"/>
    <w:basedOn w:val="Normal"/>
    <w:link w:val="NormalIndentChar"/>
    <w:unhideWhenUsed/>
    <w:rsid w:val="0005159B"/>
    <w:pPr>
      <w:ind w:left="720"/>
    </w:pPr>
    <w:rPr>
      <w:szCs w:val="20"/>
    </w:rPr>
  </w:style>
  <w:style w:type="paragraph" w:customStyle="1" w:styleId="NoParagraphStyle">
    <w:name w:val="[No Paragraph Style]"/>
    <w:rsid w:val="00B250F9"/>
    <w:pPr>
      <w:autoSpaceDE w:val="0"/>
      <w:autoSpaceDN w:val="0"/>
      <w:adjustRightInd w:val="0"/>
      <w:spacing w:line="288" w:lineRule="auto"/>
      <w:textAlignment w:val="center"/>
    </w:pPr>
    <w:rPr>
      <w:rFonts w:ascii="Times Regular" w:hAnsi="Times Regular" w:cs="Times Regular"/>
      <w:color w:val="000000"/>
      <w:sz w:val="24"/>
      <w:szCs w:val="24"/>
      <w:lang w:val="en-GB" w:eastAsia="en-GB"/>
    </w:rPr>
  </w:style>
  <w:style w:type="numbering" w:customStyle="1" w:styleId="ListBulletsWorldBankADB">
    <w:name w:val="ListBulletsWorldBank/ADB"/>
    <w:rsid w:val="0015476E"/>
    <w:pPr>
      <w:numPr>
        <w:numId w:val="2"/>
      </w:numPr>
    </w:pPr>
  </w:style>
  <w:style w:type="paragraph" w:styleId="ListParagraph">
    <w:name w:val="List Paragraph"/>
    <w:aliases w:val="Indent Paragraph,Lettre d'introduction,Heading 2_sj,Dot pt,List Paragraph Char Char Char,Indicator Text,Numbered Para 1,List Paragraph12,Bullet Points,MAIN CONTENT,Bullet 1,List Paragraph (numbered (a)),Bullit,List Paragraph Aktis,FM,Ha"/>
    <w:basedOn w:val="Normal"/>
    <w:link w:val="ListParagraphChar"/>
    <w:uiPriority w:val="34"/>
    <w:qFormat/>
    <w:rsid w:val="00945F9F"/>
    <w:pPr>
      <w:ind w:left="720"/>
      <w:contextualSpacing/>
    </w:pPr>
    <w:rPr>
      <w:szCs w:val="24"/>
    </w:rPr>
  </w:style>
  <w:style w:type="numbering" w:customStyle="1" w:styleId="IndentedNumberWorldBank">
    <w:name w:val="IndentedNumberWorldBank"/>
    <w:uiPriority w:val="99"/>
    <w:rsid w:val="00335E7C"/>
    <w:pPr>
      <w:numPr>
        <w:numId w:val="4"/>
      </w:numPr>
    </w:pPr>
  </w:style>
  <w:style w:type="paragraph" w:customStyle="1" w:styleId="Recommendation">
    <w:name w:val="Recommendation"/>
    <w:basedOn w:val="Normal"/>
    <w:next w:val="NumberedParagraph"/>
    <w:link w:val="RecommendationChar"/>
    <w:uiPriority w:val="10"/>
    <w:qFormat/>
    <w:rsid w:val="007E36CB"/>
    <w:pPr>
      <w:numPr>
        <w:numId w:val="10"/>
      </w:numPr>
      <w:jc w:val="left"/>
    </w:pPr>
    <w:rPr>
      <w:b/>
      <w:i/>
    </w:rPr>
  </w:style>
  <w:style w:type="paragraph" w:styleId="ListNumber">
    <w:name w:val="List Number"/>
    <w:basedOn w:val="Normal"/>
    <w:uiPriority w:val="99"/>
    <w:unhideWhenUsed/>
    <w:qFormat/>
    <w:rsid w:val="007E36CB"/>
    <w:pPr>
      <w:numPr>
        <w:numId w:val="8"/>
      </w:numPr>
      <w:spacing w:before="0" w:after="60"/>
      <w:jc w:val="left"/>
    </w:pPr>
  </w:style>
  <w:style w:type="paragraph" w:customStyle="1" w:styleId="USP">
    <w:name w:val="USP"/>
    <w:basedOn w:val="Normal"/>
    <w:next w:val="NumberedParagraph"/>
    <w:link w:val="USPChar"/>
    <w:uiPriority w:val="10"/>
    <w:qFormat/>
    <w:rsid w:val="007E36CB"/>
    <w:pPr>
      <w:numPr>
        <w:numId w:val="11"/>
      </w:numPr>
      <w:jc w:val="left"/>
    </w:pPr>
    <w:rPr>
      <w:b/>
      <w:i/>
    </w:rPr>
  </w:style>
  <w:style w:type="character" w:customStyle="1" w:styleId="RecommendationChar">
    <w:name w:val="Recommendation Char"/>
    <w:link w:val="Recommendation"/>
    <w:uiPriority w:val="10"/>
    <w:rsid w:val="007E36CB"/>
    <w:rPr>
      <w:rFonts w:ascii="Tahoma" w:hAnsi="Tahoma"/>
      <w:b/>
      <w:i/>
      <w:sz w:val="22"/>
      <w:szCs w:val="22"/>
      <w:lang w:val="en-GB" w:eastAsia="en-GB"/>
    </w:rPr>
  </w:style>
  <w:style w:type="numbering" w:customStyle="1" w:styleId="Recommnendation">
    <w:name w:val="Recommnendation"/>
    <w:uiPriority w:val="99"/>
    <w:rsid w:val="007838B6"/>
    <w:pPr>
      <w:numPr>
        <w:numId w:val="6"/>
      </w:numPr>
    </w:pPr>
  </w:style>
  <w:style w:type="numbering" w:customStyle="1" w:styleId="KeyIssues">
    <w:name w:val="KeyIssues"/>
    <w:uiPriority w:val="99"/>
    <w:rsid w:val="00DC2F3D"/>
    <w:pPr>
      <w:numPr>
        <w:numId w:val="5"/>
      </w:numPr>
    </w:pPr>
  </w:style>
  <w:style w:type="paragraph" w:customStyle="1" w:styleId="KeyIssue">
    <w:name w:val="Key Issue"/>
    <w:basedOn w:val="Normal"/>
    <w:next w:val="NumberedParagraph"/>
    <w:link w:val="KeyIssueChar"/>
    <w:uiPriority w:val="10"/>
    <w:qFormat/>
    <w:rsid w:val="007E36CB"/>
    <w:pPr>
      <w:numPr>
        <w:numId w:val="12"/>
      </w:numPr>
      <w:jc w:val="left"/>
    </w:pPr>
    <w:rPr>
      <w:b/>
      <w:i/>
    </w:rPr>
  </w:style>
  <w:style w:type="character" w:customStyle="1" w:styleId="USPChar">
    <w:name w:val="USP Char"/>
    <w:link w:val="USP"/>
    <w:uiPriority w:val="10"/>
    <w:rsid w:val="007E36CB"/>
    <w:rPr>
      <w:rFonts w:ascii="Tahoma" w:hAnsi="Tahoma"/>
      <w:b/>
      <w:i/>
      <w:sz w:val="22"/>
      <w:szCs w:val="22"/>
      <w:lang w:val="en-GB" w:eastAsia="en-GB"/>
    </w:rPr>
  </w:style>
  <w:style w:type="character" w:customStyle="1" w:styleId="KeyIssueChar">
    <w:name w:val="Key Issue Char"/>
    <w:link w:val="KeyIssue"/>
    <w:uiPriority w:val="10"/>
    <w:rsid w:val="007E36CB"/>
    <w:rPr>
      <w:rFonts w:ascii="Tahoma" w:hAnsi="Tahoma"/>
      <w:b/>
      <w:i/>
      <w:sz w:val="22"/>
      <w:szCs w:val="22"/>
      <w:lang w:val="en-GB" w:eastAsia="en-GB"/>
    </w:rPr>
  </w:style>
  <w:style w:type="numbering" w:customStyle="1" w:styleId="USPList">
    <w:name w:val="USP List"/>
    <w:uiPriority w:val="99"/>
    <w:rsid w:val="007838B6"/>
    <w:pPr>
      <w:numPr>
        <w:numId w:val="7"/>
      </w:numPr>
    </w:pPr>
  </w:style>
  <w:style w:type="character" w:customStyle="1" w:styleId="AnnexChar">
    <w:name w:val="Annex Char"/>
    <w:link w:val="Annex"/>
    <w:uiPriority w:val="10"/>
    <w:rsid w:val="007E36CB"/>
    <w:rPr>
      <w:rFonts w:ascii="Tahoma Bold" w:hAnsi="Tahoma Bold"/>
      <w:b/>
      <w:color w:val="44697D"/>
      <w:sz w:val="32"/>
      <w:szCs w:val="32"/>
      <w:lang w:val="en-GB" w:eastAsia="en-GB"/>
    </w:rPr>
  </w:style>
  <w:style w:type="character" w:customStyle="1" w:styleId="A1">
    <w:name w:val="A1"/>
    <w:uiPriority w:val="99"/>
    <w:rsid w:val="0023764F"/>
    <w:rPr>
      <w:color w:val="385F79"/>
      <w:sz w:val="14"/>
      <w:szCs w:val="14"/>
    </w:rPr>
  </w:style>
  <w:style w:type="character" w:customStyle="1" w:styleId="A2">
    <w:name w:val="A2"/>
    <w:uiPriority w:val="99"/>
    <w:rsid w:val="0023764F"/>
    <w:rPr>
      <w:color w:val="385F79"/>
      <w:sz w:val="12"/>
      <w:szCs w:val="12"/>
    </w:rPr>
  </w:style>
  <w:style w:type="paragraph" w:styleId="BodyText">
    <w:name w:val="Body Text"/>
    <w:aliases w:val="Body Text Char3 Char,Body Text Char2 Char1 Char,Body Text Char Char1 Char1 Char,Body Text Char2 Char Char Char Char,Body Text Char Char1 Char Char Char Char,Char Char Char Char Char Char Char,Body Text Char Char2 Char Char,heading3,uvlaka 2"/>
    <w:basedOn w:val="Normal"/>
    <w:link w:val="BodyTextChar1"/>
    <w:rsid w:val="001D796C"/>
    <w:pPr>
      <w:spacing w:before="60" w:after="60"/>
      <w:ind w:left="720"/>
      <w:jc w:val="left"/>
    </w:pPr>
    <w:rPr>
      <w:rFonts w:ascii="Arial" w:hAnsi="Arial"/>
      <w:sz w:val="24"/>
      <w:szCs w:val="24"/>
    </w:rPr>
  </w:style>
  <w:style w:type="character" w:customStyle="1" w:styleId="BodyTextChar">
    <w:name w:val="Body Text Char"/>
    <w:aliases w:val="heading3 Char,Body Text - Level 2 Char,uvlaka 2 Char,  uvlaka 2 Char,Biotope Char"/>
    <w:rsid w:val="001D796C"/>
    <w:rPr>
      <w:rFonts w:ascii="Tahoma" w:hAnsi="Tahoma"/>
      <w:sz w:val="20"/>
    </w:rPr>
  </w:style>
  <w:style w:type="paragraph" w:styleId="NoSpacing">
    <w:name w:val="No Spacing"/>
    <w:link w:val="NoSpacingChar"/>
    <w:uiPriority w:val="1"/>
    <w:qFormat/>
    <w:rsid w:val="002C4598"/>
    <w:pPr>
      <w:jc w:val="both"/>
    </w:pPr>
    <w:rPr>
      <w:rFonts w:ascii="Times New Roman" w:hAnsi="Times New Roman"/>
      <w:sz w:val="24"/>
      <w:szCs w:val="22"/>
      <w:lang w:val="en-GB"/>
    </w:rPr>
  </w:style>
  <w:style w:type="character" w:customStyle="1" w:styleId="BodyTextChar1">
    <w:name w:val="Body Text Char1"/>
    <w:aliases w:val="Body Text Char3 Char Char,Body Text Char2 Char1 Char Char,Body Text Char Char1 Char1 Char Char,Body Text Char2 Char Char Char Char Char,Body Text Char Char1 Char Char Char Char Char,Char Char Char Char Char Char Char Char,heading3 Char1"/>
    <w:link w:val="BodyText"/>
    <w:locked/>
    <w:rsid w:val="001D796C"/>
    <w:rPr>
      <w:rFonts w:ascii="Arial" w:eastAsia="Times New Roman" w:hAnsi="Arial" w:cs="Times New Roman"/>
      <w:sz w:val="24"/>
      <w:szCs w:val="24"/>
    </w:rPr>
  </w:style>
  <w:style w:type="paragraph" w:styleId="DocumentMap">
    <w:name w:val="Document Map"/>
    <w:basedOn w:val="Normal"/>
    <w:link w:val="DocumentMapChar"/>
    <w:uiPriority w:val="99"/>
    <w:semiHidden/>
    <w:unhideWhenUsed/>
    <w:rsid w:val="00176554"/>
    <w:pPr>
      <w:spacing w:before="0" w:after="0"/>
    </w:pPr>
    <w:rPr>
      <w:sz w:val="16"/>
      <w:szCs w:val="16"/>
    </w:rPr>
  </w:style>
  <w:style w:type="character" w:customStyle="1" w:styleId="DocumentMapChar">
    <w:name w:val="Document Map Char"/>
    <w:link w:val="DocumentMap"/>
    <w:uiPriority w:val="99"/>
    <w:semiHidden/>
    <w:rsid w:val="00176554"/>
    <w:rPr>
      <w:rFonts w:ascii="Tahoma" w:hAnsi="Tahoma" w:cs="Tahoma"/>
      <w:sz w:val="16"/>
      <w:szCs w:val="16"/>
    </w:rPr>
  </w:style>
  <w:style w:type="paragraph" w:customStyle="1" w:styleId="DefaultParagraphFontParaCharCharCharCharCharChar1Char">
    <w:name w:val="Default Paragraph Font Para Char Char Char Char Char Char1 Char"/>
    <w:basedOn w:val="Normal"/>
    <w:rsid w:val="008B6930"/>
    <w:pPr>
      <w:spacing w:before="0" w:after="160" w:line="240" w:lineRule="exact"/>
      <w:jc w:val="left"/>
    </w:pPr>
    <w:rPr>
      <w:rFonts w:ascii="Arial" w:hAnsi="Arial"/>
      <w:szCs w:val="20"/>
      <w:lang w:val="en-US" w:eastAsia="en-US"/>
    </w:rPr>
  </w:style>
  <w:style w:type="paragraph" w:customStyle="1" w:styleId="BasicParagraph">
    <w:name w:val="[Basic Paragraph]"/>
    <w:basedOn w:val="NoParagraphStyle"/>
    <w:uiPriority w:val="99"/>
    <w:rsid w:val="00193D93"/>
    <w:rPr>
      <w:rFonts w:ascii="Times New Roman" w:hAnsi="Times New Roman" w:cs="Times New Roman"/>
    </w:rPr>
  </w:style>
  <w:style w:type="character" w:styleId="PageNumber">
    <w:name w:val="page number"/>
    <w:basedOn w:val="DefaultParagraphFont"/>
    <w:unhideWhenUsed/>
    <w:rsid w:val="00820E04"/>
  </w:style>
  <w:style w:type="paragraph" w:styleId="FootnoteText">
    <w:name w:val="footnote text"/>
    <w:aliases w:val="Footnotes_UQ,Fußnotentextf,Fußnote,Footnote,Footnote Text Char1 Char,Footnote Text Char Char Char,Footnote Text Char1 Char Char Char,Footnote Text Char Char Char Char Char,Footnote Text Char1 Char1 Char,Footnote Text Char Char Char1 Char,f"/>
    <w:basedOn w:val="Normal"/>
    <w:link w:val="FootnoteTextChar"/>
    <w:unhideWhenUsed/>
    <w:qFormat/>
    <w:rsid w:val="0075643F"/>
    <w:pPr>
      <w:spacing w:before="0" w:after="0" w:line="280" w:lineRule="atLeast"/>
      <w:jc w:val="left"/>
    </w:pPr>
    <w:rPr>
      <w:rFonts w:ascii="Arial" w:hAnsi="Arial"/>
      <w:szCs w:val="20"/>
    </w:rPr>
  </w:style>
  <w:style w:type="character" w:customStyle="1" w:styleId="FootnoteTextChar">
    <w:name w:val="Footnote Text Char"/>
    <w:aliases w:val="Footnotes_UQ Char,Fußnotentextf Char,Fußnote Char,Footnote Char,Footnote Text Char1 Char Char,Footnote Text Char Char Char Char,Footnote Text Char1 Char Char Char Char,Footnote Text Char Char Char Char Char Char,f Char"/>
    <w:link w:val="FootnoteText"/>
    <w:qFormat/>
    <w:rsid w:val="0075643F"/>
    <w:rPr>
      <w:rFonts w:ascii="Arial" w:hAnsi="Arial"/>
      <w:lang w:val="en-GB"/>
    </w:rPr>
  </w:style>
  <w:style w:type="character" w:styleId="FootnoteReference">
    <w:name w:val="footnote reference"/>
    <w:aliases w:val="BVI fnr,ftref, BVI fnr,Char Char1,16 Point,Superscript 6 Point,Char Char Char Char Car Char,nota pié di pagina,Superscript 6 Point + 11 pt,Footnote Reference Number,Footnote Reference_LVL6,Footnote Reference_LVL61,Heading 2 Char1,fr"/>
    <w:link w:val="CarattereCarattereCharCharCharCharCharCharZchn"/>
    <w:uiPriority w:val="99"/>
    <w:unhideWhenUsed/>
    <w:qFormat/>
    <w:rsid w:val="0075643F"/>
    <w:rPr>
      <w:vertAlign w:val="superscript"/>
    </w:rPr>
  </w:style>
  <w:style w:type="character" w:customStyle="1" w:styleId="A0">
    <w:name w:val="A0"/>
    <w:uiPriority w:val="99"/>
    <w:rsid w:val="0075643F"/>
    <w:rPr>
      <w:rFonts w:ascii="Century Gothic" w:hAnsi="Century Gothic" w:cs="Century Gothic" w:hint="default"/>
      <w:b/>
      <w:bCs/>
      <w:color w:val="000000"/>
      <w:sz w:val="16"/>
      <w:szCs w:val="16"/>
    </w:rPr>
  </w:style>
  <w:style w:type="character" w:styleId="CommentReference">
    <w:name w:val="annotation reference"/>
    <w:uiPriority w:val="99"/>
    <w:unhideWhenUsed/>
    <w:rsid w:val="00063EAF"/>
    <w:rPr>
      <w:sz w:val="16"/>
      <w:szCs w:val="16"/>
    </w:rPr>
  </w:style>
  <w:style w:type="paragraph" w:styleId="CommentText">
    <w:name w:val="annotation text"/>
    <w:basedOn w:val="Normal"/>
    <w:link w:val="CommentTextChar"/>
    <w:uiPriority w:val="99"/>
    <w:unhideWhenUsed/>
    <w:rsid w:val="00063EAF"/>
    <w:rPr>
      <w:szCs w:val="20"/>
    </w:rPr>
  </w:style>
  <w:style w:type="character" w:customStyle="1" w:styleId="CommentTextChar">
    <w:name w:val="Comment Text Char"/>
    <w:link w:val="CommentText"/>
    <w:uiPriority w:val="99"/>
    <w:rsid w:val="00063EAF"/>
    <w:rPr>
      <w:rFonts w:ascii="Tahoma" w:hAnsi="Tahoma"/>
      <w:lang w:val="en-GB" w:eastAsia="en-GB"/>
    </w:rPr>
  </w:style>
  <w:style w:type="paragraph" w:styleId="CommentSubject">
    <w:name w:val="annotation subject"/>
    <w:basedOn w:val="CommentText"/>
    <w:next w:val="CommentText"/>
    <w:link w:val="CommentSubjectChar"/>
    <w:uiPriority w:val="99"/>
    <w:semiHidden/>
    <w:unhideWhenUsed/>
    <w:rsid w:val="00063EAF"/>
    <w:rPr>
      <w:b/>
      <w:bCs/>
    </w:rPr>
  </w:style>
  <w:style w:type="character" w:customStyle="1" w:styleId="CommentSubjectChar">
    <w:name w:val="Comment Subject Char"/>
    <w:link w:val="CommentSubject"/>
    <w:uiPriority w:val="99"/>
    <w:semiHidden/>
    <w:rsid w:val="00063EAF"/>
    <w:rPr>
      <w:rFonts w:ascii="Tahoma" w:hAnsi="Tahoma"/>
      <w:b/>
      <w:bCs/>
      <w:lang w:val="en-GB" w:eastAsia="en-GB"/>
    </w:rPr>
  </w:style>
  <w:style w:type="character" w:customStyle="1" w:styleId="None">
    <w:name w:val="None"/>
    <w:rsid w:val="00063EAF"/>
    <w:rPr>
      <w:rFonts w:ascii="Arial Bold" w:hAnsi="Arial Bold"/>
      <w:b/>
      <w:sz w:val="20"/>
    </w:rPr>
  </w:style>
  <w:style w:type="character" w:customStyle="1" w:styleId="NoSpacingChar">
    <w:name w:val="No Spacing Char"/>
    <w:link w:val="NoSpacing"/>
    <w:uiPriority w:val="1"/>
    <w:rsid w:val="00063EAF"/>
    <w:rPr>
      <w:rFonts w:ascii="Times New Roman" w:hAnsi="Times New Roman"/>
      <w:sz w:val="24"/>
      <w:szCs w:val="22"/>
      <w:lang w:val="en-GB" w:eastAsia="en-US" w:bidi="ar-SA"/>
    </w:rPr>
  </w:style>
  <w:style w:type="paragraph" w:customStyle="1" w:styleId="Default">
    <w:name w:val="Default"/>
    <w:rsid w:val="00063EAF"/>
    <w:pPr>
      <w:autoSpaceDE w:val="0"/>
      <w:autoSpaceDN w:val="0"/>
      <w:adjustRightInd w:val="0"/>
    </w:pPr>
    <w:rPr>
      <w:rFonts w:ascii="Constantia" w:eastAsia="Calibri" w:hAnsi="Constantia" w:cs="Constantia"/>
      <w:color w:val="000000"/>
      <w:sz w:val="24"/>
      <w:szCs w:val="24"/>
      <w:lang w:val="en-GB"/>
    </w:rPr>
  </w:style>
  <w:style w:type="character" w:customStyle="1" w:styleId="A4">
    <w:name w:val="A4"/>
    <w:uiPriority w:val="99"/>
    <w:rsid w:val="00063EAF"/>
    <w:rPr>
      <w:rFonts w:cs="Constantia"/>
      <w:color w:val="000000"/>
      <w:sz w:val="16"/>
      <w:szCs w:val="16"/>
    </w:rPr>
  </w:style>
  <w:style w:type="character" w:customStyle="1" w:styleId="ListParagraphChar">
    <w:name w:val="List Paragraph Char"/>
    <w:aliases w:val="Indent Paragraph Char,Lettre d'introduction Char,Heading 2_sj Char,Dot pt Char,List Paragraph Char Char Char Char,Indicator Text Char,Numbered Para 1 Char,List Paragraph12 Char,Bullet Points Char,MAIN CONTENT Char,Bullet 1 Char"/>
    <w:link w:val="ListParagraph"/>
    <w:uiPriority w:val="34"/>
    <w:qFormat/>
    <w:locked/>
    <w:rsid w:val="00063EAF"/>
    <w:rPr>
      <w:rFonts w:ascii="Tahoma" w:hAnsi="Tahoma"/>
      <w:szCs w:val="24"/>
      <w:lang w:val="en-GB" w:eastAsia="en-GB"/>
    </w:rPr>
  </w:style>
  <w:style w:type="paragraph" w:styleId="ListNumber2">
    <w:name w:val="List Number 2"/>
    <w:basedOn w:val="Normal"/>
    <w:uiPriority w:val="99"/>
    <w:unhideWhenUsed/>
    <w:qFormat/>
    <w:rsid w:val="00572A33"/>
    <w:pPr>
      <w:numPr>
        <w:numId w:val="13"/>
      </w:numPr>
      <w:contextualSpacing/>
    </w:pPr>
  </w:style>
  <w:style w:type="table" w:customStyle="1" w:styleId="PlainTable41">
    <w:name w:val="Plain Table 41"/>
    <w:basedOn w:val="TableNormal"/>
    <w:uiPriority w:val="44"/>
    <w:rsid w:val="00572A33"/>
    <w:rPr>
      <w:rFonts w:eastAsia="Calibri"/>
      <w:sz w:val="22"/>
      <w:szCs w:val="22"/>
      <w:lang w:val="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ListBulletChar">
    <w:name w:val="List Bullet Char"/>
    <w:link w:val="ListBullet"/>
    <w:uiPriority w:val="99"/>
    <w:rsid w:val="003E2423"/>
    <w:rPr>
      <w:rFonts w:ascii="Tahoma" w:hAnsi="Tahoma"/>
      <w:sz w:val="22"/>
      <w:szCs w:val="22"/>
      <w:lang w:val="en-GB" w:eastAsia="en-GB"/>
    </w:rPr>
  </w:style>
  <w:style w:type="numbering" w:customStyle="1" w:styleId="Style1">
    <w:name w:val="Style1"/>
    <w:uiPriority w:val="99"/>
    <w:rsid w:val="00572A33"/>
    <w:pPr>
      <w:numPr>
        <w:numId w:val="14"/>
      </w:numPr>
    </w:pPr>
  </w:style>
  <w:style w:type="paragraph" w:styleId="BodyText2">
    <w:name w:val="Body Text 2"/>
    <w:basedOn w:val="Normal"/>
    <w:link w:val="BodyText2Char"/>
    <w:uiPriority w:val="99"/>
    <w:unhideWhenUsed/>
    <w:rsid w:val="00572A33"/>
    <w:pPr>
      <w:spacing w:before="0" w:line="480" w:lineRule="auto"/>
      <w:jc w:val="left"/>
    </w:pPr>
    <w:rPr>
      <w:rFonts w:ascii="Arial" w:hAnsi="Arial"/>
      <w:szCs w:val="23"/>
    </w:rPr>
  </w:style>
  <w:style w:type="character" w:customStyle="1" w:styleId="BodyText2Char">
    <w:name w:val="Body Text 2 Char"/>
    <w:link w:val="BodyText2"/>
    <w:uiPriority w:val="99"/>
    <w:rsid w:val="00572A33"/>
    <w:rPr>
      <w:rFonts w:ascii="Arial" w:hAnsi="Arial" w:cs="Arial"/>
      <w:szCs w:val="23"/>
      <w:lang w:val="en-GB"/>
    </w:rPr>
  </w:style>
  <w:style w:type="character" w:customStyle="1" w:styleId="Hyperlink0">
    <w:name w:val="Hyperlink.0"/>
    <w:rsid w:val="00572A33"/>
    <w:rPr>
      <w:rFonts w:ascii="Arial Bold" w:hAnsi="Arial Bold"/>
      <w:b/>
      <w:sz w:val="20"/>
      <w:lang w:val="en-US"/>
    </w:rPr>
  </w:style>
  <w:style w:type="paragraph" w:customStyle="1" w:styleId="TextBoxWriting">
    <w:name w:val="Text Box Writing"/>
    <w:basedOn w:val="Normal"/>
    <w:link w:val="TextBoxWritingChar"/>
    <w:uiPriority w:val="15"/>
    <w:qFormat/>
    <w:rsid w:val="003D0838"/>
    <w:pPr>
      <w:spacing w:before="60" w:after="60"/>
    </w:pPr>
    <w:rPr>
      <w:rFonts w:eastAsia="Calibri"/>
      <w:color w:val="44697D"/>
      <w:sz w:val="18"/>
      <w:lang w:bidi="en-US"/>
    </w:rPr>
  </w:style>
  <w:style w:type="paragraph" w:customStyle="1" w:styleId="WYGTitle">
    <w:name w:val="WYG Title"/>
    <w:basedOn w:val="Normal"/>
    <w:uiPriority w:val="15"/>
    <w:qFormat/>
    <w:rsid w:val="003D0838"/>
    <w:pPr>
      <w:spacing w:before="0" w:after="200"/>
      <w:jc w:val="left"/>
    </w:pPr>
    <w:rPr>
      <w:rFonts w:eastAsia="Calibri"/>
      <w:color w:val="A6A6A6"/>
      <w:sz w:val="40"/>
      <w:lang w:eastAsia="en-US" w:bidi="en-US"/>
    </w:rPr>
  </w:style>
  <w:style w:type="character" w:customStyle="1" w:styleId="TextBoxWritingChar">
    <w:name w:val="Text Box Writing Char"/>
    <w:link w:val="TextBoxWriting"/>
    <w:uiPriority w:val="15"/>
    <w:rsid w:val="003D0838"/>
    <w:rPr>
      <w:rFonts w:ascii="Tahoma" w:eastAsia="Calibri" w:hAnsi="Tahoma"/>
      <w:color w:val="44697D"/>
      <w:sz w:val="18"/>
      <w:szCs w:val="22"/>
      <w:lang w:val="en-GB" w:bidi="en-US"/>
    </w:rPr>
  </w:style>
  <w:style w:type="paragraph" w:styleId="Title">
    <w:name w:val="Title"/>
    <w:basedOn w:val="Normal"/>
    <w:next w:val="Normal"/>
    <w:link w:val="TitleChar"/>
    <w:qFormat/>
    <w:rsid w:val="003D0838"/>
    <w:pPr>
      <w:numPr>
        <w:ilvl w:val="3"/>
        <w:numId w:val="19"/>
      </w:numPr>
      <w:pBdr>
        <w:bottom w:val="single" w:sz="8" w:space="4" w:color="5B9BD5"/>
      </w:pBdr>
      <w:spacing w:before="0" w:after="300"/>
      <w:contextualSpacing/>
    </w:pPr>
    <w:rPr>
      <w:rFonts w:ascii="Calibri Light" w:hAnsi="Calibri Light"/>
      <w:color w:val="323E4F"/>
      <w:spacing w:val="5"/>
      <w:kern w:val="28"/>
      <w:sz w:val="52"/>
      <w:szCs w:val="52"/>
      <w:lang w:bidi="en-US"/>
    </w:rPr>
  </w:style>
  <w:style w:type="character" w:customStyle="1" w:styleId="TitleChar">
    <w:name w:val="Title Char"/>
    <w:link w:val="Title"/>
    <w:rsid w:val="003D0838"/>
    <w:rPr>
      <w:rFonts w:ascii="Calibri Light" w:hAnsi="Calibri Light"/>
      <w:color w:val="323E4F"/>
      <w:spacing w:val="5"/>
      <w:kern w:val="28"/>
      <w:sz w:val="52"/>
      <w:szCs w:val="52"/>
      <w:lang w:val="en-GB" w:eastAsia="en-GB" w:bidi="en-US"/>
    </w:rPr>
  </w:style>
  <w:style w:type="paragraph" w:styleId="TOC4">
    <w:name w:val="toc 4"/>
    <w:basedOn w:val="Normal"/>
    <w:next w:val="Normal"/>
    <w:autoRedefine/>
    <w:uiPriority w:val="39"/>
    <w:unhideWhenUsed/>
    <w:rsid w:val="003D0838"/>
    <w:pPr>
      <w:spacing w:before="0" w:after="100"/>
      <w:ind w:left="600"/>
    </w:pPr>
    <w:rPr>
      <w:rFonts w:eastAsia="Calibri"/>
      <w:sz w:val="18"/>
      <w:lang w:eastAsia="en-US" w:bidi="en-US"/>
    </w:rPr>
  </w:style>
  <w:style w:type="paragraph" w:styleId="TOC5">
    <w:name w:val="toc 5"/>
    <w:basedOn w:val="Normal"/>
    <w:next w:val="Normal"/>
    <w:autoRedefine/>
    <w:uiPriority w:val="39"/>
    <w:unhideWhenUsed/>
    <w:rsid w:val="003D0838"/>
    <w:pPr>
      <w:spacing w:before="0" w:after="100"/>
      <w:ind w:left="800"/>
    </w:pPr>
    <w:rPr>
      <w:rFonts w:eastAsia="Calibri"/>
      <w:sz w:val="18"/>
      <w:lang w:eastAsia="en-US" w:bidi="en-US"/>
    </w:rPr>
  </w:style>
  <w:style w:type="paragraph" w:styleId="TOC6">
    <w:name w:val="toc 6"/>
    <w:basedOn w:val="Normal"/>
    <w:next w:val="Normal"/>
    <w:autoRedefine/>
    <w:uiPriority w:val="39"/>
    <w:unhideWhenUsed/>
    <w:rsid w:val="003D0838"/>
    <w:pPr>
      <w:spacing w:before="0" w:after="100"/>
      <w:ind w:left="1000"/>
    </w:pPr>
    <w:rPr>
      <w:rFonts w:eastAsia="Calibri"/>
      <w:sz w:val="18"/>
      <w:lang w:eastAsia="en-US" w:bidi="en-US"/>
    </w:rPr>
  </w:style>
  <w:style w:type="paragraph" w:styleId="TOC7">
    <w:name w:val="toc 7"/>
    <w:basedOn w:val="Normal"/>
    <w:next w:val="Normal"/>
    <w:autoRedefine/>
    <w:uiPriority w:val="39"/>
    <w:unhideWhenUsed/>
    <w:rsid w:val="003D0838"/>
    <w:pPr>
      <w:spacing w:before="0" w:after="100"/>
      <w:ind w:left="1200"/>
    </w:pPr>
    <w:rPr>
      <w:rFonts w:eastAsia="Calibri"/>
      <w:sz w:val="18"/>
      <w:lang w:eastAsia="en-US" w:bidi="en-US"/>
    </w:rPr>
  </w:style>
  <w:style w:type="paragraph" w:styleId="TOC8">
    <w:name w:val="toc 8"/>
    <w:basedOn w:val="Normal"/>
    <w:next w:val="Normal"/>
    <w:autoRedefine/>
    <w:uiPriority w:val="39"/>
    <w:unhideWhenUsed/>
    <w:rsid w:val="003D0838"/>
    <w:pPr>
      <w:spacing w:before="0" w:after="100"/>
      <w:ind w:left="1400"/>
    </w:pPr>
    <w:rPr>
      <w:rFonts w:eastAsia="Calibri"/>
      <w:sz w:val="18"/>
      <w:lang w:eastAsia="en-US" w:bidi="en-US"/>
    </w:rPr>
  </w:style>
  <w:style w:type="paragraph" w:styleId="TOC9">
    <w:name w:val="toc 9"/>
    <w:basedOn w:val="Normal"/>
    <w:next w:val="Normal"/>
    <w:autoRedefine/>
    <w:uiPriority w:val="39"/>
    <w:unhideWhenUsed/>
    <w:rsid w:val="003D0838"/>
    <w:pPr>
      <w:spacing w:before="0" w:after="100"/>
      <w:ind w:left="1600"/>
    </w:pPr>
    <w:rPr>
      <w:rFonts w:eastAsia="Calibri"/>
      <w:sz w:val="18"/>
      <w:lang w:eastAsia="en-US" w:bidi="en-US"/>
    </w:rPr>
  </w:style>
  <w:style w:type="paragraph" w:styleId="EnvelopeAddress">
    <w:name w:val="envelope address"/>
    <w:basedOn w:val="Normal"/>
    <w:uiPriority w:val="99"/>
    <w:semiHidden/>
    <w:unhideWhenUsed/>
    <w:rsid w:val="003D0838"/>
    <w:pPr>
      <w:framePr w:w="7920" w:h="1980" w:hRule="exact" w:hSpace="180" w:wrap="auto" w:hAnchor="page" w:xAlign="center" w:yAlign="bottom"/>
      <w:spacing w:before="0" w:after="200"/>
      <w:ind w:left="2880"/>
    </w:pPr>
    <w:rPr>
      <w:rFonts w:ascii="Calibri Light" w:hAnsi="Calibri Light"/>
      <w:sz w:val="18"/>
      <w:lang w:eastAsia="en-US" w:bidi="en-US"/>
    </w:rPr>
  </w:style>
  <w:style w:type="paragraph" w:styleId="BodyTextIndent">
    <w:name w:val="Body Text Indent"/>
    <w:basedOn w:val="Normal"/>
    <w:link w:val="BodyTextIndentChar"/>
    <w:uiPriority w:val="99"/>
    <w:semiHidden/>
    <w:unhideWhenUsed/>
    <w:rsid w:val="003D0838"/>
    <w:pPr>
      <w:spacing w:before="0" w:after="200"/>
      <w:ind w:left="283"/>
    </w:pPr>
    <w:rPr>
      <w:rFonts w:eastAsia="Calibri"/>
      <w:sz w:val="18"/>
      <w:lang w:bidi="en-US"/>
    </w:rPr>
  </w:style>
  <w:style w:type="character" w:customStyle="1" w:styleId="BodyTextIndentChar">
    <w:name w:val="Body Text Indent Char"/>
    <w:link w:val="BodyTextIndent"/>
    <w:uiPriority w:val="99"/>
    <w:semiHidden/>
    <w:rsid w:val="003D0838"/>
    <w:rPr>
      <w:rFonts w:ascii="Tahoma" w:eastAsia="Calibri" w:hAnsi="Tahoma"/>
      <w:sz w:val="18"/>
      <w:szCs w:val="22"/>
      <w:lang w:val="en-GB" w:bidi="en-US"/>
    </w:rPr>
  </w:style>
  <w:style w:type="paragraph" w:styleId="Date">
    <w:name w:val="Date"/>
    <w:basedOn w:val="Normal"/>
    <w:next w:val="Normal"/>
    <w:link w:val="DateChar"/>
    <w:uiPriority w:val="99"/>
    <w:unhideWhenUsed/>
    <w:rsid w:val="003D0838"/>
    <w:pPr>
      <w:spacing w:before="0" w:after="200"/>
    </w:pPr>
    <w:rPr>
      <w:rFonts w:eastAsia="Calibri"/>
      <w:sz w:val="18"/>
      <w:lang w:bidi="en-US"/>
    </w:rPr>
  </w:style>
  <w:style w:type="character" w:customStyle="1" w:styleId="DateChar">
    <w:name w:val="Date Char"/>
    <w:link w:val="Date"/>
    <w:uiPriority w:val="99"/>
    <w:rsid w:val="003D0838"/>
    <w:rPr>
      <w:rFonts w:ascii="Tahoma" w:eastAsia="Calibri" w:hAnsi="Tahoma"/>
      <w:sz w:val="18"/>
      <w:szCs w:val="22"/>
      <w:lang w:val="en-GB" w:bidi="en-US"/>
    </w:rPr>
  </w:style>
  <w:style w:type="paragraph" w:styleId="BodyText3">
    <w:name w:val="Body Text 3"/>
    <w:basedOn w:val="Normal"/>
    <w:link w:val="BodyText3Char"/>
    <w:uiPriority w:val="99"/>
    <w:semiHidden/>
    <w:unhideWhenUsed/>
    <w:rsid w:val="003D0838"/>
    <w:pPr>
      <w:spacing w:before="0" w:after="200"/>
    </w:pPr>
    <w:rPr>
      <w:rFonts w:eastAsia="Calibri"/>
      <w:sz w:val="16"/>
      <w:szCs w:val="16"/>
      <w:lang w:bidi="en-US"/>
    </w:rPr>
  </w:style>
  <w:style w:type="character" w:customStyle="1" w:styleId="BodyText3Char">
    <w:name w:val="Body Text 3 Char"/>
    <w:link w:val="BodyText3"/>
    <w:uiPriority w:val="99"/>
    <w:semiHidden/>
    <w:rsid w:val="003D0838"/>
    <w:rPr>
      <w:rFonts w:ascii="Tahoma" w:eastAsia="Calibri" w:hAnsi="Tahoma"/>
      <w:sz w:val="16"/>
      <w:szCs w:val="16"/>
      <w:lang w:val="en-GB" w:bidi="en-US"/>
    </w:rPr>
  </w:style>
  <w:style w:type="paragraph" w:styleId="BodyTextIndent2">
    <w:name w:val="Body Text Indent 2"/>
    <w:basedOn w:val="Normal"/>
    <w:link w:val="BodyTextIndent2Char"/>
    <w:uiPriority w:val="99"/>
    <w:semiHidden/>
    <w:unhideWhenUsed/>
    <w:rsid w:val="003D0838"/>
    <w:pPr>
      <w:spacing w:before="0" w:after="200" w:line="480" w:lineRule="auto"/>
      <w:ind w:left="283"/>
    </w:pPr>
    <w:rPr>
      <w:rFonts w:eastAsia="Calibri"/>
      <w:sz w:val="18"/>
      <w:lang w:bidi="en-US"/>
    </w:rPr>
  </w:style>
  <w:style w:type="character" w:customStyle="1" w:styleId="BodyTextIndent2Char">
    <w:name w:val="Body Text Indent 2 Char"/>
    <w:link w:val="BodyTextIndent2"/>
    <w:uiPriority w:val="99"/>
    <w:semiHidden/>
    <w:rsid w:val="003D0838"/>
    <w:rPr>
      <w:rFonts w:ascii="Tahoma" w:eastAsia="Calibri" w:hAnsi="Tahoma"/>
      <w:sz w:val="18"/>
      <w:szCs w:val="22"/>
      <w:lang w:val="en-GB" w:bidi="en-US"/>
    </w:rPr>
  </w:style>
  <w:style w:type="paragraph" w:styleId="BodyTextIndent3">
    <w:name w:val="Body Text Indent 3"/>
    <w:basedOn w:val="Normal"/>
    <w:link w:val="BodyTextIndent3Char"/>
    <w:uiPriority w:val="99"/>
    <w:semiHidden/>
    <w:unhideWhenUsed/>
    <w:rsid w:val="003D0838"/>
    <w:pPr>
      <w:spacing w:before="0" w:after="200"/>
      <w:ind w:left="283"/>
    </w:pPr>
    <w:rPr>
      <w:rFonts w:eastAsia="Calibri"/>
      <w:sz w:val="16"/>
      <w:szCs w:val="16"/>
      <w:lang w:bidi="en-US"/>
    </w:rPr>
  </w:style>
  <w:style w:type="character" w:customStyle="1" w:styleId="BodyTextIndent3Char">
    <w:name w:val="Body Text Indent 3 Char"/>
    <w:link w:val="BodyTextIndent3"/>
    <w:uiPriority w:val="99"/>
    <w:semiHidden/>
    <w:rsid w:val="003D0838"/>
    <w:rPr>
      <w:rFonts w:ascii="Tahoma" w:eastAsia="Calibri" w:hAnsi="Tahoma"/>
      <w:sz w:val="16"/>
      <w:szCs w:val="16"/>
      <w:lang w:val="en-GB" w:bidi="en-US"/>
    </w:rPr>
  </w:style>
  <w:style w:type="paragraph" w:styleId="PlainText">
    <w:name w:val="Plain Text"/>
    <w:basedOn w:val="Normal"/>
    <w:link w:val="PlainTextChar"/>
    <w:uiPriority w:val="99"/>
    <w:semiHidden/>
    <w:unhideWhenUsed/>
    <w:rsid w:val="003D0838"/>
    <w:pPr>
      <w:spacing w:before="0" w:after="200"/>
    </w:pPr>
    <w:rPr>
      <w:rFonts w:ascii="Consolas" w:eastAsia="Calibri" w:hAnsi="Consolas"/>
      <w:sz w:val="21"/>
      <w:szCs w:val="21"/>
      <w:lang w:bidi="en-US"/>
    </w:rPr>
  </w:style>
  <w:style w:type="character" w:customStyle="1" w:styleId="PlainTextChar">
    <w:name w:val="Plain Text Char"/>
    <w:link w:val="PlainText"/>
    <w:uiPriority w:val="99"/>
    <w:semiHidden/>
    <w:rsid w:val="003D0838"/>
    <w:rPr>
      <w:rFonts w:ascii="Consolas" w:eastAsia="Calibri" w:hAnsi="Consolas"/>
      <w:sz w:val="21"/>
      <w:szCs w:val="21"/>
      <w:lang w:val="en-GB" w:bidi="en-US"/>
    </w:rPr>
  </w:style>
  <w:style w:type="paragraph" w:styleId="NormalWeb">
    <w:name w:val="Normal (Web)"/>
    <w:basedOn w:val="Normal"/>
    <w:uiPriority w:val="99"/>
    <w:unhideWhenUsed/>
    <w:rsid w:val="003D0838"/>
    <w:pPr>
      <w:spacing w:before="0" w:after="200"/>
    </w:pPr>
    <w:rPr>
      <w:rFonts w:ascii="Times New Roman" w:eastAsia="Calibri" w:hAnsi="Times New Roman"/>
      <w:sz w:val="18"/>
      <w:lang w:eastAsia="en-US" w:bidi="en-US"/>
    </w:rPr>
  </w:style>
  <w:style w:type="character" w:styleId="PlaceholderText">
    <w:name w:val="Placeholder Text"/>
    <w:uiPriority w:val="99"/>
    <w:semiHidden/>
    <w:rsid w:val="003D0838"/>
    <w:rPr>
      <w:color w:val="808080"/>
    </w:rPr>
  </w:style>
  <w:style w:type="paragraph" w:customStyle="1" w:styleId="Numbered">
    <w:name w:val="Numbered"/>
    <w:basedOn w:val="Normal"/>
    <w:rsid w:val="003D0838"/>
    <w:pPr>
      <w:overflowPunct w:val="0"/>
      <w:autoSpaceDE w:val="0"/>
      <w:autoSpaceDN w:val="0"/>
      <w:adjustRightInd w:val="0"/>
      <w:spacing w:before="0" w:after="200"/>
      <w:textAlignment w:val="baseline"/>
    </w:pPr>
    <w:rPr>
      <w:rFonts w:eastAsia="Calibri"/>
      <w:sz w:val="18"/>
      <w:lang w:eastAsia="en-US" w:bidi="en-US"/>
    </w:rPr>
  </w:style>
  <w:style w:type="paragraph" w:customStyle="1" w:styleId="bullet">
    <w:name w:val="bullet"/>
    <w:basedOn w:val="BodyText3"/>
    <w:rsid w:val="003D0838"/>
    <w:pPr>
      <w:numPr>
        <w:numId w:val="15"/>
      </w:numPr>
      <w:tabs>
        <w:tab w:val="clear" w:pos="397"/>
      </w:tabs>
      <w:spacing w:after="60"/>
      <w:ind w:left="1134" w:hanging="567"/>
    </w:pPr>
    <w:rPr>
      <w:sz w:val="20"/>
    </w:rPr>
  </w:style>
  <w:style w:type="paragraph" w:customStyle="1" w:styleId="Tablebullet">
    <w:name w:val="Table bullet"/>
    <w:basedOn w:val="Normal"/>
    <w:rsid w:val="003D0838"/>
    <w:pPr>
      <w:spacing w:before="0" w:after="200"/>
      <w:jc w:val="left"/>
    </w:pPr>
    <w:rPr>
      <w:rFonts w:eastAsia="Calibri" w:cs="Tahoma"/>
      <w:sz w:val="18"/>
      <w:lang w:eastAsia="en-US" w:bidi="en-US"/>
    </w:rPr>
  </w:style>
  <w:style w:type="paragraph" w:customStyle="1" w:styleId="Bullets">
    <w:name w:val="Bullets"/>
    <w:basedOn w:val="Normal"/>
    <w:uiPriority w:val="99"/>
    <w:rsid w:val="003D0838"/>
    <w:pPr>
      <w:numPr>
        <w:numId w:val="16"/>
      </w:numPr>
      <w:tabs>
        <w:tab w:val="clear" w:pos="360"/>
      </w:tabs>
      <w:spacing w:before="60" w:after="60"/>
      <w:ind w:left="1134" w:hanging="567"/>
    </w:pPr>
    <w:rPr>
      <w:rFonts w:eastAsia="Calibri"/>
      <w:sz w:val="18"/>
      <w:lang w:eastAsia="en-US" w:bidi="en-US"/>
    </w:rPr>
  </w:style>
  <w:style w:type="numbering" w:customStyle="1" w:styleId="Style2">
    <w:name w:val="Style2"/>
    <w:uiPriority w:val="99"/>
    <w:rsid w:val="003D0838"/>
    <w:pPr>
      <w:numPr>
        <w:numId w:val="17"/>
      </w:numPr>
    </w:pPr>
  </w:style>
  <w:style w:type="paragraph" w:customStyle="1" w:styleId="Footnotes">
    <w:name w:val="Footnotes"/>
    <w:basedOn w:val="Normal"/>
    <w:uiPriority w:val="15"/>
    <w:rsid w:val="003D0838"/>
    <w:pPr>
      <w:spacing w:before="0" w:after="200"/>
      <w:jc w:val="left"/>
    </w:pPr>
    <w:rPr>
      <w:rFonts w:eastAsia="Calibri"/>
      <w:sz w:val="18"/>
      <w:szCs w:val="18"/>
      <w:vertAlign w:val="superscript"/>
      <w:lang w:eastAsia="en-US" w:bidi="en-US"/>
    </w:rPr>
  </w:style>
  <w:style w:type="character" w:styleId="FollowedHyperlink">
    <w:name w:val="FollowedHyperlink"/>
    <w:uiPriority w:val="99"/>
    <w:semiHidden/>
    <w:unhideWhenUsed/>
    <w:rsid w:val="003D0838"/>
    <w:rPr>
      <w:color w:val="954F72"/>
      <w:u w:val="single"/>
    </w:rPr>
  </w:style>
  <w:style w:type="paragraph" w:styleId="ListBullet4">
    <w:name w:val="List Bullet 4"/>
    <w:basedOn w:val="Normal"/>
    <w:uiPriority w:val="99"/>
    <w:rsid w:val="003D0838"/>
    <w:pPr>
      <w:numPr>
        <w:numId w:val="18"/>
      </w:numPr>
      <w:tabs>
        <w:tab w:val="num" w:pos="567"/>
      </w:tabs>
      <w:spacing w:before="60" w:after="60"/>
      <w:ind w:left="2835" w:hanging="2268"/>
      <w:jc w:val="left"/>
    </w:pPr>
    <w:rPr>
      <w:rFonts w:eastAsia="Calibri" w:cs="Tahoma"/>
      <w:sz w:val="16"/>
      <w:szCs w:val="16"/>
      <w:lang w:eastAsia="en-US" w:bidi="en-US"/>
    </w:rPr>
  </w:style>
  <w:style w:type="paragraph" w:styleId="ListNumber5">
    <w:name w:val="List Number 5"/>
    <w:basedOn w:val="Normal"/>
    <w:uiPriority w:val="99"/>
    <w:qFormat/>
    <w:rsid w:val="003D0838"/>
    <w:pPr>
      <w:numPr>
        <w:numId w:val="20"/>
      </w:numPr>
      <w:spacing w:before="60" w:after="60"/>
      <w:ind w:left="1701" w:hanging="1134"/>
    </w:pPr>
    <w:rPr>
      <w:rFonts w:eastAsia="Calibri"/>
      <w:sz w:val="18"/>
      <w:lang w:eastAsia="en-US" w:bidi="en-US"/>
    </w:rPr>
  </w:style>
  <w:style w:type="paragraph" w:customStyle="1" w:styleId="WYGHeader">
    <w:name w:val="WYG Header"/>
    <w:link w:val="WYGHeaderChar"/>
    <w:uiPriority w:val="15"/>
    <w:qFormat/>
    <w:rsid w:val="003D0838"/>
    <w:rPr>
      <w:rFonts w:ascii="Tahoma" w:eastAsia="Calibri" w:hAnsi="Tahoma"/>
      <w:noProof/>
      <w:color w:val="44697D"/>
      <w:szCs w:val="22"/>
      <w:lang w:val="en-GB" w:eastAsia="en-GB" w:bidi="en-US"/>
    </w:rPr>
  </w:style>
  <w:style w:type="character" w:customStyle="1" w:styleId="WYGHeaderChar">
    <w:name w:val="WYG Header Char"/>
    <w:link w:val="WYGHeader"/>
    <w:uiPriority w:val="15"/>
    <w:rsid w:val="003D0838"/>
    <w:rPr>
      <w:rFonts w:ascii="Tahoma" w:eastAsia="Calibri" w:hAnsi="Tahoma"/>
      <w:noProof/>
      <w:color w:val="44697D"/>
      <w:szCs w:val="22"/>
      <w:lang w:bidi="en-US"/>
    </w:rPr>
  </w:style>
  <w:style w:type="paragraph" w:customStyle="1" w:styleId="WYGFooter">
    <w:name w:val="WYG Footer"/>
    <w:link w:val="WYGFooterChar"/>
    <w:uiPriority w:val="15"/>
    <w:qFormat/>
    <w:rsid w:val="003D0838"/>
    <w:pPr>
      <w:tabs>
        <w:tab w:val="right" w:pos="9639"/>
      </w:tabs>
    </w:pPr>
    <w:rPr>
      <w:rFonts w:ascii="Tahoma" w:eastAsia="Calibri" w:hAnsi="Tahoma" w:cs="Tahoma"/>
      <w:bCs/>
      <w:color w:val="44697D"/>
      <w:lang w:val="en-GB" w:eastAsia="en-GB" w:bidi="en-US"/>
    </w:rPr>
  </w:style>
  <w:style w:type="character" w:customStyle="1" w:styleId="WYGFooterChar">
    <w:name w:val="WYG Footer Char"/>
    <w:link w:val="WYGFooter"/>
    <w:uiPriority w:val="15"/>
    <w:rsid w:val="003D0838"/>
    <w:rPr>
      <w:rFonts w:ascii="Tahoma" w:eastAsia="Calibri" w:hAnsi="Tahoma" w:cs="Tahoma"/>
      <w:bCs/>
      <w:color w:val="44697D"/>
      <w:lang w:bidi="en-US"/>
    </w:rPr>
  </w:style>
  <w:style w:type="character" w:customStyle="1" w:styleId="SectionHeadingChar">
    <w:name w:val="Section Heading Char"/>
    <w:link w:val="SectionHeading"/>
    <w:rsid w:val="003D0838"/>
    <w:rPr>
      <w:rFonts w:ascii="Tahoma" w:hAnsi="Tahoma"/>
      <w:b/>
      <w:color w:val="44697D"/>
      <w:sz w:val="32"/>
      <w:szCs w:val="32"/>
      <w:lang w:val="en-GB" w:eastAsia="en-GB"/>
    </w:rPr>
  </w:style>
  <w:style w:type="character" w:styleId="BookTitle">
    <w:name w:val="Book Title"/>
    <w:aliases w:val="WYG Title Header"/>
    <w:uiPriority w:val="33"/>
    <w:qFormat/>
    <w:rsid w:val="003D0838"/>
    <w:rPr>
      <w:color w:val="6A6C71"/>
      <w:sz w:val="40"/>
      <w:szCs w:val="40"/>
    </w:rPr>
  </w:style>
  <w:style w:type="paragraph" w:customStyle="1" w:styleId="MMTopic1">
    <w:name w:val="MM Topic 1"/>
    <w:basedOn w:val="Heading1"/>
    <w:qFormat/>
    <w:rsid w:val="003D0838"/>
    <w:pPr>
      <w:keepNext/>
      <w:spacing w:before="360" w:after="180"/>
      <w:ind w:left="1134" w:hanging="1134"/>
      <w:jc w:val="both"/>
    </w:pPr>
    <w:rPr>
      <w:rFonts w:ascii="Calibri" w:hAnsi="Calibri" w:cs="Arial"/>
      <w:bCs/>
      <w:caps/>
      <w:color w:val="1F4E79"/>
      <w:kern w:val="32"/>
      <w:sz w:val="36"/>
      <w:szCs w:val="28"/>
      <w:lang w:val="fr-FR" w:eastAsia="es-ES"/>
    </w:rPr>
  </w:style>
  <w:style w:type="paragraph" w:customStyle="1" w:styleId="MMTopic2">
    <w:name w:val="MM Topic 2"/>
    <w:basedOn w:val="Heading2"/>
    <w:link w:val="MMTopic2Car"/>
    <w:qFormat/>
    <w:rsid w:val="003D0838"/>
    <w:pPr>
      <w:numPr>
        <w:ilvl w:val="0"/>
        <w:numId w:val="0"/>
      </w:numPr>
      <w:spacing w:before="0" w:after="0"/>
      <w:ind w:left="1134" w:hanging="1134"/>
      <w:jc w:val="both"/>
    </w:pPr>
    <w:rPr>
      <w:bCs/>
      <w:iCs/>
      <w:color w:val="2E74B5"/>
      <w:sz w:val="26"/>
      <w:szCs w:val="28"/>
      <w:lang w:val="fr-FR" w:eastAsia="es-ES"/>
    </w:rPr>
  </w:style>
  <w:style w:type="paragraph" w:customStyle="1" w:styleId="MMTopic3">
    <w:name w:val="MM Topic 3"/>
    <w:basedOn w:val="Heading3"/>
    <w:link w:val="MMTopic3Car"/>
    <w:qFormat/>
    <w:rsid w:val="003D0838"/>
    <w:pPr>
      <w:keepLines w:val="0"/>
      <w:spacing w:before="0" w:after="0"/>
      <w:ind w:left="1134" w:hanging="1134"/>
    </w:pPr>
    <w:rPr>
      <w:color w:val="2E74B5"/>
      <w:sz w:val="22"/>
      <w:szCs w:val="26"/>
      <w:lang w:val="fr-FR" w:eastAsia="es-ES"/>
    </w:rPr>
  </w:style>
  <w:style w:type="character" w:customStyle="1" w:styleId="MMTopic3Car">
    <w:name w:val="MM Topic 3 Car"/>
    <w:link w:val="MMTopic3"/>
    <w:rsid w:val="003D0838"/>
    <w:rPr>
      <w:rFonts w:ascii="Tahoma" w:hAnsi="Tahoma"/>
      <w:b/>
      <w:bCs/>
      <w:color w:val="2E74B5"/>
      <w:sz w:val="22"/>
      <w:szCs w:val="26"/>
      <w:lang w:val="fr-FR" w:eastAsia="es-ES"/>
    </w:rPr>
  </w:style>
  <w:style w:type="table" w:customStyle="1" w:styleId="TableGrid0">
    <w:name w:val="TableGrid"/>
    <w:rsid w:val="003D0838"/>
    <w:rPr>
      <w:sz w:val="22"/>
      <w:szCs w:val="22"/>
      <w:lang w:val="en-GB" w:eastAsia="en-GB"/>
    </w:rPr>
    <w:tblPr>
      <w:tblCellMar>
        <w:top w:w="0" w:type="dxa"/>
        <w:left w:w="0" w:type="dxa"/>
        <w:bottom w:w="0" w:type="dxa"/>
        <w:right w:w="0" w:type="dxa"/>
      </w:tblCellMar>
    </w:tblPr>
  </w:style>
  <w:style w:type="character" w:customStyle="1" w:styleId="MMTopic2Car">
    <w:name w:val="MM Topic 2 Car"/>
    <w:link w:val="MMTopic2"/>
    <w:rsid w:val="003D0838"/>
    <w:rPr>
      <w:rFonts w:ascii="Tahoma" w:hAnsi="Tahoma" w:cs="Arial"/>
      <w:b/>
      <w:bCs/>
      <w:iCs/>
      <w:color w:val="2E74B5"/>
      <w:sz w:val="26"/>
      <w:szCs w:val="28"/>
      <w:lang w:val="fr-FR" w:eastAsia="es-ES"/>
    </w:rPr>
  </w:style>
  <w:style w:type="paragraph" w:customStyle="1" w:styleId="Puce1">
    <w:name w:val="Puce 1"/>
    <w:basedOn w:val="Normal"/>
    <w:rsid w:val="003D0838"/>
    <w:pPr>
      <w:tabs>
        <w:tab w:val="left" w:pos="284"/>
        <w:tab w:val="num" w:pos="720"/>
      </w:tabs>
      <w:suppressAutoHyphens/>
      <w:spacing w:before="0" w:after="200"/>
      <w:ind w:left="720" w:hanging="720"/>
    </w:pPr>
    <w:rPr>
      <w:rFonts w:ascii="Arial" w:hAnsi="Arial"/>
      <w:szCs w:val="20"/>
      <w:lang w:val="it-IT" w:eastAsia="ar-SA" w:bidi="en-US"/>
    </w:rPr>
  </w:style>
  <w:style w:type="paragraph" w:customStyle="1" w:styleId="Normal1">
    <w:name w:val="Normal1"/>
    <w:rsid w:val="003D0838"/>
    <w:pPr>
      <w:spacing w:before="120" w:after="120" w:line="276" w:lineRule="auto"/>
    </w:pPr>
    <w:rPr>
      <w:rFonts w:ascii="Arial" w:eastAsia="Arial" w:hAnsi="Arial" w:cs="Arial"/>
      <w:color w:val="000000"/>
      <w:lang w:val="en-GB" w:eastAsia="en-GB"/>
    </w:rPr>
  </w:style>
  <w:style w:type="character" w:customStyle="1" w:styleId="TableTextLeftChar">
    <w:name w:val="~TableTextLeft Char"/>
    <w:link w:val="TableTextLeft"/>
    <w:rsid w:val="00577947"/>
    <w:rPr>
      <w:rFonts w:ascii="Arial" w:hAnsi="Arial" w:cs="Arial"/>
      <w:sz w:val="17"/>
      <w:szCs w:val="24"/>
      <w:lang w:eastAsia="en-GB"/>
    </w:rPr>
  </w:style>
  <w:style w:type="paragraph" w:customStyle="1" w:styleId="TableTextLeft">
    <w:name w:val="~TableTextLeft"/>
    <w:basedOn w:val="Normal"/>
    <w:link w:val="TableTextLeftChar"/>
    <w:uiPriority w:val="8"/>
    <w:qFormat/>
    <w:rsid w:val="00577947"/>
    <w:pPr>
      <w:spacing w:before="60" w:after="20"/>
      <w:jc w:val="left"/>
    </w:pPr>
    <w:rPr>
      <w:rFonts w:ascii="Arial" w:hAnsi="Arial"/>
      <w:sz w:val="17"/>
      <w:szCs w:val="24"/>
    </w:rPr>
  </w:style>
  <w:style w:type="paragraph" w:customStyle="1" w:styleId="TableHeadingLeft">
    <w:name w:val="~TableHeadingLeft"/>
    <w:basedOn w:val="TableTextLeft"/>
    <w:uiPriority w:val="8"/>
    <w:qFormat/>
    <w:rsid w:val="00577947"/>
    <w:pPr>
      <w:keepNext/>
      <w:spacing w:before="80" w:after="40"/>
    </w:pPr>
    <w:rPr>
      <w:b/>
      <w:color w:val="FFFFFF"/>
    </w:rPr>
  </w:style>
  <w:style w:type="paragraph" w:customStyle="1" w:styleId="TableHeadingRight">
    <w:name w:val="~TableHeadingRight"/>
    <w:basedOn w:val="TableHeadingLeft"/>
    <w:uiPriority w:val="99"/>
    <w:rsid w:val="00577947"/>
    <w:pPr>
      <w:jc w:val="right"/>
    </w:pPr>
  </w:style>
  <w:style w:type="paragraph" w:customStyle="1" w:styleId="TableTextRight">
    <w:name w:val="~TableTextRight"/>
    <w:basedOn w:val="TableTextLeft"/>
    <w:uiPriority w:val="99"/>
    <w:rsid w:val="00577947"/>
    <w:pPr>
      <w:jc w:val="right"/>
    </w:pPr>
  </w:style>
  <w:style w:type="paragraph" w:customStyle="1" w:styleId="BodyTextbold12ptbefore">
    <w:name w:val="Body Text bold 12pt before"/>
    <w:basedOn w:val="Normal"/>
    <w:next w:val="BodyText"/>
    <w:rsid w:val="0000283C"/>
    <w:pPr>
      <w:spacing w:before="240" w:line="360" w:lineRule="auto"/>
      <w:jc w:val="left"/>
    </w:pPr>
    <w:rPr>
      <w:b/>
      <w:szCs w:val="24"/>
      <w:lang w:eastAsia="en-US"/>
    </w:rPr>
  </w:style>
  <w:style w:type="paragraph" w:styleId="ListNumber3">
    <w:name w:val="List Number 3"/>
    <w:basedOn w:val="ListNumber2"/>
    <w:uiPriority w:val="99"/>
    <w:semiHidden/>
    <w:unhideWhenUsed/>
    <w:rsid w:val="00A14DC4"/>
    <w:pPr>
      <w:numPr>
        <w:numId w:val="0"/>
      </w:numPr>
      <w:tabs>
        <w:tab w:val="num" w:pos="1080"/>
        <w:tab w:val="num" w:pos="1211"/>
        <w:tab w:val="left" w:pos="1276"/>
        <w:tab w:val="num" w:pos="1440"/>
      </w:tabs>
      <w:spacing w:before="0" w:after="270" w:line="270" w:lineRule="atLeast"/>
      <w:ind w:left="1276" w:hanging="425"/>
      <w:contextualSpacing w:val="0"/>
      <w:jc w:val="left"/>
    </w:pPr>
    <w:rPr>
      <w:rFonts w:ascii="Times New Roman" w:hAnsi="Times New Roman"/>
      <w:sz w:val="23"/>
      <w:szCs w:val="23"/>
      <w:lang w:eastAsia="da-DK"/>
    </w:rPr>
  </w:style>
  <w:style w:type="paragraph" w:styleId="ListNumber4">
    <w:name w:val="List Number 4"/>
    <w:basedOn w:val="Normal"/>
    <w:uiPriority w:val="99"/>
    <w:semiHidden/>
    <w:unhideWhenUsed/>
    <w:rsid w:val="00A14DC4"/>
    <w:pPr>
      <w:spacing w:before="0" w:after="0" w:line="270" w:lineRule="atLeast"/>
      <w:ind w:left="1701" w:hanging="425"/>
      <w:jc w:val="left"/>
    </w:pPr>
    <w:rPr>
      <w:rFonts w:ascii="Times New Roman" w:hAnsi="Times New Roman"/>
      <w:sz w:val="23"/>
      <w:szCs w:val="23"/>
      <w:lang w:eastAsia="da-DK"/>
    </w:rPr>
  </w:style>
  <w:style w:type="paragraph" w:customStyle="1" w:styleId="COWIAddress">
    <w:name w:val="COWI Address"/>
    <w:basedOn w:val="Normal"/>
    <w:uiPriority w:val="99"/>
    <w:semiHidden/>
    <w:rsid w:val="00A14DC4"/>
    <w:pPr>
      <w:framePr w:w="2722" w:wrap="notBeside" w:vAnchor="page" w:hAnchor="page" w:xAlign="right" w:y="1855" w:anchorLock="1"/>
      <w:spacing w:before="0" w:after="0" w:line="200" w:lineRule="exact"/>
      <w:jc w:val="left"/>
    </w:pPr>
    <w:rPr>
      <w:rFonts w:ascii="Arial" w:hAnsi="Arial" w:cs="Arial"/>
      <w:b/>
      <w:bCs/>
      <w:noProof/>
      <w:sz w:val="16"/>
      <w:szCs w:val="16"/>
      <w:lang w:eastAsia="da-DK"/>
    </w:rPr>
  </w:style>
  <w:style w:type="paragraph" w:customStyle="1" w:styleId="COWIHeader">
    <w:name w:val="COWI Header"/>
    <w:basedOn w:val="Normal"/>
    <w:uiPriority w:val="99"/>
    <w:semiHidden/>
    <w:rsid w:val="00A14DC4"/>
    <w:pPr>
      <w:framePr w:w="7088" w:h="2630" w:wrap="notBeside" w:vAnchor="page" w:hAnchor="margin" w:x="-2267" w:y="1798" w:anchorLock="1"/>
      <w:tabs>
        <w:tab w:val="left" w:pos="2268"/>
      </w:tabs>
      <w:spacing w:before="0" w:after="130" w:line="270" w:lineRule="atLeast"/>
      <w:ind w:left="2268" w:hanging="2268"/>
      <w:jc w:val="left"/>
    </w:pPr>
    <w:rPr>
      <w:rFonts w:ascii="Times New Roman" w:hAnsi="Times New Roman"/>
      <w:sz w:val="23"/>
      <w:szCs w:val="23"/>
      <w:lang w:eastAsia="da-DK"/>
    </w:rPr>
  </w:style>
  <w:style w:type="paragraph" w:customStyle="1" w:styleId="CowiTitle">
    <w:name w:val="CowiTitle"/>
    <w:basedOn w:val="COWIHeader"/>
    <w:uiPriority w:val="99"/>
    <w:semiHidden/>
    <w:rsid w:val="00A14DC4"/>
    <w:pPr>
      <w:framePr w:wrap="notBeside"/>
    </w:pPr>
  </w:style>
  <w:style w:type="paragraph" w:customStyle="1" w:styleId="CowiSubject">
    <w:name w:val="CowiSubject"/>
    <w:basedOn w:val="COWIHeader"/>
    <w:uiPriority w:val="99"/>
    <w:semiHidden/>
    <w:rsid w:val="00A14DC4"/>
    <w:pPr>
      <w:framePr w:wrap="notBeside"/>
    </w:pPr>
  </w:style>
  <w:style w:type="paragraph" w:customStyle="1" w:styleId="CowiClient">
    <w:name w:val="CowiClient"/>
    <w:basedOn w:val="COWIHeader"/>
    <w:next w:val="COWIHeader"/>
    <w:uiPriority w:val="99"/>
    <w:semiHidden/>
    <w:rsid w:val="00A14DC4"/>
    <w:pPr>
      <w:framePr w:wrap="notBeside"/>
    </w:pPr>
  </w:style>
  <w:style w:type="paragraph" w:customStyle="1" w:styleId="CowiPrepared">
    <w:name w:val="CowiPrepared"/>
    <w:basedOn w:val="COWIHeader"/>
    <w:next w:val="COWIHeader"/>
    <w:uiPriority w:val="99"/>
    <w:semiHidden/>
    <w:rsid w:val="00A14DC4"/>
    <w:pPr>
      <w:framePr w:wrap="notBeside"/>
    </w:pPr>
  </w:style>
  <w:style w:type="paragraph" w:customStyle="1" w:styleId="MeetingHead1">
    <w:name w:val="MeetingHead1"/>
    <w:basedOn w:val="Normal"/>
    <w:next w:val="Normal"/>
    <w:semiHidden/>
    <w:rsid w:val="00A14DC4"/>
    <w:pPr>
      <w:framePr w:w="6804" w:h="3119" w:wrap="notBeside" w:vAnchor="page" w:hAnchor="margin" w:x="-1700" w:y="1986" w:anchorLock="1"/>
      <w:tabs>
        <w:tab w:val="left" w:pos="2268"/>
      </w:tabs>
      <w:spacing w:before="0" w:after="360" w:line="280" w:lineRule="exact"/>
      <w:ind w:left="2268" w:hanging="2268"/>
      <w:jc w:val="left"/>
    </w:pPr>
    <w:rPr>
      <w:rFonts w:ascii="Verdana" w:hAnsi="Verdana" w:cs="Arial"/>
      <w:caps/>
      <w:szCs w:val="23"/>
      <w:lang w:eastAsia="da-DK"/>
    </w:rPr>
  </w:style>
  <w:style w:type="character" w:customStyle="1" w:styleId="COWIHeaderFont">
    <w:name w:val="COWI Header Font"/>
    <w:uiPriority w:val="99"/>
    <w:semiHidden/>
    <w:rsid w:val="00A14DC4"/>
    <w:rPr>
      <w:rFonts w:ascii="Arial" w:hAnsi="Arial" w:cs="Arial" w:hint="default"/>
      <w:b/>
      <w:bCs/>
      <w:sz w:val="16"/>
      <w:szCs w:val="16"/>
    </w:rPr>
  </w:style>
  <w:style w:type="character" w:customStyle="1" w:styleId="COWIHeaderFontLarge">
    <w:name w:val="COWI Header Font Large"/>
    <w:uiPriority w:val="99"/>
    <w:semiHidden/>
    <w:rsid w:val="00A14DC4"/>
    <w:rPr>
      <w:rFonts w:ascii="Arial" w:hAnsi="Arial" w:cs="Arial" w:hint="default"/>
      <w:b/>
      <w:bCs/>
      <w:sz w:val="24"/>
      <w:szCs w:val="24"/>
    </w:rPr>
  </w:style>
  <w:style w:type="numbering" w:customStyle="1" w:styleId="CowiNumberList">
    <w:name w:val="CowiNumberList"/>
    <w:rsid w:val="00A14DC4"/>
    <w:pPr>
      <w:numPr>
        <w:numId w:val="21"/>
      </w:numPr>
    </w:pPr>
  </w:style>
  <w:style w:type="numbering" w:styleId="111111">
    <w:name w:val="Outline List 2"/>
    <w:basedOn w:val="NoList"/>
    <w:uiPriority w:val="99"/>
    <w:unhideWhenUsed/>
    <w:rsid w:val="00A14DC4"/>
    <w:pPr>
      <w:numPr>
        <w:numId w:val="22"/>
      </w:numPr>
    </w:pPr>
  </w:style>
  <w:style w:type="paragraph" w:customStyle="1" w:styleId="TableText">
    <w:name w:val="Table Text"/>
    <w:basedOn w:val="Normal"/>
    <w:link w:val="TableTextChar"/>
    <w:qFormat/>
    <w:rsid w:val="00152408"/>
    <w:pPr>
      <w:spacing w:before="0" w:line="220" w:lineRule="atLeast"/>
      <w:jc w:val="left"/>
    </w:pPr>
    <w:rPr>
      <w:rFonts w:ascii="Verdana" w:hAnsi="Verdana"/>
      <w:sz w:val="16"/>
      <w:szCs w:val="23"/>
      <w:lang w:eastAsia="da-DK"/>
    </w:rPr>
  </w:style>
  <w:style w:type="paragraph" w:customStyle="1" w:styleId="TableTextNoSpace">
    <w:name w:val="Table Text NoSpace"/>
    <w:basedOn w:val="TableText"/>
    <w:uiPriority w:val="7"/>
    <w:qFormat/>
    <w:rsid w:val="00152408"/>
    <w:pPr>
      <w:spacing w:after="0"/>
    </w:pPr>
  </w:style>
  <w:style w:type="paragraph" w:customStyle="1" w:styleId="TextBodyClean">
    <w:name w:val="Text Body Clean"/>
    <w:basedOn w:val="BodyText"/>
    <w:rsid w:val="00866D38"/>
    <w:pPr>
      <w:spacing w:before="0" w:after="120"/>
      <w:ind w:left="0"/>
      <w:jc w:val="both"/>
    </w:pPr>
    <w:rPr>
      <w:rFonts w:ascii="Tahoma" w:hAnsi="Tahoma" w:cs="Tahoma"/>
      <w:kern w:val="1"/>
      <w:sz w:val="22"/>
      <w:szCs w:val="20"/>
      <w:lang w:eastAsia="zh-CN"/>
    </w:rPr>
  </w:style>
  <w:style w:type="paragraph" w:customStyle="1" w:styleId="CorpsA">
    <w:name w:val="Corps A"/>
    <w:rsid w:val="00F663CF"/>
    <w:pPr>
      <w:pBdr>
        <w:top w:val="nil"/>
        <w:left w:val="nil"/>
        <w:bottom w:val="nil"/>
        <w:right w:val="nil"/>
        <w:between w:val="nil"/>
        <w:bar w:val="nil"/>
      </w:pBdr>
      <w:spacing w:before="120" w:after="120" w:line="276" w:lineRule="auto"/>
    </w:pPr>
    <w:rPr>
      <w:rFonts w:ascii="Arial" w:eastAsia="Arial Unicode MS" w:hAnsi="Arial" w:cs="Arial Unicode MS"/>
      <w:color w:val="000000"/>
      <w:u w:color="000000"/>
      <w:bdr w:val="nil"/>
    </w:rPr>
  </w:style>
  <w:style w:type="paragraph" w:customStyle="1" w:styleId="Corps">
    <w:name w:val="Corps"/>
    <w:rsid w:val="00F663CF"/>
    <w:pPr>
      <w:pBdr>
        <w:top w:val="nil"/>
        <w:left w:val="nil"/>
        <w:bottom w:val="nil"/>
        <w:right w:val="nil"/>
        <w:between w:val="nil"/>
        <w:bar w:val="nil"/>
      </w:pBdr>
      <w:spacing w:before="120" w:after="120" w:line="276" w:lineRule="auto"/>
    </w:pPr>
    <w:rPr>
      <w:rFonts w:ascii="Arial" w:eastAsia="Arial Unicode MS" w:hAnsi="Arial" w:cs="Arial Unicode MS"/>
      <w:color w:val="000000"/>
      <w:u w:color="000000"/>
      <w:bdr w:val="nil"/>
    </w:rPr>
  </w:style>
  <w:style w:type="paragraph" w:customStyle="1" w:styleId="Listepuces1">
    <w:name w:val="Liste à puces1"/>
    <w:rsid w:val="00F663CF"/>
    <w:pPr>
      <w:pBdr>
        <w:top w:val="nil"/>
        <w:left w:val="nil"/>
        <w:bottom w:val="nil"/>
        <w:right w:val="nil"/>
        <w:between w:val="nil"/>
        <w:bar w:val="nil"/>
      </w:pBdr>
      <w:tabs>
        <w:tab w:val="left" w:pos="425"/>
      </w:tabs>
      <w:spacing w:before="120" w:after="270" w:line="270" w:lineRule="atLeast"/>
    </w:pPr>
    <w:rPr>
      <w:rFonts w:ascii="Arial" w:eastAsia="Arial" w:hAnsi="Arial" w:cs="Arial"/>
      <w:color w:val="000000"/>
      <w:u w:color="000000"/>
      <w:bdr w:val="nil"/>
    </w:rPr>
  </w:style>
  <w:style w:type="paragraph" w:styleId="Revision">
    <w:name w:val="Revision"/>
    <w:hidden/>
    <w:uiPriority w:val="99"/>
    <w:semiHidden/>
    <w:rsid w:val="000E32F2"/>
    <w:rPr>
      <w:rFonts w:ascii="Tahoma" w:hAnsi="Tahoma"/>
      <w:szCs w:val="22"/>
      <w:lang w:val="en-GB" w:eastAsia="en-GB"/>
    </w:rPr>
  </w:style>
  <w:style w:type="paragraph" w:customStyle="1" w:styleId="E1">
    <w:name w:val="E1"/>
    <w:basedOn w:val="Normal"/>
    <w:link w:val="E1Zchn"/>
    <w:qFormat/>
    <w:rsid w:val="00C644D3"/>
    <w:pPr>
      <w:widowControl w:val="0"/>
      <w:numPr>
        <w:numId w:val="23"/>
      </w:numPr>
      <w:spacing w:before="0" w:after="0" w:line="260" w:lineRule="atLeast"/>
    </w:pPr>
    <w:rPr>
      <w:rFonts w:ascii="Arial" w:eastAsia="Arial Unicode MS" w:hAnsi="Arial"/>
      <w:snapToGrid w:val="0"/>
      <w:szCs w:val="20"/>
      <w:lang w:eastAsia="de-DE"/>
    </w:rPr>
  </w:style>
  <w:style w:type="character" w:customStyle="1" w:styleId="E1Zchn">
    <w:name w:val="E1 Zchn"/>
    <w:link w:val="E1"/>
    <w:rsid w:val="00C644D3"/>
    <w:rPr>
      <w:rFonts w:ascii="Arial" w:eastAsia="Arial Unicode MS" w:hAnsi="Arial"/>
      <w:snapToGrid w:val="0"/>
      <w:sz w:val="22"/>
      <w:lang w:val="en-GB" w:eastAsia="de-DE"/>
    </w:rPr>
  </w:style>
  <w:style w:type="table" w:styleId="LightList-Accent5">
    <w:name w:val="Light List Accent 5"/>
    <w:basedOn w:val="TableNormal"/>
    <w:uiPriority w:val="61"/>
    <w:rsid w:val="00E50203"/>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customStyle="1" w:styleId="LightGrid-Accent11">
    <w:name w:val="Light Grid - Accent 11"/>
    <w:basedOn w:val="TableNormal"/>
    <w:uiPriority w:val="62"/>
    <w:rsid w:val="00592568"/>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Arial Bold" w:eastAsia="Times New Roman" w:hAnsi="Arial Bold"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Arial Bold" w:eastAsia="Times New Roman" w:hAnsi="Arial Bold"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Arial Bold" w:eastAsia="Times New Roman" w:hAnsi="Arial Bold" w:cs="Times New Roman"/>
        <w:b/>
        <w:bCs/>
      </w:rPr>
    </w:tblStylePr>
    <w:tblStylePr w:type="lastCol">
      <w:rPr>
        <w:rFonts w:ascii="Arial Bold" w:eastAsia="Times New Roman" w:hAnsi="Arial Bold"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List-Accent6">
    <w:name w:val="Light List Accent 6"/>
    <w:basedOn w:val="TableNormal"/>
    <w:uiPriority w:val="61"/>
    <w:rsid w:val="00592568"/>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paragraph" w:customStyle="1" w:styleId="Bullet1">
    <w:name w:val="~Bullet1"/>
    <w:basedOn w:val="Normal"/>
    <w:uiPriority w:val="99"/>
    <w:rsid w:val="007846CC"/>
    <w:pPr>
      <w:numPr>
        <w:numId w:val="24"/>
      </w:numPr>
      <w:spacing w:before="0" w:after="0" w:line="260" w:lineRule="exact"/>
      <w:jc w:val="left"/>
    </w:pPr>
    <w:rPr>
      <w:rFonts w:ascii="Arial" w:hAnsi="Arial" w:cs="Arial"/>
      <w:szCs w:val="24"/>
      <w:lang w:val="en-US"/>
    </w:rPr>
  </w:style>
  <w:style w:type="paragraph" w:customStyle="1" w:styleId="Bullet2">
    <w:name w:val="~Bullet2"/>
    <w:basedOn w:val="Bullet1"/>
    <w:uiPriority w:val="99"/>
    <w:rsid w:val="007846CC"/>
    <w:pPr>
      <w:numPr>
        <w:ilvl w:val="1"/>
      </w:numPr>
      <w:tabs>
        <w:tab w:val="num" w:pos="2727"/>
      </w:tabs>
    </w:pPr>
  </w:style>
  <w:style w:type="paragraph" w:customStyle="1" w:styleId="Bullet3">
    <w:name w:val="~Bullet3"/>
    <w:basedOn w:val="Bullet2"/>
    <w:uiPriority w:val="99"/>
    <w:rsid w:val="007846CC"/>
    <w:pPr>
      <w:numPr>
        <w:ilvl w:val="2"/>
      </w:numPr>
      <w:tabs>
        <w:tab w:val="clear" w:pos="2727"/>
      </w:tabs>
    </w:pPr>
  </w:style>
  <w:style w:type="character" w:styleId="Strong">
    <w:name w:val="Strong"/>
    <w:uiPriority w:val="22"/>
    <w:qFormat/>
    <w:rsid w:val="007846CC"/>
    <w:rPr>
      <w:b/>
      <w:bCs/>
    </w:rPr>
  </w:style>
  <w:style w:type="character" w:styleId="Emphasis">
    <w:name w:val="Emphasis"/>
    <w:uiPriority w:val="20"/>
    <w:qFormat/>
    <w:rsid w:val="007846CC"/>
    <w:rPr>
      <w:i/>
      <w:iCs/>
    </w:rPr>
  </w:style>
  <w:style w:type="character" w:customStyle="1" w:styleId="A8">
    <w:name w:val="A8"/>
    <w:uiPriority w:val="99"/>
    <w:rsid w:val="007846CC"/>
    <w:rPr>
      <w:rFonts w:ascii="FranklinGothicBookCmpITC" w:hAnsi="FranklinGothicBookCmpITC" w:cs="FranklinGothicBookCmpITC"/>
      <w:color w:val="221E1F"/>
      <w:sz w:val="10"/>
      <w:szCs w:val="10"/>
    </w:rPr>
  </w:style>
  <w:style w:type="paragraph" w:customStyle="1" w:styleId="FrontPage">
    <w:name w:val="FrontPage"/>
    <w:basedOn w:val="Normal"/>
    <w:uiPriority w:val="7"/>
    <w:qFormat/>
    <w:rsid w:val="007846CC"/>
    <w:pPr>
      <w:keepNext/>
      <w:keepLines/>
      <w:suppressAutoHyphens/>
      <w:spacing w:before="240" w:after="240" w:line="360" w:lineRule="atLeast"/>
      <w:jc w:val="left"/>
    </w:pPr>
    <w:rPr>
      <w:rFonts w:ascii="Arial" w:hAnsi="Arial" w:cs="Arial"/>
      <w:b/>
      <w:color w:val="004B9C"/>
      <w:sz w:val="44"/>
      <w:szCs w:val="44"/>
      <w:lang w:eastAsia="da-DK"/>
    </w:rPr>
  </w:style>
  <w:style w:type="paragraph" w:customStyle="1" w:styleId="BulletParagraph">
    <w:name w:val="Bullet Paragraph"/>
    <w:basedOn w:val="ListParagraph"/>
    <w:qFormat/>
    <w:rsid w:val="00D33254"/>
    <w:pPr>
      <w:tabs>
        <w:tab w:val="num" w:pos="567"/>
      </w:tabs>
      <w:spacing w:before="0" w:after="200"/>
      <w:ind w:left="1134" w:hanging="567"/>
      <w:contextualSpacing w:val="0"/>
      <w:jc w:val="left"/>
    </w:pPr>
    <w:rPr>
      <w:rFonts w:ascii="Times New Roman" w:hAnsi="Times New Roman"/>
      <w:sz w:val="24"/>
    </w:rPr>
  </w:style>
  <w:style w:type="numbering" w:styleId="ArticleSection">
    <w:name w:val="Outline List 3"/>
    <w:basedOn w:val="NoList"/>
    <w:rsid w:val="00AF70AB"/>
    <w:pPr>
      <w:numPr>
        <w:numId w:val="25"/>
      </w:numPr>
    </w:pPr>
  </w:style>
  <w:style w:type="paragraph" w:customStyle="1" w:styleId="BodyText0">
    <w:name w:val="~BodyText"/>
    <w:basedOn w:val="Normal"/>
    <w:link w:val="BodyTextChar0"/>
    <w:uiPriority w:val="99"/>
    <w:rsid w:val="00253C58"/>
    <w:pPr>
      <w:spacing w:before="260" w:line="260" w:lineRule="exact"/>
      <w:jc w:val="left"/>
    </w:pPr>
    <w:rPr>
      <w:rFonts w:ascii="Arial" w:hAnsi="Arial" w:cs="Arial"/>
      <w:szCs w:val="24"/>
    </w:rPr>
  </w:style>
  <w:style w:type="paragraph" w:customStyle="1" w:styleId="Disclaimer">
    <w:name w:val="~Disclaimer"/>
    <w:basedOn w:val="Normal"/>
    <w:uiPriority w:val="34"/>
    <w:rsid w:val="00253C58"/>
    <w:pPr>
      <w:spacing w:before="200" w:line="200" w:lineRule="exact"/>
      <w:jc w:val="left"/>
    </w:pPr>
    <w:rPr>
      <w:rFonts w:ascii="Arial" w:hAnsi="Arial" w:cs="Arial"/>
      <w:sz w:val="16"/>
      <w:szCs w:val="16"/>
    </w:rPr>
  </w:style>
  <w:style w:type="paragraph" w:customStyle="1" w:styleId="SummaryHeading">
    <w:name w:val="~SummaryHeading"/>
    <w:basedOn w:val="Normal"/>
    <w:next w:val="Normal"/>
    <w:uiPriority w:val="99"/>
    <w:rsid w:val="00253C58"/>
    <w:pPr>
      <w:keepNext/>
      <w:pageBreakBefore/>
      <w:framePr w:w="9520" w:h="1140" w:hRule="exact" w:wrap="notBeside" w:vAnchor="page" w:hAnchor="page" w:x="1305" w:y="1702" w:anchorLock="1"/>
      <w:spacing w:after="360"/>
      <w:jc w:val="left"/>
      <w:outlineLvl w:val="0"/>
    </w:pPr>
    <w:rPr>
      <w:rFonts w:ascii="Arial" w:hAnsi="Arial" w:cs="Arial"/>
      <w:sz w:val="48"/>
      <w:szCs w:val="24"/>
    </w:rPr>
  </w:style>
  <w:style w:type="paragraph" w:customStyle="1" w:styleId="ListBulletNoSpace">
    <w:name w:val="List Bullet NoSpace"/>
    <w:basedOn w:val="ListBullet"/>
    <w:link w:val="ListBulletNoSpaceChar"/>
    <w:qFormat/>
    <w:rsid w:val="00253C58"/>
    <w:pPr>
      <w:numPr>
        <w:numId w:val="0"/>
      </w:numPr>
      <w:tabs>
        <w:tab w:val="left" w:pos="425"/>
      </w:tabs>
      <w:spacing w:before="120" w:after="0" w:line="360" w:lineRule="auto"/>
      <w:ind w:left="425" w:hanging="425"/>
    </w:pPr>
    <w:rPr>
      <w:rFonts w:ascii="Arial" w:hAnsi="Arial"/>
      <w:szCs w:val="23"/>
      <w:lang w:eastAsia="da-DK"/>
    </w:rPr>
  </w:style>
  <w:style w:type="character" w:customStyle="1" w:styleId="ListBulletNoSpaceChar">
    <w:name w:val="List Bullet NoSpace Char"/>
    <w:link w:val="ListBulletNoSpace"/>
    <w:rsid w:val="00253C58"/>
    <w:rPr>
      <w:rFonts w:ascii="Arial" w:hAnsi="Arial"/>
      <w:szCs w:val="23"/>
      <w:lang w:val="en-GB" w:eastAsia="da-DK"/>
    </w:rPr>
  </w:style>
  <w:style w:type="paragraph" w:customStyle="1" w:styleId="Text">
    <w:name w:val="Text"/>
    <w:basedOn w:val="Normal"/>
    <w:uiPriority w:val="99"/>
    <w:rsid w:val="00253C58"/>
    <w:rPr>
      <w:rFonts w:ascii="Arial" w:hAnsi="Arial"/>
      <w:szCs w:val="20"/>
    </w:rPr>
  </w:style>
  <w:style w:type="numbering" w:customStyle="1" w:styleId="CurrentList11">
    <w:name w:val="Current List11"/>
    <w:rsid w:val="00253C58"/>
    <w:pPr>
      <w:numPr>
        <w:numId w:val="27"/>
      </w:numPr>
    </w:pPr>
  </w:style>
  <w:style w:type="paragraph" w:styleId="HTMLPreformatted">
    <w:name w:val="HTML Preformatted"/>
    <w:basedOn w:val="Normal"/>
    <w:link w:val="HTMLPreformattedChar"/>
    <w:uiPriority w:val="99"/>
    <w:semiHidden/>
    <w:unhideWhenUsed/>
    <w:rsid w:val="00253C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jc w:val="left"/>
    </w:pPr>
    <w:rPr>
      <w:rFonts w:ascii="Courier New" w:hAnsi="Courier New" w:cs="Courier New"/>
      <w:szCs w:val="20"/>
      <w:lang w:eastAsia="en-US"/>
    </w:rPr>
  </w:style>
  <w:style w:type="character" w:customStyle="1" w:styleId="HTMLPreformattedChar">
    <w:name w:val="HTML Preformatted Char"/>
    <w:link w:val="HTMLPreformatted"/>
    <w:uiPriority w:val="99"/>
    <w:semiHidden/>
    <w:rsid w:val="00253C58"/>
    <w:rPr>
      <w:rFonts w:ascii="Courier New" w:hAnsi="Courier New" w:cs="Courier New"/>
      <w:lang w:val="en-GB"/>
    </w:rPr>
  </w:style>
  <w:style w:type="character" w:styleId="EndnoteReference">
    <w:name w:val="endnote reference"/>
    <w:uiPriority w:val="99"/>
    <w:semiHidden/>
    <w:unhideWhenUsed/>
    <w:rsid w:val="00253C58"/>
    <w:rPr>
      <w:vertAlign w:val="superscript"/>
    </w:rPr>
  </w:style>
  <w:style w:type="table" w:customStyle="1" w:styleId="TableGrid1">
    <w:name w:val="Table Grid1"/>
    <w:basedOn w:val="TableNormal"/>
    <w:next w:val="TableGrid"/>
    <w:uiPriority w:val="59"/>
    <w:rsid w:val="00253C58"/>
    <w:pPr>
      <w:spacing w:line="27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253C58"/>
    <w:pPr>
      <w:spacing w:line="270" w:lineRule="atLeast"/>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w4winMark">
    <w:name w:val="tw4winMark"/>
    <w:rsid w:val="00253C58"/>
    <w:rPr>
      <w:rFonts w:ascii="Courier New" w:hAnsi="Courier New"/>
      <w:vanish/>
      <w:color w:val="800080"/>
      <w:vertAlign w:val="subscript"/>
    </w:rPr>
  </w:style>
  <w:style w:type="paragraph" w:customStyle="1" w:styleId="TableContents">
    <w:name w:val="Table Contents"/>
    <w:basedOn w:val="Normal"/>
    <w:uiPriority w:val="99"/>
    <w:rsid w:val="00253C58"/>
    <w:pPr>
      <w:widowControl w:val="0"/>
      <w:suppressLineNumbers/>
      <w:suppressAutoHyphens/>
      <w:spacing w:before="0" w:after="0"/>
      <w:jc w:val="left"/>
    </w:pPr>
    <w:rPr>
      <w:rFonts w:ascii="Times New Roman" w:hAnsi="Times New Roman"/>
      <w:sz w:val="24"/>
      <w:szCs w:val="24"/>
      <w:lang w:eastAsia="en-US"/>
    </w:rPr>
  </w:style>
  <w:style w:type="paragraph" w:customStyle="1" w:styleId="BodyTextNoSpace">
    <w:name w:val="Body Text NoSpace"/>
    <w:basedOn w:val="BodyText"/>
    <w:uiPriority w:val="99"/>
    <w:rsid w:val="00253C58"/>
    <w:pPr>
      <w:spacing w:before="0" w:after="0" w:line="280" w:lineRule="atLeast"/>
      <w:ind w:left="0"/>
    </w:pPr>
    <w:rPr>
      <w:rFonts w:cs="Arial"/>
      <w:sz w:val="20"/>
      <w:szCs w:val="20"/>
      <w:lang w:eastAsia="da-DK"/>
    </w:rPr>
  </w:style>
  <w:style w:type="character" w:customStyle="1" w:styleId="hps">
    <w:name w:val="hps"/>
    <w:basedOn w:val="DefaultParagraphFont"/>
    <w:rsid w:val="00253C58"/>
  </w:style>
  <w:style w:type="paragraph" w:customStyle="1" w:styleId="Header4">
    <w:name w:val="Header 4"/>
    <w:basedOn w:val="Heading3"/>
    <w:uiPriority w:val="99"/>
    <w:rsid w:val="00253C58"/>
    <w:pPr>
      <w:keepLines w:val="0"/>
      <w:numPr>
        <w:ilvl w:val="0"/>
        <w:numId w:val="0"/>
      </w:numPr>
      <w:tabs>
        <w:tab w:val="num" w:pos="992"/>
      </w:tabs>
      <w:spacing w:before="240" w:after="120"/>
      <w:ind w:left="992" w:hanging="992"/>
      <w:jc w:val="both"/>
    </w:pPr>
    <w:rPr>
      <w:rFonts w:ascii="Arial" w:hAnsi="Arial" w:cs="Arial"/>
      <w:b w:val="0"/>
      <w:color w:val="339966"/>
      <w:sz w:val="22"/>
      <w:szCs w:val="26"/>
    </w:rPr>
  </w:style>
  <w:style w:type="paragraph" w:customStyle="1" w:styleId="Normal3">
    <w:name w:val="Normal3"/>
    <w:basedOn w:val="Heading2"/>
    <w:link w:val="NormalChar"/>
    <w:qFormat/>
    <w:rsid w:val="00253C58"/>
    <w:pPr>
      <w:numPr>
        <w:ilvl w:val="0"/>
        <w:numId w:val="0"/>
      </w:numPr>
      <w:spacing w:before="0" w:line="240" w:lineRule="auto"/>
      <w:jc w:val="both"/>
      <w:outlineLvl w:val="9"/>
    </w:pPr>
    <w:rPr>
      <w:rFonts w:ascii="Arial" w:hAnsi="Arial" w:cs="Arial"/>
      <w:b w:val="0"/>
      <w:bCs/>
      <w:iCs/>
      <w:color w:val="auto"/>
      <w:sz w:val="22"/>
      <w:szCs w:val="28"/>
      <w:lang w:eastAsia="en-US"/>
    </w:rPr>
  </w:style>
  <w:style w:type="character" w:customStyle="1" w:styleId="NormalChar">
    <w:name w:val="Normal Char"/>
    <w:link w:val="Normal3"/>
    <w:rsid w:val="00253C58"/>
    <w:rPr>
      <w:rFonts w:ascii="Arial" w:hAnsi="Arial" w:cs="Arial"/>
      <w:bCs/>
      <w:iCs/>
      <w:sz w:val="22"/>
      <w:szCs w:val="28"/>
      <w:lang w:val="en-GB"/>
    </w:rPr>
  </w:style>
  <w:style w:type="paragraph" w:styleId="Index1">
    <w:name w:val="index 1"/>
    <w:basedOn w:val="Normal"/>
    <w:next w:val="Normal"/>
    <w:autoRedefine/>
    <w:uiPriority w:val="99"/>
    <w:unhideWhenUsed/>
    <w:rsid w:val="00253C58"/>
    <w:pPr>
      <w:spacing w:before="0" w:after="0"/>
      <w:ind w:left="200" w:hanging="200"/>
      <w:jc w:val="left"/>
    </w:pPr>
    <w:rPr>
      <w:rFonts w:ascii="Arial" w:eastAsia="Calibri" w:hAnsi="Arial"/>
      <w:lang w:eastAsia="en-US"/>
    </w:rPr>
  </w:style>
  <w:style w:type="paragraph" w:styleId="Index2">
    <w:name w:val="index 2"/>
    <w:basedOn w:val="Normal"/>
    <w:next w:val="Normal"/>
    <w:autoRedefine/>
    <w:uiPriority w:val="99"/>
    <w:unhideWhenUsed/>
    <w:rsid w:val="00253C58"/>
    <w:pPr>
      <w:spacing w:before="0" w:after="0"/>
      <w:ind w:left="400" w:hanging="200"/>
      <w:jc w:val="left"/>
    </w:pPr>
    <w:rPr>
      <w:rFonts w:ascii="Arial" w:eastAsia="Calibri" w:hAnsi="Arial"/>
      <w:lang w:eastAsia="en-US"/>
    </w:rPr>
  </w:style>
  <w:style w:type="paragraph" w:styleId="Index3">
    <w:name w:val="index 3"/>
    <w:basedOn w:val="Normal"/>
    <w:next w:val="Normal"/>
    <w:autoRedefine/>
    <w:uiPriority w:val="99"/>
    <w:unhideWhenUsed/>
    <w:rsid w:val="00253C58"/>
    <w:pPr>
      <w:spacing w:before="0" w:after="0"/>
      <w:ind w:left="600" w:hanging="200"/>
      <w:jc w:val="left"/>
    </w:pPr>
    <w:rPr>
      <w:rFonts w:ascii="Arial" w:eastAsia="Calibri" w:hAnsi="Arial"/>
      <w:lang w:eastAsia="en-US"/>
    </w:rPr>
  </w:style>
  <w:style w:type="paragraph" w:styleId="ListBullet5">
    <w:name w:val="List Bullet 5"/>
    <w:basedOn w:val="Normal"/>
    <w:uiPriority w:val="99"/>
    <w:unhideWhenUsed/>
    <w:rsid w:val="00253C58"/>
    <w:pPr>
      <w:numPr>
        <w:numId w:val="28"/>
      </w:numPr>
      <w:spacing w:line="360" w:lineRule="auto"/>
      <w:contextualSpacing/>
      <w:jc w:val="left"/>
    </w:pPr>
    <w:rPr>
      <w:rFonts w:ascii="Arial" w:eastAsia="Calibri" w:hAnsi="Arial"/>
      <w:lang w:eastAsia="en-US"/>
    </w:rPr>
  </w:style>
  <w:style w:type="paragraph" w:styleId="ListContinue">
    <w:name w:val="List Continue"/>
    <w:basedOn w:val="Normal"/>
    <w:uiPriority w:val="99"/>
    <w:unhideWhenUsed/>
    <w:rsid w:val="00253C58"/>
    <w:pPr>
      <w:spacing w:line="360" w:lineRule="auto"/>
      <w:ind w:left="360"/>
      <w:contextualSpacing/>
      <w:jc w:val="left"/>
    </w:pPr>
    <w:rPr>
      <w:rFonts w:ascii="Arial" w:eastAsia="Calibri" w:hAnsi="Arial"/>
      <w:lang w:eastAsia="en-US"/>
    </w:rPr>
  </w:style>
  <w:style w:type="paragraph" w:styleId="ListContinue2">
    <w:name w:val="List Continue 2"/>
    <w:basedOn w:val="Normal"/>
    <w:uiPriority w:val="99"/>
    <w:unhideWhenUsed/>
    <w:rsid w:val="00253C58"/>
    <w:pPr>
      <w:spacing w:line="360" w:lineRule="auto"/>
      <w:ind w:left="720"/>
      <w:contextualSpacing/>
      <w:jc w:val="left"/>
    </w:pPr>
    <w:rPr>
      <w:rFonts w:ascii="Arial" w:eastAsia="Calibri" w:hAnsi="Arial"/>
      <w:lang w:eastAsia="en-US"/>
    </w:rPr>
  </w:style>
  <w:style w:type="paragraph" w:styleId="List">
    <w:name w:val="List"/>
    <w:basedOn w:val="Normal"/>
    <w:uiPriority w:val="99"/>
    <w:unhideWhenUsed/>
    <w:rsid w:val="00253C58"/>
    <w:pPr>
      <w:spacing w:line="360" w:lineRule="auto"/>
      <w:ind w:left="360" w:hanging="360"/>
      <w:contextualSpacing/>
      <w:jc w:val="left"/>
    </w:pPr>
    <w:rPr>
      <w:rFonts w:ascii="Arial" w:eastAsia="Calibri" w:hAnsi="Arial"/>
      <w:lang w:eastAsia="en-US"/>
    </w:rPr>
  </w:style>
  <w:style w:type="paragraph" w:styleId="List2">
    <w:name w:val="List 2"/>
    <w:basedOn w:val="Normal"/>
    <w:uiPriority w:val="99"/>
    <w:unhideWhenUsed/>
    <w:rsid w:val="00253C58"/>
    <w:pPr>
      <w:spacing w:line="360" w:lineRule="auto"/>
      <w:ind w:left="720" w:hanging="360"/>
      <w:contextualSpacing/>
      <w:jc w:val="left"/>
    </w:pPr>
    <w:rPr>
      <w:rFonts w:ascii="Arial" w:eastAsia="Calibri" w:hAnsi="Arial"/>
      <w:lang w:eastAsia="en-US"/>
    </w:rPr>
  </w:style>
  <w:style w:type="paragraph" w:customStyle="1" w:styleId="ListLetters">
    <w:name w:val="List Letters"/>
    <w:basedOn w:val="Normal"/>
    <w:uiPriority w:val="99"/>
    <w:qFormat/>
    <w:rsid w:val="00253C58"/>
    <w:pPr>
      <w:numPr>
        <w:numId w:val="29"/>
      </w:numPr>
      <w:spacing w:line="360" w:lineRule="auto"/>
      <w:jc w:val="left"/>
    </w:pPr>
    <w:rPr>
      <w:rFonts w:ascii="Arial" w:eastAsia="Calibri" w:hAnsi="Arial"/>
      <w:lang w:eastAsia="en-US"/>
    </w:rPr>
  </w:style>
  <w:style w:type="table" w:styleId="LightGrid-Accent6">
    <w:name w:val="Light Grid Accent 6"/>
    <w:basedOn w:val="TableNormal"/>
    <w:uiPriority w:val="62"/>
    <w:semiHidden/>
    <w:unhideWhenUsed/>
    <w:rsid w:val="00253C58"/>
    <w:rPr>
      <w:rFonts w:eastAsia="Calibri"/>
      <w:sz w:val="22"/>
      <w:szCs w:val="22"/>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Lines="0" w:beforeAutospacing="0" w:afterLines="0" w:afterAutospacing="0" w:line="240" w:lineRule="auto"/>
      </w:pPr>
      <w:rPr>
        <w:rFonts w:ascii="Arial Bold" w:eastAsia="Times New Roman" w:hAnsi="Arial Bold" w:cs="Times New Roman" w:hint="default"/>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Lines="0" w:beforeAutospacing="0" w:afterLines="0" w:afterAutospacing="0" w:line="240" w:lineRule="auto"/>
      </w:pPr>
      <w:rPr>
        <w:rFonts w:ascii="Arial Bold" w:eastAsia="Times New Roman" w:hAnsi="Arial Bold" w:cs="Times New Roman" w:hint="default"/>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Arial Bold" w:eastAsia="Times New Roman" w:hAnsi="Arial Bold" w:cs="Times New Roman" w:hint="default"/>
        <w:b/>
        <w:bCs/>
      </w:rPr>
    </w:tblStylePr>
    <w:tblStylePr w:type="lastCol">
      <w:rPr>
        <w:rFonts w:ascii="Arial Bold" w:eastAsia="Times New Roman" w:hAnsi="Arial Bold" w:cs="Times New Roman" w:hint="default"/>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apple-converted-space">
    <w:name w:val="apple-converted-space"/>
    <w:basedOn w:val="DefaultParagraphFont"/>
    <w:rsid w:val="00253C58"/>
  </w:style>
  <w:style w:type="paragraph" w:customStyle="1" w:styleId="TitlePage">
    <w:name w:val="Title Page"/>
    <w:basedOn w:val="Heading4"/>
    <w:uiPriority w:val="15"/>
    <w:qFormat/>
    <w:rsid w:val="00965039"/>
    <w:pPr>
      <w:numPr>
        <w:ilvl w:val="0"/>
        <w:numId w:val="0"/>
      </w:numPr>
      <w:ind w:left="2268"/>
    </w:pPr>
    <w:rPr>
      <w:rFonts w:ascii="Arial" w:hAnsi="Arial"/>
      <w:b w:val="0"/>
      <w:color w:val="FFFFFF"/>
      <w:sz w:val="30"/>
      <w:szCs w:val="30"/>
      <w:lang w:val="sv-SE"/>
    </w:rPr>
  </w:style>
  <w:style w:type="character" w:customStyle="1" w:styleId="fontstyle01">
    <w:name w:val="fontstyle01"/>
    <w:rsid w:val="00083F8B"/>
    <w:rPr>
      <w:rFonts w:ascii="Tahoma" w:hAnsi="Tahoma" w:cs="Tahoma" w:hint="default"/>
      <w:b w:val="0"/>
      <w:bCs w:val="0"/>
      <w:i w:val="0"/>
      <w:iCs w:val="0"/>
      <w:color w:val="000000"/>
      <w:sz w:val="20"/>
      <w:szCs w:val="20"/>
    </w:rPr>
  </w:style>
  <w:style w:type="paragraph" w:customStyle="1" w:styleId="RepriseTitre1">
    <w:name w:val="Reprise Titre 1"/>
    <w:basedOn w:val="Normal"/>
    <w:link w:val="RepriseTitre1Car"/>
    <w:uiPriority w:val="6"/>
    <w:semiHidden/>
    <w:qFormat/>
    <w:rsid w:val="00ED2454"/>
    <w:pPr>
      <w:spacing w:before="520" w:after="200"/>
      <w:ind w:left="426" w:right="-204"/>
      <w:jc w:val="left"/>
    </w:pPr>
    <w:rPr>
      <w:rFonts w:ascii="Calibri" w:eastAsia="Calibri" w:hAnsi="Calibri"/>
      <w:noProof/>
      <w:color w:val="ED7D31"/>
      <w:sz w:val="24"/>
      <w:lang w:val="mk-MK" w:eastAsia="en-US"/>
    </w:rPr>
  </w:style>
  <w:style w:type="character" w:customStyle="1" w:styleId="RepriseTitre1Car">
    <w:name w:val="Reprise Titre 1 Car"/>
    <w:link w:val="RepriseTitre1"/>
    <w:uiPriority w:val="6"/>
    <w:semiHidden/>
    <w:rsid w:val="00ED2454"/>
    <w:rPr>
      <w:rFonts w:ascii="Calibri" w:eastAsia="Calibri" w:hAnsi="Calibri" w:cs="Times New Roman"/>
      <w:noProof/>
      <w:color w:val="ED7D31"/>
      <w:sz w:val="24"/>
      <w:szCs w:val="22"/>
      <w:lang w:val="mk-MK"/>
    </w:rPr>
  </w:style>
  <w:style w:type="paragraph" w:customStyle="1" w:styleId="Footnote">
    <w:name w:val="Foot note"/>
    <w:basedOn w:val="FootnoteText"/>
    <w:link w:val="FootnoteCar"/>
    <w:qFormat/>
    <w:rsid w:val="007472AF"/>
    <w:pPr>
      <w:spacing w:after="80" w:line="240" w:lineRule="auto"/>
      <w:jc w:val="both"/>
    </w:pPr>
    <w:rPr>
      <w:rFonts w:ascii="Calibri" w:eastAsia="Calibri" w:hAnsi="Calibri"/>
      <w:i/>
      <w:color w:val="E7E6E6"/>
      <w:sz w:val="16"/>
      <w:lang w:val="en-IE" w:eastAsia="en-US"/>
    </w:rPr>
  </w:style>
  <w:style w:type="character" w:customStyle="1" w:styleId="FootnoteCar">
    <w:name w:val="Foot note Car"/>
    <w:link w:val="Footnote"/>
    <w:rsid w:val="007472AF"/>
    <w:rPr>
      <w:rFonts w:ascii="Calibri" w:eastAsia="Calibri" w:hAnsi="Calibri" w:cs="Times New Roman"/>
      <w:i/>
      <w:color w:val="E7E6E6"/>
      <w:sz w:val="16"/>
      <w:lang w:val="en-IE"/>
    </w:rPr>
  </w:style>
  <w:style w:type="table" w:customStyle="1" w:styleId="LightList-Accent51">
    <w:name w:val="Light List - Accent 51"/>
    <w:basedOn w:val="TableNormal"/>
    <w:next w:val="LightList-Accent5"/>
    <w:uiPriority w:val="61"/>
    <w:rsid w:val="007472AF"/>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paragraph" w:customStyle="1" w:styleId="normalforattendance">
    <w:name w:val="normal for attendance"/>
    <w:basedOn w:val="Normal"/>
    <w:uiPriority w:val="99"/>
    <w:rsid w:val="00A15F33"/>
    <w:pPr>
      <w:spacing w:before="60" w:after="60"/>
    </w:pPr>
    <w:rPr>
      <w:rFonts w:ascii="Arial" w:hAnsi="Arial"/>
      <w:szCs w:val="20"/>
    </w:rPr>
  </w:style>
  <w:style w:type="character" w:customStyle="1" w:styleId="FootnoteTextChar1">
    <w:name w:val="Footnote Text Char1"/>
    <w:aliases w:val="DTE-Voetnoottekst Char2,DTE-Voetnoottekst Char Char1,single space Char1,fn Char1,FOOTNOTES Char1,Footnote Text Char2 Char Char1,Footnote Text Char1 Char Char Char1,Footnote Text Char2 Char Char Char Char1,Geneva 9 Char1"/>
    <w:uiPriority w:val="99"/>
    <w:locked/>
    <w:rsid w:val="00A15F33"/>
    <w:rPr>
      <w:sz w:val="20"/>
      <w:lang w:val="en-GB" w:eastAsia="da-DK"/>
    </w:rPr>
  </w:style>
  <w:style w:type="paragraph" w:customStyle="1" w:styleId="Bullet20">
    <w:name w:val="Bullet 2"/>
    <w:basedOn w:val="Normal"/>
    <w:rsid w:val="00A15F33"/>
    <w:pPr>
      <w:numPr>
        <w:numId w:val="30"/>
      </w:numPr>
      <w:jc w:val="left"/>
    </w:pPr>
    <w:rPr>
      <w:rFonts w:ascii="Arial" w:hAnsi="Arial"/>
      <w:szCs w:val="20"/>
      <w:lang w:val="en-IE" w:eastAsia="en-US"/>
    </w:rPr>
  </w:style>
  <w:style w:type="paragraph" w:customStyle="1" w:styleId="Buleted">
    <w:name w:val="Buleted"/>
    <w:basedOn w:val="Normal"/>
    <w:rsid w:val="00A15F33"/>
    <w:pPr>
      <w:numPr>
        <w:numId w:val="31"/>
      </w:numPr>
      <w:spacing w:before="0"/>
    </w:pPr>
    <w:rPr>
      <w:rFonts w:eastAsia="ヒラギノ角ゴ Pro W3" w:cs="Tahoma"/>
      <w:sz w:val="20"/>
      <w:szCs w:val="20"/>
      <w:lang w:val="en-US" w:eastAsia="en-US"/>
    </w:rPr>
  </w:style>
  <w:style w:type="paragraph" w:customStyle="1" w:styleId="yiv1866888825msolistparagraph">
    <w:name w:val="yiv1866888825msolistparagraph"/>
    <w:basedOn w:val="Normal"/>
    <w:uiPriority w:val="99"/>
    <w:rsid w:val="00A15F33"/>
    <w:pPr>
      <w:spacing w:before="100" w:beforeAutospacing="1" w:after="100" w:afterAutospacing="1"/>
      <w:jc w:val="left"/>
    </w:pPr>
    <w:rPr>
      <w:rFonts w:ascii="Times New Roman" w:hAnsi="Times New Roman"/>
      <w:sz w:val="24"/>
      <w:szCs w:val="24"/>
      <w:lang w:val="en-US" w:eastAsia="en-US"/>
    </w:rPr>
  </w:style>
  <w:style w:type="paragraph" w:customStyle="1" w:styleId="Pa7">
    <w:name w:val="Pa7"/>
    <w:basedOn w:val="Normal"/>
    <w:next w:val="Normal"/>
    <w:rsid w:val="00A15F33"/>
    <w:pPr>
      <w:autoSpaceDE w:val="0"/>
      <w:autoSpaceDN w:val="0"/>
      <w:adjustRightInd w:val="0"/>
      <w:spacing w:before="0" w:after="80" w:line="176" w:lineRule="atLeast"/>
      <w:jc w:val="left"/>
    </w:pPr>
    <w:rPr>
      <w:rFonts w:ascii="ITC Franklin Gothic Std Book" w:hAnsi="ITC Franklin Gothic Std Book"/>
      <w:sz w:val="24"/>
      <w:szCs w:val="24"/>
      <w:lang w:val="en-US" w:eastAsia="en-US"/>
    </w:rPr>
  </w:style>
  <w:style w:type="numbering" w:customStyle="1" w:styleId="CowiHeadings">
    <w:name w:val="CowiHeadings"/>
    <w:rsid w:val="00A15F33"/>
    <w:pPr>
      <w:numPr>
        <w:numId w:val="32"/>
      </w:numPr>
    </w:pPr>
  </w:style>
  <w:style w:type="paragraph" w:customStyle="1" w:styleId="SecHeadNonToc">
    <w:name w:val="~SecHeadNonToc"/>
    <w:basedOn w:val="Normal"/>
    <w:next w:val="Normal"/>
    <w:uiPriority w:val="7"/>
    <w:qFormat/>
    <w:rsid w:val="00A15F33"/>
    <w:pPr>
      <w:keepNext/>
      <w:pageBreakBefore/>
      <w:spacing w:before="0" w:after="1200" w:line="264" w:lineRule="auto"/>
      <w:jc w:val="left"/>
    </w:pPr>
    <w:rPr>
      <w:rFonts w:ascii="Calibri" w:hAnsi="Calibri"/>
      <w:b/>
      <w:bCs/>
      <w:sz w:val="40"/>
      <w:szCs w:val="40"/>
      <w:lang w:eastAsia="en-US"/>
    </w:rPr>
  </w:style>
  <w:style w:type="paragraph" w:customStyle="1" w:styleId="AppHead">
    <w:name w:val="~AppHead"/>
    <w:basedOn w:val="SecHeadNonToc"/>
    <w:next w:val="Normal"/>
    <w:uiPriority w:val="4"/>
    <w:qFormat/>
    <w:rsid w:val="00A15F33"/>
    <w:pPr>
      <w:numPr>
        <w:numId w:val="33"/>
      </w:numPr>
      <w:outlineLvl w:val="0"/>
    </w:pPr>
    <w:rPr>
      <w:rFonts w:ascii="Arial" w:hAnsi="Arial" w:cs="Arial"/>
      <w:bCs w:val="0"/>
      <w:color w:val="000000"/>
    </w:rPr>
  </w:style>
  <w:style w:type="paragraph" w:customStyle="1" w:styleId="AppSubHead">
    <w:name w:val="~AppSubHead"/>
    <w:basedOn w:val="SecHeadNonToc"/>
    <w:next w:val="Normal"/>
    <w:uiPriority w:val="4"/>
    <w:qFormat/>
    <w:rsid w:val="00A15F33"/>
    <w:pPr>
      <w:pageBreakBefore w:val="0"/>
      <w:numPr>
        <w:ilvl w:val="1"/>
        <w:numId w:val="33"/>
      </w:numPr>
      <w:spacing w:before="240" w:after="120"/>
      <w:outlineLvl w:val="1"/>
    </w:pPr>
    <w:rPr>
      <w:rFonts w:ascii="Arial" w:hAnsi="Arial" w:cs="Arial"/>
      <w:bCs w:val="0"/>
      <w:color w:val="5B9BD5"/>
      <w:sz w:val="22"/>
      <w:szCs w:val="22"/>
    </w:rPr>
  </w:style>
  <w:style w:type="paragraph" w:customStyle="1" w:styleId="AppMinorSubHead">
    <w:name w:val="~AppMinorSubHead"/>
    <w:basedOn w:val="SecHeadNonToc"/>
    <w:next w:val="Normal"/>
    <w:uiPriority w:val="4"/>
    <w:qFormat/>
    <w:rsid w:val="00A15F33"/>
    <w:pPr>
      <w:pageBreakBefore w:val="0"/>
      <w:numPr>
        <w:ilvl w:val="2"/>
        <w:numId w:val="33"/>
      </w:numPr>
      <w:spacing w:before="240" w:after="120"/>
      <w:outlineLvl w:val="2"/>
    </w:pPr>
    <w:rPr>
      <w:rFonts w:ascii="Arial" w:hAnsi="Arial" w:cs="Arial"/>
      <w:bCs w:val="0"/>
      <w:color w:val="5B9BD5"/>
      <w:sz w:val="20"/>
      <w:szCs w:val="20"/>
    </w:rPr>
  </w:style>
  <w:style w:type="paragraph" w:customStyle="1" w:styleId="Spacer">
    <w:name w:val="~Spacer"/>
    <w:basedOn w:val="NoSpacing"/>
    <w:uiPriority w:val="34"/>
    <w:semiHidden/>
    <w:rsid w:val="00A15F33"/>
    <w:pPr>
      <w:jc w:val="left"/>
    </w:pPr>
    <w:rPr>
      <w:rFonts w:ascii="Arial" w:hAnsi="Arial"/>
      <w:sz w:val="2"/>
      <w:szCs w:val="2"/>
    </w:rPr>
  </w:style>
  <w:style w:type="numbering" w:customStyle="1" w:styleId="SecListStyle">
    <w:name w:val="~SecListStyle"/>
    <w:uiPriority w:val="99"/>
    <w:rsid w:val="00A15F33"/>
    <w:pPr>
      <w:numPr>
        <w:numId w:val="34"/>
      </w:numPr>
    </w:pPr>
  </w:style>
  <w:style w:type="numbering" w:customStyle="1" w:styleId="AppListStyle">
    <w:name w:val="~AppListStyle"/>
    <w:uiPriority w:val="99"/>
    <w:rsid w:val="00A15F33"/>
    <w:pPr>
      <w:numPr>
        <w:numId w:val="33"/>
      </w:numPr>
    </w:pPr>
  </w:style>
  <w:style w:type="table" w:customStyle="1" w:styleId="MMTable">
    <w:name w:val="~MMTable"/>
    <w:basedOn w:val="TableNormal"/>
    <w:uiPriority w:val="99"/>
    <w:rsid w:val="00A15F33"/>
    <w:pPr>
      <w:spacing w:before="40" w:after="40"/>
    </w:pPr>
    <w:rPr>
      <w:rFonts w:ascii="Arial" w:hAnsi="Arial"/>
      <w:sz w:val="16"/>
      <w:szCs w:val="16"/>
      <w:lang w:val="en-GB"/>
    </w:rPr>
    <w:tblPr>
      <w:tblStyleRowBandSize w:val="1"/>
      <w:tblBorders>
        <w:top w:val="single" w:sz="8" w:space="0" w:color="auto"/>
        <w:bottom w:val="single" w:sz="8" w:space="0" w:color="auto"/>
        <w:insideH w:val="single" w:sz="2" w:space="0" w:color="5B9BD5"/>
      </w:tblBorders>
      <w:tblCellMar>
        <w:left w:w="0" w:type="dxa"/>
        <w:right w:w="0" w:type="dxa"/>
      </w:tblCellMar>
    </w:tblPr>
    <w:tblStylePr w:type="firstRow">
      <w:tblPr/>
      <w:trPr>
        <w:cantSplit/>
        <w:tblHeader/>
      </w:trPr>
      <w:tcPr>
        <w:tcBorders>
          <w:top w:val="nil"/>
          <w:left w:val="nil"/>
          <w:bottom w:val="single" w:sz="8" w:space="0" w:color="auto"/>
          <w:right w:val="nil"/>
          <w:insideH w:val="single" w:sz="4" w:space="0" w:color="auto"/>
          <w:insideV w:val="nil"/>
          <w:tl2br w:val="nil"/>
          <w:tr2bl w:val="nil"/>
        </w:tcBorders>
      </w:tcPr>
    </w:tblStylePr>
    <w:tblStylePr w:type="band1Horz">
      <w:tblPr/>
      <w:tcPr>
        <w:shd w:val="clear" w:color="auto" w:fill="D5DCE4"/>
      </w:tcPr>
    </w:tblStylePr>
  </w:style>
  <w:style w:type="paragraph" w:styleId="List3">
    <w:name w:val="List 3"/>
    <w:basedOn w:val="Normal"/>
    <w:uiPriority w:val="99"/>
    <w:unhideWhenUsed/>
    <w:rsid w:val="00A15F33"/>
    <w:pPr>
      <w:spacing w:line="360" w:lineRule="auto"/>
      <w:ind w:left="849" w:hanging="283"/>
      <w:contextualSpacing/>
      <w:jc w:val="left"/>
    </w:pPr>
    <w:rPr>
      <w:rFonts w:ascii="Arial" w:eastAsia="Calibri" w:hAnsi="Arial"/>
      <w:sz w:val="20"/>
      <w:lang w:eastAsia="en-US"/>
    </w:rPr>
  </w:style>
  <w:style w:type="paragraph" w:styleId="List4">
    <w:name w:val="List 4"/>
    <w:basedOn w:val="Normal"/>
    <w:uiPriority w:val="99"/>
    <w:unhideWhenUsed/>
    <w:rsid w:val="00A15F33"/>
    <w:pPr>
      <w:spacing w:line="360" w:lineRule="auto"/>
      <w:ind w:left="1132" w:hanging="283"/>
      <w:contextualSpacing/>
      <w:jc w:val="left"/>
    </w:pPr>
    <w:rPr>
      <w:rFonts w:ascii="Arial" w:eastAsia="Calibri" w:hAnsi="Arial"/>
      <w:sz w:val="20"/>
      <w:lang w:eastAsia="en-US"/>
    </w:rPr>
  </w:style>
  <w:style w:type="paragraph" w:styleId="List5">
    <w:name w:val="List 5"/>
    <w:basedOn w:val="Normal"/>
    <w:uiPriority w:val="99"/>
    <w:unhideWhenUsed/>
    <w:rsid w:val="00A15F33"/>
    <w:pPr>
      <w:spacing w:line="360" w:lineRule="auto"/>
      <w:ind w:left="1415" w:hanging="283"/>
      <w:contextualSpacing/>
      <w:jc w:val="left"/>
    </w:pPr>
    <w:rPr>
      <w:rFonts w:ascii="Arial" w:eastAsia="Calibri" w:hAnsi="Arial"/>
      <w:sz w:val="20"/>
      <w:lang w:eastAsia="en-US"/>
    </w:rPr>
  </w:style>
  <w:style w:type="character" w:styleId="LineNumber">
    <w:name w:val="line number"/>
    <w:basedOn w:val="DefaultParagraphFont"/>
    <w:uiPriority w:val="99"/>
    <w:unhideWhenUsed/>
    <w:rsid w:val="00A15F33"/>
  </w:style>
  <w:style w:type="paragraph" w:styleId="IndexHeading">
    <w:name w:val="index heading"/>
    <w:basedOn w:val="Normal"/>
    <w:next w:val="Index1"/>
    <w:uiPriority w:val="99"/>
    <w:unhideWhenUsed/>
    <w:rsid w:val="00A15F33"/>
    <w:pPr>
      <w:spacing w:line="360" w:lineRule="auto"/>
      <w:jc w:val="left"/>
    </w:pPr>
    <w:rPr>
      <w:rFonts w:ascii="Calibri Light" w:hAnsi="Calibri Light"/>
      <w:b/>
      <w:bCs/>
      <w:sz w:val="20"/>
      <w:lang w:eastAsia="en-US"/>
    </w:rPr>
  </w:style>
  <w:style w:type="paragraph" w:customStyle="1" w:styleId="Lista">
    <w:name w:val="List a"/>
    <w:aliases w:val="b,c"/>
    <w:basedOn w:val="ListParagraph"/>
    <w:uiPriority w:val="99"/>
    <w:qFormat/>
    <w:rsid w:val="00A15F33"/>
    <w:pPr>
      <w:numPr>
        <w:numId w:val="35"/>
      </w:numPr>
      <w:spacing w:before="0" w:after="0" w:line="360" w:lineRule="auto"/>
      <w:jc w:val="left"/>
    </w:pPr>
    <w:rPr>
      <w:rFonts w:ascii="Arial" w:eastAsia="Calibri" w:hAnsi="Arial" w:cs="Arial"/>
      <w:sz w:val="20"/>
      <w:szCs w:val="22"/>
      <w:lang w:eastAsia="en-US"/>
    </w:rPr>
  </w:style>
  <w:style w:type="character" w:customStyle="1" w:styleId="Heading3Char1">
    <w:name w:val="Heading 3 Char1"/>
    <w:aliases w:val="Heading2 Char1"/>
    <w:semiHidden/>
    <w:rsid w:val="00A15F33"/>
    <w:rPr>
      <w:rFonts w:ascii="Calibri Light" w:eastAsia="Times New Roman" w:hAnsi="Calibri Light" w:cs="Times New Roman"/>
      <w:color w:val="1F4D78"/>
      <w:sz w:val="24"/>
      <w:szCs w:val="24"/>
      <w:lang w:val="en-GB"/>
    </w:rPr>
  </w:style>
  <w:style w:type="paragraph" w:customStyle="1" w:styleId="msonormal0">
    <w:name w:val="msonormal"/>
    <w:basedOn w:val="Normal"/>
    <w:uiPriority w:val="99"/>
    <w:rsid w:val="00A15F33"/>
    <w:pPr>
      <w:spacing w:before="100" w:beforeAutospacing="1" w:after="119"/>
      <w:jc w:val="left"/>
    </w:pPr>
    <w:rPr>
      <w:rFonts w:ascii="Times New Roman" w:hAnsi="Times New Roman"/>
      <w:sz w:val="24"/>
      <w:szCs w:val="24"/>
      <w:lang w:val="en-US" w:eastAsia="en-US"/>
    </w:rPr>
  </w:style>
  <w:style w:type="paragraph" w:customStyle="1" w:styleId="CaptionTablesFigures">
    <w:name w:val="Caption Tables Figures"/>
    <w:basedOn w:val="Normal"/>
    <w:uiPriority w:val="15"/>
    <w:qFormat/>
    <w:rsid w:val="006D7402"/>
    <w:pPr>
      <w:overflowPunct w:val="0"/>
      <w:autoSpaceDE w:val="0"/>
      <w:autoSpaceDN w:val="0"/>
      <w:adjustRightInd w:val="0"/>
      <w:spacing w:after="0"/>
      <w:jc w:val="center"/>
      <w:textAlignment w:val="baseline"/>
    </w:pPr>
    <w:rPr>
      <w:rFonts w:cs="Arial"/>
      <w:bCs/>
      <w:iCs/>
      <w:sz w:val="18"/>
      <w:szCs w:val="18"/>
    </w:rPr>
  </w:style>
  <w:style w:type="character" w:customStyle="1" w:styleId="tlid-translation">
    <w:name w:val="tlid-translation"/>
    <w:basedOn w:val="DefaultParagraphFont"/>
    <w:rsid w:val="00A60162"/>
  </w:style>
  <w:style w:type="table" w:customStyle="1" w:styleId="Kokan">
    <w:name w:val="Kokan"/>
    <w:basedOn w:val="TableNormal"/>
    <w:uiPriority w:val="99"/>
    <w:qFormat/>
    <w:rsid w:val="006D7888"/>
    <w:rPr>
      <w:rFonts w:ascii="Tahoma" w:hAnsi="Tahoma"/>
      <w:sz w:val="18"/>
    </w:rPr>
    <w:tblP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Pr>
    <w:tcPr>
      <w:shd w:val="clear" w:color="auto" w:fill="auto"/>
    </w:tcPr>
    <w:tblStylePr w:type="firstRow">
      <w:pPr>
        <w:jc w:val="center"/>
      </w:pPr>
      <w:rPr>
        <w:rFonts w:ascii="Tahoma" w:hAnsi="Tahoma"/>
        <w:color w:val="FFFFFF"/>
        <w:sz w:val="18"/>
      </w:rPr>
      <w:tblPr/>
      <w:tcPr>
        <w:shd w:val="clear" w:color="auto" w:fill="5B9BD5"/>
        <w:vAlign w:val="center"/>
      </w:tcPr>
    </w:tblStylePr>
    <w:tblStylePr w:type="lastRow">
      <w:rPr>
        <w:rFonts w:ascii="Tahoma" w:hAnsi="Tahoma"/>
        <w:sz w:val="18"/>
      </w:rPr>
      <w:tblPr/>
      <w:tcPr>
        <w:tcBorders>
          <w:top w:val="double" w:sz="4" w:space="0" w:color="auto"/>
          <w:left w:val="double" w:sz="4" w:space="0" w:color="auto"/>
          <w:bottom w:val="double" w:sz="4" w:space="0" w:color="auto"/>
          <w:right w:val="double" w:sz="4" w:space="0" w:color="auto"/>
          <w:insideH w:val="double" w:sz="4" w:space="0" w:color="auto"/>
          <w:insideV w:val="double" w:sz="4" w:space="0" w:color="auto"/>
        </w:tcBorders>
        <w:shd w:val="clear" w:color="auto" w:fill="AEAAAA"/>
      </w:tcPr>
    </w:tblStylePr>
    <w:tblStylePr w:type="lastCol">
      <w:tblPr/>
      <w:tcPr>
        <w:shd w:val="clear" w:color="auto" w:fill="FFFFFF"/>
      </w:tcPr>
    </w:tblStylePr>
  </w:style>
  <w:style w:type="table" w:customStyle="1" w:styleId="TableGrid3">
    <w:name w:val="Table Grid3"/>
    <w:basedOn w:val="TableNormal"/>
    <w:next w:val="TableGrid"/>
    <w:uiPriority w:val="99"/>
    <w:rsid w:val="00A768B4"/>
    <w:pPr>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0">
    <w:name w:val="~BodyText Char"/>
    <w:link w:val="BodyText0"/>
    <w:uiPriority w:val="99"/>
    <w:locked/>
    <w:rsid w:val="00BF0F2A"/>
    <w:rPr>
      <w:rFonts w:ascii="Arial" w:hAnsi="Arial" w:cs="Arial"/>
      <w:sz w:val="22"/>
      <w:szCs w:val="24"/>
      <w:lang w:val="en-GB" w:eastAsia="en-GB"/>
    </w:rPr>
  </w:style>
  <w:style w:type="paragraph" w:customStyle="1" w:styleId="ListBullet3NoSpace">
    <w:name w:val="List Bullet 3 NoSpace"/>
    <w:basedOn w:val="ListBullet3"/>
    <w:uiPriority w:val="4"/>
    <w:qFormat/>
    <w:rsid w:val="00DB3C90"/>
    <w:pPr>
      <w:numPr>
        <w:numId w:val="38"/>
      </w:numPr>
      <w:tabs>
        <w:tab w:val="left" w:pos="1276"/>
      </w:tabs>
      <w:spacing w:before="0" w:after="0" w:line="270" w:lineRule="atLeast"/>
      <w:contextualSpacing w:val="0"/>
      <w:jc w:val="left"/>
    </w:pPr>
    <w:rPr>
      <w:rFonts w:ascii="Arial" w:hAnsi="Arial" w:cs="Arial"/>
      <w:sz w:val="20"/>
      <w:szCs w:val="20"/>
      <w:lang w:eastAsia="da-DK"/>
    </w:rPr>
  </w:style>
  <w:style w:type="paragraph" w:customStyle="1" w:styleId="title-doc-first">
    <w:name w:val="title-doc-first"/>
    <w:basedOn w:val="Normal"/>
    <w:rsid w:val="00DB3C90"/>
    <w:pPr>
      <w:spacing w:before="100" w:beforeAutospacing="1" w:after="100" w:afterAutospacing="1" w:line="240" w:lineRule="auto"/>
      <w:jc w:val="left"/>
    </w:pPr>
    <w:rPr>
      <w:rFonts w:ascii="Times New Roman" w:hAnsi="Times New Roman"/>
      <w:sz w:val="24"/>
      <w:szCs w:val="24"/>
      <w:lang w:val="en-US" w:eastAsia="en-US"/>
    </w:rPr>
  </w:style>
  <w:style w:type="paragraph" w:customStyle="1" w:styleId="doc-ti">
    <w:name w:val="doc-ti"/>
    <w:basedOn w:val="Normal"/>
    <w:rsid w:val="00DB3C90"/>
    <w:pPr>
      <w:spacing w:before="100" w:beforeAutospacing="1" w:after="100" w:afterAutospacing="1" w:line="240" w:lineRule="auto"/>
      <w:jc w:val="left"/>
    </w:pPr>
    <w:rPr>
      <w:rFonts w:ascii="Times New Roman" w:hAnsi="Times New Roman"/>
      <w:sz w:val="24"/>
      <w:szCs w:val="24"/>
      <w:lang w:val="en-US" w:eastAsia="en-US"/>
    </w:rPr>
  </w:style>
  <w:style w:type="paragraph" w:customStyle="1" w:styleId="Arial10tablebullet">
    <w:name w:val="Arial 10 table bullet"/>
    <w:basedOn w:val="Normal"/>
    <w:qFormat/>
    <w:rsid w:val="00DB3C90"/>
    <w:pPr>
      <w:framePr w:hSpace="180" w:wrap="around" w:vAnchor="text" w:hAnchor="text" w:y="1"/>
      <w:numPr>
        <w:numId w:val="39"/>
      </w:numPr>
      <w:tabs>
        <w:tab w:val="left" w:pos="113"/>
      </w:tabs>
      <w:spacing w:before="0" w:after="0" w:line="240" w:lineRule="auto"/>
      <w:ind w:left="113" w:hanging="113"/>
      <w:suppressOverlap/>
      <w:jc w:val="left"/>
    </w:pPr>
    <w:rPr>
      <w:rFonts w:ascii="Arial" w:hAnsi="Arial"/>
      <w:sz w:val="20"/>
      <w:szCs w:val="20"/>
    </w:rPr>
  </w:style>
  <w:style w:type="character" w:customStyle="1" w:styleId="UnresolvedMention">
    <w:name w:val="Unresolved Mention"/>
    <w:basedOn w:val="DefaultParagraphFont"/>
    <w:uiPriority w:val="99"/>
    <w:semiHidden/>
    <w:unhideWhenUsed/>
    <w:rsid w:val="00DB3C90"/>
    <w:rPr>
      <w:color w:val="605E5C"/>
      <w:shd w:val="clear" w:color="auto" w:fill="E1DFDD"/>
    </w:rPr>
  </w:style>
  <w:style w:type="paragraph" w:customStyle="1" w:styleId="NumberIndent">
    <w:name w:val="Number Indent"/>
    <w:basedOn w:val="ListBullet"/>
    <w:uiPriority w:val="35"/>
    <w:rsid w:val="00932FC6"/>
    <w:pPr>
      <w:numPr>
        <w:numId w:val="42"/>
      </w:numPr>
      <w:spacing w:after="120"/>
      <w:ind w:left="510" w:hanging="255"/>
      <w:contextualSpacing/>
      <w:jc w:val="left"/>
    </w:pPr>
    <w:rPr>
      <w:rFonts w:ascii="Arial" w:eastAsiaTheme="minorHAnsi" w:hAnsi="Arial" w:cstheme="minorBidi"/>
      <w:lang w:eastAsia="en-US"/>
    </w:rPr>
  </w:style>
  <w:style w:type="character" w:customStyle="1" w:styleId="gd">
    <w:name w:val="gd"/>
    <w:basedOn w:val="DefaultParagraphFont"/>
    <w:rsid w:val="00172852"/>
  </w:style>
  <w:style w:type="paragraph" w:customStyle="1" w:styleId="CarattereCarattereCharCharCharCharCharCharZchn">
    <w:name w:val="Carattere Carattere Char Char Char Char Char Char Zchn"/>
    <w:aliases w:val="ftref Char Char Char Char Char Char Zchn,Char Char Char Char Char Char Char Char Zchn,ftref Char Char Char1 Zchn,Carattere Carattere Char Char Char Char Char Char Char Zchn"/>
    <w:basedOn w:val="Normal"/>
    <w:next w:val="Normal"/>
    <w:link w:val="FootnoteReference"/>
    <w:uiPriority w:val="99"/>
    <w:rsid w:val="00172852"/>
    <w:pPr>
      <w:spacing w:before="0" w:after="160" w:line="240" w:lineRule="exact"/>
    </w:pPr>
    <w:rPr>
      <w:rFonts w:ascii="Calibri" w:hAnsi="Calibri"/>
      <w:sz w:val="20"/>
      <w:szCs w:val="20"/>
      <w:vertAlign w:val="superscript"/>
      <w:lang w:val="en-US" w:eastAsia="en-US"/>
    </w:rPr>
  </w:style>
  <w:style w:type="table" w:customStyle="1" w:styleId="Simple1">
    <w:name w:val="Simple1"/>
    <w:basedOn w:val="TableNormal"/>
    <w:uiPriority w:val="99"/>
    <w:qFormat/>
    <w:rsid w:val="00172852"/>
    <w:pPr>
      <w:jc w:val="center"/>
    </w:pPr>
    <w:rPr>
      <w:rFonts w:ascii="Times New Roman" w:hAnsi="Times New Roman"/>
      <w:lang w:val="mk-MK" w:eastAsia="mk-MK"/>
    </w:rPr>
    <w:tblPr>
      <w:tblBorders>
        <w:top w:val="single" w:sz="12" w:space="0" w:color="auto"/>
        <w:bottom w:val="single" w:sz="12" w:space="0" w:color="auto"/>
      </w:tblBorders>
    </w:tblPr>
    <w:tcPr>
      <w:vAlign w:val="center"/>
    </w:tcPr>
  </w:style>
  <w:style w:type="table" w:customStyle="1" w:styleId="LightShading1">
    <w:name w:val="Light Shading1"/>
    <w:uiPriority w:val="99"/>
    <w:rsid w:val="00172852"/>
    <w:rPr>
      <w:rFonts w:ascii="Times New Roman" w:hAnsi="Times New Roman"/>
      <w:color w:val="000000"/>
      <w:lang w:eastAsia="mk-MK"/>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paragraph" w:customStyle="1" w:styleId="Species">
    <w:name w:val="Species"/>
    <w:basedOn w:val="Heading2"/>
    <w:rsid w:val="00172852"/>
    <w:pPr>
      <w:numPr>
        <w:numId w:val="0"/>
      </w:numPr>
      <w:tabs>
        <w:tab w:val="num" w:pos="360"/>
      </w:tabs>
      <w:spacing w:before="360" w:after="360" w:line="240" w:lineRule="auto"/>
      <w:ind w:left="360" w:hanging="360"/>
    </w:pPr>
    <w:rPr>
      <w:rFonts w:ascii="Times New Roman" w:hAnsi="Times New Roman"/>
      <w:color w:val="auto"/>
      <w:szCs w:val="24"/>
      <w:u w:val="single"/>
      <w:lang w:val="bg-BG" w:eastAsia="en-US"/>
    </w:rPr>
  </w:style>
  <w:style w:type="paragraph" w:customStyle="1" w:styleId="Subspecies">
    <w:name w:val="Subspecies"/>
    <w:basedOn w:val="Heading3"/>
    <w:rsid w:val="00172852"/>
    <w:pPr>
      <w:keepLines w:val="0"/>
      <w:numPr>
        <w:numId w:val="0"/>
      </w:numPr>
      <w:tabs>
        <w:tab w:val="num" w:pos="360"/>
      </w:tabs>
      <w:spacing w:before="240" w:line="240" w:lineRule="auto"/>
      <w:ind w:left="360" w:hanging="360"/>
      <w:jc w:val="both"/>
    </w:pPr>
    <w:rPr>
      <w:rFonts w:ascii="Times New Roman" w:hAnsi="Times New Roman"/>
      <w:bCs w:val="0"/>
      <w:color w:val="auto"/>
      <w:szCs w:val="24"/>
      <w:u w:val="single"/>
      <w:lang w:eastAsia="en-US"/>
    </w:rPr>
  </w:style>
  <w:style w:type="paragraph" w:customStyle="1" w:styleId="Genus">
    <w:name w:val="Genus"/>
    <w:basedOn w:val="Heading1"/>
    <w:rsid w:val="00172852"/>
    <w:pPr>
      <w:keepNext/>
      <w:numPr>
        <w:numId w:val="53"/>
      </w:numPr>
      <w:spacing w:before="480" w:line="240" w:lineRule="auto"/>
      <w:jc w:val="both"/>
    </w:pPr>
    <w:rPr>
      <w:rFonts w:ascii="Times New Roman" w:hAnsi="Times New Roman"/>
      <w:color w:val="auto"/>
      <w:szCs w:val="24"/>
      <w:u w:val="single"/>
      <w:lang w:val="en-US" w:eastAsia="en-US"/>
    </w:rPr>
  </w:style>
  <w:style w:type="table" w:customStyle="1" w:styleId="Simple">
    <w:name w:val="Simple"/>
    <w:basedOn w:val="TableNormal"/>
    <w:uiPriority w:val="99"/>
    <w:qFormat/>
    <w:rsid w:val="00172852"/>
    <w:rPr>
      <w:rFonts w:asciiTheme="minorHAnsi" w:eastAsiaTheme="minorHAnsi" w:hAnsiTheme="minorHAnsi" w:cstheme="minorBidi"/>
      <w:sz w:val="22"/>
      <w:szCs w:val="22"/>
      <w:lang w:val="mk-MK"/>
    </w:rPr>
    <w:tblPr>
      <w:tblBorders>
        <w:top w:val="single" w:sz="8" w:space="0" w:color="auto"/>
        <w:bottom w:val="single" w:sz="8" w:space="0" w:color="auto"/>
      </w:tblBorders>
    </w:tblPr>
  </w:style>
  <w:style w:type="character" w:styleId="SubtleEmphasis">
    <w:name w:val="Subtle Emphasis"/>
    <w:basedOn w:val="DefaultParagraphFont"/>
    <w:uiPriority w:val="19"/>
    <w:qFormat/>
    <w:rsid w:val="00BE1C21"/>
    <w:rPr>
      <w:i/>
      <w:iCs/>
      <w:color w:val="404040" w:themeColor="text1" w:themeTint="BF"/>
    </w:rPr>
  </w:style>
  <w:style w:type="paragraph" w:customStyle="1" w:styleId="TableHeading">
    <w:name w:val="Table Heading"/>
    <w:basedOn w:val="Normal"/>
    <w:link w:val="TableHeadingChar"/>
    <w:uiPriority w:val="8"/>
    <w:qFormat/>
    <w:rsid w:val="00860376"/>
    <w:pPr>
      <w:keepLines/>
      <w:spacing w:before="40" w:after="40" w:line="240" w:lineRule="atLeast"/>
      <w:ind w:right="-1"/>
    </w:pPr>
    <w:rPr>
      <w:rFonts w:asciiTheme="majorHAnsi" w:hAnsiTheme="majorHAnsi"/>
      <w:color w:val="FFFFFF" w:themeColor="background1"/>
      <w:szCs w:val="20"/>
      <w:lang w:eastAsia="en-US"/>
    </w:rPr>
  </w:style>
  <w:style w:type="character" w:customStyle="1" w:styleId="TableHeadingChar">
    <w:name w:val="Table Heading Char"/>
    <w:basedOn w:val="DefaultParagraphFont"/>
    <w:link w:val="TableHeading"/>
    <w:uiPriority w:val="8"/>
    <w:rsid w:val="00860376"/>
    <w:rPr>
      <w:rFonts w:asciiTheme="majorHAnsi" w:hAnsiTheme="majorHAnsi"/>
      <w:color w:val="FFFFFF" w:themeColor="background1"/>
      <w:sz w:val="22"/>
      <w:lang w:val="en-GB"/>
    </w:rPr>
  </w:style>
  <w:style w:type="paragraph" w:customStyle="1" w:styleId="Tableau-textesetchiffres-BIOTOPE">
    <w:name w:val="Tableau - textes et chiffres - BIOTOPE"/>
    <w:basedOn w:val="Normal"/>
    <w:link w:val="Tableau-textesetchiffres-BIOTOPECar"/>
    <w:qFormat/>
    <w:rsid w:val="003B46E3"/>
    <w:pPr>
      <w:widowControl w:val="0"/>
      <w:autoSpaceDE w:val="0"/>
      <w:autoSpaceDN w:val="0"/>
      <w:adjustRightInd w:val="0"/>
      <w:spacing w:after="0" w:line="240" w:lineRule="auto"/>
      <w:ind w:right="57"/>
    </w:pPr>
    <w:rPr>
      <w:rFonts w:ascii="Trebuchet MS" w:hAnsi="Trebuchet MS" w:cs="Liberation Sans"/>
      <w:iCs/>
      <w:color w:val="000000"/>
      <w:sz w:val="16"/>
      <w:szCs w:val="16"/>
      <w:lang w:val="fr-FR" w:eastAsia="fr-FR"/>
    </w:rPr>
  </w:style>
  <w:style w:type="character" w:customStyle="1" w:styleId="Tableau-textesetchiffres-BIOTOPECar">
    <w:name w:val="Tableau - textes et chiffres - BIOTOPE Car"/>
    <w:link w:val="Tableau-textesetchiffres-BIOTOPE"/>
    <w:rsid w:val="003B46E3"/>
    <w:rPr>
      <w:rFonts w:ascii="Trebuchet MS" w:hAnsi="Trebuchet MS" w:cs="Liberation Sans"/>
      <w:iCs/>
      <w:color w:val="000000"/>
      <w:sz w:val="16"/>
      <w:szCs w:val="16"/>
      <w:lang w:val="fr-FR" w:eastAsia="fr-FR"/>
    </w:rPr>
  </w:style>
  <w:style w:type="paragraph" w:customStyle="1" w:styleId="NumBodyText">
    <w:name w:val="Num Body Text"/>
    <w:basedOn w:val="Normal"/>
    <w:link w:val="NumBodyTextChar"/>
    <w:uiPriority w:val="1"/>
    <w:qFormat/>
    <w:rsid w:val="009D6030"/>
    <w:pPr>
      <w:tabs>
        <w:tab w:val="num" w:pos="0"/>
      </w:tabs>
      <w:ind w:hanging="850"/>
      <w:jc w:val="left"/>
    </w:pPr>
    <w:rPr>
      <w:rFonts w:ascii="Arial" w:eastAsiaTheme="minorHAnsi" w:hAnsi="Arial" w:cstheme="minorBidi"/>
      <w:lang w:eastAsia="en-US"/>
    </w:rPr>
  </w:style>
  <w:style w:type="character" w:customStyle="1" w:styleId="NumBodyTextChar">
    <w:name w:val="Num Body Text Char"/>
    <w:basedOn w:val="DefaultParagraphFont"/>
    <w:link w:val="NumBodyText"/>
    <w:uiPriority w:val="1"/>
    <w:locked/>
    <w:rsid w:val="009D6030"/>
    <w:rPr>
      <w:rFonts w:ascii="Arial" w:eastAsiaTheme="minorHAnsi" w:hAnsi="Arial" w:cstheme="minorBidi"/>
      <w:sz w:val="22"/>
      <w:szCs w:val="22"/>
      <w:lang w:val="en-GB"/>
    </w:rPr>
  </w:style>
  <w:style w:type="paragraph" w:customStyle="1" w:styleId="H4">
    <w:name w:val="H4"/>
    <w:basedOn w:val="Heading4"/>
    <w:next w:val="BodyText"/>
    <w:uiPriority w:val="4"/>
    <w:qFormat/>
    <w:rsid w:val="00197837"/>
    <w:pPr>
      <w:numPr>
        <w:ilvl w:val="0"/>
        <w:numId w:val="0"/>
      </w:numPr>
      <w:spacing w:before="120" w:after="120"/>
    </w:pPr>
    <w:rPr>
      <w:rFonts w:ascii="Arial" w:eastAsiaTheme="majorEastAsia" w:hAnsi="Arial" w:cstheme="majorBidi"/>
      <w:bCs w:val="0"/>
      <w:color w:val="auto"/>
      <w:szCs w:val="22"/>
      <w:lang w:eastAsia="en-US"/>
    </w:rPr>
  </w:style>
  <w:style w:type="table" w:customStyle="1" w:styleId="WSP">
    <w:name w:val="WSP"/>
    <w:basedOn w:val="TableNormal"/>
    <w:uiPriority w:val="99"/>
    <w:rsid w:val="000D2DB3"/>
    <w:rPr>
      <w:rFonts w:ascii="Arial" w:eastAsiaTheme="minorHAnsi" w:hAnsi="Arial" w:cstheme="minorBidi"/>
      <w:color w:val="FFC000" w:themeColor="accent4"/>
      <w:sz w:val="22"/>
      <w:szCs w:val="22"/>
      <w:lang w:val="en-GB"/>
    </w:rPr>
    <w:tblPr>
      <w:tblStyleRowBandSize w:val="1"/>
      <w:tblBorders>
        <w:top w:val="single" w:sz="4" w:space="0" w:color="4472C4" w:themeColor="accent1"/>
        <w:left w:val="single" w:sz="4" w:space="0" w:color="4472C4" w:themeColor="accent1"/>
        <w:bottom w:val="single" w:sz="4" w:space="0" w:color="4472C4" w:themeColor="accent1"/>
        <w:right w:val="single" w:sz="4" w:space="0" w:color="4472C4" w:themeColor="accent1"/>
        <w:insideH w:val="single" w:sz="4" w:space="0" w:color="AEAAAA" w:themeColor="background2" w:themeShade="BF"/>
        <w:insideV w:val="single" w:sz="4" w:space="0" w:color="AEAAAA" w:themeColor="background2" w:themeShade="BF"/>
      </w:tblBorders>
      <w:tblCellMar>
        <w:top w:w="57" w:type="dxa"/>
        <w:bottom w:w="57" w:type="dxa"/>
      </w:tblCellMar>
    </w:tblPr>
    <w:tblStylePr w:type="firstRow">
      <w:rPr>
        <w:color w:val="ED7D31" w:themeColor="accent2"/>
      </w:rPr>
      <w:tblPr/>
      <w:tcPr>
        <w:tcBorders>
          <w:top w:val="single" w:sz="4" w:space="0" w:color="4472C4" w:themeColor="accent1"/>
          <w:left w:val="single" w:sz="4" w:space="0" w:color="4472C4" w:themeColor="accent1"/>
          <w:bottom w:val="single" w:sz="4" w:space="0" w:color="ED7D31" w:themeColor="accent2"/>
          <w:right w:val="single" w:sz="4" w:space="0" w:color="4472C4" w:themeColor="accent1"/>
          <w:insideH w:val="nil"/>
          <w:insideV w:val="single" w:sz="4" w:space="0" w:color="AEAAAA" w:themeColor="background2" w:themeShade="BF"/>
          <w:tl2br w:val="nil"/>
          <w:tr2bl w:val="nil"/>
        </w:tcBorders>
      </w:tcPr>
    </w:tblStylePr>
    <w:tblStylePr w:type="band1Horz">
      <w:tblPr/>
      <w:tcPr>
        <w:tcBorders>
          <w:top w:val="single" w:sz="4" w:space="0" w:color="AEAAAA" w:themeColor="background2" w:themeShade="BF"/>
          <w:left w:val="single" w:sz="4" w:space="0" w:color="4472C4" w:themeColor="accent1"/>
          <w:bottom w:val="single" w:sz="4" w:space="0" w:color="AEAAAA" w:themeColor="background2" w:themeShade="BF"/>
          <w:right w:val="single" w:sz="4" w:space="0" w:color="4472C4" w:themeColor="accent1"/>
          <w:insideH w:val="nil"/>
          <w:insideV w:val="single" w:sz="4" w:space="0" w:color="AEAAAA" w:themeColor="background2" w:themeShade="BF"/>
          <w:tl2br w:val="nil"/>
          <w:tr2bl w:val="nil"/>
        </w:tcBorders>
        <w:shd w:val="clear" w:color="auto" w:fill="4472C4" w:themeFill="accent1"/>
      </w:tcPr>
    </w:tblStylePr>
  </w:style>
  <w:style w:type="paragraph" w:customStyle="1" w:styleId="TableTitle">
    <w:name w:val="Table Title"/>
    <w:basedOn w:val="BodyText"/>
    <w:uiPriority w:val="7"/>
    <w:qFormat/>
    <w:rsid w:val="000D2DB3"/>
    <w:pPr>
      <w:spacing w:before="240"/>
      <w:ind w:left="0"/>
    </w:pPr>
    <w:rPr>
      <w:rFonts w:eastAsiaTheme="minorHAnsi" w:cstheme="minorBidi"/>
      <w:b/>
      <w:sz w:val="22"/>
      <w:szCs w:val="22"/>
      <w:lang w:eastAsia="en-US"/>
    </w:rPr>
  </w:style>
  <w:style w:type="character" w:customStyle="1" w:styleId="TableTextChar">
    <w:name w:val="Table Text Char"/>
    <w:basedOn w:val="DefaultParagraphFont"/>
    <w:link w:val="TableText"/>
    <w:rsid w:val="000D2DB3"/>
    <w:rPr>
      <w:rFonts w:ascii="Verdana" w:hAnsi="Verdana"/>
      <w:sz w:val="16"/>
      <w:szCs w:val="23"/>
      <w:lang w:val="en-GB" w:eastAsia="da-DK"/>
    </w:rPr>
  </w:style>
  <w:style w:type="paragraph" w:customStyle="1" w:styleId="Pa31">
    <w:name w:val="Pa31"/>
    <w:basedOn w:val="Normal"/>
    <w:next w:val="Normal"/>
    <w:uiPriority w:val="99"/>
    <w:rsid w:val="00023B94"/>
    <w:pPr>
      <w:autoSpaceDE w:val="0"/>
      <w:autoSpaceDN w:val="0"/>
      <w:adjustRightInd w:val="0"/>
      <w:spacing w:before="0" w:after="0" w:line="221" w:lineRule="atLeast"/>
      <w:jc w:val="left"/>
    </w:pPr>
    <w:rPr>
      <w:rFonts w:ascii="TheSans B3 Light" w:eastAsiaTheme="minorHAnsi" w:hAnsi="TheSans B3 Light" w:cstheme="minorBidi"/>
      <w:sz w:val="24"/>
      <w:szCs w:val="24"/>
      <w:lang w:val="en-US" w:eastAsia="en-US"/>
    </w:rPr>
  </w:style>
  <w:style w:type="paragraph" w:customStyle="1" w:styleId="Pa11">
    <w:name w:val="Pa11"/>
    <w:basedOn w:val="Normal"/>
    <w:next w:val="Normal"/>
    <w:uiPriority w:val="99"/>
    <w:rsid w:val="009A701B"/>
    <w:pPr>
      <w:autoSpaceDE w:val="0"/>
      <w:autoSpaceDN w:val="0"/>
      <w:adjustRightInd w:val="0"/>
      <w:spacing w:before="0" w:after="0" w:line="321" w:lineRule="atLeast"/>
      <w:jc w:val="left"/>
    </w:pPr>
    <w:rPr>
      <w:rFonts w:ascii="TheSans B6 SemiBold" w:eastAsiaTheme="minorHAnsi" w:hAnsi="TheSans B6 SemiBold" w:cstheme="minorBidi"/>
      <w:sz w:val="24"/>
      <w:szCs w:val="24"/>
      <w:lang w:val="en-US" w:eastAsia="en-US"/>
    </w:rPr>
  </w:style>
  <w:style w:type="paragraph" w:customStyle="1" w:styleId="Pa22">
    <w:name w:val="Pa22"/>
    <w:basedOn w:val="Normal"/>
    <w:next w:val="Normal"/>
    <w:uiPriority w:val="99"/>
    <w:rsid w:val="009A701B"/>
    <w:pPr>
      <w:autoSpaceDE w:val="0"/>
      <w:autoSpaceDN w:val="0"/>
      <w:adjustRightInd w:val="0"/>
      <w:spacing w:before="0" w:after="0" w:line="221" w:lineRule="atLeast"/>
      <w:jc w:val="left"/>
    </w:pPr>
    <w:rPr>
      <w:rFonts w:ascii="TheSans B6 SemiBold" w:eastAsiaTheme="minorHAnsi" w:hAnsi="TheSans B6 SemiBold" w:cstheme="minorBidi"/>
      <w:sz w:val="24"/>
      <w:szCs w:val="24"/>
      <w:lang w:val="en-US" w:eastAsia="en-US"/>
    </w:rPr>
  </w:style>
  <w:style w:type="character" w:customStyle="1" w:styleId="A15">
    <w:name w:val="A15"/>
    <w:uiPriority w:val="99"/>
    <w:rsid w:val="00561F01"/>
    <w:rPr>
      <w:rFonts w:cs="TheSans B3 Light"/>
      <w:color w:val="221E1F"/>
      <w:sz w:val="20"/>
      <w:szCs w:val="20"/>
    </w:rPr>
  </w:style>
  <w:style w:type="paragraph" w:customStyle="1" w:styleId="WW-Default">
    <w:name w:val="WW-Default"/>
    <w:rsid w:val="00815E91"/>
    <w:pPr>
      <w:widowControl w:val="0"/>
      <w:suppressAutoHyphens/>
      <w:autoSpaceDE w:val="0"/>
    </w:pPr>
    <w:rPr>
      <w:rFonts w:ascii="Times New Roman" w:hAnsi="Times New Roman"/>
      <w:color w:val="000000"/>
      <w:sz w:val="24"/>
      <w:szCs w:val="24"/>
      <w:lang w:val="en-CA" w:eastAsia="ar-SA"/>
    </w:rPr>
  </w:style>
  <w:style w:type="paragraph" w:customStyle="1" w:styleId="yiv1566806162msonormal">
    <w:name w:val="yiv1566806162msonormal"/>
    <w:basedOn w:val="Normal"/>
    <w:rsid w:val="00873DED"/>
    <w:pPr>
      <w:spacing w:before="100" w:beforeAutospacing="1" w:after="100" w:afterAutospacing="1"/>
      <w:jc w:val="left"/>
    </w:pPr>
    <w:rPr>
      <w:rFonts w:ascii="Times New Roman" w:hAnsi="Times New Roman"/>
      <w:sz w:val="24"/>
      <w:szCs w:val="24"/>
      <w:lang w:val="en-US" w:eastAsia="en-US"/>
    </w:rPr>
  </w:style>
  <w:style w:type="paragraph" w:customStyle="1" w:styleId="TableParagraph">
    <w:name w:val="Table Paragraph"/>
    <w:basedOn w:val="Normal"/>
    <w:uiPriority w:val="1"/>
    <w:qFormat/>
    <w:rsid w:val="00B55FB1"/>
    <w:pPr>
      <w:widowControl w:val="0"/>
      <w:autoSpaceDE w:val="0"/>
      <w:autoSpaceDN w:val="0"/>
      <w:adjustRightInd w:val="0"/>
      <w:spacing w:before="0" w:after="0" w:line="240" w:lineRule="auto"/>
      <w:jc w:val="left"/>
    </w:pPr>
    <w:rPr>
      <w:rFonts w:ascii="Times New Roman" w:hAnsi="Times New Roman"/>
      <w:sz w:val="24"/>
      <w:szCs w:val="24"/>
    </w:rPr>
  </w:style>
  <w:style w:type="paragraph" w:customStyle="1" w:styleId="1209Bullets1">
    <w:name w:val="1209Bullets1"/>
    <w:basedOn w:val="ListParagraph"/>
    <w:link w:val="1209Bullets1Char"/>
    <w:qFormat/>
    <w:rsid w:val="00B55FB1"/>
    <w:pPr>
      <w:widowControl w:val="0"/>
      <w:numPr>
        <w:numId w:val="102"/>
      </w:numPr>
      <w:spacing w:after="0" w:line="240" w:lineRule="auto"/>
      <w:contextualSpacing w:val="0"/>
    </w:pPr>
    <w:rPr>
      <w:rFonts w:ascii="Arial" w:hAnsi="Arial" w:cs="Arial"/>
      <w:sz w:val="24"/>
      <w:szCs w:val="20"/>
      <w:lang w:eastAsia="fr-BE"/>
    </w:rPr>
  </w:style>
  <w:style w:type="paragraph" w:customStyle="1" w:styleId="1209Bullets2">
    <w:name w:val="1209Bullets2"/>
    <w:basedOn w:val="Normal"/>
    <w:qFormat/>
    <w:rsid w:val="00B55FB1"/>
    <w:pPr>
      <w:widowControl w:val="0"/>
      <w:numPr>
        <w:ilvl w:val="1"/>
        <w:numId w:val="102"/>
      </w:numPr>
      <w:tabs>
        <w:tab w:val="clear" w:pos="1440"/>
        <w:tab w:val="num" w:pos="1843"/>
      </w:tabs>
      <w:spacing w:before="60" w:after="0" w:line="240" w:lineRule="auto"/>
      <w:ind w:left="2127" w:hanging="357"/>
    </w:pPr>
    <w:rPr>
      <w:rFonts w:ascii="Arial" w:hAnsi="Arial" w:cs="Arial"/>
      <w:color w:val="000000"/>
      <w:sz w:val="24"/>
      <w:szCs w:val="24"/>
      <w:lang w:val="mk-MK" w:eastAsia="fr-BE"/>
    </w:rPr>
  </w:style>
  <w:style w:type="character" w:customStyle="1" w:styleId="1209Bullets1Char">
    <w:name w:val="1209Bullets1 Char"/>
    <w:link w:val="1209Bullets1"/>
    <w:rsid w:val="00B55FB1"/>
    <w:rPr>
      <w:rFonts w:ascii="Arial" w:hAnsi="Arial" w:cs="Arial"/>
      <w:sz w:val="24"/>
      <w:lang w:val="en-GB" w:eastAsia="fr-BE"/>
    </w:rPr>
  </w:style>
  <w:style w:type="paragraph" w:customStyle="1" w:styleId="1209Bullets3">
    <w:name w:val="1209Bullets3"/>
    <w:basedOn w:val="Normal"/>
    <w:qFormat/>
    <w:rsid w:val="00B55FB1"/>
    <w:pPr>
      <w:widowControl w:val="0"/>
      <w:numPr>
        <w:ilvl w:val="2"/>
        <w:numId w:val="102"/>
      </w:numPr>
      <w:tabs>
        <w:tab w:val="clear" w:pos="2160"/>
        <w:tab w:val="num" w:pos="360"/>
        <w:tab w:val="num" w:pos="1980"/>
      </w:tabs>
      <w:spacing w:before="0" w:after="0"/>
      <w:ind w:left="1980" w:firstLine="0"/>
    </w:pPr>
    <w:rPr>
      <w:rFonts w:ascii="Arial" w:hAnsi="Arial" w:cs="Arial"/>
      <w:sz w:val="20"/>
      <w:szCs w:val="20"/>
      <w:lang w:eastAsia="fr-BE"/>
    </w:rPr>
  </w:style>
  <w:style w:type="paragraph" w:customStyle="1" w:styleId="1209Heading3">
    <w:name w:val="1209Heading3"/>
    <w:basedOn w:val="Heading2"/>
    <w:link w:val="1209Heading3Char"/>
    <w:qFormat/>
    <w:rsid w:val="00B55FB1"/>
    <w:pPr>
      <w:keepNext w:val="0"/>
      <w:widowControl w:val="0"/>
      <w:numPr>
        <w:ilvl w:val="0"/>
        <w:numId w:val="0"/>
      </w:numPr>
      <w:spacing w:before="240" w:after="0"/>
      <w:ind w:right="6"/>
    </w:pPr>
    <w:rPr>
      <w:rFonts w:ascii="Arial" w:eastAsia="Calibri" w:hAnsi="Arial" w:cs="Arial"/>
      <w:bCs/>
      <w:iCs/>
      <w:color w:val="auto"/>
      <w:sz w:val="22"/>
      <w:szCs w:val="22"/>
      <w:lang w:eastAsia="el-GR"/>
    </w:rPr>
  </w:style>
  <w:style w:type="character" w:customStyle="1" w:styleId="1209Heading3Char">
    <w:name w:val="1209Heading3 Char"/>
    <w:link w:val="1209Heading3"/>
    <w:rsid w:val="00B55FB1"/>
    <w:rPr>
      <w:rFonts w:ascii="Arial" w:eastAsia="Calibri" w:hAnsi="Arial" w:cs="Arial"/>
      <w:b/>
      <w:bCs/>
      <w:iCs/>
      <w:sz w:val="22"/>
      <w:szCs w:val="22"/>
      <w:lang w:val="en-GB" w:eastAsia="el-GR"/>
    </w:rPr>
  </w:style>
  <w:style w:type="character" w:customStyle="1" w:styleId="st1">
    <w:name w:val="st1"/>
    <w:basedOn w:val="DefaultParagraphFont"/>
    <w:rsid w:val="001E0F4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781514">
      <w:bodyDiv w:val="1"/>
      <w:marLeft w:val="0"/>
      <w:marRight w:val="0"/>
      <w:marTop w:val="0"/>
      <w:marBottom w:val="0"/>
      <w:divBdr>
        <w:top w:val="none" w:sz="0" w:space="0" w:color="auto"/>
        <w:left w:val="none" w:sz="0" w:space="0" w:color="auto"/>
        <w:bottom w:val="none" w:sz="0" w:space="0" w:color="auto"/>
        <w:right w:val="none" w:sz="0" w:space="0" w:color="auto"/>
      </w:divBdr>
    </w:div>
    <w:div w:id="42944713">
      <w:bodyDiv w:val="1"/>
      <w:marLeft w:val="0"/>
      <w:marRight w:val="0"/>
      <w:marTop w:val="0"/>
      <w:marBottom w:val="0"/>
      <w:divBdr>
        <w:top w:val="none" w:sz="0" w:space="0" w:color="auto"/>
        <w:left w:val="none" w:sz="0" w:space="0" w:color="auto"/>
        <w:bottom w:val="none" w:sz="0" w:space="0" w:color="auto"/>
        <w:right w:val="none" w:sz="0" w:space="0" w:color="auto"/>
      </w:divBdr>
    </w:div>
    <w:div w:id="107358086">
      <w:bodyDiv w:val="1"/>
      <w:marLeft w:val="0"/>
      <w:marRight w:val="0"/>
      <w:marTop w:val="0"/>
      <w:marBottom w:val="0"/>
      <w:divBdr>
        <w:top w:val="none" w:sz="0" w:space="0" w:color="auto"/>
        <w:left w:val="none" w:sz="0" w:space="0" w:color="auto"/>
        <w:bottom w:val="none" w:sz="0" w:space="0" w:color="auto"/>
        <w:right w:val="none" w:sz="0" w:space="0" w:color="auto"/>
      </w:divBdr>
    </w:div>
    <w:div w:id="225073303">
      <w:bodyDiv w:val="1"/>
      <w:marLeft w:val="0"/>
      <w:marRight w:val="0"/>
      <w:marTop w:val="0"/>
      <w:marBottom w:val="0"/>
      <w:divBdr>
        <w:top w:val="none" w:sz="0" w:space="0" w:color="auto"/>
        <w:left w:val="none" w:sz="0" w:space="0" w:color="auto"/>
        <w:bottom w:val="none" w:sz="0" w:space="0" w:color="auto"/>
        <w:right w:val="none" w:sz="0" w:space="0" w:color="auto"/>
      </w:divBdr>
    </w:div>
    <w:div w:id="258299797">
      <w:bodyDiv w:val="1"/>
      <w:marLeft w:val="0"/>
      <w:marRight w:val="0"/>
      <w:marTop w:val="0"/>
      <w:marBottom w:val="0"/>
      <w:divBdr>
        <w:top w:val="none" w:sz="0" w:space="0" w:color="auto"/>
        <w:left w:val="none" w:sz="0" w:space="0" w:color="auto"/>
        <w:bottom w:val="none" w:sz="0" w:space="0" w:color="auto"/>
        <w:right w:val="none" w:sz="0" w:space="0" w:color="auto"/>
      </w:divBdr>
    </w:div>
    <w:div w:id="278225866">
      <w:bodyDiv w:val="1"/>
      <w:marLeft w:val="0"/>
      <w:marRight w:val="0"/>
      <w:marTop w:val="0"/>
      <w:marBottom w:val="0"/>
      <w:divBdr>
        <w:top w:val="none" w:sz="0" w:space="0" w:color="auto"/>
        <w:left w:val="none" w:sz="0" w:space="0" w:color="auto"/>
        <w:bottom w:val="none" w:sz="0" w:space="0" w:color="auto"/>
        <w:right w:val="none" w:sz="0" w:space="0" w:color="auto"/>
      </w:divBdr>
    </w:div>
    <w:div w:id="295570216">
      <w:bodyDiv w:val="1"/>
      <w:marLeft w:val="0"/>
      <w:marRight w:val="0"/>
      <w:marTop w:val="0"/>
      <w:marBottom w:val="0"/>
      <w:divBdr>
        <w:top w:val="none" w:sz="0" w:space="0" w:color="auto"/>
        <w:left w:val="none" w:sz="0" w:space="0" w:color="auto"/>
        <w:bottom w:val="none" w:sz="0" w:space="0" w:color="auto"/>
        <w:right w:val="none" w:sz="0" w:space="0" w:color="auto"/>
      </w:divBdr>
    </w:div>
    <w:div w:id="354505830">
      <w:bodyDiv w:val="1"/>
      <w:marLeft w:val="0"/>
      <w:marRight w:val="0"/>
      <w:marTop w:val="0"/>
      <w:marBottom w:val="0"/>
      <w:divBdr>
        <w:top w:val="none" w:sz="0" w:space="0" w:color="auto"/>
        <w:left w:val="none" w:sz="0" w:space="0" w:color="auto"/>
        <w:bottom w:val="none" w:sz="0" w:space="0" w:color="auto"/>
        <w:right w:val="none" w:sz="0" w:space="0" w:color="auto"/>
      </w:divBdr>
    </w:div>
    <w:div w:id="434908622">
      <w:bodyDiv w:val="1"/>
      <w:marLeft w:val="0"/>
      <w:marRight w:val="0"/>
      <w:marTop w:val="0"/>
      <w:marBottom w:val="0"/>
      <w:divBdr>
        <w:top w:val="none" w:sz="0" w:space="0" w:color="auto"/>
        <w:left w:val="none" w:sz="0" w:space="0" w:color="auto"/>
        <w:bottom w:val="none" w:sz="0" w:space="0" w:color="auto"/>
        <w:right w:val="none" w:sz="0" w:space="0" w:color="auto"/>
      </w:divBdr>
    </w:div>
    <w:div w:id="452361424">
      <w:bodyDiv w:val="1"/>
      <w:marLeft w:val="0"/>
      <w:marRight w:val="0"/>
      <w:marTop w:val="0"/>
      <w:marBottom w:val="0"/>
      <w:divBdr>
        <w:top w:val="none" w:sz="0" w:space="0" w:color="auto"/>
        <w:left w:val="none" w:sz="0" w:space="0" w:color="auto"/>
        <w:bottom w:val="none" w:sz="0" w:space="0" w:color="auto"/>
        <w:right w:val="none" w:sz="0" w:space="0" w:color="auto"/>
      </w:divBdr>
    </w:div>
    <w:div w:id="486017121">
      <w:bodyDiv w:val="1"/>
      <w:marLeft w:val="0"/>
      <w:marRight w:val="0"/>
      <w:marTop w:val="0"/>
      <w:marBottom w:val="0"/>
      <w:divBdr>
        <w:top w:val="none" w:sz="0" w:space="0" w:color="auto"/>
        <w:left w:val="none" w:sz="0" w:space="0" w:color="auto"/>
        <w:bottom w:val="none" w:sz="0" w:space="0" w:color="auto"/>
        <w:right w:val="none" w:sz="0" w:space="0" w:color="auto"/>
      </w:divBdr>
    </w:div>
    <w:div w:id="509804773">
      <w:bodyDiv w:val="1"/>
      <w:marLeft w:val="0"/>
      <w:marRight w:val="0"/>
      <w:marTop w:val="0"/>
      <w:marBottom w:val="0"/>
      <w:divBdr>
        <w:top w:val="none" w:sz="0" w:space="0" w:color="auto"/>
        <w:left w:val="none" w:sz="0" w:space="0" w:color="auto"/>
        <w:bottom w:val="none" w:sz="0" w:space="0" w:color="auto"/>
        <w:right w:val="none" w:sz="0" w:space="0" w:color="auto"/>
      </w:divBdr>
    </w:div>
    <w:div w:id="648826104">
      <w:bodyDiv w:val="1"/>
      <w:marLeft w:val="0"/>
      <w:marRight w:val="0"/>
      <w:marTop w:val="0"/>
      <w:marBottom w:val="0"/>
      <w:divBdr>
        <w:top w:val="none" w:sz="0" w:space="0" w:color="auto"/>
        <w:left w:val="none" w:sz="0" w:space="0" w:color="auto"/>
        <w:bottom w:val="none" w:sz="0" w:space="0" w:color="auto"/>
        <w:right w:val="none" w:sz="0" w:space="0" w:color="auto"/>
      </w:divBdr>
    </w:div>
    <w:div w:id="733045370">
      <w:bodyDiv w:val="1"/>
      <w:marLeft w:val="0"/>
      <w:marRight w:val="0"/>
      <w:marTop w:val="0"/>
      <w:marBottom w:val="0"/>
      <w:divBdr>
        <w:top w:val="none" w:sz="0" w:space="0" w:color="auto"/>
        <w:left w:val="none" w:sz="0" w:space="0" w:color="auto"/>
        <w:bottom w:val="none" w:sz="0" w:space="0" w:color="auto"/>
        <w:right w:val="none" w:sz="0" w:space="0" w:color="auto"/>
      </w:divBdr>
    </w:div>
    <w:div w:id="751971439">
      <w:bodyDiv w:val="1"/>
      <w:marLeft w:val="0"/>
      <w:marRight w:val="0"/>
      <w:marTop w:val="0"/>
      <w:marBottom w:val="0"/>
      <w:divBdr>
        <w:top w:val="none" w:sz="0" w:space="0" w:color="auto"/>
        <w:left w:val="none" w:sz="0" w:space="0" w:color="auto"/>
        <w:bottom w:val="none" w:sz="0" w:space="0" w:color="auto"/>
        <w:right w:val="none" w:sz="0" w:space="0" w:color="auto"/>
      </w:divBdr>
    </w:div>
    <w:div w:id="777605273">
      <w:bodyDiv w:val="1"/>
      <w:marLeft w:val="0"/>
      <w:marRight w:val="0"/>
      <w:marTop w:val="0"/>
      <w:marBottom w:val="0"/>
      <w:divBdr>
        <w:top w:val="none" w:sz="0" w:space="0" w:color="auto"/>
        <w:left w:val="none" w:sz="0" w:space="0" w:color="auto"/>
        <w:bottom w:val="none" w:sz="0" w:space="0" w:color="auto"/>
        <w:right w:val="none" w:sz="0" w:space="0" w:color="auto"/>
      </w:divBdr>
    </w:div>
    <w:div w:id="788595129">
      <w:bodyDiv w:val="1"/>
      <w:marLeft w:val="0"/>
      <w:marRight w:val="0"/>
      <w:marTop w:val="0"/>
      <w:marBottom w:val="0"/>
      <w:divBdr>
        <w:top w:val="none" w:sz="0" w:space="0" w:color="auto"/>
        <w:left w:val="none" w:sz="0" w:space="0" w:color="auto"/>
        <w:bottom w:val="none" w:sz="0" w:space="0" w:color="auto"/>
        <w:right w:val="none" w:sz="0" w:space="0" w:color="auto"/>
      </w:divBdr>
    </w:div>
    <w:div w:id="864562315">
      <w:bodyDiv w:val="1"/>
      <w:marLeft w:val="0"/>
      <w:marRight w:val="0"/>
      <w:marTop w:val="0"/>
      <w:marBottom w:val="0"/>
      <w:divBdr>
        <w:top w:val="none" w:sz="0" w:space="0" w:color="auto"/>
        <w:left w:val="none" w:sz="0" w:space="0" w:color="auto"/>
        <w:bottom w:val="none" w:sz="0" w:space="0" w:color="auto"/>
        <w:right w:val="none" w:sz="0" w:space="0" w:color="auto"/>
      </w:divBdr>
    </w:div>
    <w:div w:id="892690300">
      <w:bodyDiv w:val="1"/>
      <w:marLeft w:val="0"/>
      <w:marRight w:val="0"/>
      <w:marTop w:val="0"/>
      <w:marBottom w:val="0"/>
      <w:divBdr>
        <w:top w:val="none" w:sz="0" w:space="0" w:color="auto"/>
        <w:left w:val="none" w:sz="0" w:space="0" w:color="auto"/>
        <w:bottom w:val="none" w:sz="0" w:space="0" w:color="auto"/>
        <w:right w:val="none" w:sz="0" w:space="0" w:color="auto"/>
      </w:divBdr>
      <w:divsChild>
        <w:div w:id="1843667118">
          <w:marLeft w:val="0"/>
          <w:marRight w:val="0"/>
          <w:marTop w:val="0"/>
          <w:marBottom w:val="0"/>
          <w:divBdr>
            <w:top w:val="none" w:sz="0" w:space="0" w:color="auto"/>
            <w:left w:val="none" w:sz="0" w:space="0" w:color="auto"/>
            <w:bottom w:val="none" w:sz="0" w:space="0" w:color="auto"/>
            <w:right w:val="none" w:sz="0" w:space="0" w:color="auto"/>
          </w:divBdr>
          <w:divsChild>
            <w:div w:id="756177492">
              <w:marLeft w:val="0"/>
              <w:marRight w:val="0"/>
              <w:marTop w:val="0"/>
              <w:marBottom w:val="0"/>
              <w:divBdr>
                <w:top w:val="none" w:sz="0" w:space="0" w:color="auto"/>
                <w:left w:val="none" w:sz="0" w:space="0" w:color="auto"/>
                <w:bottom w:val="none" w:sz="0" w:space="0" w:color="auto"/>
                <w:right w:val="none" w:sz="0" w:space="0" w:color="auto"/>
              </w:divBdr>
              <w:divsChild>
                <w:div w:id="1850828728">
                  <w:marLeft w:val="0"/>
                  <w:marRight w:val="0"/>
                  <w:marTop w:val="0"/>
                  <w:marBottom w:val="0"/>
                  <w:divBdr>
                    <w:top w:val="none" w:sz="0" w:space="0" w:color="auto"/>
                    <w:left w:val="none" w:sz="0" w:space="0" w:color="auto"/>
                    <w:bottom w:val="none" w:sz="0" w:space="0" w:color="auto"/>
                    <w:right w:val="none" w:sz="0" w:space="0" w:color="auto"/>
                  </w:divBdr>
                  <w:divsChild>
                    <w:div w:id="139929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8079451">
      <w:bodyDiv w:val="1"/>
      <w:marLeft w:val="0"/>
      <w:marRight w:val="0"/>
      <w:marTop w:val="0"/>
      <w:marBottom w:val="0"/>
      <w:divBdr>
        <w:top w:val="none" w:sz="0" w:space="0" w:color="auto"/>
        <w:left w:val="none" w:sz="0" w:space="0" w:color="auto"/>
        <w:bottom w:val="none" w:sz="0" w:space="0" w:color="auto"/>
        <w:right w:val="none" w:sz="0" w:space="0" w:color="auto"/>
      </w:divBdr>
    </w:div>
    <w:div w:id="915669822">
      <w:bodyDiv w:val="1"/>
      <w:marLeft w:val="0"/>
      <w:marRight w:val="0"/>
      <w:marTop w:val="0"/>
      <w:marBottom w:val="0"/>
      <w:divBdr>
        <w:top w:val="none" w:sz="0" w:space="0" w:color="auto"/>
        <w:left w:val="none" w:sz="0" w:space="0" w:color="auto"/>
        <w:bottom w:val="none" w:sz="0" w:space="0" w:color="auto"/>
        <w:right w:val="none" w:sz="0" w:space="0" w:color="auto"/>
      </w:divBdr>
    </w:div>
    <w:div w:id="925921158">
      <w:bodyDiv w:val="1"/>
      <w:marLeft w:val="0"/>
      <w:marRight w:val="0"/>
      <w:marTop w:val="0"/>
      <w:marBottom w:val="0"/>
      <w:divBdr>
        <w:top w:val="none" w:sz="0" w:space="0" w:color="auto"/>
        <w:left w:val="none" w:sz="0" w:space="0" w:color="auto"/>
        <w:bottom w:val="none" w:sz="0" w:space="0" w:color="auto"/>
        <w:right w:val="none" w:sz="0" w:space="0" w:color="auto"/>
      </w:divBdr>
    </w:div>
    <w:div w:id="926620933">
      <w:bodyDiv w:val="1"/>
      <w:marLeft w:val="0"/>
      <w:marRight w:val="0"/>
      <w:marTop w:val="0"/>
      <w:marBottom w:val="0"/>
      <w:divBdr>
        <w:top w:val="none" w:sz="0" w:space="0" w:color="auto"/>
        <w:left w:val="none" w:sz="0" w:space="0" w:color="auto"/>
        <w:bottom w:val="none" w:sz="0" w:space="0" w:color="auto"/>
        <w:right w:val="none" w:sz="0" w:space="0" w:color="auto"/>
      </w:divBdr>
      <w:divsChild>
        <w:div w:id="310643747">
          <w:marLeft w:val="0"/>
          <w:marRight w:val="0"/>
          <w:marTop w:val="0"/>
          <w:marBottom w:val="0"/>
          <w:divBdr>
            <w:top w:val="none" w:sz="0" w:space="0" w:color="auto"/>
            <w:left w:val="none" w:sz="0" w:space="0" w:color="auto"/>
            <w:bottom w:val="none" w:sz="0" w:space="0" w:color="auto"/>
            <w:right w:val="none" w:sz="0" w:space="0" w:color="auto"/>
          </w:divBdr>
        </w:div>
        <w:div w:id="311838332">
          <w:marLeft w:val="0"/>
          <w:marRight w:val="0"/>
          <w:marTop w:val="0"/>
          <w:marBottom w:val="0"/>
          <w:divBdr>
            <w:top w:val="none" w:sz="0" w:space="0" w:color="auto"/>
            <w:left w:val="none" w:sz="0" w:space="0" w:color="auto"/>
            <w:bottom w:val="none" w:sz="0" w:space="0" w:color="auto"/>
            <w:right w:val="none" w:sz="0" w:space="0" w:color="auto"/>
          </w:divBdr>
        </w:div>
      </w:divsChild>
    </w:div>
    <w:div w:id="974869751">
      <w:bodyDiv w:val="1"/>
      <w:marLeft w:val="0"/>
      <w:marRight w:val="0"/>
      <w:marTop w:val="0"/>
      <w:marBottom w:val="0"/>
      <w:divBdr>
        <w:top w:val="none" w:sz="0" w:space="0" w:color="auto"/>
        <w:left w:val="none" w:sz="0" w:space="0" w:color="auto"/>
        <w:bottom w:val="none" w:sz="0" w:space="0" w:color="auto"/>
        <w:right w:val="none" w:sz="0" w:space="0" w:color="auto"/>
      </w:divBdr>
    </w:div>
    <w:div w:id="976104604">
      <w:bodyDiv w:val="1"/>
      <w:marLeft w:val="0"/>
      <w:marRight w:val="0"/>
      <w:marTop w:val="0"/>
      <w:marBottom w:val="0"/>
      <w:divBdr>
        <w:top w:val="none" w:sz="0" w:space="0" w:color="auto"/>
        <w:left w:val="none" w:sz="0" w:space="0" w:color="auto"/>
        <w:bottom w:val="none" w:sz="0" w:space="0" w:color="auto"/>
        <w:right w:val="none" w:sz="0" w:space="0" w:color="auto"/>
      </w:divBdr>
    </w:div>
    <w:div w:id="990720880">
      <w:bodyDiv w:val="1"/>
      <w:marLeft w:val="0"/>
      <w:marRight w:val="0"/>
      <w:marTop w:val="0"/>
      <w:marBottom w:val="0"/>
      <w:divBdr>
        <w:top w:val="none" w:sz="0" w:space="0" w:color="auto"/>
        <w:left w:val="none" w:sz="0" w:space="0" w:color="auto"/>
        <w:bottom w:val="none" w:sz="0" w:space="0" w:color="auto"/>
        <w:right w:val="none" w:sz="0" w:space="0" w:color="auto"/>
      </w:divBdr>
    </w:div>
    <w:div w:id="992948937">
      <w:bodyDiv w:val="1"/>
      <w:marLeft w:val="0"/>
      <w:marRight w:val="0"/>
      <w:marTop w:val="0"/>
      <w:marBottom w:val="0"/>
      <w:divBdr>
        <w:top w:val="none" w:sz="0" w:space="0" w:color="auto"/>
        <w:left w:val="none" w:sz="0" w:space="0" w:color="auto"/>
        <w:bottom w:val="none" w:sz="0" w:space="0" w:color="auto"/>
        <w:right w:val="none" w:sz="0" w:space="0" w:color="auto"/>
      </w:divBdr>
    </w:div>
    <w:div w:id="1097366635">
      <w:bodyDiv w:val="1"/>
      <w:marLeft w:val="0"/>
      <w:marRight w:val="0"/>
      <w:marTop w:val="0"/>
      <w:marBottom w:val="0"/>
      <w:divBdr>
        <w:top w:val="none" w:sz="0" w:space="0" w:color="auto"/>
        <w:left w:val="none" w:sz="0" w:space="0" w:color="auto"/>
        <w:bottom w:val="none" w:sz="0" w:space="0" w:color="auto"/>
        <w:right w:val="none" w:sz="0" w:space="0" w:color="auto"/>
      </w:divBdr>
    </w:div>
    <w:div w:id="1117720133">
      <w:bodyDiv w:val="1"/>
      <w:marLeft w:val="0"/>
      <w:marRight w:val="0"/>
      <w:marTop w:val="0"/>
      <w:marBottom w:val="0"/>
      <w:divBdr>
        <w:top w:val="none" w:sz="0" w:space="0" w:color="auto"/>
        <w:left w:val="none" w:sz="0" w:space="0" w:color="auto"/>
        <w:bottom w:val="none" w:sz="0" w:space="0" w:color="auto"/>
        <w:right w:val="none" w:sz="0" w:space="0" w:color="auto"/>
      </w:divBdr>
    </w:div>
    <w:div w:id="1196233269">
      <w:bodyDiv w:val="1"/>
      <w:marLeft w:val="0"/>
      <w:marRight w:val="0"/>
      <w:marTop w:val="0"/>
      <w:marBottom w:val="0"/>
      <w:divBdr>
        <w:top w:val="none" w:sz="0" w:space="0" w:color="auto"/>
        <w:left w:val="none" w:sz="0" w:space="0" w:color="auto"/>
        <w:bottom w:val="none" w:sz="0" w:space="0" w:color="auto"/>
        <w:right w:val="none" w:sz="0" w:space="0" w:color="auto"/>
      </w:divBdr>
    </w:div>
    <w:div w:id="1228570545">
      <w:bodyDiv w:val="1"/>
      <w:marLeft w:val="0"/>
      <w:marRight w:val="0"/>
      <w:marTop w:val="0"/>
      <w:marBottom w:val="0"/>
      <w:divBdr>
        <w:top w:val="none" w:sz="0" w:space="0" w:color="auto"/>
        <w:left w:val="none" w:sz="0" w:space="0" w:color="auto"/>
        <w:bottom w:val="none" w:sz="0" w:space="0" w:color="auto"/>
        <w:right w:val="none" w:sz="0" w:space="0" w:color="auto"/>
      </w:divBdr>
      <w:divsChild>
        <w:div w:id="1740667709">
          <w:marLeft w:val="0"/>
          <w:marRight w:val="0"/>
          <w:marTop w:val="0"/>
          <w:marBottom w:val="0"/>
          <w:divBdr>
            <w:top w:val="none" w:sz="0" w:space="0" w:color="auto"/>
            <w:left w:val="none" w:sz="0" w:space="0" w:color="auto"/>
            <w:bottom w:val="none" w:sz="0" w:space="0" w:color="auto"/>
            <w:right w:val="none" w:sz="0" w:space="0" w:color="auto"/>
          </w:divBdr>
          <w:divsChild>
            <w:div w:id="383412651">
              <w:marLeft w:val="2250"/>
              <w:marRight w:val="3960"/>
              <w:marTop w:val="0"/>
              <w:marBottom w:val="0"/>
              <w:divBdr>
                <w:top w:val="none" w:sz="0" w:space="0" w:color="auto"/>
                <w:left w:val="none" w:sz="0" w:space="0" w:color="auto"/>
                <w:bottom w:val="none" w:sz="0" w:space="0" w:color="auto"/>
                <w:right w:val="none" w:sz="0" w:space="0" w:color="auto"/>
              </w:divBdr>
              <w:divsChild>
                <w:div w:id="262080361">
                  <w:marLeft w:val="0"/>
                  <w:marRight w:val="0"/>
                  <w:marTop w:val="0"/>
                  <w:marBottom w:val="0"/>
                  <w:divBdr>
                    <w:top w:val="none" w:sz="0" w:space="0" w:color="auto"/>
                    <w:left w:val="none" w:sz="0" w:space="0" w:color="auto"/>
                    <w:bottom w:val="none" w:sz="0" w:space="0" w:color="auto"/>
                    <w:right w:val="none" w:sz="0" w:space="0" w:color="auto"/>
                  </w:divBdr>
                  <w:divsChild>
                    <w:div w:id="82726935">
                      <w:marLeft w:val="0"/>
                      <w:marRight w:val="0"/>
                      <w:marTop w:val="0"/>
                      <w:marBottom w:val="0"/>
                      <w:divBdr>
                        <w:top w:val="none" w:sz="0" w:space="0" w:color="auto"/>
                        <w:left w:val="none" w:sz="0" w:space="0" w:color="auto"/>
                        <w:bottom w:val="none" w:sz="0" w:space="0" w:color="auto"/>
                        <w:right w:val="none" w:sz="0" w:space="0" w:color="auto"/>
                      </w:divBdr>
                      <w:divsChild>
                        <w:div w:id="548341951">
                          <w:marLeft w:val="0"/>
                          <w:marRight w:val="0"/>
                          <w:marTop w:val="0"/>
                          <w:marBottom w:val="0"/>
                          <w:divBdr>
                            <w:top w:val="none" w:sz="0" w:space="0" w:color="auto"/>
                            <w:left w:val="none" w:sz="0" w:space="0" w:color="auto"/>
                            <w:bottom w:val="none" w:sz="0" w:space="0" w:color="auto"/>
                            <w:right w:val="none" w:sz="0" w:space="0" w:color="auto"/>
                          </w:divBdr>
                          <w:divsChild>
                            <w:div w:id="417021680">
                              <w:marLeft w:val="0"/>
                              <w:marRight w:val="0"/>
                              <w:marTop w:val="0"/>
                              <w:marBottom w:val="420"/>
                              <w:divBdr>
                                <w:top w:val="none" w:sz="0" w:space="0" w:color="auto"/>
                                <w:left w:val="none" w:sz="0" w:space="0" w:color="auto"/>
                                <w:bottom w:val="none" w:sz="0" w:space="0" w:color="auto"/>
                                <w:right w:val="none" w:sz="0" w:space="0" w:color="auto"/>
                              </w:divBdr>
                              <w:divsChild>
                                <w:div w:id="239828071">
                                  <w:marLeft w:val="0"/>
                                  <w:marRight w:val="0"/>
                                  <w:marTop w:val="0"/>
                                  <w:marBottom w:val="0"/>
                                  <w:divBdr>
                                    <w:top w:val="none" w:sz="0" w:space="0" w:color="auto"/>
                                    <w:left w:val="none" w:sz="0" w:space="0" w:color="auto"/>
                                    <w:bottom w:val="none" w:sz="0" w:space="0" w:color="auto"/>
                                    <w:right w:val="none" w:sz="0" w:space="0" w:color="auto"/>
                                  </w:divBdr>
                                  <w:divsChild>
                                    <w:div w:id="289748682">
                                      <w:marLeft w:val="0"/>
                                      <w:marRight w:val="0"/>
                                      <w:marTop w:val="0"/>
                                      <w:marBottom w:val="0"/>
                                      <w:divBdr>
                                        <w:top w:val="none" w:sz="0" w:space="0" w:color="auto"/>
                                        <w:left w:val="none" w:sz="0" w:space="0" w:color="auto"/>
                                        <w:bottom w:val="none" w:sz="0" w:space="0" w:color="auto"/>
                                        <w:right w:val="none" w:sz="0" w:space="0" w:color="auto"/>
                                      </w:divBdr>
                                    </w:div>
                                    <w:div w:id="522061224">
                                      <w:marLeft w:val="0"/>
                                      <w:marRight w:val="0"/>
                                      <w:marTop w:val="0"/>
                                      <w:marBottom w:val="0"/>
                                      <w:divBdr>
                                        <w:top w:val="none" w:sz="0" w:space="0" w:color="auto"/>
                                        <w:left w:val="none" w:sz="0" w:space="0" w:color="auto"/>
                                        <w:bottom w:val="none" w:sz="0" w:space="0" w:color="auto"/>
                                        <w:right w:val="none" w:sz="0" w:space="0" w:color="auto"/>
                                      </w:divBdr>
                                    </w:div>
                                  </w:divsChild>
                                </w:div>
                                <w:div w:id="577057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65719811">
                  <w:marLeft w:val="0"/>
                  <w:marRight w:val="0"/>
                  <w:marTop w:val="0"/>
                  <w:marBottom w:val="0"/>
                  <w:divBdr>
                    <w:top w:val="none" w:sz="0" w:space="0" w:color="auto"/>
                    <w:left w:val="none" w:sz="0" w:space="0" w:color="auto"/>
                    <w:bottom w:val="none" w:sz="0" w:space="0" w:color="auto"/>
                    <w:right w:val="none" w:sz="0" w:space="0" w:color="auto"/>
                  </w:divBdr>
                  <w:divsChild>
                    <w:div w:id="126779074">
                      <w:marLeft w:val="0"/>
                      <w:marRight w:val="0"/>
                      <w:marTop w:val="0"/>
                      <w:marBottom w:val="0"/>
                      <w:divBdr>
                        <w:top w:val="none" w:sz="0" w:space="0" w:color="auto"/>
                        <w:left w:val="none" w:sz="0" w:space="0" w:color="auto"/>
                        <w:bottom w:val="none" w:sz="0" w:space="0" w:color="auto"/>
                        <w:right w:val="none" w:sz="0" w:space="0" w:color="auto"/>
                      </w:divBdr>
                      <w:divsChild>
                        <w:div w:id="1256792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8065674">
                  <w:marLeft w:val="0"/>
                  <w:marRight w:val="0"/>
                  <w:marTop w:val="0"/>
                  <w:marBottom w:val="0"/>
                  <w:divBdr>
                    <w:top w:val="none" w:sz="0" w:space="0" w:color="auto"/>
                    <w:left w:val="none" w:sz="0" w:space="0" w:color="auto"/>
                    <w:bottom w:val="none" w:sz="0" w:space="0" w:color="auto"/>
                    <w:right w:val="none" w:sz="0" w:space="0" w:color="auto"/>
                  </w:divBdr>
                  <w:divsChild>
                    <w:div w:id="815341833">
                      <w:marLeft w:val="0"/>
                      <w:marRight w:val="0"/>
                      <w:marTop w:val="0"/>
                      <w:marBottom w:val="0"/>
                      <w:divBdr>
                        <w:top w:val="none" w:sz="0" w:space="0" w:color="auto"/>
                        <w:left w:val="none" w:sz="0" w:space="0" w:color="auto"/>
                        <w:bottom w:val="none" w:sz="0" w:space="0" w:color="auto"/>
                        <w:right w:val="none" w:sz="0" w:space="0" w:color="auto"/>
                      </w:divBdr>
                      <w:divsChild>
                        <w:div w:id="1916628854">
                          <w:marLeft w:val="0"/>
                          <w:marRight w:val="0"/>
                          <w:marTop w:val="0"/>
                          <w:marBottom w:val="0"/>
                          <w:divBdr>
                            <w:top w:val="none" w:sz="0" w:space="0" w:color="auto"/>
                            <w:left w:val="none" w:sz="0" w:space="0" w:color="auto"/>
                            <w:bottom w:val="none" w:sz="0" w:space="0" w:color="auto"/>
                            <w:right w:val="none" w:sz="0" w:space="0" w:color="auto"/>
                          </w:divBdr>
                          <w:divsChild>
                            <w:div w:id="461382938">
                              <w:marLeft w:val="0"/>
                              <w:marRight w:val="0"/>
                              <w:marTop w:val="90"/>
                              <w:marBottom w:val="0"/>
                              <w:divBdr>
                                <w:top w:val="none" w:sz="0" w:space="0" w:color="auto"/>
                                <w:left w:val="none" w:sz="0" w:space="0" w:color="auto"/>
                                <w:bottom w:val="none" w:sz="0" w:space="0" w:color="auto"/>
                                <w:right w:val="none" w:sz="0" w:space="0" w:color="auto"/>
                              </w:divBdr>
                              <w:divsChild>
                                <w:div w:id="359624348">
                                  <w:marLeft w:val="0"/>
                                  <w:marRight w:val="0"/>
                                  <w:marTop w:val="0"/>
                                  <w:marBottom w:val="0"/>
                                  <w:divBdr>
                                    <w:top w:val="none" w:sz="0" w:space="0" w:color="auto"/>
                                    <w:left w:val="none" w:sz="0" w:space="0" w:color="auto"/>
                                    <w:bottom w:val="none" w:sz="0" w:space="0" w:color="auto"/>
                                    <w:right w:val="none" w:sz="0" w:space="0" w:color="auto"/>
                                  </w:divBdr>
                                  <w:divsChild>
                                    <w:div w:id="1039548558">
                                      <w:marLeft w:val="0"/>
                                      <w:marRight w:val="0"/>
                                      <w:marTop w:val="0"/>
                                      <w:marBottom w:val="405"/>
                                      <w:divBdr>
                                        <w:top w:val="none" w:sz="0" w:space="0" w:color="auto"/>
                                        <w:left w:val="none" w:sz="0" w:space="0" w:color="auto"/>
                                        <w:bottom w:val="none" w:sz="0" w:space="0" w:color="auto"/>
                                        <w:right w:val="none" w:sz="0" w:space="0" w:color="auto"/>
                                      </w:divBdr>
                                      <w:divsChild>
                                        <w:div w:id="939530310">
                                          <w:marLeft w:val="0"/>
                                          <w:marRight w:val="0"/>
                                          <w:marTop w:val="0"/>
                                          <w:marBottom w:val="0"/>
                                          <w:divBdr>
                                            <w:top w:val="none" w:sz="0" w:space="0" w:color="auto"/>
                                            <w:left w:val="none" w:sz="0" w:space="0" w:color="auto"/>
                                            <w:bottom w:val="none" w:sz="0" w:space="0" w:color="auto"/>
                                            <w:right w:val="none" w:sz="0" w:space="0" w:color="auto"/>
                                          </w:divBdr>
                                          <w:divsChild>
                                            <w:div w:id="758528100">
                                              <w:marLeft w:val="-240"/>
                                              <w:marRight w:val="-240"/>
                                              <w:marTop w:val="0"/>
                                              <w:marBottom w:val="0"/>
                                              <w:divBdr>
                                                <w:top w:val="single" w:sz="6" w:space="0" w:color="DFE1E5"/>
                                                <w:left w:val="single" w:sz="6" w:space="0" w:color="DFE1E5"/>
                                                <w:bottom w:val="single" w:sz="6" w:space="0" w:color="DFE1E5"/>
                                                <w:right w:val="single" w:sz="6" w:space="0" w:color="DFE1E5"/>
                                              </w:divBdr>
                                              <w:divsChild>
                                                <w:div w:id="1750350203">
                                                  <w:marLeft w:val="0"/>
                                                  <w:marRight w:val="0"/>
                                                  <w:marTop w:val="0"/>
                                                  <w:marBottom w:val="0"/>
                                                  <w:divBdr>
                                                    <w:top w:val="none" w:sz="0" w:space="0" w:color="auto"/>
                                                    <w:left w:val="none" w:sz="0" w:space="0" w:color="auto"/>
                                                    <w:bottom w:val="none" w:sz="0" w:space="0" w:color="auto"/>
                                                    <w:right w:val="none" w:sz="0" w:space="0" w:color="auto"/>
                                                  </w:divBdr>
                                                  <w:divsChild>
                                                    <w:div w:id="77991152">
                                                      <w:marLeft w:val="0"/>
                                                      <w:marRight w:val="0"/>
                                                      <w:marTop w:val="0"/>
                                                      <w:marBottom w:val="0"/>
                                                      <w:divBdr>
                                                        <w:top w:val="none" w:sz="0" w:space="0" w:color="auto"/>
                                                        <w:left w:val="none" w:sz="0" w:space="0" w:color="auto"/>
                                                        <w:bottom w:val="none" w:sz="0" w:space="0" w:color="auto"/>
                                                        <w:right w:val="none" w:sz="0" w:space="0" w:color="auto"/>
                                                      </w:divBdr>
                                                      <w:divsChild>
                                                        <w:div w:id="797145680">
                                                          <w:marLeft w:val="0"/>
                                                          <w:marRight w:val="0"/>
                                                          <w:marTop w:val="0"/>
                                                          <w:marBottom w:val="0"/>
                                                          <w:divBdr>
                                                            <w:top w:val="none" w:sz="0" w:space="0" w:color="auto"/>
                                                            <w:left w:val="none" w:sz="0" w:space="0" w:color="auto"/>
                                                            <w:bottom w:val="none" w:sz="0" w:space="0" w:color="auto"/>
                                                            <w:right w:val="none" w:sz="0" w:space="0" w:color="auto"/>
                                                          </w:divBdr>
                                                          <w:divsChild>
                                                            <w:div w:id="214243421">
                                                              <w:marLeft w:val="0"/>
                                                              <w:marRight w:val="0"/>
                                                              <w:marTop w:val="0"/>
                                                              <w:marBottom w:val="0"/>
                                                              <w:divBdr>
                                                                <w:top w:val="none" w:sz="0" w:space="0" w:color="auto"/>
                                                                <w:left w:val="none" w:sz="0" w:space="0" w:color="auto"/>
                                                                <w:bottom w:val="none" w:sz="0" w:space="0" w:color="auto"/>
                                                                <w:right w:val="none" w:sz="0" w:space="0" w:color="auto"/>
                                                              </w:divBdr>
                                                              <w:divsChild>
                                                                <w:div w:id="502012069">
                                                                  <w:marLeft w:val="-240"/>
                                                                  <w:marRight w:val="-240"/>
                                                                  <w:marTop w:val="0"/>
                                                                  <w:marBottom w:val="0"/>
                                                                  <w:divBdr>
                                                                    <w:top w:val="none" w:sz="0" w:space="0" w:color="auto"/>
                                                                    <w:left w:val="none" w:sz="0" w:space="0" w:color="auto"/>
                                                                    <w:bottom w:val="none" w:sz="0" w:space="0" w:color="auto"/>
                                                                    <w:right w:val="none" w:sz="0" w:space="0" w:color="auto"/>
                                                                  </w:divBdr>
                                                                  <w:divsChild>
                                                                    <w:div w:id="1683895998">
                                                                      <w:marLeft w:val="0"/>
                                                                      <w:marRight w:val="0"/>
                                                                      <w:marTop w:val="0"/>
                                                                      <w:marBottom w:val="0"/>
                                                                      <w:divBdr>
                                                                        <w:top w:val="none" w:sz="0" w:space="0" w:color="auto"/>
                                                                        <w:left w:val="none" w:sz="0" w:space="0" w:color="auto"/>
                                                                        <w:bottom w:val="none" w:sz="0" w:space="0" w:color="auto"/>
                                                                        <w:right w:val="none" w:sz="0" w:space="0" w:color="auto"/>
                                                                      </w:divBdr>
                                                                      <w:divsChild>
                                                                        <w:div w:id="104097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573075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8423832">
                                  <w:marLeft w:val="0"/>
                                  <w:marRight w:val="0"/>
                                  <w:marTop w:val="0"/>
                                  <w:marBottom w:val="0"/>
                                  <w:divBdr>
                                    <w:top w:val="none" w:sz="0" w:space="0" w:color="auto"/>
                                    <w:left w:val="none" w:sz="0" w:space="0" w:color="auto"/>
                                    <w:bottom w:val="none" w:sz="0" w:space="0" w:color="auto"/>
                                    <w:right w:val="none" w:sz="0" w:space="0" w:color="auto"/>
                                  </w:divBdr>
                                  <w:divsChild>
                                    <w:div w:id="403601006">
                                      <w:marLeft w:val="0"/>
                                      <w:marRight w:val="0"/>
                                      <w:marTop w:val="0"/>
                                      <w:marBottom w:val="0"/>
                                      <w:divBdr>
                                        <w:top w:val="none" w:sz="0" w:space="0" w:color="auto"/>
                                        <w:left w:val="none" w:sz="0" w:space="0" w:color="auto"/>
                                        <w:bottom w:val="none" w:sz="0" w:space="0" w:color="auto"/>
                                        <w:right w:val="none" w:sz="0" w:space="0" w:color="auto"/>
                                      </w:divBdr>
                                      <w:divsChild>
                                        <w:div w:id="113181806">
                                          <w:marLeft w:val="0"/>
                                          <w:marRight w:val="0"/>
                                          <w:marTop w:val="0"/>
                                          <w:marBottom w:val="0"/>
                                          <w:divBdr>
                                            <w:top w:val="none" w:sz="0" w:space="0" w:color="auto"/>
                                            <w:left w:val="none" w:sz="0" w:space="0" w:color="auto"/>
                                            <w:bottom w:val="none" w:sz="0" w:space="0" w:color="auto"/>
                                            <w:right w:val="none" w:sz="0" w:space="0" w:color="auto"/>
                                          </w:divBdr>
                                        </w:div>
                                        <w:div w:id="409812370">
                                          <w:marLeft w:val="0"/>
                                          <w:marRight w:val="0"/>
                                          <w:marTop w:val="0"/>
                                          <w:marBottom w:val="0"/>
                                          <w:divBdr>
                                            <w:top w:val="none" w:sz="0" w:space="0" w:color="auto"/>
                                            <w:left w:val="none" w:sz="0" w:space="0" w:color="auto"/>
                                            <w:bottom w:val="none" w:sz="0" w:space="0" w:color="auto"/>
                                            <w:right w:val="none" w:sz="0" w:space="0" w:color="auto"/>
                                          </w:divBdr>
                                          <w:divsChild>
                                            <w:div w:id="1458984183">
                                              <w:marLeft w:val="0"/>
                                              <w:marRight w:val="0"/>
                                              <w:marTop w:val="0"/>
                                              <w:marBottom w:val="0"/>
                                              <w:divBdr>
                                                <w:top w:val="none" w:sz="0" w:space="0" w:color="auto"/>
                                                <w:left w:val="none" w:sz="0" w:space="0" w:color="auto"/>
                                                <w:bottom w:val="none" w:sz="0" w:space="0" w:color="auto"/>
                                                <w:right w:val="none" w:sz="0" w:space="0" w:color="auto"/>
                                              </w:divBdr>
                                              <w:divsChild>
                                                <w:div w:id="1128469888">
                                                  <w:marLeft w:val="0"/>
                                                  <w:marRight w:val="0"/>
                                                  <w:marTop w:val="0"/>
                                                  <w:marBottom w:val="0"/>
                                                  <w:divBdr>
                                                    <w:top w:val="none" w:sz="0" w:space="0" w:color="auto"/>
                                                    <w:left w:val="none" w:sz="0" w:space="0" w:color="auto"/>
                                                    <w:bottom w:val="none" w:sz="0" w:space="0" w:color="auto"/>
                                                    <w:right w:val="none" w:sz="0" w:space="0" w:color="auto"/>
                                                  </w:divBdr>
                                                  <w:divsChild>
                                                    <w:div w:id="1197890234">
                                                      <w:marLeft w:val="0"/>
                                                      <w:marRight w:val="0"/>
                                                      <w:marTop w:val="0"/>
                                                      <w:marBottom w:val="0"/>
                                                      <w:divBdr>
                                                        <w:top w:val="none" w:sz="0" w:space="0" w:color="auto"/>
                                                        <w:left w:val="none" w:sz="0" w:space="0" w:color="auto"/>
                                                        <w:bottom w:val="none" w:sz="0" w:space="0" w:color="auto"/>
                                                        <w:right w:val="none" w:sz="0" w:space="0" w:color="auto"/>
                                                      </w:divBdr>
                                                      <w:divsChild>
                                                        <w:div w:id="142233943">
                                                          <w:marLeft w:val="0"/>
                                                          <w:marRight w:val="0"/>
                                                          <w:marTop w:val="0"/>
                                                          <w:marBottom w:val="0"/>
                                                          <w:divBdr>
                                                            <w:top w:val="none" w:sz="0" w:space="0" w:color="auto"/>
                                                            <w:left w:val="none" w:sz="0" w:space="0" w:color="auto"/>
                                                            <w:bottom w:val="none" w:sz="0" w:space="0" w:color="auto"/>
                                                            <w:right w:val="none" w:sz="0" w:space="0" w:color="auto"/>
                                                          </w:divBdr>
                                                          <w:divsChild>
                                                            <w:div w:id="1545294904">
                                                              <w:marLeft w:val="0"/>
                                                              <w:marRight w:val="0"/>
                                                              <w:marTop w:val="0"/>
                                                              <w:marBottom w:val="0"/>
                                                              <w:divBdr>
                                                                <w:top w:val="none" w:sz="0" w:space="0" w:color="auto"/>
                                                                <w:left w:val="none" w:sz="0" w:space="0" w:color="auto"/>
                                                                <w:bottom w:val="none" w:sz="0" w:space="0" w:color="auto"/>
                                                                <w:right w:val="none" w:sz="0" w:space="0" w:color="auto"/>
                                                              </w:divBdr>
                                                              <w:divsChild>
                                                                <w:div w:id="346100700">
                                                                  <w:marLeft w:val="0"/>
                                                                  <w:marRight w:val="0"/>
                                                                  <w:marTop w:val="0"/>
                                                                  <w:marBottom w:val="0"/>
                                                                  <w:divBdr>
                                                                    <w:top w:val="none" w:sz="0" w:space="0" w:color="auto"/>
                                                                    <w:left w:val="none" w:sz="0" w:space="0" w:color="auto"/>
                                                                    <w:bottom w:val="none" w:sz="0" w:space="0" w:color="auto"/>
                                                                    <w:right w:val="none" w:sz="0" w:space="0" w:color="auto"/>
                                                                  </w:divBdr>
                                                                  <w:divsChild>
                                                                    <w:div w:id="569925638">
                                                                      <w:marLeft w:val="0"/>
                                                                      <w:marRight w:val="0"/>
                                                                      <w:marTop w:val="0"/>
                                                                      <w:marBottom w:val="0"/>
                                                                      <w:divBdr>
                                                                        <w:top w:val="none" w:sz="0" w:space="0" w:color="auto"/>
                                                                        <w:left w:val="none" w:sz="0" w:space="0" w:color="auto"/>
                                                                        <w:bottom w:val="none" w:sz="0" w:space="0" w:color="auto"/>
                                                                        <w:right w:val="none" w:sz="0" w:space="0" w:color="auto"/>
                                                                      </w:divBdr>
                                                                      <w:divsChild>
                                                                        <w:div w:id="1139493187">
                                                                          <w:marLeft w:val="0"/>
                                                                          <w:marRight w:val="0"/>
                                                                          <w:marTop w:val="0"/>
                                                                          <w:marBottom w:val="0"/>
                                                                          <w:divBdr>
                                                                            <w:top w:val="none" w:sz="0" w:space="0" w:color="auto"/>
                                                                            <w:left w:val="none" w:sz="0" w:space="0" w:color="auto"/>
                                                                            <w:bottom w:val="none" w:sz="0" w:space="0" w:color="auto"/>
                                                                            <w:right w:val="none" w:sz="0" w:space="0" w:color="auto"/>
                                                                          </w:divBdr>
                                                                        </w:div>
                                                                      </w:divsChild>
                                                                    </w:div>
                                                                    <w:div w:id="1249776291">
                                                                      <w:marLeft w:val="0"/>
                                                                      <w:marRight w:val="0"/>
                                                                      <w:marTop w:val="0"/>
                                                                      <w:marBottom w:val="0"/>
                                                                      <w:divBdr>
                                                                        <w:top w:val="none" w:sz="0" w:space="0" w:color="auto"/>
                                                                        <w:left w:val="none" w:sz="0" w:space="0" w:color="auto"/>
                                                                        <w:bottom w:val="none" w:sz="0" w:space="0" w:color="auto"/>
                                                                        <w:right w:val="none" w:sz="0" w:space="0" w:color="auto"/>
                                                                      </w:divBdr>
                                                                      <w:divsChild>
                                                                        <w:div w:id="1640500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0938461">
                                                                  <w:marLeft w:val="0"/>
                                                                  <w:marRight w:val="0"/>
                                                                  <w:marTop w:val="0"/>
                                                                  <w:marBottom w:val="0"/>
                                                                  <w:divBdr>
                                                                    <w:top w:val="none" w:sz="0" w:space="0" w:color="auto"/>
                                                                    <w:left w:val="none" w:sz="0" w:space="0" w:color="auto"/>
                                                                    <w:bottom w:val="none" w:sz="0" w:space="0" w:color="auto"/>
                                                                    <w:right w:val="none" w:sz="0" w:space="0" w:color="auto"/>
                                                                  </w:divBdr>
                                                                  <w:divsChild>
                                                                    <w:div w:id="1610579544">
                                                                      <w:marLeft w:val="0"/>
                                                                      <w:marRight w:val="0"/>
                                                                      <w:marTop w:val="0"/>
                                                                      <w:marBottom w:val="0"/>
                                                                      <w:divBdr>
                                                                        <w:top w:val="none" w:sz="0" w:space="0" w:color="auto"/>
                                                                        <w:left w:val="none" w:sz="0" w:space="0" w:color="auto"/>
                                                                        <w:bottom w:val="none" w:sz="0" w:space="0" w:color="auto"/>
                                                                        <w:right w:val="none" w:sz="0" w:space="0" w:color="auto"/>
                                                                      </w:divBdr>
                                                                      <w:divsChild>
                                                                        <w:div w:id="341275864">
                                                                          <w:marLeft w:val="0"/>
                                                                          <w:marRight w:val="0"/>
                                                                          <w:marTop w:val="100"/>
                                                                          <w:marBottom w:val="100"/>
                                                                          <w:divBdr>
                                                                            <w:top w:val="none" w:sz="0" w:space="0" w:color="auto"/>
                                                                            <w:left w:val="none" w:sz="0" w:space="0" w:color="auto"/>
                                                                            <w:bottom w:val="none" w:sz="0" w:space="0" w:color="auto"/>
                                                                            <w:right w:val="none" w:sz="0" w:space="0" w:color="auto"/>
                                                                          </w:divBdr>
                                                                        </w:div>
                                                                        <w:div w:id="1961184020">
                                                                          <w:marLeft w:val="0"/>
                                                                          <w:marRight w:val="0"/>
                                                                          <w:marTop w:val="0"/>
                                                                          <w:marBottom w:val="0"/>
                                                                          <w:divBdr>
                                                                            <w:top w:val="none" w:sz="0" w:space="0" w:color="auto"/>
                                                                            <w:left w:val="none" w:sz="0" w:space="0" w:color="auto"/>
                                                                            <w:bottom w:val="none" w:sz="0" w:space="0" w:color="auto"/>
                                                                            <w:right w:val="none" w:sz="0" w:space="0" w:color="auto"/>
                                                                          </w:divBdr>
                                                                          <w:divsChild>
                                                                            <w:div w:id="1023242724">
                                                                              <w:marLeft w:val="0"/>
                                                                              <w:marRight w:val="0"/>
                                                                              <w:marTop w:val="0"/>
                                                                              <w:marBottom w:val="0"/>
                                                                              <w:divBdr>
                                                                                <w:top w:val="none" w:sz="0" w:space="0" w:color="auto"/>
                                                                                <w:left w:val="none" w:sz="0" w:space="0" w:color="auto"/>
                                                                                <w:bottom w:val="none" w:sz="0" w:space="0" w:color="auto"/>
                                                                                <w:right w:val="none" w:sz="0" w:space="0" w:color="auto"/>
                                                                              </w:divBdr>
                                                                              <w:divsChild>
                                                                                <w:div w:id="452796883">
                                                                                  <w:marLeft w:val="0"/>
                                                                                  <w:marRight w:val="0"/>
                                                                                  <w:marTop w:val="0"/>
                                                                                  <w:marBottom w:val="0"/>
                                                                                  <w:divBdr>
                                                                                    <w:top w:val="none" w:sz="0" w:space="0" w:color="auto"/>
                                                                                    <w:left w:val="none" w:sz="0" w:space="0" w:color="auto"/>
                                                                                    <w:bottom w:val="none" w:sz="0" w:space="0" w:color="auto"/>
                                                                                    <w:right w:val="none" w:sz="0" w:space="0" w:color="auto"/>
                                                                                  </w:divBdr>
                                                                                  <w:divsChild>
                                                                                    <w:div w:id="1399210096">
                                                                                      <w:marLeft w:val="0"/>
                                                                                      <w:marRight w:val="0"/>
                                                                                      <w:marTop w:val="0"/>
                                                                                      <w:marBottom w:val="0"/>
                                                                                      <w:divBdr>
                                                                                        <w:top w:val="none" w:sz="0" w:space="0" w:color="auto"/>
                                                                                        <w:left w:val="none" w:sz="0" w:space="0" w:color="auto"/>
                                                                                        <w:bottom w:val="none" w:sz="0" w:space="0" w:color="auto"/>
                                                                                        <w:right w:val="none" w:sz="0" w:space="0" w:color="auto"/>
                                                                                      </w:divBdr>
                                                                                      <w:divsChild>
                                                                                        <w:div w:id="2023166973">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1369572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7368991">
                                                                  <w:marLeft w:val="0"/>
                                                                  <w:marRight w:val="0"/>
                                                                  <w:marTop w:val="0"/>
                                                                  <w:marBottom w:val="0"/>
                                                                  <w:divBdr>
                                                                    <w:top w:val="none" w:sz="0" w:space="0" w:color="auto"/>
                                                                    <w:left w:val="none" w:sz="0" w:space="0" w:color="auto"/>
                                                                    <w:bottom w:val="none" w:sz="0" w:space="0" w:color="auto"/>
                                                                    <w:right w:val="none" w:sz="0" w:space="0" w:color="auto"/>
                                                                  </w:divBdr>
                                                                  <w:divsChild>
                                                                    <w:div w:id="1720207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342380">
                                                          <w:marLeft w:val="0"/>
                                                          <w:marRight w:val="0"/>
                                                          <w:marTop w:val="0"/>
                                                          <w:marBottom w:val="0"/>
                                                          <w:divBdr>
                                                            <w:top w:val="none" w:sz="0" w:space="0" w:color="auto"/>
                                                            <w:left w:val="none" w:sz="0" w:space="0" w:color="auto"/>
                                                            <w:bottom w:val="none" w:sz="0" w:space="0" w:color="auto"/>
                                                            <w:right w:val="none" w:sz="0" w:space="0" w:color="auto"/>
                                                          </w:divBdr>
                                                          <w:divsChild>
                                                            <w:div w:id="748310293">
                                                              <w:marLeft w:val="0"/>
                                                              <w:marRight w:val="0"/>
                                                              <w:marTop w:val="0"/>
                                                              <w:marBottom w:val="0"/>
                                                              <w:divBdr>
                                                                <w:top w:val="none" w:sz="0" w:space="0" w:color="auto"/>
                                                                <w:left w:val="none" w:sz="0" w:space="0" w:color="auto"/>
                                                                <w:bottom w:val="none" w:sz="0" w:space="0" w:color="auto"/>
                                                                <w:right w:val="none" w:sz="0" w:space="0" w:color="auto"/>
                                                              </w:divBdr>
                                                              <w:divsChild>
                                                                <w:div w:id="1524515047">
                                                                  <w:marLeft w:val="0"/>
                                                                  <w:marRight w:val="0"/>
                                                                  <w:marTop w:val="0"/>
                                                                  <w:marBottom w:val="0"/>
                                                                  <w:divBdr>
                                                                    <w:top w:val="none" w:sz="0" w:space="0" w:color="auto"/>
                                                                    <w:left w:val="none" w:sz="0" w:space="0" w:color="auto"/>
                                                                    <w:bottom w:val="none" w:sz="0" w:space="0" w:color="auto"/>
                                                                    <w:right w:val="none" w:sz="0" w:space="0" w:color="auto"/>
                                                                  </w:divBdr>
                                                                  <w:divsChild>
                                                                    <w:div w:id="1543176514">
                                                                      <w:marLeft w:val="0"/>
                                                                      <w:marRight w:val="0"/>
                                                                      <w:marTop w:val="0"/>
                                                                      <w:marBottom w:val="0"/>
                                                                      <w:divBdr>
                                                                        <w:top w:val="none" w:sz="0" w:space="0" w:color="auto"/>
                                                                        <w:left w:val="none" w:sz="0" w:space="0" w:color="auto"/>
                                                                        <w:bottom w:val="none" w:sz="0" w:space="0" w:color="auto"/>
                                                                        <w:right w:val="none" w:sz="0" w:space="0" w:color="auto"/>
                                                                      </w:divBdr>
                                                                    </w:div>
                                                                  </w:divsChild>
                                                                </w:div>
                                                                <w:div w:id="1710913138">
                                                                  <w:marLeft w:val="0"/>
                                                                  <w:marRight w:val="0"/>
                                                                  <w:marTop w:val="0"/>
                                                                  <w:marBottom w:val="0"/>
                                                                  <w:divBdr>
                                                                    <w:top w:val="none" w:sz="0" w:space="0" w:color="auto"/>
                                                                    <w:left w:val="none" w:sz="0" w:space="0" w:color="auto"/>
                                                                    <w:bottom w:val="none" w:sz="0" w:space="0" w:color="auto"/>
                                                                    <w:right w:val="none" w:sz="0" w:space="0" w:color="auto"/>
                                                                  </w:divBdr>
                                                                  <w:divsChild>
                                                                    <w:div w:id="308634180">
                                                                      <w:marLeft w:val="0"/>
                                                                      <w:marRight w:val="0"/>
                                                                      <w:marTop w:val="0"/>
                                                                      <w:marBottom w:val="0"/>
                                                                      <w:divBdr>
                                                                        <w:top w:val="none" w:sz="0" w:space="0" w:color="auto"/>
                                                                        <w:left w:val="none" w:sz="0" w:space="0" w:color="auto"/>
                                                                        <w:bottom w:val="none" w:sz="0" w:space="0" w:color="auto"/>
                                                                        <w:right w:val="none" w:sz="0" w:space="0" w:color="auto"/>
                                                                      </w:divBdr>
                                                                      <w:divsChild>
                                                                        <w:div w:id="1271161106">
                                                                          <w:marLeft w:val="0"/>
                                                                          <w:marRight w:val="0"/>
                                                                          <w:marTop w:val="0"/>
                                                                          <w:marBottom w:val="0"/>
                                                                          <w:divBdr>
                                                                            <w:top w:val="none" w:sz="0" w:space="0" w:color="auto"/>
                                                                            <w:left w:val="none" w:sz="0" w:space="0" w:color="auto"/>
                                                                            <w:bottom w:val="none" w:sz="0" w:space="0" w:color="auto"/>
                                                                            <w:right w:val="none" w:sz="0" w:space="0" w:color="auto"/>
                                                                          </w:divBdr>
                                                                        </w:div>
                                                                      </w:divsChild>
                                                                    </w:div>
                                                                    <w:div w:id="540437410">
                                                                      <w:marLeft w:val="0"/>
                                                                      <w:marRight w:val="0"/>
                                                                      <w:marTop w:val="0"/>
                                                                      <w:marBottom w:val="0"/>
                                                                      <w:divBdr>
                                                                        <w:top w:val="none" w:sz="0" w:space="0" w:color="auto"/>
                                                                        <w:left w:val="none" w:sz="0" w:space="0" w:color="auto"/>
                                                                        <w:bottom w:val="none" w:sz="0" w:space="0" w:color="auto"/>
                                                                        <w:right w:val="none" w:sz="0" w:space="0" w:color="auto"/>
                                                                      </w:divBdr>
                                                                      <w:divsChild>
                                                                        <w:div w:id="33119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340619">
                                                                  <w:marLeft w:val="0"/>
                                                                  <w:marRight w:val="0"/>
                                                                  <w:marTop w:val="0"/>
                                                                  <w:marBottom w:val="0"/>
                                                                  <w:divBdr>
                                                                    <w:top w:val="none" w:sz="0" w:space="0" w:color="auto"/>
                                                                    <w:left w:val="none" w:sz="0" w:space="0" w:color="auto"/>
                                                                    <w:bottom w:val="none" w:sz="0" w:space="0" w:color="auto"/>
                                                                    <w:right w:val="none" w:sz="0" w:space="0" w:color="auto"/>
                                                                  </w:divBdr>
                                                                  <w:divsChild>
                                                                    <w:div w:id="841359108">
                                                                      <w:marLeft w:val="0"/>
                                                                      <w:marRight w:val="0"/>
                                                                      <w:marTop w:val="0"/>
                                                                      <w:marBottom w:val="0"/>
                                                                      <w:divBdr>
                                                                        <w:top w:val="none" w:sz="0" w:space="0" w:color="auto"/>
                                                                        <w:left w:val="none" w:sz="0" w:space="0" w:color="auto"/>
                                                                        <w:bottom w:val="none" w:sz="0" w:space="0" w:color="auto"/>
                                                                        <w:right w:val="none" w:sz="0" w:space="0" w:color="auto"/>
                                                                      </w:divBdr>
                                                                      <w:divsChild>
                                                                        <w:div w:id="919754466">
                                                                          <w:marLeft w:val="0"/>
                                                                          <w:marRight w:val="0"/>
                                                                          <w:marTop w:val="0"/>
                                                                          <w:marBottom w:val="0"/>
                                                                          <w:divBdr>
                                                                            <w:top w:val="none" w:sz="0" w:space="0" w:color="auto"/>
                                                                            <w:left w:val="none" w:sz="0" w:space="0" w:color="auto"/>
                                                                            <w:bottom w:val="none" w:sz="0" w:space="0" w:color="auto"/>
                                                                            <w:right w:val="none" w:sz="0" w:space="0" w:color="auto"/>
                                                                          </w:divBdr>
                                                                          <w:divsChild>
                                                                            <w:div w:id="583878235">
                                                                              <w:marLeft w:val="0"/>
                                                                              <w:marRight w:val="0"/>
                                                                              <w:marTop w:val="0"/>
                                                                              <w:marBottom w:val="0"/>
                                                                              <w:divBdr>
                                                                                <w:top w:val="none" w:sz="0" w:space="0" w:color="auto"/>
                                                                                <w:left w:val="none" w:sz="0" w:space="0" w:color="auto"/>
                                                                                <w:bottom w:val="none" w:sz="0" w:space="0" w:color="auto"/>
                                                                                <w:right w:val="none" w:sz="0" w:space="0" w:color="auto"/>
                                                                              </w:divBdr>
                                                                            </w:div>
                                                                            <w:div w:id="1188758463">
                                                                              <w:marLeft w:val="0"/>
                                                                              <w:marRight w:val="0"/>
                                                                              <w:marTop w:val="0"/>
                                                                              <w:marBottom w:val="0"/>
                                                                              <w:divBdr>
                                                                                <w:top w:val="none" w:sz="0" w:space="0" w:color="auto"/>
                                                                                <w:left w:val="none" w:sz="0" w:space="0" w:color="auto"/>
                                                                                <w:bottom w:val="none" w:sz="0" w:space="0" w:color="auto"/>
                                                                                <w:right w:val="none" w:sz="0" w:space="0" w:color="auto"/>
                                                                              </w:divBdr>
                                                                              <w:divsChild>
                                                                                <w:div w:id="888691737">
                                                                                  <w:marLeft w:val="0"/>
                                                                                  <w:marRight w:val="0"/>
                                                                                  <w:marTop w:val="0"/>
                                                                                  <w:marBottom w:val="0"/>
                                                                                  <w:divBdr>
                                                                                    <w:top w:val="none" w:sz="0" w:space="0" w:color="auto"/>
                                                                                    <w:left w:val="none" w:sz="0" w:space="0" w:color="auto"/>
                                                                                    <w:bottom w:val="none" w:sz="0" w:space="0" w:color="auto"/>
                                                                                    <w:right w:val="none" w:sz="0" w:space="0" w:color="auto"/>
                                                                                  </w:divBdr>
                                                                                  <w:divsChild>
                                                                                    <w:div w:id="1964917466">
                                                                                      <w:marLeft w:val="0"/>
                                                                                      <w:marRight w:val="0"/>
                                                                                      <w:marTop w:val="0"/>
                                                                                      <w:marBottom w:val="0"/>
                                                                                      <w:divBdr>
                                                                                        <w:top w:val="none" w:sz="0" w:space="0" w:color="auto"/>
                                                                                        <w:left w:val="none" w:sz="0" w:space="0" w:color="auto"/>
                                                                                        <w:bottom w:val="none" w:sz="0" w:space="0" w:color="auto"/>
                                                                                        <w:right w:val="none" w:sz="0" w:space="0" w:color="auto"/>
                                                                                      </w:divBdr>
                                                                                      <w:divsChild>
                                                                                        <w:div w:id="755131108">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sChild>
                                                                        </w:div>
                                                                        <w:div w:id="213184931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328599816">
                                                          <w:marLeft w:val="0"/>
                                                          <w:marRight w:val="0"/>
                                                          <w:marTop w:val="0"/>
                                                          <w:marBottom w:val="0"/>
                                                          <w:divBdr>
                                                            <w:top w:val="none" w:sz="0" w:space="0" w:color="auto"/>
                                                            <w:left w:val="none" w:sz="0" w:space="0" w:color="auto"/>
                                                            <w:bottom w:val="none" w:sz="0" w:space="0" w:color="auto"/>
                                                            <w:right w:val="none" w:sz="0" w:space="0" w:color="auto"/>
                                                          </w:divBdr>
                                                          <w:divsChild>
                                                            <w:div w:id="819882292">
                                                              <w:marLeft w:val="0"/>
                                                              <w:marRight w:val="0"/>
                                                              <w:marTop w:val="0"/>
                                                              <w:marBottom w:val="0"/>
                                                              <w:divBdr>
                                                                <w:top w:val="none" w:sz="0" w:space="0" w:color="auto"/>
                                                                <w:left w:val="none" w:sz="0" w:space="0" w:color="auto"/>
                                                                <w:bottom w:val="none" w:sz="0" w:space="0" w:color="auto"/>
                                                                <w:right w:val="none" w:sz="0" w:space="0" w:color="auto"/>
                                                              </w:divBdr>
                                                              <w:divsChild>
                                                                <w:div w:id="189295266">
                                                                  <w:marLeft w:val="0"/>
                                                                  <w:marRight w:val="0"/>
                                                                  <w:marTop w:val="0"/>
                                                                  <w:marBottom w:val="0"/>
                                                                  <w:divBdr>
                                                                    <w:top w:val="none" w:sz="0" w:space="0" w:color="auto"/>
                                                                    <w:left w:val="none" w:sz="0" w:space="0" w:color="auto"/>
                                                                    <w:bottom w:val="none" w:sz="0" w:space="0" w:color="auto"/>
                                                                    <w:right w:val="none" w:sz="0" w:space="0" w:color="auto"/>
                                                                  </w:divBdr>
                                                                  <w:divsChild>
                                                                    <w:div w:id="1082218876">
                                                                      <w:marLeft w:val="0"/>
                                                                      <w:marRight w:val="0"/>
                                                                      <w:marTop w:val="0"/>
                                                                      <w:marBottom w:val="0"/>
                                                                      <w:divBdr>
                                                                        <w:top w:val="none" w:sz="0" w:space="0" w:color="auto"/>
                                                                        <w:left w:val="none" w:sz="0" w:space="0" w:color="auto"/>
                                                                        <w:bottom w:val="none" w:sz="0" w:space="0" w:color="auto"/>
                                                                        <w:right w:val="none" w:sz="0" w:space="0" w:color="auto"/>
                                                                      </w:divBdr>
                                                                    </w:div>
                                                                  </w:divsChild>
                                                                </w:div>
                                                                <w:div w:id="602420943">
                                                                  <w:marLeft w:val="0"/>
                                                                  <w:marRight w:val="0"/>
                                                                  <w:marTop w:val="0"/>
                                                                  <w:marBottom w:val="0"/>
                                                                  <w:divBdr>
                                                                    <w:top w:val="none" w:sz="0" w:space="0" w:color="auto"/>
                                                                    <w:left w:val="none" w:sz="0" w:space="0" w:color="auto"/>
                                                                    <w:bottom w:val="none" w:sz="0" w:space="0" w:color="auto"/>
                                                                    <w:right w:val="none" w:sz="0" w:space="0" w:color="auto"/>
                                                                  </w:divBdr>
                                                                  <w:divsChild>
                                                                    <w:div w:id="132790968">
                                                                      <w:marLeft w:val="0"/>
                                                                      <w:marRight w:val="0"/>
                                                                      <w:marTop w:val="0"/>
                                                                      <w:marBottom w:val="0"/>
                                                                      <w:divBdr>
                                                                        <w:top w:val="none" w:sz="0" w:space="0" w:color="auto"/>
                                                                        <w:left w:val="none" w:sz="0" w:space="0" w:color="auto"/>
                                                                        <w:bottom w:val="none" w:sz="0" w:space="0" w:color="auto"/>
                                                                        <w:right w:val="none" w:sz="0" w:space="0" w:color="auto"/>
                                                                      </w:divBdr>
                                                                      <w:divsChild>
                                                                        <w:div w:id="1723165026">
                                                                          <w:marLeft w:val="0"/>
                                                                          <w:marRight w:val="0"/>
                                                                          <w:marTop w:val="0"/>
                                                                          <w:marBottom w:val="0"/>
                                                                          <w:divBdr>
                                                                            <w:top w:val="none" w:sz="0" w:space="0" w:color="auto"/>
                                                                            <w:left w:val="none" w:sz="0" w:space="0" w:color="auto"/>
                                                                            <w:bottom w:val="none" w:sz="0" w:space="0" w:color="auto"/>
                                                                            <w:right w:val="none" w:sz="0" w:space="0" w:color="auto"/>
                                                                          </w:divBdr>
                                                                        </w:div>
                                                                      </w:divsChild>
                                                                    </w:div>
                                                                    <w:div w:id="874462386">
                                                                      <w:marLeft w:val="0"/>
                                                                      <w:marRight w:val="0"/>
                                                                      <w:marTop w:val="0"/>
                                                                      <w:marBottom w:val="0"/>
                                                                      <w:divBdr>
                                                                        <w:top w:val="none" w:sz="0" w:space="0" w:color="auto"/>
                                                                        <w:left w:val="none" w:sz="0" w:space="0" w:color="auto"/>
                                                                        <w:bottom w:val="none" w:sz="0" w:space="0" w:color="auto"/>
                                                                        <w:right w:val="none" w:sz="0" w:space="0" w:color="auto"/>
                                                                      </w:divBdr>
                                                                      <w:divsChild>
                                                                        <w:div w:id="937638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0232000">
                                                                  <w:marLeft w:val="0"/>
                                                                  <w:marRight w:val="0"/>
                                                                  <w:marTop w:val="0"/>
                                                                  <w:marBottom w:val="0"/>
                                                                  <w:divBdr>
                                                                    <w:top w:val="none" w:sz="0" w:space="0" w:color="auto"/>
                                                                    <w:left w:val="none" w:sz="0" w:space="0" w:color="auto"/>
                                                                    <w:bottom w:val="none" w:sz="0" w:space="0" w:color="auto"/>
                                                                    <w:right w:val="none" w:sz="0" w:space="0" w:color="auto"/>
                                                                  </w:divBdr>
                                                                  <w:divsChild>
                                                                    <w:div w:id="430049752">
                                                                      <w:marLeft w:val="0"/>
                                                                      <w:marRight w:val="0"/>
                                                                      <w:marTop w:val="0"/>
                                                                      <w:marBottom w:val="0"/>
                                                                      <w:divBdr>
                                                                        <w:top w:val="none" w:sz="0" w:space="0" w:color="auto"/>
                                                                        <w:left w:val="none" w:sz="0" w:space="0" w:color="auto"/>
                                                                        <w:bottom w:val="none" w:sz="0" w:space="0" w:color="auto"/>
                                                                        <w:right w:val="none" w:sz="0" w:space="0" w:color="auto"/>
                                                                      </w:divBdr>
                                                                      <w:divsChild>
                                                                        <w:div w:id="453989436">
                                                                          <w:marLeft w:val="0"/>
                                                                          <w:marRight w:val="0"/>
                                                                          <w:marTop w:val="0"/>
                                                                          <w:marBottom w:val="0"/>
                                                                          <w:divBdr>
                                                                            <w:top w:val="none" w:sz="0" w:space="0" w:color="auto"/>
                                                                            <w:left w:val="none" w:sz="0" w:space="0" w:color="auto"/>
                                                                            <w:bottom w:val="none" w:sz="0" w:space="0" w:color="auto"/>
                                                                            <w:right w:val="none" w:sz="0" w:space="0" w:color="auto"/>
                                                                          </w:divBdr>
                                                                          <w:divsChild>
                                                                            <w:div w:id="345325218">
                                                                              <w:marLeft w:val="0"/>
                                                                              <w:marRight w:val="0"/>
                                                                              <w:marTop w:val="0"/>
                                                                              <w:marBottom w:val="0"/>
                                                                              <w:divBdr>
                                                                                <w:top w:val="none" w:sz="0" w:space="0" w:color="auto"/>
                                                                                <w:left w:val="none" w:sz="0" w:space="0" w:color="auto"/>
                                                                                <w:bottom w:val="none" w:sz="0" w:space="0" w:color="auto"/>
                                                                                <w:right w:val="none" w:sz="0" w:space="0" w:color="auto"/>
                                                                              </w:divBdr>
                                                                              <w:divsChild>
                                                                                <w:div w:id="261257712">
                                                                                  <w:marLeft w:val="0"/>
                                                                                  <w:marRight w:val="0"/>
                                                                                  <w:marTop w:val="0"/>
                                                                                  <w:marBottom w:val="0"/>
                                                                                  <w:divBdr>
                                                                                    <w:top w:val="none" w:sz="0" w:space="0" w:color="auto"/>
                                                                                    <w:left w:val="none" w:sz="0" w:space="0" w:color="auto"/>
                                                                                    <w:bottom w:val="none" w:sz="0" w:space="0" w:color="auto"/>
                                                                                    <w:right w:val="none" w:sz="0" w:space="0" w:color="auto"/>
                                                                                  </w:divBdr>
                                                                                  <w:divsChild>
                                                                                    <w:div w:id="787360678">
                                                                                      <w:marLeft w:val="0"/>
                                                                                      <w:marRight w:val="0"/>
                                                                                      <w:marTop w:val="0"/>
                                                                                      <w:marBottom w:val="0"/>
                                                                                      <w:divBdr>
                                                                                        <w:top w:val="none" w:sz="0" w:space="0" w:color="auto"/>
                                                                                        <w:left w:val="none" w:sz="0" w:space="0" w:color="auto"/>
                                                                                        <w:bottom w:val="none" w:sz="0" w:space="0" w:color="auto"/>
                                                                                        <w:right w:val="none" w:sz="0" w:space="0" w:color="auto"/>
                                                                                      </w:divBdr>
                                                                                      <w:divsChild>
                                                                                        <w:div w:id="179590962">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1976056643">
                                                                              <w:marLeft w:val="0"/>
                                                                              <w:marRight w:val="0"/>
                                                                              <w:marTop w:val="0"/>
                                                                              <w:marBottom w:val="0"/>
                                                                              <w:divBdr>
                                                                                <w:top w:val="none" w:sz="0" w:space="0" w:color="auto"/>
                                                                                <w:left w:val="none" w:sz="0" w:space="0" w:color="auto"/>
                                                                                <w:bottom w:val="none" w:sz="0" w:space="0" w:color="auto"/>
                                                                                <w:right w:val="none" w:sz="0" w:space="0" w:color="auto"/>
                                                                              </w:divBdr>
                                                                            </w:div>
                                                                          </w:divsChild>
                                                                        </w:div>
                                                                        <w:div w:id="455757924">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341979692">
                                                          <w:marLeft w:val="0"/>
                                                          <w:marRight w:val="0"/>
                                                          <w:marTop w:val="0"/>
                                                          <w:marBottom w:val="0"/>
                                                          <w:divBdr>
                                                            <w:top w:val="none" w:sz="0" w:space="0" w:color="auto"/>
                                                            <w:left w:val="none" w:sz="0" w:space="0" w:color="auto"/>
                                                            <w:bottom w:val="none" w:sz="0" w:space="0" w:color="auto"/>
                                                            <w:right w:val="none" w:sz="0" w:space="0" w:color="auto"/>
                                                          </w:divBdr>
                                                          <w:divsChild>
                                                            <w:div w:id="1543639715">
                                                              <w:marLeft w:val="0"/>
                                                              <w:marRight w:val="0"/>
                                                              <w:marTop w:val="0"/>
                                                              <w:marBottom w:val="0"/>
                                                              <w:divBdr>
                                                                <w:top w:val="none" w:sz="0" w:space="0" w:color="auto"/>
                                                                <w:left w:val="none" w:sz="0" w:space="0" w:color="auto"/>
                                                                <w:bottom w:val="none" w:sz="0" w:space="0" w:color="auto"/>
                                                                <w:right w:val="none" w:sz="0" w:space="0" w:color="auto"/>
                                                              </w:divBdr>
                                                              <w:divsChild>
                                                                <w:div w:id="694235091">
                                                                  <w:marLeft w:val="0"/>
                                                                  <w:marRight w:val="0"/>
                                                                  <w:marTop w:val="0"/>
                                                                  <w:marBottom w:val="0"/>
                                                                  <w:divBdr>
                                                                    <w:top w:val="none" w:sz="0" w:space="0" w:color="auto"/>
                                                                    <w:left w:val="none" w:sz="0" w:space="0" w:color="auto"/>
                                                                    <w:bottom w:val="none" w:sz="0" w:space="0" w:color="auto"/>
                                                                    <w:right w:val="none" w:sz="0" w:space="0" w:color="auto"/>
                                                                  </w:divBdr>
                                                                  <w:divsChild>
                                                                    <w:div w:id="1029601676">
                                                                      <w:marLeft w:val="0"/>
                                                                      <w:marRight w:val="0"/>
                                                                      <w:marTop w:val="0"/>
                                                                      <w:marBottom w:val="0"/>
                                                                      <w:divBdr>
                                                                        <w:top w:val="none" w:sz="0" w:space="0" w:color="auto"/>
                                                                        <w:left w:val="none" w:sz="0" w:space="0" w:color="auto"/>
                                                                        <w:bottom w:val="none" w:sz="0" w:space="0" w:color="auto"/>
                                                                        <w:right w:val="none" w:sz="0" w:space="0" w:color="auto"/>
                                                                      </w:divBdr>
                                                                      <w:divsChild>
                                                                        <w:div w:id="724649106">
                                                                          <w:marLeft w:val="0"/>
                                                                          <w:marRight w:val="0"/>
                                                                          <w:marTop w:val="0"/>
                                                                          <w:marBottom w:val="0"/>
                                                                          <w:divBdr>
                                                                            <w:top w:val="none" w:sz="0" w:space="0" w:color="auto"/>
                                                                            <w:left w:val="none" w:sz="0" w:space="0" w:color="auto"/>
                                                                            <w:bottom w:val="none" w:sz="0" w:space="0" w:color="auto"/>
                                                                            <w:right w:val="none" w:sz="0" w:space="0" w:color="auto"/>
                                                                          </w:divBdr>
                                                                          <w:divsChild>
                                                                            <w:div w:id="1102262410">
                                                                              <w:marLeft w:val="0"/>
                                                                              <w:marRight w:val="0"/>
                                                                              <w:marTop w:val="0"/>
                                                                              <w:marBottom w:val="0"/>
                                                                              <w:divBdr>
                                                                                <w:top w:val="none" w:sz="0" w:space="0" w:color="auto"/>
                                                                                <w:left w:val="none" w:sz="0" w:space="0" w:color="auto"/>
                                                                                <w:bottom w:val="none" w:sz="0" w:space="0" w:color="auto"/>
                                                                                <w:right w:val="none" w:sz="0" w:space="0" w:color="auto"/>
                                                                              </w:divBdr>
                                                                            </w:div>
                                                                            <w:div w:id="1551959679">
                                                                              <w:marLeft w:val="0"/>
                                                                              <w:marRight w:val="0"/>
                                                                              <w:marTop w:val="0"/>
                                                                              <w:marBottom w:val="0"/>
                                                                              <w:divBdr>
                                                                                <w:top w:val="none" w:sz="0" w:space="0" w:color="auto"/>
                                                                                <w:left w:val="none" w:sz="0" w:space="0" w:color="auto"/>
                                                                                <w:bottom w:val="none" w:sz="0" w:space="0" w:color="auto"/>
                                                                                <w:right w:val="none" w:sz="0" w:space="0" w:color="auto"/>
                                                                              </w:divBdr>
                                                                              <w:divsChild>
                                                                                <w:div w:id="379743175">
                                                                                  <w:marLeft w:val="0"/>
                                                                                  <w:marRight w:val="0"/>
                                                                                  <w:marTop w:val="0"/>
                                                                                  <w:marBottom w:val="0"/>
                                                                                  <w:divBdr>
                                                                                    <w:top w:val="none" w:sz="0" w:space="0" w:color="auto"/>
                                                                                    <w:left w:val="none" w:sz="0" w:space="0" w:color="auto"/>
                                                                                    <w:bottom w:val="none" w:sz="0" w:space="0" w:color="auto"/>
                                                                                    <w:right w:val="none" w:sz="0" w:space="0" w:color="auto"/>
                                                                                  </w:divBdr>
                                                                                  <w:divsChild>
                                                                                    <w:div w:id="513766739">
                                                                                      <w:marLeft w:val="0"/>
                                                                                      <w:marRight w:val="0"/>
                                                                                      <w:marTop w:val="0"/>
                                                                                      <w:marBottom w:val="0"/>
                                                                                      <w:divBdr>
                                                                                        <w:top w:val="none" w:sz="0" w:space="0" w:color="auto"/>
                                                                                        <w:left w:val="none" w:sz="0" w:space="0" w:color="auto"/>
                                                                                        <w:bottom w:val="none" w:sz="0" w:space="0" w:color="auto"/>
                                                                                        <w:right w:val="none" w:sz="0" w:space="0" w:color="auto"/>
                                                                                      </w:divBdr>
                                                                                      <w:divsChild>
                                                                                        <w:div w:id="1728259075">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sChild>
                                                                        </w:div>
                                                                        <w:div w:id="155550309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990987885">
                                                                  <w:marLeft w:val="0"/>
                                                                  <w:marRight w:val="0"/>
                                                                  <w:marTop w:val="0"/>
                                                                  <w:marBottom w:val="0"/>
                                                                  <w:divBdr>
                                                                    <w:top w:val="none" w:sz="0" w:space="0" w:color="auto"/>
                                                                    <w:left w:val="none" w:sz="0" w:space="0" w:color="auto"/>
                                                                    <w:bottom w:val="none" w:sz="0" w:space="0" w:color="auto"/>
                                                                    <w:right w:val="none" w:sz="0" w:space="0" w:color="auto"/>
                                                                  </w:divBdr>
                                                                  <w:divsChild>
                                                                    <w:div w:id="1594238490">
                                                                      <w:marLeft w:val="0"/>
                                                                      <w:marRight w:val="0"/>
                                                                      <w:marTop w:val="0"/>
                                                                      <w:marBottom w:val="0"/>
                                                                      <w:divBdr>
                                                                        <w:top w:val="none" w:sz="0" w:space="0" w:color="auto"/>
                                                                        <w:left w:val="none" w:sz="0" w:space="0" w:color="auto"/>
                                                                        <w:bottom w:val="none" w:sz="0" w:space="0" w:color="auto"/>
                                                                        <w:right w:val="none" w:sz="0" w:space="0" w:color="auto"/>
                                                                      </w:divBdr>
                                                                    </w:div>
                                                                  </w:divsChild>
                                                                </w:div>
                                                                <w:div w:id="1035813728">
                                                                  <w:marLeft w:val="0"/>
                                                                  <w:marRight w:val="0"/>
                                                                  <w:marTop w:val="0"/>
                                                                  <w:marBottom w:val="0"/>
                                                                  <w:divBdr>
                                                                    <w:top w:val="none" w:sz="0" w:space="0" w:color="auto"/>
                                                                    <w:left w:val="none" w:sz="0" w:space="0" w:color="auto"/>
                                                                    <w:bottom w:val="none" w:sz="0" w:space="0" w:color="auto"/>
                                                                    <w:right w:val="none" w:sz="0" w:space="0" w:color="auto"/>
                                                                  </w:divBdr>
                                                                  <w:divsChild>
                                                                    <w:div w:id="859973109">
                                                                      <w:marLeft w:val="0"/>
                                                                      <w:marRight w:val="0"/>
                                                                      <w:marTop w:val="0"/>
                                                                      <w:marBottom w:val="0"/>
                                                                      <w:divBdr>
                                                                        <w:top w:val="none" w:sz="0" w:space="0" w:color="auto"/>
                                                                        <w:left w:val="none" w:sz="0" w:space="0" w:color="auto"/>
                                                                        <w:bottom w:val="none" w:sz="0" w:space="0" w:color="auto"/>
                                                                        <w:right w:val="none" w:sz="0" w:space="0" w:color="auto"/>
                                                                      </w:divBdr>
                                                                      <w:divsChild>
                                                                        <w:div w:id="1938633443">
                                                                          <w:marLeft w:val="0"/>
                                                                          <w:marRight w:val="0"/>
                                                                          <w:marTop w:val="0"/>
                                                                          <w:marBottom w:val="0"/>
                                                                          <w:divBdr>
                                                                            <w:top w:val="none" w:sz="0" w:space="0" w:color="auto"/>
                                                                            <w:left w:val="none" w:sz="0" w:space="0" w:color="auto"/>
                                                                            <w:bottom w:val="none" w:sz="0" w:space="0" w:color="auto"/>
                                                                            <w:right w:val="none" w:sz="0" w:space="0" w:color="auto"/>
                                                                          </w:divBdr>
                                                                        </w:div>
                                                                      </w:divsChild>
                                                                    </w:div>
                                                                    <w:div w:id="1377388250">
                                                                      <w:marLeft w:val="0"/>
                                                                      <w:marRight w:val="0"/>
                                                                      <w:marTop w:val="0"/>
                                                                      <w:marBottom w:val="0"/>
                                                                      <w:divBdr>
                                                                        <w:top w:val="none" w:sz="0" w:space="0" w:color="auto"/>
                                                                        <w:left w:val="none" w:sz="0" w:space="0" w:color="auto"/>
                                                                        <w:bottom w:val="none" w:sz="0" w:space="0" w:color="auto"/>
                                                                        <w:right w:val="none" w:sz="0" w:space="0" w:color="auto"/>
                                                                      </w:divBdr>
                                                                      <w:divsChild>
                                                                        <w:div w:id="737359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58776872">
                                                          <w:marLeft w:val="0"/>
                                                          <w:marRight w:val="0"/>
                                                          <w:marTop w:val="0"/>
                                                          <w:marBottom w:val="0"/>
                                                          <w:divBdr>
                                                            <w:top w:val="none" w:sz="0" w:space="0" w:color="auto"/>
                                                            <w:left w:val="none" w:sz="0" w:space="0" w:color="auto"/>
                                                            <w:bottom w:val="none" w:sz="0" w:space="0" w:color="auto"/>
                                                            <w:right w:val="none" w:sz="0" w:space="0" w:color="auto"/>
                                                          </w:divBdr>
                                                          <w:divsChild>
                                                            <w:div w:id="1623144553">
                                                              <w:marLeft w:val="0"/>
                                                              <w:marRight w:val="0"/>
                                                              <w:marTop w:val="0"/>
                                                              <w:marBottom w:val="0"/>
                                                              <w:divBdr>
                                                                <w:top w:val="none" w:sz="0" w:space="0" w:color="auto"/>
                                                                <w:left w:val="none" w:sz="0" w:space="0" w:color="auto"/>
                                                                <w:bottom w:val="none" w:sz="0" w:space="0" w:color="auto"/>
                                                                <w:right w:val="none" w:sz="0" w:space="0" w:color="auto"/>
                                                              </w:divBdr>
                                                              <w:divsChild>
                                                                <w:div w:id="627511368">
                                                                  <w:marLeft w:val="0"/>
                                                                  <w:marRight w:val="0"/>
                                                                  <w:marTop w:val="0"/>
                                                                  <w:marBottom w:val="0"/>
                                                                  <w:divBdr>
                                                                    <w:top w:val="none" w:sz="0" w:space="0" w:color="auto"/>
                                                                    <w:left w:val="none" w:sz="0" w:space="0" w:color="auto"/>
                                                                    <w:bottom w:val="none" w:sz="0" w:space="0" w:color="auto"/>
                                                                    <w:right w:val="none" w:sz="0" w:space="0" w:color="auto"/>
                                                                  </w:divBdr>
                                                                  <w:divsChild>
                                                                    <w:div w:id="383992808">
                                                                      <w:marLeft w:val="0"/>
                                                                      <w:marRight w:val="0"/>
                                                                      <w:marTop w:val="0"/>
                                                                      <w:marBottom w:val="0"/>
                                                                      <w:divBdr>
                                                                        <w:top w:val="none" w:sz="0" w:space="0" w:color="auto"/>
                                                                        <w:left w:val="none" w:sz="0" w:space="0" w:color="auto"/>
                                                                        <w:bottom w:val="none" w:sz="0" w:space="0" w:color="auto"/>
                                                                        <w:right w:val="none" w:sz="0" w:space="0" w:color="auto"/>
                                                                      </w:divBdr>
                                                                    </w:div>
                                                                  </w:divsChild>
                                                                </w:div>
                                                                <w:div w:id="1025864908">
                                                                  <w:marLeft w:val="0"/>
                                                                  <w:marRight w:val="0"/>
                                                                  <w:marTop w:val="0"/>
                                                                  <w:marBottom w:val="0"/>
                                                                  <w:divBdr>
                                                                    <w:top w:val="none" w:sz="0" w:space="0" w:color="auto"/>
                                                                    <w:left w:val="none" w:sz="0" w:space="0" w:color="auto"/>
                                                                    <w:bottom w:val="none" w:sz="0" w:space="0" w:color="auto"/>
                                                                    <w:right w:val="none" w:sz="0" w:space="0" w:color="auto"/>
                                                                  </w:divBdr>
                                                                  <w:divsChild>
                                                                    <w:div w:id="237374827">
                                                                      <w:marLeft w:val="0"/>
                                                                      <w:marRight w:val="0"/>
                                                                      <w:marTop w:val="0"/>
                                                                      <w:marBottom w:val="0"/>
                                                                      <w:divBdr>
                                                                        <w:top w:val="none" w:sz="0" w:space="0" w:color="auto"/>
                                                                        <w:left w:val="none" w:sz="0" w:space="0" w:color="auto"/>
                                                                        <w:bottom w:val="none" w:sz="0" w:space="0" w:color="auto"/>
                                                                        <w:right w:val="none" w:sz="0" w:space="0" w:color="auto"/>
                                                                      </w:divBdr>
                                                                      <w:divsChild>
                                                                        <w:div w:id="1718429576">
                                                                          <w:marLeft w:val="0"/>
                                                                          <w:marRight w:val="0"/>
                                                                          <w:marTop w:val="0"/>
                                                                          <w:marBottom w:val="0"/>
                                                                          <w:divBdr>
                                                                            <w:top w:val="none" w:sz="0" w:space="0" w:color="auto"/>
                                                                            <w:left w:val="none" w:sz="0" w:space="0" w:color="auto"/>
                                                                            <w:bottom w:val="none" w:sz="0" w:space="0" w:color="auto"/>
                                                                            <w:right w:val="none" w:sz="0" w:space="0" w:color="auto"/>
                                                                          </w:divBdr>
                                                                        </w:div>
                                                                      </w:divsChild>
                                                                    </w:div>
                                                                    <w:div w:id="1852449317">
                                                                      <w:marLeft w:val="0"/>
                                                                      <w:marRight w:val="0"/>
                                                                      <w:marTop w:val="0"/>
                                                                      <w:marBottom w:val="0"/>
                                                                      <w:divBdr>
                                                                        <w:top w:val="none" w:sz="0" w:space="0" w:color="auto"/>
                                                                        <w:left w:val="none" w:sz="0" w:space="0" w:color="auto"/>
                                                                        <w:bottom w:val="none" w:sz="0" w:space="0" w:color="auto"/>
                                                                        <w:right w:val="none" w:sz="0" w:space="0" w:color="auto"/>
                                                                      </w:divBdr>
                                                                      <w:divsChild>
                                                                        <w:div w:id="902444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515904">
                                                                  <w:marLeft w:val="0"/>
                                                                  <w:marRight w:val="0"/>
                                                                  <w:marTop w:val="0"/>
                                                                  <w:marBottom w:val="0"/>
                                                                  <w:divBdr>
                                                                    <w:top w:val="none" w:sz="0" w:space="0" w:color="auto"/>
                                                                    <w:left w:val="none" w:sz="0" w:space="0" w:color="auto"/>
                                                                    <w:bottom w:val="none" w:sz="0" w:space="0" w:color="auto"/>
                                                                    <w:right w:val="none" w:sz="0" w:space="0" w:color="auto"/>
                                                                  </w:divBdr>
                                                                  <w:divsChild>
                                                                    <w:div w:id="1740204726">
                                                                      <w:marLeft w:val="0"/>
                                                                      <w:marRight w:val="0"/>
                                                                      <w:marTop w:val="0"/>
                                                                      <w:marBottom w:val="0"/>
                                                                      <w:divBdr>
                                                                        <w:top w:val="none" w:sz="0" w:space="0" w:color="auto"/>
                                                                        <w:left w:val="none" w:sz="0" w:space="0" w:color="auto"/>
                                                                        <w:bottom w:val="none" w:sz="0" w:space="0" w:color="auto"/>
                                                                        <w:right w:val="none" w:sz="0" w:space="0" w:color="auto"/>
                                                                      </w:divBdr>
                                                                      <w:divsChild>
                                                                        <w:div w:id="744424838">
                                                                          <w:marLeft w:val="0"/>
                                                                          <w:marRight w:val="0"/>
                                                                          <w:marTop w:val="0"/>
                                                                          <w:marBottom w:val="0"/>
                                                                          <w:divBdr>
                                                                            <w:top w:val="none" w:sz="0" w:space="0" w:color="auto"/>
                                                                            <w:left w:val="none" w:sz="0" w:space="0" w:color="auto"/>
                                                                            <w:bottom w:val="none" w:sz="0" w:space="0" w:color="auto"/>
                                                                            <w:right w:val="none" w:sz="0" w:space="0" w:color="auto"/>
                                                                          </w:divBdr>
                                                                          <w:divsChild>
                                                                            <w:div w:id="1517889351">
                                                                              <w:marLeft w:val="0"/>
                                                                              <w:marRight w:val="0"/>
                                                                              <w:marTop w:val="0"/>
                                                                              <w:marBottom w:val="0"/>
                                                                              <w:divBdr>
                                                                                <w:top w:val="none" w:sz="0" w:space="0" w:color="auto"/>
                                                                                <w:left w:val="none" w:sz="0" w:space="0" w:color="auto"/>
                                                                                <w:bottom w:val="none" w:sz="0" w:space="0" w:color="auto"/>
                                                                                <w:right w:val="none" w:sz="0" w:space="0" w:color="auto"/>
                                                                              </w:divBdr>
                                                                              <w:divsChild>
                                                                                <w:div w:id="2095979811">
                                                                                  <w:marLeft w:val="0"/>
                                                                                  <w:marRight w:val="0"/>
                                                                                  <w:marTop w:val="0"/>
                                                                                  <w:marBottom w:val="0"/>
                                                                                  <w:divBdr>
                                                                                    <w:top w:val="none" w:sz="0" w:space="0" w:color="auto"/>
                                                                                    <w:left w:val="none" w:sz="0" w:space="0" w:color="auto"/>
                                                                                    <w:bottom w:val="none" w:sz="0" w:space="0" w:color="auto"/>
                                                                                    <w:right w:val="none" w:sz="0" w:space="0" w:color="auto"/>
                                                                                  </w:divBdr>
                                                                                  <w:divsChild>
                                                                                    <w:div w:id="1655839515">
                                                                                      <w:marLeft w:val="0"/>
                                                                                      <w:marRight w:val="0"/>
                                                                                      <w:marTop w:val="0"/>
                                                                                      <w:marBottom w:val="0"/>
                                                                                      <w:divBdr>
                                                                                        <w:top w:val="none" w:sz="0" w:space="0" w:color="auto"/>
                                                                                        <w:left w:val="none" w:sz="0" w:space="0" w:color="auto"/>
                                                                                        <w:bottom w:val="none" w:sz="0" w:space="0" w:color="auto"/>
                                                                                        <w:right w:val="none" w:sz="0" w:space="0" w:color="auto"/>
                                                                                      </w:divBdr>
                                                                                      <w:divsChild>
                                                                                        <w:div w:id="1102803558">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2073036638">
                                                                              <w:marLeft w:val="0"/>
                                                                              <w:marRight w:val="0"/>
                                                                              <w:marTop w:val="0"/>
                                                                              <w:marBottom w:val="0"/>
                                                                              <w:divBdr>
                                                                                <w:top w:val="none" w:sz="0" w:space="0" w:color="auto"/>
                                                                                <w:left w:val="none" w:sz="0" w:space="0" w:color="auto"/>
                                                                                <w:bottom w:val="none" w:sz="0" w:space="0" w:color="auto"/>
                                                                                <w:right w:val="none" w:sz="0" w:space="0" w:color="auto"/>
                                                                              </w:divBdr>
                                                                            </w:div>
                                                                          </w:divsChild>
                                                                        </w:div>
                                                                        <w:div w:id="1951428636">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769550696">
                                                          <w:marLeft w:val="0"/>
                                                          <w:marRight w:val="0"/>
                                                          <w:marTop w:val="0"/>
                                                          <w:marBottom w:val="0"/>
                                                          <w:divBdr>
                                                            <w:top w:val="none" w:sz="0" w:space="0" w:color="auto"/>
                                                            <w:left w:val="none" w:sz="0" w:space="0" w:color="auto"/>
                                                            <w:bottom w:val="none" w:sz="0" w:space="0" w:color="auto"/>
                                                            <w:right w:val="none" w:sz="0" w:space="0" w:color="auto"/>
                                                          </w:divBdr>
                                                          <w:divsChild>
                                                            <w:div w:id="1348674043">
                                                              <w:marLeft w:val="0"/>
                                                              <w:marRight w:val="0"/>
                                                              <w:marTop w:val="0"/>
                                                              <w:marBottom w:val="0"/>
                                                              <w:divBdr>
                                                                <w:top w:val="none" w:sz="0" w:space="0" w:color="auto"/>
                                                                <w:left w:val="none" w:sz="0" w:space="0" w:color="auto"/>
                                                                <w:bottom w:val="none" w:sz="0" w:space="0" w:color="auto"/>
                                                                <w:right w:val="none" w:sz="0" w:space="0" w:color="auto"/>
                                                              </w:divBdr>
                                                              <w:divsChild>
                                                                <w:div w:id="490948081">
                                                                  <w:marLeft w:val="0"/>
                                                                  <w:marRight w:val="0"/>
                                                                  <w:marTop w:val="0"/>
                                                                  <w:marBottom w:val="0"/>
                                                                  <w:divBdr>
                                                                    <w:top w:val="none" w:sz="0" w:space="0" w:color="auto"/>
                                                                    <w:left w:val="none" w:sz="0" w:space="0" w:color="auto"/>
                                                                    <w:bottom w:val="none" w:sz="0" w:space="0" w:color="auto"/>
                                                                    <w:right w:val="none" w:sz="0" w:space="0" w:color="auto"/>
                                                                  </w:divBdr>
                                                                  <w:divsChild>
                                                                    <w:div w:id="2029867391">
                                                                      <w:marLeft w:val="0"/>
                                                                      <w:marRight w:val="0"/>
                                                                      <w:marTop w:val="0"/>
                                                                      <w:marBottom w:val="0"/>
                                                                      <w:divBdr>
                                                                        <w:top w:val="none" w:sz="0" w:space="0" w:color="auto"/>
                                                                        <w:left w:val="none" w:sz="0" w:space="0" w:color="auto"/>
                                                                        <w:bottom w:val="none" w:sz="0" w:space="0" w:color="auto"/>
                                                                        <w:right w:val="none" w:sz="0" w:space="0" w:color="auto"/>
                                                                      </w:divBdr>
                                                                      <w:divsChild>
                                                                        <w:div w:id="551235787">
                                                                          <w:marLeft w:val="0"/>
                                                                          <w:marRight w:val="0"/>
                                                                          <w:marTop w:val="0"/>
                                                                          <w:marBottom w:val="0"/>
                                                                          <w:divBdr>
                                                                            <w:top w:val="none" w:sz="0" w:space="0" w:color="auto"/>
                                                                            <w:left w:val="none" w:sz="0" w:space="0" w:color="auto"/>
                                                                            <w:bottom w:val="none" w:sz="0" w:space="0" w:color="auto"/>
                                                                            <w:right w:val="none" w:sz="0" w:space="0" w:color="auto"/>
                                                                          </w:divBdr>
                                                                          <w:divsChild>
                                                                            <w:div w:id="1390231917">
                                                                              <w:marLeft w:val="0"/>
                                                                              <w:marRight w:val="0"/>
                                                                              <w:marTop w:val="0"/>
                                                                              <w:marBottom w:val="0"/>
                                                                              <w:divBdr>
                                                                                <w:top w:val="none" w:sz="0" w:space="0" w:color="auto"/>
                                                                                <w:left w:val="none" w:sz="0" w:space="0" w:color="auto"/>
                                                                                <w:bottom w:val="none" w:sz="0" w:space="0" w:color="auto"/>
                                                                                <w:right w:val="none" w:sz="0" w:space="0" w:color="auto"/>
                                                                              </w:divBdr>
                                                                              <w:divsChild>
                                                                                <w:div w:id="1266811883">
                                                                                  <w:marLeft w:val="0"/>
                                                                                  <w:marRight w:val="0"/>
                                                                                  <w:marTop w:val="0"/>
                                                                                  <w:marBottom w:val="0"/>
                                                                                  <w:divBdr>
                                                                                    <w:top w:val="none" w:sz="0" w:space="0" w:color="auto"/>
                                                                                    <w:left w:val="none" w:sz="0" w:space="0" w:color="auto"/>
                                                                                    <w:bottom w:val="none" w:sz="0" w:space="0" w:color="auto"/>
                                                                                    <w:right w:val="none" w:sz="0" w:space="0" w:color="auto"/>
                                                                                  </w:divBdr>
                                                                                  <w:divsChild>
                                                                                    <w:div w:id="1836459693">
                                                                                      <w:marLeft w:val="0"/>
                                                                                      <w:marRight w:val="0"/>
                                                                                      <w:marTop w:val="0"/>
                                                                                      <w:marBottom w:val="0"/>
                                                                                      <w:divBdr>
                                                                                        <w:top w:val="none" w:sz="0" w:space="0" w:color="auto"/>
                                                                                        <w:left w:val="none" w:sz="0" w:space="0" w:color="auto"/>
                                                                                        <w:bottom w:val="none" w:sz="0" w:space="0" w:color="auto"/>
                                                                                        <w:right w:val="none" w:sz="0" w:space="0" w:color="auto"/>
                                                                                      </w:divBdr>
                                                                                      <w:divsChild>
                                                                                        <w:div w:id="617685267">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1747727818">
                                                                              <w:marLeft w:val="0"/>
                                                                              <w:marRight w:val="0"/>
                                                                              <w:marTop w:val="0"/>
                                                                              <w:marBottom w:val="0"/>
                                                                              <w:divBdr>
                                                                                <w:top w:val="none" w:sz="0" w:space="0" w:color="auto"/>
                                                                                <w:left w:val="none" w:sz="0" w:space="0" w:color="auto"/>
                                                                                <w:bottom w:val="none" w:sz="0" w:space="0" w:color="auto"/>
                                                                                <w:right w:val="none" w:sz="0" w:space="0" w:color="auto"/>
                                                                              </w:divBdr>
                                                                            </w:div>
                                                                          </w:divsChild>
                                                                        </w:div>
                                                                        <w:div w:id="2073890369">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504591327">
                                                                  <w:marLeft w:val="0"/>
                                                                  <w:marRight w:val="0"/>
                                                                  <w:marTop w:val="0"/>
                                                                  <w:marBottom w:val="0"/>
                                                                  <w:divBdr>
                                                                    <w:top w:val="none" w:sz="0" w:space="0" w:color="auto"/>
                                                                    <w:left w:val="none" w:sz="0" w:space="0" w:color="auto"/>
                                                                    <w:bottom w:val="none" w:sz="0" w:space="0" w:color="auto"/>
                                                                    <w:right w:val="none" w:sz="0" w:space="0" w:color="auto"/>
                                                                  </w:divBdr>
                                                                  <w:divsChild>
                                                                    <w:div w:id="712971415">
                                                                      <w:marLeft w:val="0"/>
                                                                      <w:marRight w:val="0"/>
                                                                      <w:marTop w:val="0"/>
                                                                      <w:marBottom w:val="0"/>
                                                                      <w:divBdr>
                                                                        <w:top w:val="none" w:sz="0" w:space="0" w:color="auto"/>
                                                                        <w:left w:val="none" w:sz="0" w:space="0" w:color="auto"/>
                                                                        <w:bottom w:val="none" w:sz="0" w:space="0" w:color="auto"/>
                                                                        <w:right w:val="none" w:sz="0" w:space="0" w:color="auto"/>
                                                                      </w:divBdr>
                                                                      <w:divsChild>
                                                                        <w:div w:id="1379279602">
                                                                          <w:marLeft w:val="0"/>
                                                                          <w:marRight w:val="0"/>
                                                                          <w:marTop w:val="0"/>
                                                                          <w:marBottom w:val="0"/>
                                                                          <w:divBdr>
                                                                            <w:top w:val="none" w:sz="0" w:space="0" w:color="auto"/>
                                                                            <w:left w:val="none" w:sz="0" w:space="0" w:color="auto"/>
                                                                            <w:bottom w:val="none" w:sz="0" w:space="0" w:color="auto"/>
                                                                            <w:right w:val="none" w:sz="0" w:space="0" w:color="auto"/>
                                                                          </w:divBdr>
                                                                        </w:div>
                                                                      </w:divsChild>
                                                                    </w:div>
                                                                    <w:div w:id="1984116093">
                                                                      <w:marLeft w:val="0"/>
                                                                      <w:marRight w:val="0"/>
                                                                      <w:marTop w:val="0"/>
                                                                      <w:marBottom w:val="0"/>
                                                                      <w:divBdr>
                                                                        <w:top w:val="none" w:sz="0" w:space="0" w:color="auto"/>
                                                                        <w:left w:val="none" w:sz="0" w:space="0" w:color="auto"/>
                                                                        <w:bottom w:val="none" w:sz="0" w:space="0" w:color="auto"/>
                                                                        <w:right w:val="none" w:sz="0" w:space="0" w:color="auto"/>
                                                                      </w:divBdr>
                                                                      <w:divsChild>
                                                                        <w:div w:id="1625841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504722">
                                                                  <w:marLeft w:val="0"/>
                                                                  <w:marRight w:val="0"/>
                                                                  <w:marTop w:val="0"/>
                                                                  <w:marBottom w:val="0"/>
                                                                  <w:divBdr>
                                                                    <w:top w:val="none" w:sz="0" w:space="0" w:color="auto"/>
                                                                    <w:left w:val="none" w:sz="0" w:space="0" w:color="auto"/>
                                                                    <w:bottom w:val="none" w:sz="0" w:space="0" w:color="auto"/>
                                                                    <w:right w:val="none" w:sz="0" w:space="0" w:color="auto"/>
                                                                  </w:divBdr>
                                                                  <w:divsChild>
                                                                    <w:div w:id="1174492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3037723">
                                                          <w:marLeft w:val="0"/>
                                                          <w:marRight w:val="0"/>
                                                          <w:marTop w:val="0"/>
                                                          <w:marBottom w:val="0"/>
                                                          <w:divBdr>
                                                            <w:top w:val="none" w:sz="0" w:space="0" w:color="auto"/>
                                                            <w:left w:val="none" w:sz="0" w:space="0" w:color="auto"/>
                                                            <w:bottom w:val="none" w:sz="0" w:space="0" w:color="auto"/>
                                                            <w:right w:val="none" w:sz="0" w:space="0" w:color="auto"/>
                                                          </w:divBdr>
                                                          <w:divsChild>
                                                            <w:div w:id="1275749694">
                                                              <w:marLeft w:val="0"/>
                                                              <w:marRight w:val="0"/>
                                                              <w:marTop w:val="0"/>
                                                              <w:marBottom w:val="0"/>
                                                              <w:divBdr>
                                                                <w:top w:val="none" w:sz="0" w:space="0" w:color="auto"/>
                                                                <w:left w:val="none" w:sz="0" w:space="0" w:color="auto"/>
                                                                <w:bottom w:val="none" w:sz="0" w:space="0" w:color="auto"/>
                                                                <w:right w:val="none" w:sz="0" w:space="0" w:color="auto"/>
                                                              </w:divBdr>
                                                              <w:divsChild>
                                                                <w:div w:id="695039541">
                                                                  <w:marLeft w:val="0"/>
                                                                  <w:marRight w:val="0"/>
                                                                  <w:marTop w:val="0"/>
                                                                  <w:marBottom w:val="0"/>
                                                                  <w:divBdr>
                                                                    <w:top w:val="none" w:sz="0" w:space="0" w:color="auto"/>
                                                                    <w:left w:val="none" w:sz="0" w:space="0" w:color="auto"/>
                                                                    <w:bottom w:val="none" w:sz="0" w:space="0" w:color="auto"/>
                                                                    <w:right w:val="none" w:sz="0" w:space="0" w:color="auto"/>
                                                                  </w:divBdr>
                                                                  <w:divsChild>
                                                                    <w:div w:id="2142259823">
                                                                      <w:marLeft w:val="0"/>
                                                                      <w:marRight w:val="0"/>
                                                                      <w:marTop w:val="0"/>
                                                                      <w:marBottom w:val="0"/>
                                                                      <w:divBdr>
                                                                        <w:top w:val="none" w:sz="0" w:space="0" w:color="auto"/>
                                                                        <w:left w:val="none" w:sz="0" w:space="0" w:color="auto"/>
                                                                        <w:bottom w:val="none" w:sz="0" w:space="0" w:color="auto"/>
                                                                        <w:right w:val="none" w:sz="0" w:space="0" w:color="auto"/>
                                                                      </w:divBdr>
                                                                      <w:divsChild>
                                                                        <w:div w:id="189147175">
                                                                          <w:marLeft w:val="0"/>
                                                                          <w:marRight w:val="0"/>
                                                                          <w:marTop w:val="0"/>
                                                                          <w:marBottom w:val="0"/>
                                                                          <w:divBdr>
                                                                            <w:top w:val="none" w:sz="0" w:space="0" w:color="auto"/>
                                                                            <w:left w:val="none" w:sz="0" w:space="0" w:color="auto"/>
                                                                            <w:bottom w:val="none" w:sz="0" w:space="0" w:color="auto"/>
                                                                            <w:right w:val="none" w:sz="0" w:space="0" w:color="auto"/>
                                                                          </w:divBdr>
                                                                          <w:divsChild>
                                                                            <w:div w:id="1131020418">
                                                                              <w:marLeft w:val="0"/>
                                                                              <w:marRight w:val="0"/>
                                                                              <w:marTop w:val="0"/>
                                                                              <w:marBottom w:val="0"/>
                                                                              <w:divBdr>
                                                                                <w:top w:val="none" w:sz="0" w:space="0" w:color="auto"/>
                                                                                <w:left w:val="none" w:sz="0" w:space="0" w:color="auto"/>
                                                                                <w:bottom w:val="none" w:sz="0" w:space="0" w:color="auto"/>
                                                                                <w:right w:val="none" w:sz="0" w:space="0" w:color="auto"/>
                                                                              </w:divBdr>
                                                                            </w:div>
                                                                            <w:div w:id="1770007944">
                                                                              <w:marLeft w:val="0"/>
                                                                              <w:marRight w:val="0"/>
                                                                              <w:marTop w:val="0"/>
                                                                              <w:marBottom w:val="0"/>
                                                                              <w:divBdr>
                                                                                <w:top w:val="none" w:sz="0" w:space="0" w:color="auto"/>
                                                                                <w:left w:val="none" w:sz="0" w:space="0" w:color="auto"/>
                                                                                <w:bottom w:val="none" w:sz="0" w:space="0" w:color="auto"/>
                                                                                <w:right w:val="none" w:sz="0" w:space="0" w:color="auto"/>
                                                                              </w:divBdr>
                                                                              <w:divsChild>
                                                                                <w:div w:id="14968401">
                                                                                  <w:marLeft w:val="0"/>
                                                                                  <w:marRight w:val="0"/>
                                                                                  <w:marTop w:val="0"/>
                                                                                  <w:marBottom w:val="0"/>
                                                                                  <w:divBdr>
                                                                                    <w:top w:val="none" w:sz="0" w:space="0" w:color="auto"/>
                                                                                    <w:left w:val="none" w:sz="0" w:space="0" w:color="auto"/>
                                                                                    <w:bottom w:val="none" w:sz="0" w:space="0" w:color="auto"/>
                                                                                    <w:right w:val="none" w:sz="0" w:space="0" w:color="auto"/>
                                                                                  </w:divBdr>
                                                                                  <w:divsChild>
                                                                                    <w:div w:id="1027633407">
                                                                                      <w:marLeft w:val="0"/>
                                                                                      <w:marRight w:val="0"/>
                                                                                      <w:marTop w:val="0"/>
                                                                                      <w:marBottom w:val="0"/>
                                                                                      <w:divBdr>
                                                                                        <w:top w:val="none" w:sz="0" w:space="0" w:color="auto"/>
                                                                                        <w:left w:val="none" w:sz="0" w:space="0" w:color="auto"/>
                                                                                        <w:bottom w:val="none" w:sz="0" w:space="0" w:color="auto"/>
                                                                                        <w:right w:val="none" w:sz="0" w:space="0" w:color="auto"/>
                                                                                      </w:divBdr>
                                                                                      <w:divsChild>
                                                                                        <w:div w:id="1627346458">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sChild>
                                                                        </w:div>
                                                                        <w:div w:id="59142955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2019430643">
                                                                  <w:marLeft w:val="0"/>
                                                                  <w:marRight w:val="0"/>
                                                                  <w:marTop w:val="0"/>
                                                                  <w:marBottom w:val="0"/>
                                                                  <w:divBdr>
                                                                    <w:top w:val="none" w:sz="0" w:space="0" w:color="auto"/>
                                                                    <w:left w:val="none" w:sz="0" w:space="0" w:color="auto"/>
                                                                    <w:bottom w:val="none" w:sz="0" w:space="0" w:color="auto"/>
                                                                    <w:right w:val="none" w:sz="0" w:space="0" w:color="auto"/>
                                                                  </w:divBdr>
                                                                  <w:divsChild>
                                                                    <w:div w:id="1950314594">
                                                                      <w:marLeft w:val="0"/>
                                                                      <w:marRight w:val="0"/>
                                                                      <w:marTop w:val="0"/>
                                                                      <w:marBottom w:val="0"/>
                                                                      <w:divBdr>
                                                                        <w:top w:val="none" w:sz="0" w:space="0" w:color="auto"/>
                                                                        <w:left w:val="none" w:sz="0" w:space="0" w:color="auto"/>
                                                                        <w:bottom w:val="none" w:sz="0" w:space="0" w:color="auto"/>
                                                                        <w:right w:val="none" w:sz="0" w:space="0" w:color="auto"/>
                                                                      </w:divBdr>
                                                                    </w:div>
                                                                  </w:divsChild>
                                                                </w:div>
                                                                <w:div w:id="2044401931">
                                                                  <w:marLeft w:val="0"/>
                                                                  <w:marRight w:val="0"/>
                                                                  <w:marTop w:val="0"/>
                                                                  <w:marBottom w:val="0"/>
                                                                  <w:divBdr>
                                                                    <w:top w:val="none" w:sz="0" w:space="0" w:color="auto"/>
                                                                    <w:left w:val="none" w:sz="0" w:space="0" w:color="auto"/>
                                                                    <w:bottom w:val="none" w:sz="0" w:space="0" w:color="auto"/>
                                                                    <w:right w:val="none" w:sz="0" w:space="0" w:color="auto"/>
                                                                  </w:divBdr>
                                                                  <w:divsChild>
                                                                    <w:div w:id="470831973">
                                                                      <w:marLeft w:val="0"/>
                                                                      <w:marRight w:val="0"/>
                                                                      <w:marTop w:val="0"/>
                                                                      <w:marBottom w:val="0"/>
                                                                      <w:divBdr>
                                                                        <w:top w:val="none" w:sz="0" w:space="0" w:color="auto"/>
                                                                        <w:left w:val="none" w:sz="0" w:space="0" w:color="auto"/>
                                                                        <w:bottom w:val="none" w:sz="0" w:space="0" w:color="auto"/>
                                                                        <w:right w:val="none" w:sz="0" w:space="0" w:color="auto"/>
                                                                      </w:divBdr>
                                                                      <w:divsChild>
                                                                        <w:div w:id="1886481793">
                                                                          <w:marLeft w:val="0"/>
                                                                          <w:marRight w:val="0"/>
                                                                          <w:marTop w:val="0"/>
                                                                          <w:marBottom w:val="0"/>
                                                                          <w:divBdr>
                                                                            <w:top w:val="none" w:sz="0" w:space="0" w:color="auto"/>
                                                                            <w:left w:val="none" w:sz="0" w:space="0" w:color="auto"/>
                                                                            <w:bottom w:val="none" w:sz="0" w:space="0" w:color="auto"/>
                                                                            <w:right w:val="none" w:sz="0" w:space="0" w:color="auto"/>
                                                                          </w:divBdr>
                                                                        </w:div>
                                                                      </w:divsChild>
                                                                    </w:div>
                                                                    <w:div w:id="671220943">
                                                                      <w:marLeft w:val="0"/>
                                                                      <w:marRight w:val="0"/>
                                                                      <w:marTop w:val="0"/>
                                                                      <w:marBottom w:val="0"/>
                                                                      <w:divBdr>
                                                                        <w:top w:val="none" w:sz="0" w:space="0" w:color="auto"/>
                                                                        <w:left w:val="none" w:sz="0" w:space="0" w:color="auto"/>
                                                                        <w:bottom w:val="none" w:sz="0" w:space="0" w:color="auto"/>
                                                                        <w:right w:val="none" w:sz="0" w:space="0" w:color="auto"/>
                                                                      </w:divBdr>
                                                                      <w:divsChild>
                                                                        <w:div w:id="11691774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412157">
                                                          <w:marLeft w:val="0"/>
                                                          <w:marRight w:val="0"/>
                                                          <w:marTop w:val="0"/>
                                                          <w:marBottom w:val="0"/>
                                                          <w:divBdr>
                                                            <w:top w:val="none" w:sz="0" w:space="0" w:color="auto"/>
                                                            <w:left w:val="none" w:sz="0" w:space="0" w:color="auto"/>
                                                            <w:bottom w:val="none" w:sz="0" w:space="0" w:color="auto"/>
                                                            <w:right w:val="none" w:sz="0" w:space="0" w:color="auto"/>
                                                          </w:divBdr>
                                                          <w:divsChild>
                                                            <w:div w:id="1452356156">
                                                              <w:marLeft w:val="0"/>
                                                              <w:marRight w:val="0"/>
                                                              <w:marTop w:val="0"/>
                                                              <w:marBottom w:val="0"/>
                                                              <w:divBdr>
                                                                <w:top w:val="none" w:sz="0" w:space="0" w:color="auto"/>
                                                                <w:left w:val="none" w:sz="0" w:space="0" w:color="auto"/>
                                                                <w:bottom w:val="none" w:sz="0" w:space="0" w:color="auto"/>
                                                                <w:right w:val="none" w:sz="0" w:space="0" w:color="auto"/>
                                                              </w:divBdr>
                                                              <w:divsChild>
                                                                <w:div w:id="76100061">
                                                                  <w:marLeft w:val="0"/>
                                                                  <w:marRight w:val="0"/>
                                                                  <w:marTop w:val="0"/>
                                                                  <w:marBottom w:val="0"/>
                                                                  <w:divBdr>
                                                                    <w:top w:val="none" w:sz="0" w:space="0" w:color="auto"/>
                                                                    <w:left w:val="none" w:sz="0" w:space="0" w:color="auto"/>
                                                                    <w:bottom w:val="none" w:sz="0" w:space="0" w:color="auto"/>
                                                                    <w:right w:val="none" w:sz="0" w:space="0" w:color="auto"/>
                                                                  </w:divBdr>
                                                                  <w:divsChild>
                                                                    <w:div w:id="1357657032">
                                                                      <w:marLeft w:val="0"/>
                                                                      <w:marRight w:val="0"/>
                                                                      <w:marTop w:val="0"/>
                                                                      <w:marBottom w:val="0"/>
                                                                      <w:divBdr>
                                                                        <w:top w:val="none" w:sz="0" w:space="0" w:color="auto"/>
                                                                        <w:left w:val="none" w:sz="0" w:space="0" w:color="auto"/>
                                                                        <w:bottom w:val="none" w:sz="0" w:space="0" w:color="auto"/>
                                                                        <w:right w:val="none" w:sz="0" w:space="0" w:color="auto"/>
                                                                      </w:divBdr>
                                                                      <w:divsChild>
                                                                        <w:div w:id="1429429251">
                                                                          <w:marLeft w:val="0"/>
                                                                          <w:marRight w:val="0"/>
                                                                          <w:marTop w:val="100"/>
                                                                          <w:marBottom w:val="100"/>
                                                                          <w:divBdr>
                                                                            <w:top w:val="none" w:sz="0" w:space="0" w:color="auto"/>
                                                                            <w:left w:val="none" w:sz="0" w:space="0" w:color="auto"/>
                                                                            <w:bottom w:val="none" w:sz="0" w:space="0" w:color="auto"/>
                                                                            <w:right w:val="none" w:sz="0" w:space="0" w:color="auto"/>
                                                                          </w:divBdr>
                                                                        </w:div>
                                                                        <w:div w:id="1850950519">
                                                                          <w:marLeft w:val="0"/>
                                                                          <w:marRight w:val="0"/>
                                                                          <w:marTop w:val="0"/>
                                                                          <w:marBottom w:val="0"/>
                                                                          <w:divBdr>
                                                                            <w:top w:val="none" w:sz="0" w:space="0" w:color="auto"/>
                                                                            <w:left w:val="none" w:sz="0" w:space="0" w:color="auto"/>
                                                                            <w:bottom w:val="none" w:sz="0" w:space="0" w:color="auto"/>
                                                                            <w:right w:val="none" w:sz="0" w:space="0" w:color="auto"/>
                                                                          </w:divBdr>
                                                                          <w:divsChild>
                                                                            <w:div w:id="713846628">
                                                                              <w:marLeft w:val="0"/>
                                                                              <w:marRight w:val="0"/>
                                                                              <w:marTop w:val="0"/>
                                                                              <w:marBottom w:val="0"/>
                                                                              <w:divBdr>
                                                                                <w:top w:val="none" w:sz="0" w:space="0" w:color="auto"/>
                                                                                <w:left w:val="none" w:sz="0" w:space="0" w:color="auto"/>
                                                                                <w:bottom w:val="none" w:sz="0" w:space="0" w:color="auto"/>
                                                                                <w:right w:val="none" w:sz="0" w:space="0" w:color="auto"/>
                                                                              </w:divBdr>
                                                                            </w:div>
                                                                            <w:div w:id="1932077560">
                                                                              <w:marLeft w:val="0"/>
                                                                              <w:marRight w:val="0"/>
                                                                              <w:marTop w:val="0"/>
                                                                              <w:marBottom w:val="0"/>
                                                                              <w:divBdr>
                                                                                <w:top w:val="none" w:sz="0" w:space="0" w:color="auto"/>
                                                                                <w:left w:val="none" w:sz="0" w:space="0" w:color="auto"/>
                                                                                <w:bottom w:val="none" w:sz="0" w:space="0" w:color="auto"/>
                                                                                <w:right w:val="none" w:sz="0" w:space="0" w:color="auto"/>
                                                                              </w:divBdr>
                                                                              <w:divsChild>
                                                                                <w:div w:id="767892908">
                                                                                  <w:marLeft w:val="0"/>
                                                                                  <w:marRight w:val="0"/>
                                                                                  <w:marTop w:val="0"/>
                                                                                  <w:marBottom w:val="0"/>
                                                                                  <w:divBdr>
                                                                                    <w:top w:val="none" w:sz="0" w:space="0" w:color="auto"/>
                                                                                    <w:left w:val="none" w:sz="0" w:space="0" w:color="auto"/>
                                                                                    <w:bottom w:val="none" w:sz="0" w:space="0" w:color="auto"/>
                                                                                    <w:right w:val="none" w:sz="0" w:space="0" w:color="auto"/>
                                                                                  </w:divBdr>
                                                                                  <w:divsChild>
                                                                                    <w:div w:id="541477691">
                                                                                      <w:marLeft w:val="0"/>
                                                                                      <w:marRight w:val="0"/>
                                                                                      <w:marTop w:val="0"/>
                                                                                      <w:marBottom w:val="0"/>
                                                                                      <w:divBdr>
                                                                                        <w:top w:val="none" w:sz="0" w:space="0" w:color="auto"/>
                                                                                        <w:left w:val="none" w:sz="0" w:space="0" w:color="auto"/>
                                                                                        <w:bottom w:val="none" w:sz="0" w:space="0" w:color="auto"/>
                                                                                        <w:right w:val="none" w:sz="0" w:space="0" w:color="auto"/>
                                                                                      </w:divBdr>
                                                                                      <w:divsChild>
                                                                                        <w:div w:id="177544315">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sChild>
                                                                        </w:div>
                                                                      </w:divsChild>
                                                                    </w:div>
                                                                  </w:divsChild>
                                                                </w:div>
                                                                <w:div w:id="1489203064">
                                                                  <w:marLeft w:val="0"/>
                                                                  <w:marRight w:val="0"/>
                                                                  <w:marTop w:val="0"/>
                                                                  <w:marBottom w:val="0"/>
                                                                  <w:divBdr>
                                                                    <w:top w:val="none" w:sz="0" w:space="0" w:color="auto"/>
                                                                    <w:left w:val="none" w:sz="0" w:space="0" w:color="auto"/>
                                                                    <w:bottom w:val="none" w:sz="0" w:space="0" w:color="auto"/>
                                                                    <w:right w:val="none" w:sz="0" w:space="0" w:color="auto"/>
                                                                  </w:divBdr>
                                                                  <w:divsChild>
                                                                    <w:div w:id="1477457392">
                                                                      <w:marLeft w:val="0"/>
                                                                      <w:marRight w:val="0"/>
                                                                      <w:marTop w:val="0"/>
                                                                      <w:marBottom w:val="0"/>
                                                                      <w:divBdr>
                                                                        <w:top w:val="none" w:sz="0" w:space="0" w:color="auto"/>
                                                                        <w:left w:val="none" w:sz="0" w:space="0" w:color="auto"/>
                                                                        <w:bottom w:val="none" w:sz="0" w:space="0" w:color="auto"/>
                                                                        <w:right w:val="none" w:sz="0" w:space="0" w:color="auto"/>
                                                                      </w:divBdr>
                                                                    </w:div>
                                                                  </w:divsChild>
                                                                </w:div>
                                                                <w:div w:id="1853496441">
                                                                  <w:marLeft w:val="0"/>
                                                                  <w:marRight w:val="0"/>
                                                                  <w:marTop w:val="0"/>
                                                                  <w:marBottom w:val="0"/>
                                                                  <w:divBdr>
                                                                    <w:top w:val="none" w:sz="0" w:space="0" w:color="auto"/>
                                                                    <w:left w:val="none" w:sz="0" w:space="0" w:color="auto"/>
                                                                    <w:bottom w:val="none" w:sz="0" w:space="0" w:color="auto"/>
                                                                    <w:right w:val="none" w:sz="0" w:space="0" w:color="auto"/>
                                                                  </w:divBdr>
                                                                  <w:divsChild>
                                                                    <w:div w:id="11734469">
                                                                      <w:marLeft w:val="0"/>
                                                                      <w:marRight w:val="0"/>
                                                                      <w:marTop w:val="0"/>
                                                                      <w:marBottom w:val="0"/>
                                                                      <w:divBdr>
                                                                        <w:top w:val="none" w:sz="0" w:space="0" w:color="auto"/>
                                                                        <w:left w:val="none" w:sz="0" w:space="0" w:color="auto"/>
                                                                        <w:bottom w:val="none" w:sz="0" w:space="0" w:color="auto"/>
                                                                        <w:right w:val="none" w:sz="0" w:space="0" w:color="auto"/>
                                                                      </w:divBdr>
                                                                      <w:divsChild>
                                                                        <w:div w:id="2145464120">
                                                                          <w:marLeft w:val="0"/>
                                                                          <w:marRight w:val="0"/>
                                                                          <w:marTop w:val="0"/>
                                                                          <w:marBottom w:val="0"/>
                                                                          <w:divBdr>
                                                                            <w:top w:val="none" w:sz="0" w:space="0" w:color="auto"/>
                                                                            <w:left w:val="none" w:sz="0" w:space="0" w:color="auto"/>
                                                                            <w:bottom w:val="none" w:sz="0" w:space="0" w:color="auto"/>
                                                                            <w:right w:val="none" w:sz="0" w:space="0" w:color="auto"/>
                                                                          </w:divBdr>
                                                                        </w:div>
                                                                      </w:divsChild>
                                                                    </w:div>
                                                                    <w:div w:id="496577619">
                                                                      <w:marLeft w:val="0"/>
                                                                      <w:marRight w:val="0"/>
                                                                      <w:marTop w:val="0"/>
                                                                      <w:marBottom w:val="0"/>
                                                                      <w:divBdr>
                                                                        <w:top w:val="none" w:sz="0" w:space="0" w:color="auto"/>
                                                                        <w:left w:val="none" w:sz="0" w:space="0" w:color="auto"/>
                                                                        <w:bottom w:val="none" w:sz="0" w:space="0" w:color="auto"/>
                                                                        <w:right w:val="none" w:sz="0" w:space="0" w:color="auto"/>
                                                                      </w:divBdr>
                                                                      <w:divsChild>
                                                                        <w:div w:id="11468930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9844464">
                                                          <w:marLeft w:val="0"/>
                                                          <w:marRight w:val="0"/>
                                                          <w:marTop w:val="0"/>
                                                          <w:marBottom w:val="0"/>
                                                          <w:divBdr>
                                                            <w:top w:val="none" w:sz="0" w:space="0" w:color="auto"/>
                                                            <w:left w:val="none" w:sz="0" w:space="0" w:color="auto"/>
                                                            <w:bottom w:val="none" w:sz="0" w:space="0" w:color="auto"/>
                                                            <w:right w:val="none" w:sz="0" w:space="0" w:color="auto"/>
                                                          </w:divBdr>
                                                          <w:divsChild>
                                                            <w:div w:id="1604918112">
                                                              <w:marLeft w:val="0"/>
                                                              <w:marRight w:val="0"/>
                                                              <w:marTop w:val="0"/>
                                                              <w:marBottom w:val="0"/>
                                                              <w:divBdr>
                                                                <w:top w:val="none" w:sz="0" w:space="0" w:color="auto"/>
                                                                <w:left w:val="none" w:sz="0" w:space="0" w:color="auto"/>
                                                                <w:bottom w:val="none" w:sz="0" w:space="0" w:color="auto"/>
                                                                <w:right w:val="none" w:sz="0" w:space="0" w:color="auto"/>
                                                              </w:divBdr>
                                                              <w:divsChild>
                                                                <w:div w:id="30494916">
                                                                  <w:marLeft w:val="0"/>
                                                                  <w:marRight w:val="0"/>
                                                                  <w:marTop w:val="0"/>
                                                                  <w:marBottom w:val="0"/>
                                                                  <w:divBdr>
                                                                    <w:top w:val="none" w:sz="0" w:space="0" w:color="auto"/>
                                                                    <w:left w:val="none" w:sz="0" w:space="0" w:color="auto"/>
                                                                    <w:bottom w:val="none" w:sz="0" w:space="0" w:color="auto"/>
                                                                    <w:right w:val="none" w:sz="0" w:space="0" w:color="auto"/>
                                                                  </w:divBdr>
                                                                  <w:divsChild>
                                                                    <w:div w:id="2052724150">
                                                                      <w:marLeft w:val="0"/>
                                                                      <w:marRight w:val="0"/>
                                                                      <w:marTop w:val="0"/>
                                                                      <w:marBottom w:val="0"/>
                                                                      <w:divBdr>
                                                                        <w:top w:val="none" w:sz="0" w:space="0" w:color="auto"/>
                                                                        <w:left w:val="none" w:sz="0" w:space="0" w:color="auto"/>
                                                                        <w:bottom w:val="none" w:sz="0" w:space="0" w:color="auto"/>
                                                                        <w:right w:val="none" w:sz="0" w:space="0" w:color="auto"/>
                                                                      </w:divBdr>
                                                                      <w:divsChild>
                                                                        <w:div w:id="688336401">
                                                                          <w:marLeft w:val="0"/>
                                                                          <w:marRight w:val="0"/>
                                                                          <w:marTop w:val="100"/>
                                                                          <w:marBottom w:val="100"/>
                                                                          <w:divBdr>
                                                                            <w:top w:val="none" w:sz="0" w:space="0" w:color="auto"/>
                                                                            <w:left w:val="none" w:sz="0" w:space="0" w:color="auto"/>
                                                                            <w:bottom w:val="none" w:sz="0" w:space="0" w:color="auto"/>
                                                                            <w:right w:val="none" w:sz="0" w:space="0" w:color="auto"/>
                                                                          </w:divBdr>
                                                                        </w:div>
                                                                        <w:div w:id="2048140344">
                                                                          <w:marLeft w:val="0"/>
                                                                          <w:marRight w:val="0"/>
                                                                          <w:marTop w:val="0"/>
                                                                          <w:marBottom w:val="0"/>
                                                                          <w:divBdr>
                                                                            <w:top w:val="none" w:sz="0" w:space="0" w:color="auto"/>
                                                                            <w:left w:val="none" w:sz="0" w:space="0" w:color="auto"/>
                                                                            <w:bottom w:val="none" w:sz="0" w:space="0" w:color="auto"/>
                                                                            <w:right w:val="none" w:sz="0" w:space="0" w:color="auto"/>
                                                                          </w:divBdr>
                                                                          <w:divsChild>
                                                                            <w:div w:id="1054887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031525">
                                                                  <w:marLeft w:val="0"/>
                                                                  <w:marRight w:val="0"/>
                                                                  <w:marTop w:val="0"/>
                                                                  <w:marBottom w:val="0"/>
                                                                  <w:divBdr>
                                                                    <w:top w:val="none" w:sz="0" w:space="0" w:color="auto"/>
                                                                    <w:left w:val="none" w:sz="0" w:space="0" w:color="auto"/>
                                                                    <w:bottom w:val="none" w:sz="0" w:space="0" w:color="auto"/>
                                                                    <w:right w:val="none" w:sz="0" w:space="0" w:color="auto"/>
                                                                  </w:divBdr>
                                                                  <w:divsChild>
                                                                    <w:div w:id="1233396513">
                                                                      <w:marLeft w:val="0"/>
                                                                      <w:marRight w:val="0"/>
                                                                      <w:marTop w:val="0"/>
                                                                      <w:marBottom w:val="0"/>
                                                                      <w:divBdr>
                                                                        <w:top w:val="none" w:sz="0" w:space="0" w:color="auto"/>
                                                                        <w:left w:val="none" w:sz="0" w:space="0" w:color="auto"/>
                                                                        <w:bottom w:val="none" w:sz="0" w:space="0" w:color="auto"/>
                                                                        <w:right w:val="none" w:sz="0" w:space="0" w:color="auto"/>
                                                                      </w:divBdr>
                                                                      <w:divsChild>
                                                                        <w:div w:id="152722811">
                                                                          <w:marLeft w:val="0"/>
                                                                          <w:marRight w:val="0"/>
                                                                          <w:marTop w:val="0"/>
                                                                          <w:marBottom w:val="0"/>
                                                                          <w:divBdr>
                                                                            <w:top w:val="none" w:sz="0" w:space="0" w:color="auto"/>
                                                                            <w:left w:val="none" w:sz="0" w:space="0" w:color="auto"/>
                                                                            <w:bottom w:val="none" w:sz="0" w:space="0" w:color="auto"/>
                                                                            <w:right w:val="none" w:sz="0" w:space="0" w:color="auto"/>
                                                                          </w:divBdr>
                                                                        </w:div>
                                                                      </w:divsChild>
                                                                    </w:div>
                                                                    <w:div w:id="1917933748">
                                                                      <w:marLeft w:val="0"/>
                                                                      <w:marRight w:val="0"/>
                                                                      <w:marTop w:val="0"/>
                                                                      <w:marBottom w:val="0"/>
                                                                      <w:divBdr>
                                                                        <w:top w:val="none" w:sz="0" w:space="0" w:color="auto"/>
                                                                        <w:left w:val="none" w:sz="0" w:space="0" w:color="auto"/>
                                                                        <w:bottom w:val="none" w:sz="0" w:space="0" w:color="auto"/>
                                                                        <w:right w:val="none" w:sz="0" w:space="0" w:color="auto"/>
                                                                      </w:divBdr>
                                                                      <w:divsChild>
                                                                        <w:div w:id="28384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042359">
                                                                  <w:marLeft w:val="0"/>
                                                                  <w:marRight w:val="0"/>
                                                                  <w:marTop w:val="0"/>
                                                                  <w:marBottom w:val="0"/>
                                                                  <w:divBdr>
                                                                    <w:top w:val="none" w:sz="0" w:space="0" w:color="auto"/>
                                                                    <w:left w:val="none" w:sz="0" w:space="0" w:color="auto"/>
                                                                    <w:bottom w:val="none" w:sz="0" w:space="0" w:color="auto"/>
                                                                    <w:right w:val="none" w:sz="0" w:space="0" w:color="auto"/>
                                                                  </w:divBdr>
                                                                  <w:divsChild>
                                                                    <w:div w:id="1407532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6798049">
                                                          <w:marLeft w:val="0"/>
                                                          <w:marRight w:val="0"/>
                                                          <w:marTop w:val="0"/>
                                                          <w:marBottom w:val="0"/>
                                                          <w:divBdr>
                                                            <w:top w:val="none" w:sz="0" w:space="0" w:color="auto"/>
                                                            <w:left w:val="none" w:sz="0" w:space="0" w:color="auto"/>
                                                            <w:bottom w:val="none" w:sz="0" w:space="0" w:color="auto"/>
                                                            <w:right w:val="none" w:sz="0" w:space="0" w:color="auto"/>
                                                          </w:divBdr>
                                                          <w:divsChild>
                                                            <w:div w:id="565993598">
                                                              <w:marLeft w:val="0"/>
                                                              <w:marRight w:val="0"/>
                                                              <w:marTop w:val="0"/>
                                                              <w:marBottom w:val="0"/>
                                                              <w:divBdr>
                                                                <w:top w:val="none" w:sz="0" w:space="0" w:color="auto"/>
                                                                <w:left w:val="none" w:sz="0" w:space="0" w:color="auto"/>
                                                                <w:bottom w:val="none" w:sz="0" w:space="0" w:color="auto"/>
                                                                <w:right w:val="none" w:sz="0" w:space="0" w:color="auto"/>
                                                              </w:divBdr>
                                                              <w:divsChild>
                                                                <w:div w:id="708384410">
                                                                  <w:marLeft w:val="0"/>
                                                                  <w:marRight w:val="0"/>
                                                                  <w:marTop w:val="0"/>
                                                                  <w:marBottom w:val="0"/>
                                                                  <w:divBdr>
                                                                    <w:top w:val="none" w:sz="0" w:space="0" w:color="auto"/>
                                                                    <w:left w:val="none" w:sz="0" w:space="0" w:color="auto"/>
                                                                    <w:bottom w:val="none" w:sz="0" w:space="0" w:color="auto"/>
                                                                    <w:right w:val="none" w:sz="0" w:space="0" w:color="auto"/>
                                                                  </w:divBdr>
                                                                  <w:divsChild>
                                                                    <w:div w:id="695272863">
                                                                      <w:marLeft w:val="0"/>
                                                                      <w:marRight w:val="0"/>
                                                                      <w:marTop w:val="0"/>
                                                                      <w:marBottom w:val="0"/>
                                                                      <w:divBdr>
                                                                        <w:top w:val="none" w:sz="0" w:space="0" w:color="auto"/>
                                                                        <w:left w:val="none" w:sz="0" w:space="0" w:color="auto"/>
                                                                        <w:bottom w:val="none" w:sz="0" w:space="0" w:color="auto"/>
                                                                        <w:right w:val="none" w:sz="0" w:space="0" w:color="auto"/>
                                                                      </w:divBdr>
                                                                      <w:divsChild>
                                                                        <w:div w:id="1717467092">
                                                                          <w:marLeft w:val="0"/>
                                                                          <w:marRight w:val="0"/>
                                                                          <w:marTop w:val="0"/>
                                                                          <w:marBottom w:val="0"/>
                                                                          <w:divBdr>
                                                                            <w:top w:val="none" w:sz="0" w:space="0" w:color="auto"/>
                                                                            <w:left w:val="none" w:sz="0" w:space="0" w:color="auto"/>
                                                                            <w:bottom w:val="none" w:sz="0" w:space="0" w:color="auto"/>
                                                                            <w:right w:val="none" w:sz="0" w:space="0" w:color="auto"/>
                                                                          </w:divBdr>
                                                                        </w:div>
                                                                      </w:divsChild>
                                                                    </w:div>
                                                                    <w:div w:id="1638417449">
                                                                      <w:marLeft w:val="0"/>
                                                                      <w:marRight w:val="0"/>
                                                                      <w:marTop w:val="0"/>
                                                                      <w:marBottom w:val="0"/>
                                                                      <w:divBdr>
                                                                        <w:top w:val="none" w:sz="0" w:space="0" w:color="auto"/>
                                                                        <w:left w:val="none" w:sz="0" w:space="0" w:color="auto"/>
                                                                        <w:bottom w:val="none" w:sz="0" w:space="0" w:color="auto"/>
                                                                        <w:right w:val="none" w:sz="0" w:space="0" w:color="auto"/>
                                                                      </w:divBdr>
                                                                      <w:divsChild>
                                                                        <w:div w:id="359746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049228">
                                                                  <w:marLeft w:val="0"/>
                                                                  <w:marRight w:val="0"/>
                                                                  <w:marTop w:val="0"/>
                                                                  <w:marBottom w:val="0"/>
                                                                  <w:divBdr>
                                                                    <w:top w:val="none" w:sz="0" w:space="0" w:color="auto"/>
                                                                    <w:left w:val="none" w:sz="0" w:space="0" w:color="auto"/>
                                                                    <w:bottom w:val="none" w:sz="0" w:space="0" w:color="auto"/>
                                                                    <w:right w:val="none" w:sz="0" w:space="0" w:color="auto"/>
                                                                  </w:divBdr>
                                                                  <w:divsChild>
                                                                    <w:div w:id="1438285607">
                                                                      <w:marLeft w:val="0"/>
                                                                      <w:marRight w:val="0"/>
                                                                      <w:marTop w:val="0"/>
                                                                      <w:marBottom w:val="0"/>
                                                                      <w:divBdr>
                                                                        <w:top w:val="none" w:sz="0" w:space="0" w:color="auto"/>
                                                                        <w:left w:val="none" w:sz="0" w:space="0" w:color="auto"/>
                                                                        <w:bottom w:val="none" w:sz="0" w:space="0" w:color="auto"/>
                                                                        <w:right w:val="none" w:sz="0" w:space="0" w:color="auto"/>
                                                                      </w:divBdr>
                                                                      <w:divsChild>
                                                                        <w:div w:id="96876977">
                                                                          <w:marLeft w:val="0"/>
                                                                          <w:marRight w:val="0"/>
                                                                          <w:marTop w:val="0"/>
                                                                          <w:marBottom w:val="0"/>
                                                                          <w:divBdr>
                                                                            <w:top w:val="none" w:sz="0" w:space="0" w:color="auto"/>
                                                                            <w:left w:val="none" w:sz="0" w:space="0" w:color="auto"/>
                                                                            <w:bottom w:val="none" w:sz="0" w:space="0" w:color="auto"/>
                                                                            <w:right w:val="none" w:sz="0" w:space="0" w:color="auto"/>
                                                                          </w:divBdr>
                                                                          <w:divsChild>
                                                                            <w:div w:id="608393891">
                                                                              <w:marLeft w:val="0"/>
                                                                              <w:marRight w:val="0"/>
                                                                              <w:marTop w:val="0"/>
                                                                              <w:marBottom w:val="0"/>
                                                                              <w:divBdr>
                                                                                <w:top w:val="none" w:sz="0" w:space="0" w:color="auto"/>
                                                                                <w:left w:val="none" w:sz="0" w:space="0" w:color="auto"/>
                                                                                <w:bottom w:val="none" w:sz="0" w:space="0" w:color="auto"/>
                                                                                <w:right w:val="none" w:sz="0" w:space="0" w:color="auto"/>
                                                                              </w:divBdr>
                                                                              <w:divsChild>
                                                                                <w:div w:id="490828659">
                                                                                  <w:marLeft w:val="0"/>
                                                                                  <w:marRight w:val="0"/>
                                                                                  <w:marTop w:val="0"/>
                                                                                  <w:marBottom w:val="0"/>
                                                                                  <w:divBdr>
                                                                                    <w:top w:val="none" w:sz="0" w:space="0" w:color="auto"/>
                                                                                    <w:left w:val="none" w:sz="0" w:space="0" w:color="auto"/>
                                                                                    <w:bottom w:val="none" w:sz="0" w:space="0" w:color="auto"/>
                                                                                    <w:right w:val="none" w:sz="0" w:space="0" w:color="auto"/>
                                                                                  </w:divBdr>
                                                                                  <w:divsChild>
                                                                                    <w:div w:id="1090084935">
                                                                                      <w:marLeft w:val="0"/>
                                                                                      <w:marRight w:val="0"/>
                                                                                      <w:marTop w:val="0"/>
                                                                                      <w:marBottom w:val="0"/>
                                                                                      <w:divBdr>
                                                                                        <w:top w:val="none" w:sz="0" w:space="0" w:color="auto"/>
                                                                                        <w:left w:val="none" w:sz="0" w:space="0" w:color="auto"/>
                                                                                        <w:bottom w:val="none" w:sz="0" w:space="0" w:color="auto"/>
                                                                                        <w:right w:val="none" w:sz="0" w:space="0" w:color="auto"/>
                                                                                      </w:divBdr>
                                                                                      <w:divsChild>
                                                                                        <w:div w:id="1365326343">
                                                                                          <w:marLeft w:val="0"/>
                                                                                          <w:marRight w:val="0"/>
                                                                                          <w:marTop w:val="0"/>
                                                                                          <w:marBottom w:val="0"/>
                                                                                          <w:divBdr>
                                                                                            <w:top w:val="single" w:sz="6" w:space="0" w:color="auto"/>
                                                                                            <w:left w:val="single" w:sz="6" w:space="8" w:color="auto"/>
                                                                                            <w:bottom w:val="single" w:sz="6" w:space="0" w:color="auto"/>
                                                                                            <w:right w:val="single" w:sz="6" w:space="8" w:color="auto"/>
                                                                                          </w:divBdr>
                                                                                        </w:div>
                                                                                      </w:divsChild>
                                                                                    </w:div>
                                                                                  </w:divsChild>
                                                                                </w:div>
                                                                              </w:divsChild>
                                                                            </w:div>
                                                                            <w:div w:id="832528764">
                                                                              <w:marLeft w:val="0"/>
                                                                              <w:marRight w:val="0"/>
                                                                              <w:marTop w:val="0"/>
                                                                              <w:marBottom w:val="0"/>
                                                                              <w:divBdr>
                                                                                <w:top w:val="none" w:sz="0" w:space="0" w:color="auto"/>
                                                                                <w:left w:val="none" w:sz="0" w:space="0" w:color="auto"/>
                                                                                <w:bottom w:val="none" w:sz="0" w:space="0" w:color="auto"/>
                                                                                <w:right w:val="none" w:sz="0" w:space="0" w:color="auto"/>
                                                                              </w:divBdr>
                                                                            </w:div>
                                                                          </w:divsChild>
                                                                        </w:div>
                                                                        <w:div w:id="1301810023">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789084030">
                                                                  <w:marLeft w:val="0"/>
                                                                  <w:marRight w:val="0"/>
                                                                  <w:marTop w:val="0"/>
                                                                  <w:marBottom w:val="0"/>
                                                                  <w:divBdr>
                                                                    <w:top w:val="none" w:sz="0" w:space="0" w:color="auto"/>
                                                                    <w:left w:val="none" w:sz="0" w:space="0" w:color="auto"/>
                                                                    <w:bottom w:val="none" w:sz="0" w:space="0" w:color="auto"/>
                                                                    <w:right w:val="none" w:sz="0" w:space="0" w:color="auto"/>
                                                                  </w:divBdr>
                                                                  <w:divsChild>
                                                                    <w:div w:id="1831948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14772703">
                                  <w:marLeft w:val="0"/>
                                  <w:marRight w:val="0"/>
                                  <w:marTop w:val="0"/>
                                  <w:marBottom w:val="0"/>
                                  <w:divBdr>
                                    <w:top w:val="none" w:sz="0" w:space="0" w:color="auto"/>
                                    <w:left w:val="none" w:sz="0" w:space="0" w:color="auto"/>
                                    <w:bottom w:val="none" w:sz="0" w:space="0" w:color="auto"/>
                                    <w:right w:val="none" w:sz="0" w:space="0" w:color="auto"/>
                                  </w:divBdr>
                                  <w:divsChild>
                                    <w:div w:id="1896163943">
                                      <w:marLeft w:val="0"/>
                                      <w:marRight w:val="0"/>
                                      <w:marTop w:val="0"/>
                                      <w:marBottom w:val="405"/>
                                      <w:divBdr>
                                        <w:top w:val="none" w:sz="0" w:space="0" w:color="auto"/>
                                        <w:left w:val="none" w:sz="0" w:space="0" w:color="auto"/>
                                        <w:bottom w:val="none" w:sz="0" w:space="0" w:color="auto"/>
                                        <w:right w:val="none" w:sz="0" w:space="0" w:color="auto"/>
                                      </w:divBdr>
                                      <w:divsChild>
                                        <w:div w:id="757559317">
                                          <w:marLeft w:val="-300"/>
                                          <w:marRight w:val="-300"/>
                                          <w:marTop w:val="0"/>
                                          <w:marBottom w:val="0"/>
                                          <w:divBdr>
                                            <w:top w:val="none" w:sz="0" w:space="0" w:color="auto"/>
                                            <w:left w:val="none" w:sz="0" w:space="0" w:color="auto"/>
                                            <w:bottom w:val="none" w:sz="0" w:space="0" w:color="auto"/>
                                            <w:right w:val="none" w:sz="0" w:space="0" w:color="auto"/>
                                          </w:divBdr>
                                          <w:divsChild>
                                            <w:div w:id="1672371708">
                                              <w:marLeft w:val="480"/>
                                              <w:marRight w:val="0"/>
                                              <w:marTop w:val="0"/>
                                              <w:marBottom w:val="0"/>
                                              <w:divBdr>
                                                <w:top w:val="none" w:sz="0" w:space="0" w:color="auto"/>
                                                <w:left w:val="none" w:sz="0" w:space="0" w:color="auto"/>
                                                <w:bottom w:val="none" w:sz="0" w:space="0" w:color="auto"/>
                                                <w:right w:val="none" w:sz="0" w:space="0" w:color="auto"/>
                                              </w:divBdr>
                                              <w:divsChild>
                                                <w:div w:id="1509519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09508">
                                          <w:marLeft w:val="-300"/>
                                          <w:marRight w:val="-300"/>
                                          <w:marTop w:val="0"/>
                                          <w:marBottom w:val="0"/>
                                          <w:divBdr>
                                            <w:top w:val="single" w:sz="6" w:space="0" w:color="DFE1E5"/>
                                            <w:left w:val="single" w:sz="6" w:space="0" w:color="DFE1E5"/>
                                            <w:bottom w:val="single" w:sz="6" w:space="0" w:color="DFE1E5"/>
                                            <w:right w:val="single" w:sz="6" w:space="0" w:color="DFE1E5"/>
                                          </w:divBdr>
                                          <w:divsChild>
                                            <w:div w:id="1080176913">
                                              <w:marLeft w:val="0"/>
                                              <w:marRight w:val="0"/>
                                              <w:marTop w:val="0"/>
                                              <w:marBottom w:val="0"/>
                                              <w:divBdr>
                                                <w:top w:val="none" w:sz="0" w:space="0" w:color="auto"/>
                                                <w:left w:val="none" w:sz="0" w:space="0" w:color="auto"/>
                                                <w:bottom w:val="none" w:sz="0" w:space="0" w:color="auto"/>
                                                <w:right w:val="none" w:sz="0" w:space="0" w:color="auto"/>
                                              </w:divBdr>
                                              <w:divsChild>
                                                <w:div w:id="1205555734">
                                                  <w:marLeft w:val="0"/>
                                                  <w:marRight w:val="0"/>
                                                  <w:marTop w:val="0"/>
                                                  <w:marBottom w:val="0"/>
                                                  <w:divBdr>
                                                    <w:top w:val="none" w:sz="0" w:space="0" w:color="auto"/>
                                                    <w:left w:val="none" w:sz="0" w:space="0" w:color="auto"/>
                                                    <w:bottom w:val="none" w:sz="0" w:space="0" w:color="auto"/>
                                                    <w:right w:val="none" w:sz="0" w:space="0" w:color="auto"/>
                                                  </w:divBdr>
                                                  <w:divsChild>
                                                    <w:div w:id="610548108">
                                                      <w:marLeft w:val="0"/>
                                                      <w:marRight w:val="0"/>
                                                      <w:marTop w:val="0"/>
                                                      <w:marBottom w:val="0"/>
                                                      <w:divBdr>
                                                        <w:top w:val="none" w:sz="0" w:space="0" w:color="auto"/>
                                                        <w:left w:val="none" w:sz="0" w:space="0" w:color="auto"/>
                                                        <w:bottom w:val="none" w:sz="0" w:space="0" w:color="auto"/>
                                                        <w:right w:val="none" w:sz="0" w:space="0" w:color="auto"/>
                                                      </w:divBdr>
                                                      <w:divsChild>
                                                        <w:div w:id="1423453525">
                                                          <w:marLeft w:val="0"/>
                                                          <w:marRight w:val="0"/>
                                                          <w:marTop w:val="0"/>
                                                          <w:marBottom w:val="0"/>
                                                          <w:divBdr>
                                                            <w:top w:val="none" w:sz="0" w:space="0" w:color="auto"/>
                                                            <w:left w:val="none" w:sz="0" w:space="0" w:color="auto"/>
                                                            <w:bottom w:val="none" w:sz="0" w:space="0" w:color="auto"/>
                                                            <w:right w:val="none" w:sz="0" w:space="0" w:color="auto"/>
                                                          </w:divBdr>
                                                          <w:divsChild>
                                                            <w:div w:id="165557252">
                                                              <w:marLeft w:val="0"/>
                                                              <w:marRight w:val="0"/>
                                                              <w:marTop w:val="0"/>
                                                              <w:marBottom w:val="0"/>
                                                              <w:divBdr>
                                                                <w:top w:val="none" w:sz="0" w:space="0" w:color="auto"/>
                                                                <w:left w:val="none" w:sz="0" w:space="0" w:color="auto"/>
                                                                <w:bottom w:val="none" w:sz="0" w:space="0" w:color="auto"/>
                                                                <w:right w:val="none" w:sz="0" w:space="0" w:color="auto"/>
                                                              </w:divBdr>
                                                              <w:divsChild>
                                                                <w:div w:id="1317689117">
                                                                  <w:marLeft w:val="0"/>
                                                                  <w:marRight w:val="0"/>
                                                                  <w:marTop w:val="0"/>
                                                                  <w:marBottom w:val="0"/>
                                                                  <w:divBdr>
                                                                    <w:top w:val="single" w:sz="6" w:space="7" w:color="E5E5E5"/>
                                                                    <w:left w:val="none" w:sz="0" w:space="0" w:color="auto"/>
                                                                    <w:bottom w:val="none" w:sz="0" w:space="0" w:color="auto"/>
                                                                    <w:right w:val="none" w:sz="0" w:space="0" w:color="auto"/>
                                                                  </w:divBdr>
                                                                </w:div>
                                                              </w:divsChild>
                                                            </w:div>
                                                            <w:div w:id="2037271363">
                                                              <w:marLeft w:val="0"/>
                                                              <w:marRight w:val="0"/>
                                                              <w:marTop w:val="0"/>
                                                              <w:marBottom w:val="0"/>
                                                              <w:divBdr>
                                                                <w:top w:val="none" w:sz="0" w:space="0" w:color="auto"/>
                                                                <w:left w:val="none" w:sz="0" w:space="0" w:color="auto"/>
                                                                <w:bottom w:val="none" w:sz="0" w:space="0" w:color="auto"/>
                                                                <w:right w:val="none" w:sz="0" w:space="0" w:color="auto"/>
                                                              </w:divBdr>
                                                              <w:divsChild>
                                                                <w:div w:id="1635872489">
                                                                  <w:marLeft w:val="0"/>
                                                                  <w:marRight w:val="0"/>
                                                                  <w:marTop w:val="0"/>
                                                                  <w:marBottom w:val="0"/>
                                                                  <w:divBdr>
                                                                    <w:top w:val="none" w:sz="0" w:space="0" w:color="auto"/>
                                                                    <w:left w:val="none" w:sz="0" w:space="0" w:color="auto"/>
                                                                    <w:bottom w:val="none" w:sz="0" w:space="0" w:color="auto"/>
                                                                    <w:right w:val="none" w:sz="0" w:space="0" w:color="auto"/>
                                                                  </w:divBdr>
                                                                  <w:divsChild>
                                                                    <w:div w:id="1134255280">
                                                                      <w:marLeft w:val="0"/>
                                                                      <w:marRight w:val="0"/>
                                                                      <w:marTop w:val="0"/>
                                                                      <w:marBottom w:val="0"/>
                                                                      <w:divBdr>
                                                                        <w:top w:val="none" w:sz="0" w:space="0" w:color="auto"/>
                                                                        <w:left w:val="none" w:sz="0" w:space="0" w:color="auto"/>
                                                                        <w:bottom w:val="none" w:sz="0" w:space="0" w:color="auto"/>
                                                                        <w:right w:val="none" w:sz="0" w:space="0" w:color="auto"/>
                                                                      </w:divBdr>
                                                                      <w:divsChild>
                                                                        <w:div w:id="595989751">
                                                                          <w:marLeft w:val="0"/>
                                                                          <w:marRight w:val="0"/>
                                                                          <w:marTop w:val="0"/>
                                                                          <w:marBottom w:val="0"/>
                                                                          <w:divBdr>
                                                                            <w:top w:val="none" w:sz="0" w:space="0" w:color="auto"/>
                                                                            <w:left w:val="none" w:sz="0" w:space="0" w:color="auto"/>
                                                                            <w:bottom w:val="none" w:sz="0" w:space="0" w:color="auto"/>
                                                                            <w:right w:val="none" w:sz="0" w:space="0" w:color="auto"/>
                                                                          </w:divBdr>
                                                                          <w:divsChild>
                                                                            <w:div w:id="2054961330">
                                                                              <w:marLeft w:val="0"/>
                                                                              <w:marRight w:val="0"/>
                                                                              <w:marTop w:val="0"/>
                                                                              <w:marBottom w:val="0"/>
                                                                              <w:divBdr>
                                                                                <w:top w:val="none" w:sz="0" w:space="0" w:color="auto"/>
                                                                                <w:left w:val="none" w:sz="0" w:space="0" w:color="auto"/>
                                                                                <w:bottom w:val="none" w:sz="0" w:space="0" w:color="auto"/>
                                                                                <w:right w:val="none" w:sz="0" w:space="0" w:color="auto"/>
                                                                              </w:divBdr>
                                                                              <w:divsChild>
                                                                                <w:div w:id="1511211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57991762">
                                                          <w:marLeft w:val="0"/>
                                                          <w:marRight w:val="0"/>
                                                          <w:marTop w:val="0"/>
                                                          <w:marBottom w:val="0"/>
                                                          <w:divBdr>
                                                            <w:top w:val="none" w:sz="0" w:space="0" w:color="auto"/>
                                                            <w:left w:val="none" w:sz="0" w:space="0" w:color="auto"/>
                                                            <w:bottom w:val="none" w:sz="0" w:space="0" w:color="auto"/>
                                                            <w:right w:val="none" w:sz="0" w:space="0" w:color="auto"/>
                                                          </w:divBdr>
                                                          <w:divsChild>
                                                            <w:div w:id="1217090174">
                                                              <w:marLeft w:val="0"/>
                                                              <w:marRight w:val="0"/>
                                                              <w:marTop w:val="0"/>
                                                              <w:marBottom w:val="0"/>
                                                              <w:divBdr>
                                                                <w:top w:val="none" w:sz="0" w:space="0" w:color="auto"/>
                                                                <w:left w:val="none" w:sz="0" w:space="0" w:color="auto"/>
                                                                <w:bottom w:val="none" w:sz="0" w:space="0" w:color="auto"/>
                                                                <w:right w:val="none" w:sz="0" w:space="0" w:color="auto"/>
                                                              </w:divBdr>
                                                              <w:divsChild>
                                                                <w:div w:id="176702257">
                                                                  <w:marLeft w:val="0"/>
                                                                  <w:marRight w:val="0"/>
                                                                  <w:marTop w:val="0"/>
                                                                  <w:marBottom w:val="0"/>
                                                                  <w:divBdr>
                                                                    <w:top w:val="none" w:sz="0" w:space="0" w:color="auto"/>
                                                                    <w:left w:val="none" w:sz="0" w:space="0" w:color="auto"/>
                                                                    <w:bottom w:val="none" w:sz="0" w:space="0" w:color="auto"/>
                                                                    <w:right w:val="none" w:sz="0" w:space="0" w:color="auto"/>
                                                                  </w:divBdr>
                                                                  <w:divsChild>
                                                                    <w:div w:id="532621855">
                                                                      <w:marLeft w:val="0"/>
                                                                      <w:marRight w:val="0"/>
                                                                      <w:marTop w:val="0"/>
                                                                      <w:marBottom w:val="0"/>
                                                                      <w:divBdr>
                                                                        <w:top w:val="none" w:sz="0" w:space="0" w:color="auto"/>
                                                                        <w:left w:val="none" w:sz="0" w:space="0" w:color="auto"/>
                                                                        <w:bottom w:val="none" w:sz="0" w:space="0" w:color="auto"/>
                                                                        <w:right w:val="none" w:sz="0" w:space="0" w:color="auto"/>
                                                                      </w:divBdr>
                                                                      <w:divsChild>
                                                                        <w:div w:id="394472465">
                                                                          <w:marLeft w:val="0"/>
                                                                          <w:marRight w:val="0"/>
                                                                          <w:marTop w:val="0"/>
                                                                          <w:marBottom w:val="0"/>
                                                                          <w:divBdr>
                                                                            <w:top w:val="none" w:sz="0" w:space="0" w:color="auto"/>
                                                                            <w:left w:val="none" w:sz="0" w:space="0" w:color="auto"/>
                                                                            <w:bottom w:val="none" w:sz="0" w:space="0" w:color="auto"/>
                                                                            <w:right w:val="none" w:sz="0" w:space="0" w:color="auto"/>
                                                                          </w:divBdr>
                                                                          <w:divsChild>
                                                                            <w:div w:id="2080328490">
                                                                              <w:marLeft w:val="0"/>
                                                                              <w:marRight w:val="0"/>
                                                                              <w:marTop w:val="0"/>
                                                                              <w:marBottom w:val="0"/>
                                                                              <w:divBdr>
                                                                                <w:top w:val="none" w:sz="0" w:space="0" w:color="auto"/>
                                                                                <w:left w:val="none" w:sz="0" w:space="0" w:color="auto"/>
                                                                                <w:bottom w:val="none" w:sz="0" w:space="0" w:color="auto"/>
                                                                                <w:right w:val="none" w:sz="0" w:space="0" w:color="auto"/>
                                                                              </w:divBdr>
                                                                              <w:divsChild>
                                                                                <w:div w:id="2069257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43218875">
                                                              <w:marLeft w:val="0"/>
                                                              <w:marRight w:val="0"/>
                                                              <w:marTop w:val="0"/>
                                                              <w:marBottom w:val="0"/>
                                                              <w:divBdr>
                                                                <w:top w:val="none" w:sz="0" w:space="0" w:color="auto"/>
                                                                <w:left w:val="none" w:sz="0" w:space="0" w:color="auto"/>
                                                                <w:bottom w:val="none" w:sz="0" w:space="0" w:color="auto"/>
                                                                <w:right w:val="none" w:sz="0" w:space="0" w:color="auto"/>
                                                              </w:divBdr>
                                                              <w:divsChild>
                                                                <w:div w:id="1927231508">
                                                                  <w:marLeft w:val="0"/>
                                                                  <w:marRight w:val="0"/>
                                                                  <w:marTop w:val="0"/>
                                                                  <w:marBottom w:val="0"/>
                                                                  <w:divBdr>
                                                                    <w:top w:val="single" w:sz="6" w:space="7" w:color="E5E5E5"/>
                                                                    <w:left w:val="none" w:sz="0" w:space="0" w:color="auto"/>
                                                                    <w:bottom w:val="none" w:sz="0" w:space="0" w:color="auto"/>
                                                                    <w:right w:val="none" w:sz="0" w:space="0" w:color="auto"/>
                                                                  </w:divBdr>
                                                                </w:div>
                                                              </w:divsChild>
                                                            </w:div>
                                                          </w:divsChild>
                                                        </w:div>
                                                        <w:div w:id="1664702269">
                                                          <w:marLeft w:val="0"/>
                                                          <w:marRight w:val="0"/>
                                                          <w:marTop w:val="0"/>
                                                          <w:marBottom w:val="0"/>
                                                          <w:divBdr>
                                                            <w:top w:val="none" w:sz="0" w:space="0" w:color="auto"/>
                                                            <w:left w:val="none" w:sz="0" w:space="0" w:color="auto"/>
                                                            <w:bottom w:val="none" w:sz="0" w:space="0" w:color="auto"/>
                                                            <w:right w:val="none" w:sz="0" w:space="0" w:color="auto"/>
                                                          </w:divBdr>
                                                          <w:divsChild>
                                                            <w:div w:id="1410880420">
                                                              <w:marLeft w:val="0"/>
                                                              <w:marRight w:val="0"/>
                                                              <w:marTop w:val="0"/>
                                                              <w:marBottom w:val="0"/>
                                                              <w:divBdr>
                                                                <w:top w:val="none" w:sz="0" w:space="0" w:color="auto"/>
                                                                <w:left w:val="none" w:sz="0" w:space="0" w:color="auto"/>
                                                                <w:bottom w:val="none" w:sz="0" w:space="0" w:color="auto"/>
                                                                <w:right w:val="none" w:sz="0" w:space="0" w:color="auto"/>
                                                              </w:divBdr>
                                                              <w:divsChild>
                                                                <w:div w:id="145706859">
                                                                  <w:marLeft w:val="0"/>
                                                                  <w:marRight w:val="0"/>
                                                                  <w:marTop w:val="0"/>
                                                                  <w:marBottom w:val="0"/>
                                                                  <w:divBdr>
                                                                    <w:top w:val="none" w:sz="0" w:space="0" w:color="auto"/>
                                                                    <w:left w:val="none" w:sz="0" w:space="0" w:color="auto"/>
                                                                    <w:bottom w:val="none" w:sz="0" w:space="0" w:color="auto"/>
                                                                    <w:right w:val="none" w:sz="0" w:space="0" w:color="auto"/>
                                                                  </w:divBdr>
                                                                  <w:divsChild>
                                                                    <w:div w:id="1675375883">
                                                                      <w:marLeft w:val="0"/>
                                                                      <w:marRight w:val="0"/>
                                                                      <w:marTop w:val="0"/>
                                                                      <w:marBottom w:val="0"/>
                                                                      <w:divBdr>
                                                                        <w:top w:val="none" w:sz="0" w:space="0" w:color="auto"/>
                                                                        <w:left w:val="none" w:sz="0" w:space="0" w:color="auto"/>
                                                                        <w:bottom w:val="none" w:sz="0" w:space="0" w:color="auto"/>
                                                                        <w:right w:val="none" w:sz="0" w:space="0" w:color="auto"/>
                                                                      </w:divBdr>
                                                                      <w:divsChild>
                                                                        <w:div w:id="516042174">
                                                                          <w:marLeft w:val="0"/>
                                                                          <w:marRight w:val="0"/>
                                                                          <w:marTop w:val="0"/>
                                                                          <w:marBottom w:val="0"/>
                                                                          <w:divBdr>
                                                                            <w:top w:val="none" w:sz="0" w:space="0" w:color="auto"/>
                                                                            <w:left w:val="none" w:sz="0" w:space="0" w:color="auto"/>
                                                                            <w:bottom w:val="none" w:sz="0" w:space="0" w:color="auto"/>
                                                                            <w:right w:val="none" w:sz="0" w:space="0" w:color="auto"/>
                                                                          </w:divBdr>
                                                                          <w:divsChild>
                                                                            <w:div w:id="376199442">
                                                                              <w:marLeft w:val="0"/>
                                                                              <w:marRight w:val="0"/>
                                                                              <w:marTop w:val="0"/>
                                                                              <w:marBottom w:val="0"/>
                                                                              <w:divBdr>
                                                                                <w:top w:val="none" w:sz="0" w:space="0" w:color="auto"/>
                                                                                <w:left w:val="none" w:sz="0" w:space="0" w:color="auto"/>
                                                                                <w:bottom w:val="none" w:sz="0" w:space="0" w:color="auto"/>
                                                                                <w:right w:val="none" w:sz="0" w:space="0" w:color="auto"/>
                                                                              </w:divBdr>
                                                                              <w:divsChild>
                                                                                <w:div w:id="179447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9573177">
                                                              <w:marLeft w:val="0"/>
                                                              <w:marRight w:val="0"/>
                                                              <w:marTop w:val="0"/>
                                                              <w:marBottom w:val="0"/>
                                                              <w:divBdr>
                                                                <w:top w:val="none" w:sz="0" w:space="0" w:color="auto"/>
                                                                <w:left w:val="none" w:sz="0" w:space="0" w:color="auto"/>
                                                                <w:bottom w:val="none" w:sz="0" w:space="0" w:color="auto"/>
                                                                <w:right w:val="none" w:sz="0" w:space="0" w:color="auto"/>
                                                              </w:divBdr>
                                                              <w:divsChild>
                                                                <w:div w:id="908073946">
                                                                  <w:marLeft w:val="0"/>
                                                                  <w:marRight w:val="0"/>
                                                                  <w:marTop w:val="0"/>
                                                                  <w:marBottom w:val="0"/>
                                                                  <w:divBdr>
                                                                    <w:top w:val="single" w:sz="6" w:space="7" w:color="E5E5E5"/>
                                                                    <w:left w:val="none" w:sz="0" w:space="0" w:color="auto"/>
                                                                    <w:bottom w:val="none" w:sz="0" w:space="0" w:color="auto"/>
                                                                    <w:right w:val="none" w:sz="0" w:space="0" w:color="auto"/>
                                                                  </w:divBdr>
                                                                </w:div>
                                                              </w:divsChild>
                                                            </w:div>
                                                          </w:divsChild>
                                                        </w:div>
                                                        <w:div w:id="2084796332">
                                                          <w:marLeft w:val="0"/>
                                                          <w:marRight w:val="0"/>
                                                          <w:marTop w:val="0"/>
                                                          <w:marBottom w:val="0"/>
                                                          <w:divBdr>
                                                            <w:top w:val="none" w:sz="0" w:space="0" w:color="auto"/>
                                                            <w:left w:val="none" w:sz="0" w:space="0" w:color="auto"/>
                                                            <w:bottom w:val="none" w:sz="0" w:space="0" w:color="auto"/>
                                                            <w:right w:val="none" w:sz="0" w:space="0" w:color="auto"/>
                                                          </w:divBdr>
                                                          <w:divsChild>
                                                            <w:div w:id="1260486289">
                                                              <w:marLeft w:val="0"/>
                                                              <w:marRight w:val="0"/>
                                                              <w:marTop w:val="0"/>
                                                              <w:marBottom w:val="0"/>
                                                              <w:divBdr>
                                                                <w:top w:val="none" w:sz="0" w:space="0" w:color="auto"/>
                                                                <w:left w:val="none" w:sz="0" w:space="0" w:color="auto"/>
                                                                <w:bottom w:val="none" w:sz="0" w:space="0" w:color="auto"/>
                                                                <w:right w:val="none" w:sz="0" w:space="0" w:color="auto"/>
                                                              </w:divBdr>
                                                              <w:divsChild>
                                                                <w:div w:id="744229700">
                                                                  <w:marLeft w:val="0"/>
                                                                  <w:marRight w:val="0"/>
                                                                  <w:marTop w:val="0"/>
                                                                  <w:marBottom w:val="0"/>
                                                                  <w:divBdr>
                                                                    <w:top w:val="single" w:sz="6" w:space="7" w:color="E5E5E5"/>
                                                                    <w:left w:val="none" w:sz="0" w:space="0" w:color="auto"/>
                                                                    <w:bottom w:val="none" w:sz="0" w:space="0" w:color="auto"/>
                                                                    <w:right w:val="none" w:sz="0" w:space="0" w:color="auto"/>
                                                                  </w:divBdr>
                                                                </w:div>
                                                              </w:divsChild>
                                                            </w:div>
                                                            <w:div w:id="1638757604">
                                                              <w:marLeft w:val="0"/>
                                                              <w:marRight w:val="0"/>
                                                              <w:marTop w:val="0"/>
                                                              <w:marBottom w:val="0"/>
                                                              <w:divBdr>
                                                                <w:top w:val="none" w:sz="0" w:space="0" w:color="auto"/>
                                                                <w:left w:val="none" w:sz="0" w:space="0" w:color="auto"/>
                                                                <w:bottom w:val="none" w:sz="0" w:space="0" w:color="auto"/>
                                                                <w:right w:val="none" w:sz="0" w:space="0" w:color="auto"/>
                                                              </w:divBdr>
                                                              <w:divsChild>
                                                                <w:div w:id="2137789924">
                                                                  <w:marLeft w:val="0"/>
                                                                  <w:marRight w:val="0"/>
                                                                  <w:marTop w:val="0"/>
                                                                  <w:marBottom w:val="0"/>
                                                                  <w:divBdr>
                                                                    <w:top w:val="none" w:sz="0" w:space="0" w:color="auto"/>
                                                                    <w:left w:val="none" w:sz="0" w:space="0" w:color="auto"/>
                                                                    <w:bottom w:val="none" w:sz="0" w:space="0" w:color="auto"/>
                                                                    <w:right w:val="none" w:sz="0" w:space="0" w:color="auto"/>
                                                                  </w:divBdr>
                                                                  <w:divsChild>
                                                                    <w:div w:id="1361009730">
                                                                      <w:marLeft w:val="0"/>
                                                                      <w:marRight w:val="0"/>
                                                                      <w:marTop w:val="0"/>
                                                                      <w:marBottom w:val="0"/>
                                                                      <w:divBdr>
                                                                        <w:top w:val="none" w:sz="0" w:space="0" w:color="auto"/>
                                                                        <w:left w:val="none" w:sz="0" w:space="0" w:color="auto"/>
                                                                        <w:bottom w:val="none" w:sz="0" w:space="0" w:color="auto"/>
                                                                        <w:right w:val="none" w:sz="0" w:space="0" w:color="auto"/>
                                                                      </w:divBdr>
                                                                      <w:divsChild>
                                                                        <w:div w:id="1912233512">
                                                                          <w:marLeft w:val="0"/>
                                                                          <w:marRight w:val="0"/>
                                                                          <w:marTop w:val="0"/>
                                                                          <w:marBottom w:val="0"/>
                                                                          <w:divBdr>
                                                                            <w:top w:val="none" w:sz="0" w:space="0" w:color="auto"/>
                                                                            <w:left w:val="none" w:sz="0" w:space="0" w:color="auto"/>
                                                                            <w:bottom w:val="none" w:sz="0" w:space="0" w:color="auto"/>
                                                                            <w:right w:val="none" w:sz="0" w:space="0" w:color="auto"/>
                                                                          </w:divBdr>
                                                                          <w:divsChild>
                                                                            <w:div w:id="866991248">
                                                                              <w:marLeft w:val="0"/>
                                                                              <w:marRight w:val="0"/>
                                                                              <w:marTop w:val="0"/>
                                                                              <w:marBottom w:val="0"/>
                                                                              <w:divBdr>
                                                                                <w:top w:val="none" w:sz="0" w:space="0" w:color="auto"/>
                                                                                <w:left w:val="none" w:sz="0" w:space="0" w:color="auto"/>
                                                                                <w:bottom w:val="none" w:sz="0" w:space="0" w:color="auto"/>
                                                                                <w:right w:val="none" w:sz="0" w:space="0" w:color="auto"/>
                                                                              </w:divBdr>
                                                                              <w:divsChild>
                                                                                <w:div w:id="154107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7567256">
                                                                          <w:marLeft w:val="0"/>
                                                                          <w:marRight w:val="0"/>
                                                                          <w:marTop w:val="0"/>
                                                                          <w:marBottom w:val="0"/>
                                                                          <w:divBdr>
                                                                            <w:top w:val="none" w:sz="0" w:space="0" w:color="auto"/>
                                                                            <w:left w:val="none" w:sz="0" w:space="0" w:color="auto"/>
                                                                            <w:bottom w:val="none" w:sz="0" w:space="0" w:color="auto"/>
                                                                            <w:right w:val="none" w:sz="0" w:space="0" w:color="auto"/>
                                                                          </w:divBdr>
                                                                          <w:divsChild>
                                                                            <w:div w:id="2121950658">
                                                                              <w:marLeft w:val="0"/>
                                                                              <w:marRight w:val="0"/>
                                                                              <w:marTop w:val="0"/>
                                                                              <w:marBottom w:val="300"/>
                                                                              <w:divBdr>
                                                                                <w:top w:val="none" w:sz="0" w:space="0" w:color="auto"/>
                                                                                <w:left w:val="none" w:sz="0" w:space="0" w:color="auto"/>
                                                                                <w:bottom w:val="none" w:sz="0" w:space="0" w:color="auto"/>
                                                                                <w:right w:val="none" w:sz="0" w:space="0" w:color="auto"/>
                                                                              </w:divBdr>
                                                                              <w:divsChild>
                                                                                <w:div w:id="597063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72727618">
                                  <w:marLeft w:val="0"/>
                                  <w:marRight w:val="0"/>
                                  <w:marTop w:val="0"/>
                                  <w:marBottom w:val="0"/>
                                  <w:divBdr>
                                    <w:top w:val="none" w:sz="0" w:space="0" w:color="auto"/>
                                    <w:left w:val="none" w:sz="0" w:space="0" w:color="auto"/>
                                    <w:bottom w:val="none" w:sz="0" w:space="0" w:color="auto"/>
                                    <w:right w:val="none" w:sz="0" w:space="0" w:color="auto"/>
                                  </w:divBdr>
                                  <w:divsChild>
                                    <w:div w:id="2127655145">
                                      <w:marLeft w:val="0"/>
                                      <w:marRight w:val="0"/>
                                      <w:marTop w:val="0"/>
                                      <w:marBottom w:val="0"/>
                                      <w:divBdr>
                                        <w:top w:val="none" w:sz="0" w:space="0" w:color="auto"/>
                                        <w:left w:val="none" w:sz="0" w:space="0" w:color="auto"/>
                                        <w:bottom w:val="none" w:sz="0" w:space="0" w:color="auto"/>
                                        <w:right w:val="none" w:sz="0" w:space="0" w:color="auto"/>
                                      </w:divBdr>
                                      <w:divsChild>
                                        <w:div w:id="60914115">
                                          <w:marLeft w:val="0"/>
                                          <w:marRight w:val="0"/>
                                          <w:marTop w:val="0"/>
                                          <w:marBottom w:val="405"/>
                                          <w:divBdr>
                                            <w:top w:val="none" w:sz="0" w:space="0" w:color="auto"/>
                                            <w:left w:val="none" w:sz="0" w:space="0" w:color="auto"/>
                                            <w:bottom w:val="none" w:sz="0" w:space="0" w:color="auto"/>
                                            <w:right w:val="none" w:sz="0" w:space="0" w:color="auto"/>
                                          </w:divBdr>
                                          <w:divsChild>
                                            <w:div w:id="2123301718">
                                              <w:marLeft w:val="0"/>
                                              <w:marRight w:val="0"/>
                                              <w:marTop w:val="0"/>
                                              <w:marBottom w:val="0"/>
                                              <w:divBdr>
                                                <w:top w:val="none" w:sz="0" w:space="0" w:color="auto"/>
                                                <w:left w:val="none" w:sz="0" w:space="0" w:color="auto"/>
                                                <w:bottom w:val="none" w:sz="0" w:space="0" w:color="auto"/>
                                                <w:right w:val="none" w:sz="0" w:space="0" w:color="auto"/>
                                              </w:divBdr>
                                              <w:divsChild>
                                                <w:div w:id="40638586">
                                                  <w:marLeft w:val="0"/>
                                                  <w:marRight w:val="0"/>
                                                  <w:marTop w:val="0"/>
                                                  <w:marBottom w:val="0"/>
                                                  <w:divBdr>
                                                    <w:top w:val="none" w:sz="0" w:space="0" w:color="auto"/>
                                                    <w:left w:val="none" w:sz="0" w:space="0" w:color="auto"/>
                                                    <w:bottom w:val="none" w:sz="0" w:space="0" w:color="auto"/>
                                                    <w:right w:val="none" w:sz="0" w:space="0" w:color="auto"/>
                                                  </w:divBdr>
                                                  <w:divsChild>
                                                    <w:div w:id="1658610308">
                                                      <w:marLeft w:val="0"/>
                                                      <w:marRight w:val="0"/>
                                                      <w:marTop w:val="0"/>
                                                      <w:marBottom w:val="0"/>
                                                      <w:divBdr>
                                                        <w:top w:val="none" w:sz="0" w:space="0" w:color="auto"/>
                                                        <w:left w:val="none" w:sz="0" w:space="0" w:color="auto"/>
                                                        <w:bottom w:val="none" w:sz="0" w:space="0" w:color="auto"/>
                                                        <w:right w:val="none" w:sz="0" w:space="0" w:color="auto"/>
                                                      </w:divBdr>
                                                      <w:divsChild>
                                                        <w:div w:id="1388525858">
                                                          <w:marLeft w:val="0"/>
                                                          <w:marRight w:val="0"/>
                                                          <w:marTop w:val="0"/>
                                                          <w:marBottom w:val="0"/>
                                                          <w:divBdr>
                                                            <w:top w:val="none" w:sz="0" w:space="0" w:color="auto"/>
                                                            <w:left w:val="none" w:sz="0" w:space="0" w:color="auto"/>
                                                            <w:bottom w:val="none" w:sz="0" w:space="0" w:color="auto"/>
                                                            <w:right w:val="none" w:sz="0" w:space="0" w:color="auto"/>
                                                          </w:divBdr>
                                                        </w:div>
                                                      </w:divsChild>
                                                    </w:div>
                                                    <w:div w:id="2141341186">
                                                      <w:marLeft w:val="0"/>
                                                      <w:marRight w:val="0"/>
                                                      <w:marTop w:val="0"/>
                                                      <w:marBottom w:val="0"/>
                                                      <w:divBdr>
                                                        <w:top w:val="none" w:sz="0" w:space="0" w:color="auto"/>
                                                        <w:left w:val="none" w:sz="0" w:space="0" w:color="auto"/>
                                                        <w:bottom w:val="none" w:sz="0" w:space="0" w:color="auto"/>
                                                        <w:right w:val="none" w:sz="0" w:space="0" w:color="auto"/>
                                                      </w:divBdr>
                                                      <w:divsChild>
                                                        <w:div w:id="1565530590">
                                                          <w:marLeft w:val="0"/>
                                                          <w:marRight w:val="0"/>
                                                          <w:marTop w:val="0"/>
                                                          <w:marBottom w:val="0"/>
                                                          <w:divBdr>
                                                            <w:top w:val="none" w:sz="0" w:space="0" w:color="auto"/>
                                                            <w:left w:val="none" w:sz="0" w:space="0" w:color="auto"/>
                                                            <w:bottom w:val="none" w:sz="0" w:space="0" w:color="auto"/>
                                                            <w:right w:val="none" w:sz="0" w:space="0" w:color="auto"/>
                                                          </w:divBdr>
                                                        </w:div>
                                                        <w:div w:id="1637030183">
                                                          <w:marLeft w:val="45"/>
                                                          <w:marRight w:val="45"/>
                                                          <w:marTop w:val="15"/>
                                                          <w:marBottom w:val="0"/>
                                                          <w:divBdr>
                                                            <w:top w:val="none" w:sz="0" w:space="0" w:color="auto"/>
                                                            <w:left w:val="none" w:sz="0" w:space="0" w:color="auto"/>
                                                            <w:bottom w:val="none" w:sz="0" w:space="0" w:color="auto"/>
                                                            <w:right w:val="none" w:sz="0" w:space="0" w:color="auto"/>
                                                          </w:divBdr>
                                                          <w:divsChild>
                                                            <w:div w:id="764035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56288798">
                                          <w:marLeft w:val="0"/>
                                          <w:marRight w:val="0"/>
                                          <w:marTop w:val="0"/>
                                          <w:marBottom w:val="405"/>
                                          <w:divBdr>
                                            <w:top w:val="none" w:sz="0" w:space="0" w:color="auto"/>
                                            <w:left w:val="none" w:sz="0" w:space="0" w:color="auto"/>
                                            <w:bottom w:val="none" w:sz="0" w:space="0" w:color="auto"/>
                                            <w:right w:val="none" w:sz="0" w:space="0" w:color="auto"/>
                                          </w:divBdr>
                                          <w:divsChild>
                                            <w:div w:id="411437482">
                                              <w:marLeft w:val="0"/>
                                              <w:marRight w:val="0"/>
                                              <w:marTop w:val="0"/>
                                              <w:marBottom w:val="0"/>
                                              <w:divBdr>
                                                <w:top w:val="none" w:sz="0" w:space="0" w:color="auto"/>
                                                <w:left w:val="none" w:sz="0" w:space="0" w:color="auto"/>
                                                <w:bottom w:val="none" w:sz="0" w:space="0" w:color="auto"/>
                                                <w:right w:val="none" w:sz="0" w:space="0" w:color="auto"/>
                                              </w:divBdr>
                                              <w:divsChild>
                                                <w:div w:id="2098136128">
                                                  <w:marLeft w:val="0"/>
                                                  <w:marRight w:val="0"/>
                                                  <w:marTop w:val="0"/>
                                                  <w:marBottom w:val="0"/>
                                                  <w:divBdr>
                                                    <w:top w:val="none" w:sz="0" w:space="0" w:color="auto"/>
                                                    <w:left w:val="none" w:sz="0" w:space="0" w:color="auto"/>
                                                    <w:bottom w:val="none" w:sz="0" w:space="0" w:color="auto"/>
                                                    <w:right w:val="none" w:sz="0" w:space="0" w:color="auto"/>
                                                  </w:divBdr>
                                                  <w:divsChild>
                                                    <w:div w:id="793988648">
                                                      <w:marLeft w:val="0"/>
                                                      <w:marRight w:val="0"/>
                                                      <w:marTop w:val="0"/>
                                                      <w:marBottom w:val="0"/>
                                                      <w:divBdr>
                                                        <w:top w:val="none" w:sz="0" w:space="0" w:color="auto"/>
                                                        <w:left w:val="none" w:sz="0" w:space="0" w:color="auto"/>
                                                        <w:bottom w:val="none" w:sz="0" w:space="0" w:color="auto"/>
                                                        <w:right w:val="none" w:sz="0" w:space="0" w:color="auto"/>
                                                      </w:divBdr>
                                                      <w:divsChild>
                                                        <w:div w:id="1759784361">
                                                          <w:marLeft w:val="0"/>
                                                          <w:marRight w:val="0"/>
                                                          <w:marTop w:val="0"/>
                                                          <w:marBottom w:val="0"/>
                                                          <w:divBdr>
                                                            <w:top w:val="none" w:sz="0" w:space="0" w:color="auto"/>
                                                            <w:left w:val="none" w:sz="0" w:space="0" w:color="auto"/>
                                                            <w:bottom w:val="none" w:sz="0" w:space="0" w:color="auto"/>
                                                            <w:right w:val="none" w:sz="0" w:space="0" w:color="auto"/>
                                                          </w:divBdr>
                                                        </w:div>
                                                      </w:divsChild>
                                                    </w:div>
                                                    <w:div w:id="835459233">
                                                      <w:marLeft w:val="0"/>
                                                      <w:marRight w:val="0"/>
                                                      <w:marTop w:val="0"/>
                                                      <w:marBottom w:val="0"/>
                                                      <w:divBdr>
                                                        <w:top w:val="none" w:sz="0" w:space="0" w:color="auto"/>
                                                        <w:left w:val="none" w:sz="0" w:space="0" w:color="auto"/>
                                                        <w:bottom w:val="none" w:sz="0" w:space="0" w:color="auto"/>
                                                        <w:right w:val="none" w:sz="0" w:space="0" w:color="auto"/>
                                                      </w:divBdr>
                                                      <w:divsChild>
                                                        <w:div w:id="17506541">
                                                          <w:marLeft w:val="0"/>
                                                          <w:marRight w:val="0"/>
                                                          <w:marTop w:val="0"/>
                                                          <w:marBottom w:val="0"/>
                                                          <w:divBdr>
                                                            <w:top w:val="none" w:sz="0" w:space="0" w:color="auto"/>
                                                            <w:left w:val="none" w:sz="0" w:space="0" w:color="auto"/>
                                                            <w:bottom w:val="none" w:sz="0" w:space="0" w:color="auto"/>
                                                            <w:right w:val="none" w:sz="0" w:space="0" w:color="auto"/>
                                                          </w:divBdr>
                                                        </w:div>
                                                        <w:div w:id="327758089">
                                                          <w:marLeft w:val="45"/>
                                                          <w:marRight w:val="45"/>
                                                          <w:marTop w:val="15"/>
                                                          <w:marBottom w:val="0"/>
                                                          <w:divBdr>
                                                            <w:top w:val="none" w:sz="0" w:space="0" w:color="auto"/>
                                                            <w:left w:val="none" w:sz="0" w:space="0" w:color="auto"/>
                                                            <w:bottom w:val="none" w:sz="0" w:space="0" w:color="auto"/>
                                                            <w:right w:val="none" w:sz="0" w:space="0" w:color="auto"/>
                                                          </w:divBdr>
                                                          <w:divsChild>
                                                            <w:div w:id="1310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3221548">
                                          <w:marLeft w:val="0"/>
                                          <w:marRight w:val="0"/>
                                          <w:marTop w:val="0"/>
                                          <w:marBottom w:val="405"/>
                                          <w:divBdr>
                                            <w:top w:val="none" w:sz="0" w:space="0" w:color="auto"/>
                                            <w:left w:val="none" w:sz="0" w:space="0" w:color="auto"/>
                                            <w:bottom w:val="none" w:sz="0" w:space="0" w:color="auto"/>
                                            <w:right w:val="none" w:sz="0" w:space="0" w:color="auto"/>
                                          </w:divBdr>
                                          <w:divsChild>
                                            <w:div w:id="1609654374">
                                              <w:marLeft w:val="0"/>
                                              <w:marRight w:val="0"/>
                                              <w:marTop w:val="0"/>
                                              <w:marBottom w:val="0"/>
                                              <w:divBdr>
                                                <w:top w:val="none" w:sz="0" w:space="0" w:color="auto"/>
                                                <w:left w:val="none" w:sz="0" w:space="0" w:color="auto"/>
                                                <w:bottom w:val="none" w:sz="0" w:space="0" w:color="auto"/>
                                                <w:right w:val="none" w:sz="0" w:space="0" w:color="auto"/>
                                              </w:divBdr>
                                              <w:divsChild>
                                                <w:div w:id="689600076">
                                                  <w:marLeft w:val="0"/>
                                                  <w:marRight w:val="0"/>
                                                  <w:marTop w:val="0"/>
                                                  <w:marBottom w:val="0"/>
                                                  <w:divBdr>
                                                    <w:top w:val="none" w:sz="0" w:space="0" w:color="auto"/>
                                                    <w:left w:val="none" w:sz="0" w:space="0" w:color="auto"/>
                                                    <w:bottom w:val="none" w:sz="0" w:space="0" w:color="auto"/>
                                                    <w:right w:val="none" w:sz="0" w:space="0" w:color="auto"/>
                                                  </w:divBdr>
                                                  <w:divsChild>
                                                    <w:div w:id="209613602">
                                                      <w:marLeft w:val="0"/>
                                                      <w:marRight w:val="0"/>
                                                      <w:marTop w:val="0"/>
                                                      <w:marBottom w:val="0"/>
                                                      <w:divBdr>
                                                        <w:top w:val="none" w:sz="0" w:space="0" w:color="auto"/>
                                                        <w:left w:val="none" w:sz="0" w:space="0" w:color="auto"/>
                                                        <w:bottom w:val="none" w:sz="0" w:space="0" w:color="auto"/>
                                                        <w:right w:val="none" w:sz="0" w:space="0" w:color="auto"/>
                                                      </w:divBdr>
                                                      <w:divsChild>
                                                        <w:div w:id="963119912">
                                                          <w:marLeft w:val="0"/>
                                                          <w:marRight w:val="0"/>
                                                          <w:marTop w:val="0"/>
                                                          <w:marBottom w:val="0"/>
                                                          <w:divBdr>
                                                            <w:top w:val="none" w:sz="0" w:space="0" w:color="auto"/>
                                                            <w:left w:val="none" w:sz="0" w:space="0" w:color="auto"/>
                                                            <w:bottom w:val="none" w:sz="0" w:space="0" w:color="auto"/>
                                                            <w:right w:val="none" w:sz="0" w:space="0" w:color="auto"/>
                                                          </w:divBdr>
                                                        </w:div>
                                                        <w:div w:id="1047990687">
                                                          <w:marLeft w:val="45"/>
                                                          <w:marRight w:val="45"/>
                                                          <w:marTop w:val="15"/>
                                                          <w:marBottom w:val="0"/>
                                                          <w:divBdr>
                                                            <w:top w:val="none" w:sz="0" w:space="0" w:color="auto"/>
                                                            <w:left w:val="none" w:sz="0" w:space="0" w:color="auto"/>
                                                            <w:bottom w:val="none" w:sz="0" w:space="0" w:color="auto"/>
                                                            <w:right w:val="none" w:sz="0" w:space="0" w:color="auto"/>
                                                          </w:divBdr>
                                                          <w:divsChild>
                                                            <w:div w:id="735320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659476">
                                                      <w:marLeft w:val="0"/>
                                                      <w:marRight w:val="0"/>
                                                      <w:marTop w:val="0"/>
                                                      <w:marBottom w:val="0"/>
                                                      <w:divBdr>
                                                        <w:top w:val="none" w:sz="0" w:space="0" w:color="auto"/>
                                                        <w:left w:val="none" w:sz="0" w:space="0" w:color="auto"/>
                                                        <w:bottom w:val="none" w:sz="0" w:space="0" w:color="auto"/>
                                                        <w:right w:val="none" w:sz="0" w:space="0" w:color="auto"/>
                                                      </w:divBdr>
                                                      <w:divsChild>
                                                        <w:div w:id="787896387">
                                                          <w:marLeft w:val="0"/>
                                                          <w:marRight w:val="0"/>
                                                          <w:marTop w:val="0"/>
                                                          <w:marBottom w:val="0"/>
                                                          <w:divBdr>
                                                            <w:top w:val="none" w:sz="0" w:space="0" w:color="auto"/>
                                                            <w:left w:val="none" w:sz="0" w:space="0" w:color="auto"/>
                                                            <w:bottom w:val="none" w:sz="0" w:space="0" w:color="auto"/>
                                                            <w:right w:val="none" w:sz="0" w:space="0" w:color="auto"/>
                                                          </w:divBdr>
                                                          <w:divsChild>
                                                            <w:div w:id="249002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2092040">
                                          <w:marLeft w:val="0"/>
                                          <w:marRight w:val="0"/>
                                          <w:marTop w:val="0"/>
                                          <w:marBottom w:val="405"/>
                                          <w:divBdr>
                                            <w:top w:val="none" w:sz="0" w:space="0" w:color="auto"/>
                                            <w:left w:val="none" w:sz="0" w:space="0" w:color="auto"/>
                                            <w:bottom w:val="none" w:sz="0" w:space="0" w:color="auto"/>
                                            <w:right w:val="none" w:sz="0" w:space="0" w:color="auto"/>
                                          </w:divBdr>
                                          <w:divsChild>
                                            <w:div w:id="1844316947">
                                              <w:marLeft w:val="0"/>
                                              <w:marRight w:val="0"/>
                                              <w:marTop w:val="0"/>
                                              <w:marBottom w:val="0"/>
                                              <w:divBdr>
                                                <w:top w:val="none" w:sz="0" w:space="0" w:color="auto"/>
                                                <w:left w:val="none" w:sz="0" w:space="0" w:color="auto"/>
                                                <w:bottom w:val="none" w:sz="0" w:space="0" w:color="auto"/>
                                                <w:right w:val="none" w:sz="0" w:space="0" w:color="auto"/>
                                              </w:divBdr>
                                              <w:divsChild>
                                                <w:div w:id="1456294283">
                                                  <w:marLeft w:val="0"/>
                                                  <w:marRight w:val="0"/>
                                                  <w:marTop w:val="0"/>
                                                  <w:marBottom w:val="0"/>
                                                  <w:divBdr>
                                                    <w:top w:val="none" w:sz="0" w:space="0" w:color="auto"/>
                                                    <w:left w:val="none" w:sz="0" w:space="0" w:color="auto"/>
                                                    <w:bottom w:val="none" w:sz="0" w:space="0" w:color="auto"/>
                                                    <w:right w:val="none" w:sz="0" w:space="0" w:color="auto"/>
                                                  </w:divBdr>
                                                  <w:divsChild>
                                                    <w:div w:id="1469785356">
                                                      <w:marLeft w:val="0"/>
                                                      <w:marRight w:val="0"/>
                                                      <w:marTop w:val="0"/>
                                                      <w:marBottom w:val="0"/>
                                                      <w:divBdr>
                                                        <w:top w:val="none" w:sz="0" w:space="0" w:color="auto"/>
                                                        <w:left w:val="none" w:sz="0" w:space="0" w:color="auto"/>
                                                        <w:bottom w:val="none" w:sz="0" w:space="0" w:color="auto"/>
                                                        <w:right w:val="none" w:sz="0" w:space="0" w:color="auto"/>
                                                      </w:divBdr>
                                                      <w:divsChild>
                                                        <w:div w:id="1308704788">
                                                          <w:marLeft w:val="0"/>
                                                          <w:marRight w:val="0"/>
                                                          <w:marTop w:val="0"/>
                                                          <w:marBottom w:val="0"/>
                                                          <w:divBdr>
                                                            <w:top w:val="none" w:sz="0" w:space="0" w:color="auto"/>
                                                            <w:left w:val="none" w:sz="0" w:space="0" w:color="auto"/>
                                                            <w:bottom w:val="none" w:sz="0" w:space="0" w:color="auto"/>
                                                            <w:right w:val="none" w:sz="0" w:space="0" w:color="auto"/>
                                                          </w:divBdr>
                                                        </w:div>
                                                      </w:divsChild>
                                                    </w:div>
                                                    <w:div w:id="1769156476">
                                                      <w:marLeft w:val="0"/>
                                                      <w:marRight w:val="0"/>
                                                      <w:marTop w:val="0"/>
                                                      <w:marBottom w:val="0"/>
                                                      <w:divBdr>
                                                        <w:top w:val="none" w:sz="0" w:space="0" w:color="auto"/>
                                                        <w:left w:val="none" w:sz="0" w:space="0" w:color="auto"/>
                                                        <w:bottom w:val="none" w:sz="0" w:space="0" w:color="auto"/>
                                                        <w:right w:val="none" w:sz="0" w:space="0" w:color="auto"/>
                                                      </w:divBdr>
                                                      <w:divsChild>
                                                        <w:div w:id="67533238">
                                                          <w:marLeft w:val="0"/>
                                                          <w:marRight w:val="0"/>
                                                          <w:marTop w:val="0"/>
                                                          <w:marBottom w:val="0"/>
                                                          <w:divBdr>
                                                            <w:top w:val="none" w:sz="0" w:space="0" w:color="auto"/>
                                                            <w:left w:val="none" w:sz="0" w:space="0" w:color="auto"/>
                                                            <w:bottom w:val="none" w:sz="0" w:space="0" w:color="auto"/>
                                                            <w:right w:val="none" w:sz="0" w:space="0" w:color="auto"/>
                                                          </w:divBdr>
                                                        </w:div>
                                                        <w:div w:id="1429697003">
                                                          <w:marLeft w:val="45"/>
                                                          <w:marRight w:val="45"/>
                                                          <w:marTop w:val="15"/>
                                                          <w:marBottom w:val="0"/>
                                                          <w:divBdr>
                                                            <w:top w:val="none" w:sz="0" w:space="0" w:color="auto"/>
                                                            <w:left w:val="none" w:sz="0" w:space="0" w:color="auto"/>
                                                            <w:bottom w:val="none" w:sz="0" w:space="0" w:color="auto"/>
                                                            <w:right w:val="none" w:sz="0" w:space="0" w:color="auto"/>
                                                          </w:divBdr>
                                                          <w:divsChild>
                                                            <w:div w:id="1861119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77237526">
                                          <w:marLeft w:val="0"/>
                                          <w:marRight w:val="0"/>
                                          <w:marTop w:val="0"/>
                                          <w:marBottom w:val="420"/>
                                          <w:divBdr>
                                            <w:top w:val="none" w:sz="0" w:space="0" w:color="auto"/>
                                            <w:left w:val="none" w:sz="0" w:space="0" w:color="auto"/>
                                            <w:bottom w:val="none" w:sz="0" w:space="0" w:color="auto"/>
                                            <w:right w:val="none" w:sz="0" w:space="0" w:color="auto"/>
                                          </w:divBdr>
                                          <w:divsChild>
                                            <w:div w:id="521284777">
                                              <w:marLeft w:val="0"/>
                                              <w:marRight w:val="0"/>
                                              <w:marTop w:val="0"/>
                                              <w:marBottom w:val="0"/>
                                              <w:divBdr>
                                                <w:top w:val="none" w:sz="0" w:space="0" w:color="auto"/>
                                                <w:left w:val="none" w:sz="0" w:space="0" w:color="auto"/>
                                                <w:bottom w:val="none" w:sz="0" w:space="0" w:color="auto"/>
                                                <w:right w:val="none" w:sz="0" w:space="0" w:color="auto"/>
                                              </w:divBdr>
                                              <w:divsChild>
                                                <w:div w:id="2081292819">
                                                  <w:marLeft w:val="0"/>
                                                  <w:marRight w:val="0"/>
                                                  <w:marTop w:val="0"/>
                                                  <w:marBottom w:val="0"/>
                                                  <w:divBdr>
                                                    <w:top w:val="none" w:sz="0" w:space="0" w:color="auto"/>
                                                    <w:left w:val="none" w:sz="0" w:space="0" w:color="auto"/>
                                                    <w:bottom w:val="none" w:sz="0" w:space="0" w:color="auto"/>
                                                    <w:right w:val="none" w:sz="0" w:space="0" w:color="auto"/>
                                                  </w:divBdr>
                                                  <w:divsChild>
                                                    <w:div w:id="1167399737">
                                                      <w:marLeft w:val="0"/>
                                                      <w:marRight w:val="0"/>
                                                      <w:marTop w:val="0"/>
                                                      <w:marBottom w:val="0"/>
                                                      <w:divBdr>
                                                        <w:top w:val="none" w:sz="0" w:space="0" w:color="auto"/>
                                                        <w:left w:val="none" w:sz="0" w:space="0" w:color="auto"/>
                                                        <w:bottom w:val="none" w:sz="0" w:space="0" w:color="auto"/>
                                                        <w:right w:val="none" w:sz="0" w:space="0" w:color="auto"/>
                                                      </w:divBdr>
                                                      <w:divsChild>
                                                        <w:div w:id="379549629">
                                                          <w:marLeft w:val="0"/>
                                                          <w:marRight w:val="0"/>
                                                          <w:marTop w:val="0"/>
                                                          <w:marBottom w:val="0"/>
                                                          <w:divBdr>
                                                            <w:top w:val="none" w:sz="0" w:space="0" w:color="auto"/>
                                                            <w:left w:val="none" w:sz="0" w:space="0" w:color="auto"/>
                                                            <w:bottom w:val="none" w:sz="0" w:space="0" w:color="auto"/>
                                                            <w:right w:val="none" w:sz="0" w:space="0" w:color="auto"/>
                                                          </w:divBdr>
                                                        </w:div>
                                                      </w:divsChild>
                                                    </w:div>
                                                    <w:div w:id="1931114371">
                                                      <w:marLeft w:val="0"/>
                                                      <w:marRight w:val="0"/>
                                                      <w:marTop w:val="0"/>
                                                      <w:marBottom w:val="0"/>
                                                      <w:divBdr>
                                                        <w:top w:val="none" w:sz="0" w:space="0" w:color="auto"/>
                                                        <w:left w:val="none" w:sz="0" w:space="0" w:color="auto"/>
                                                        <w:bottom w:val="none" w:sz="0" w:space="0" w:color="auto"/>
                                                        <w:right w:val="none" w:sz="0" w:space="0" w:color="auto"/>
                                                      </w:divBdr>
                                                      <w:divsChild>
                                                        <w:div w:id="493447962">
                                                          <w:marLeft w:val="45"/>
                                                          <w:marRight w:val="45"/>
                                                          <w:marTop w:val="15"/>
                                                          <w:marBottom w:val="0"/>
                                                          <w:divBdr>
                                                            <w:top w:val="none" w:sz="0" w:space="0" w:color="auto"/>
                                                            <w:left w:val="none" w:sz="0" w:space="0" w:color="auto"/>
                                                            <w:bottom w:val="none" w:sz="0" w:space="0" w:color="auto"/>
                                                            <w:right w:val="none" w:sz="0" w:space="0" w:color="auto"/>
                                                          </w:divBdr>
                                                          <w:divsChild>
                                                            <w:div w:id="136194582">
                                                              <w:marLeft w:val="0"/>
                                                              <w:marRight w:val="0"/>
                                                              <w:marTop w:val="0"/>
                                                              <w:marBottom w:val="0"/>
                                                              <w:divBdr>
                                                                <w:top w:val="none" w:sz="0" w:space="0" w:color="auto"/>
                                                                <w:left w:val="none" w:sz="0" w:space="0" w:color="auto"/>
                                                                <w:bottom w:val="none" w:sz="0" w:space="0" w:color="auto"/>
                                                                <w:right w:val="none" w:sz="0" w:space="0" w:color="auto"/>
                                                              </w:divBdr>
                                                            </w:div>
                                                          </w:divsChild>
                                                        </w:div>
                                                        <w:div w:id="928780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4406794">
                                          <w:marLeft w:val="0"/>
                                          <w:marRight w:val="0"/>
                                          <w:marTop w:val="0"/>
                                          <w:marBottom w:val="405"/>
                                          <w:divBdr>
                                            <w:top w:val="none" w:sz="0" w:space="0" w:color="auto"/>
                                            <w:left w:val="none" w:sz="0" w:space="0" w:color="auto"/>
                                            <w:bottom w:val="none" w:sz="0" w:space="0" w:color="auto"/>
                                            <w:right w:val="none" w:sz="0" w:space="0" w:color="auto"/>
                                          </w:divBdr>
                                          <w:divsChild>
                                            <w:div w:id="1698459806">
                                              <w:marLeft w:val="0"/>
                                              <w:marRight w:val="0"/>
                                              <w:marTop w:val="0"/>
                                              <w:marBottom w:val="0"/>
                                              <w:divBdr>
                                                <w:top w:val="none" w:sz="0" w:space="0" w:color="auto"/>
                                                <w:left w:val="none" w:sz="0" w:space="0" w:color="auto"/>
                                                <w:bottom w:val="none" w:sz="0" w:space="0" w:color="auto"/>
                                                <w:right w:val="none" w:sz="0" w:space="0" w:color="auto"/>
                                              </w:divBdr>
                                              <w:divsChild>
                                                <w:div w:id="551961127">
                                                  <w:marLeft w:val="0"/>
                                                  <w:marRight w:val="0"/>
                                                  <w:marTop w:val="0"/>
                                                  <w:marBottom w:val="0"/>
                                                  <w:divBdr>
                                                    <w:top w:val="none" w:sz="0" w:space="0" w:color="auto"/>
                                                    <w:left w:val="none" w:sz="0" w:space="0" w:color="auto"/>
                                                    <w:bottom w:val="none" w:sz="0" w:space="0" w:color="auto"/>
                                                    <w:right w:val="none" w:sz="0" w:space="0" w:color="auto"/>
                                                  </w:divBdr>
                                                  <w:divsChild>
                                                    <w:div w:id="894049933">
                                                      <w:marLeft w:val="0"/>
                                                      <w:marRight w:val="0"/>
                                                      <w:marTop w:val="0"/>
                                                      <w:marBottom w:val="0"/>
                                                      <w:divBdr>
                                                        <w:top w:val="none" w:sz="0" w:space="0" w:color="auto"/>
                                                        <w:left w:val="none" w:sz="0" w:space="0" w:color="auto"/>
                                                        <w:bottom w:val="none" w:sz="0" w:space="0" w:color="auto"/>
                                                        <w:right w:val="none" w:sz="0" w:space="0" w:color="auto"/>
                                                      </w:divBdr>
                                                      <w:divsChild>
                                                        <w:div w:id="327292797">
                                                          <w:marLeft w:val="45"/>
                                                          <w:marRight w:val="45"/>
                                                          <w:marTop w:val="15"/>
                                                          <w:marBottom w:val="0"/>
                                                          <w:divBdr>
                                                            <w:top w:val="none" w:sz="0" w:space="0" w:color="auto"/>
                                                            <w:left w:val="none" w:sz="0" w:space="0" w:color="auto"/>
                                                            <w:bottom w:val="none" w:sz="0" w:space="0" w:color="auto"/>
                                                            <w:right w:val="none" w:sz="0" w:space="0" w:color="auto"/>
                                                          </w:divBdr>
                                                          <w:divsChild>
                                                            <w:div w:id="1883248225">
                                                              <w:marLeft w:val="0"/>
                                                              <w:marRight w:val="0"/>
                                                              <w:marTop w:val="0"/>
                                                              <w:marBottom w:val="0"/>
                                                              <w:divBdr>
                                                                <w:top w:val="none" w:sz="0" w:space="0" w:color="auto"/>
                                                                <w:left w:val="none" w:sz="0" w:space="0" w:color="auto"/>
                                                                <w:bottom w:val="none" w:sz="0" w:space="0" w:color="auto"/>
                                                                <w:right w:val="none" w:sz="0" w:space="0" w:color="auto"/>
                                                              </w:divBdr>
                                                            </w:div>
                                                          </w:divsChild>
                                                        </w:div>
                                                        <w:div w:id="1154416810">
                                                          <w:marLeft w:val="0"/>
                                                          <w:marRight w:val="0"/>
                                                          <w:marTop w:val="0"/>
                                                          <w:marBottom w:val="0"/>
                                                          <w:divBdr>
                                                            <w:top w:val="none" w:sz="0" w:space="0" w:color="auto"/>
                                                            <w:left w:val="none" w:sz="0" w:space="0" w:color="auto"/>
                                                            <w:bottom w:val="none" w:sz="0" w:space="0" w:color="auto"/>
                                                            <w:right w:val="none" w:sz="0" w:space="0" w:color="auto"/>
                                                          </w:divBdr>
                                                        </w:div>
                                                      </w:divsChild>
                                                    </w:div>
                                                    <w:div w:id="2115009435">
                                                      <w:marLeft w:val="0"/>
                                                      <w:marRight w:val="0"/>
                                                      <w:marTop w:val="0"/>
                                                      <w:marBottom w:val="0"/>
                                                      <w:divBdr>
                                                        <w:top w:val="none" w:sz="0" w:space="0" w:color="auto"/>
                                                        <w:left w:val="none" w:sz="0" w:space="0" w:color="auto"/>
                                                        <w:bottom w:val="none" w:sz="0" w:space="0" w:color="auto"/>
                                                        <w:right w:val="none" w:sz="0" w:space="0" w:color="auto"/>
                                                      </w:divBdr>
                                                      <w:divsChild>
                                                        <w:div w:id="204997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0413903">
                                  <w:marLeft w:val="0"/>
                                  <w:marRight w:val="0"/>
                                  <w:marTop w:val="0"/>
                                  <w:marBottom w:val="0"/>
                                  <w:divBdr>
                                    <w:top w:val="none" w:sz="0" w:space="0" w:color="auto"/>
                                    <w:left w:val="none" w:sz="0" w:space="0" w:color="auto"/>
                                    <w:bottom w:val="none" w:sz="0" w:space="0" w:color="auto"/>
                                    <w:right w:val="none" w:sz="0" w:space="0" w:color="auto"/>
                                  </w:divBdr>
                                  <w:divsChild>
                                    <w:div w:id="740061921">
                                      <w:marLeft w:val="0"/>
                                      <w:marRight w:val="0"/>
                                      <w:marTop w:val="0"/>
                                      <w:marBottom w:val="0"/>
                                      <w:divBdr>
                                        <w:top w:val="none" w:sz="0" w:space="0" w:color="auto"/>
                                        <w:left w:val="none" w:sz="0" w:space="0" w:color="auto"/>
                                        <w:bottom w:val="none" w:sz="0" w:space="0" w:color="auto"/>
                                        <w:right w:val="none" w:sz="0" w:space="0" w:color="auto"/>
                                      </w:divBdr>
                                      <w:divsChild>
                                        <w:div w:id="525677025">
                                          <w:marLeft w:val="0"/>
                                          <w:marRight w:val="0"/>
                                          <w:marTop w:val="0"/>
                                          <w:marBottom w:val="0"/>
                                          <w:divBdr>
                                            <w:top w:val="none" w:sz="0" w:space="0" w:color="auto"/>
                                            <w:left w:val="none" w:sz="0" w:space="0" w:color="auto"/>
                                            <w:bottom w:val="none" w:sz="0" w:space="0" w:color="auto"/>
                                            <w:right w:val="none" w:sz="0" w:space="0" w:color="auto"/>
                                          </w:divBdr>
                                        </w:div>
                                        <w:div w:id="874581894">
                                          <w:marLeft w:val="0"/>
                                          <w:marRight w:val="0"/>
                                          <w:marTop w:val="0"/>
                                          <w:marBottom w:val="0"/>
                                          <w:divBdr>
                                            <w:top w:val="none" w:sz="0" w:space="0" w:color="auto"/>
                                            <w:left w:val="none" w:sz="0" w:space="0" w:color="auto"/>
                                            <w:bottom w:val="none" w:sz="0" w:space="0" w:color="auto"/>
                                            <w:right w:val="none" w:sz="0" w:space="0" w:color="auto"/>
                                          </w:divBdr>
                                          <w:divsChild>
                                            <w:div w:id="122891815">
                                              <w:marLeft w:val="0"/>
                                              <w:marRight w:val="0"/>
                                              <w:marTop w:val="0"/>
                                              <w:marBottom w:val="0"/>
                                              <w:divBdr>
                                                <w:top w:val="none" w:sz="0" w:space="0" w:color="auto"/>
                                                <w:left w:val="none" w:sz="0" w:space="0" w:color="auto"/>
                                                <w:bottom w:val="none" w:sz="0" w:space="0" w:color="auto"/>
                                                <w:right w:val="none" w:sz="0" w:space="0" w:color="auto"/>
                                              </w:divBdr>
                                              <w:divsChild>
                                                <w:div w:id="364141351">
                                                  <w:marLeft w:val="0"/>
                                                  <w:marRight w:val="0"/>
                                                  <w:marTop w:val="0"/>
                                                  <w:marBottom w:val="0"/>
                                                  <w:divBdr>
                                                    <w:top w:val="none" w:sz="0" w:space="0" w:color="auto"/>
                                                    <w:left w:val="none" w:sz="0" w:space="0" w:color="auto"/>
                                                    <w:bottom w:val="none" w:sz="0" w:space="0" w:color="auto"/>
                                                    <w:right w:val="none" w:sz="0" w:space="0" w:color="auto"/>
                                                  </w:divBdr>
                                                  <w:divsChild>
                                                    <w:div w:id="1012495122">
                                                      <w:marLeft w:val="0"/>
                                                      <w:marRight w:val="0"/>
                                                      <w:marTop w:val="0"/>
                                                      <w:marBottom w:val="0"/>
                                                      <w:divBdr>
                                                        <w:top w:val="none" w:sz="0" w:space="0" w:color="auto"/>
                                                        <w:left w:val="none" w:sz="0" w:space="0" w:color="auto"/>
                                                        <w:bottom w:val="none" w:sz="0" w:space="0" w:color="auto"/>
                                                        <w:right w:val="none" w:sz="0" w:space="0" w:color="auto"/>
                                                      </w:divBdr>
                                                      <w:divsChild>
                                                        <w:div w:id="78214507">
                                                          <w:marLeft w:val="0"/>
                                                          <w:marRight w:val="0"/>
                                                          <w:marTop w:val="0"/>
                                                          <w:marBottom w:val="0"/>
                                                          <w:divBdr>
                                                            <w:top w:val="none" w:sz="0" w:space="0" w:color="auto"/>
                                                            <w:left w:val="none" w:sz="0" w:space="0" w:color="auto"/>
                                                            <w:bottom w:val="none" w:sz="0" w:space="0" w:color="auto"/>
                                                            <w:right w:val="none" w:sz="0" w:space="0" w:color="auto"/>
                                                          </w:divBdr>
                                                          <w:divsChild>
                                                            <w:div w:id="1684941550">
                                                              <w:marLeft w:val="0"/>
                                                              <w:marRight w:val="0"/>
                                                              <w:marTop w:val="0"/>
                                                              <w:marBottom w:val="0"/>
                                                              <w:divBdr>
                                                                <w:top w:val="none" w:sz="0" w:space="0" w:color="auto"/>
                                                                <w:left w:val="none" w:sz="0" w:space="0" w:color="auto"/>
                                                                <w:bottom w:val="none" w:sz="0" w:space="0" w:color="auto"/>
                                                                <w:right w:val="none" w:sz="0" w:space="0" w:color="auto"/>
                                                              </w:divBdr>
                                                              <w:divsChild>
                                                                <w:div w:id="144395901">
                                                                  <w:marLeft w:val="0"/>
                                                                  <w:marRight w:val="0"/>
                                                                  <w:marTop w:val="0"/>
                                                                  <w:marBottom w:val="0"/>
                                                                  <w:divBdr>
                                                                    <w:top w:val="none" w:sz="0" w:space="0" w:color="auto"/>
                                                                    <w:left w:val="none" w:sz="0" w:space="0" w:color="auto"/>
                                                                    <w:bottom w:val="none" w:sz="0" w:space="0" w:color="auto"/>
                                                                    <w:right w:val="none" w:sz="0" w:space="0" w:color="auto"/>
                                                                  </w:divBdr>
                                                                  <w:divsChild>
                                                                    <w:div w:id="1463576610">
                                                                      <w:marLeft w:val="0"/>
                                                                      <w:marRight w:val="0"/>
                                                                      <w:marTop w:val="0"/>
                                                                      <w:marBottom w:val="0"/>
                                                                      <w:divBdr>
                                                                        <w:top w:val="none" w:sz="0" w:space="0" w:color="auto"/>
                                                                        <w:left w:val="none" w:sz="0" w:space="0" w:color="auto"/>
                                                                        <w:bottom w:val="none" w:sz="0" w:space="0" w:color="auto"/>
                                                                        <w:right w:val="none" w:sz="0" w:space="0" w:color="auto"/>
                                                                      </w:divBdr>
                                                                    </w:div>
                                                                  </w:divsChild>
                                                                </w:div>
                                                                <w:div w:id="339355373">
                                                                  <w:marLeft w:val="0"/>
                                                                  <w:marRight w:val="0"/>
                                                                  <w:marTop w:val="0"/>
                                                                  <w:marBottom w:val="0"/>
                                                                  <w:divBdr>
                                                                    <w:top w:val="none" w:sz="0" w:space="0" w:color="auto"/>
                                                                    <w:left w:val="none" w:sz="0" w:space="0" w:color="auto"/>
                                                                    <w:bottom w:val="none" w:sz="0" w:space="0" w:color="auto"/>
                                                                    <w:right w:val="none" w:sz="0" w:space="0" w:color="auto"/>
                                                                  </w:divBdr>
                                                                  <w:divsChild>
                                                                    <w:div w:id="1059405932">
                                                                      <w:marLeft w:val="0"/>
                                                                      <w:marRight w:val="0"/>
                                                                      <w:marTop w:val="0"/>
                                                                      <w:marBottom w:val="0"/>
                                                                      <w:divBdr>
                                                                        <w:top w:val="none" w:sz="0" w:space="0" w:color="auto"/>
                                                                        <w:left w:val="none" w:sz="0" w:space="0" w:color="auto"/>
                                                                        <w:bottom w:val="none" w:sz="0" w:space="0" w:color="auto"/>
                                                                        <w:right w:val="none" w:sz="0" w:space="0" w:color="auto"/>
                                                                      </w:divBdr>
                                                                    </w:div>
                                                                  </w:divsChild>
                                                                </w:div>
                                                                <w:div w:id="1005595956">
                                                                  <w:marLeft w:val="0"/>
                                                                  <w:marRight w:val="0"/>
                                                                  <w:marTop w:val="0"/>
                                                                  <w:marBottom w:val="0"/>
                                                                  <w:divBdr>
                                                                    <w:top w:val="none" w:sz="0" w:space="0" w:color="auto"/>
                                                                    <w:left w:val="none" w:sz="0" w:space="0" w:color="auto"/>
                                                                    <w:bottom w:val="none" w:sz="0" w:space="0" w:color="auto"/>
                                                                    <w:right w:val="none" w:sz="0" w:space="0" w:color="auto"/>
                                                                  </w:divBdr>
                                                                  <w:divsChild>
                                                                    <w:div w:id="1271938377">
                                                                      <w:marLeft w:val="0"/>
                                                                      <w:marRight w:val="0"/>
                                                                      <w:marTop w:val="0"/>
                                                                      <w:marBottom w:val="0"/>
                                                                      <w:divBdr>
                                                                        <w:top w:val="none" w:sz="0" w:space="0" w:color="auto"/>
                                                                        <w:left w:val="none" w:sz="0" w:space="0" w:color="auto"/>
                                                                        <w:bottom w:val="none" w:sz="0" w:space="0" w:color="auto"/>
                                                                        <w:right w:val="none" w:sz="0" w:space="0" w:color="auto"/>
                                                                      </w:divBdr>
                                                                    </w:div>
                                                                  </w:divsChild>
                                                                </w:div>
                                                                <w:div w:id="1283807600">
                                                                  <w:marLeft w:val="0"/>
                                                                  <w:marRight w:val="0"/>
                                                                  <w:marTop w:val="0"/>
                                                                  <w:marBottom w:val="0"/>
                                                                  <w:divBdr>
                                                                    <w:top w:val="none" w:sz="0" w:space="0" w:color="auto"/>
                                                                    <w:left w:val="none" w:sz="0" w:space="0" w:color="auto"/>
                                                                    <w:bottom w:val="none" w:sz="0" w:space="0" w:color="auto"/>
                                                                    <w:right w:val="none" w:sz="0" w:space="0" w:color="auto"/>
                                                                  </w:divBdr>
                                                                  <w:divsChild>
                                                                    <w:div w:id="1633440612">
                                                                      <w:marLeft w:val="0"/>
                                                                      <w:marRight w:val="0"/>
                                                                      <w:marTop w:val="0"/>
                                                                      <w:marBottom w:val="0"/>
                                                                      <w:divBdr>
                                                                        <w:top w:val="none" w:sz="0" w:space="0" w:color="auto"/>
                                                                        <w:left w:val="none" w:sz="0" w:space="0" w:color="auto"/>
                                                                        <w:bottom w:val="none" w:sz="0" w:space="0" w:color="auto"/>
                                                                        <w:right w:val="none" w:sz="0" w:space="0" w:color="auto"/>
                                                                      </w:divBdr>
                                                                    </w:div>
                                                                  </w:divsChild>
                                                                </w:div>
                                                                <w:div w:id="1471048265">
                                                                  <w:marLeft w:val="0"/>
                                                                  <w:marRight w:val="0"/>
                                                                  <w:marTop w:val="0"/>
                                                                  <w:marBottom w:val="0"/>
                                                                  <w:divBdr>
                                                                    <w:top w:val="none" w:sz="0" w:space="0" w:color="auto"/>
                                                                    <w:left w:val="none" w:sz="0" w:space="0" w:color="auto"/>
                                                                    <w:bottom w:val="none" w:sz="0" w:space="0" w:color="auto"/>
                                                                    <w:right w:val="none" w:sz="0" w:space="0" w:color="auto"/>
                                                                  </w:divBdr>
                                                                  <w:divsChild>
                                                                    <w:div w:id="655915916">
                                                                      <w:marLeft w:val="0"/>
                                                                      <w:marRight w:val="0"/>
                                                                      <w:marTop w:val="0"/>
                                                                      <w:marBottom w:val="0"/>
                                                                      <w:divBdr>
                                                                        <w:top w:val="none" w:sz="0" w:space="0" w:color="auto"/>
                                                                        <w:left w:val="none" w:sz="0" w:space="0" w:color="auto"/>
                                                                        <w:bottom w:val="none" w:sz="0" w:space="0" w:color="auto"/>
                                                                        <w:right w:val="none" w:sz="0" w:space="0" w:color="auto"/>
                                                                      </w:divBdr>
                                                                    </w:div>
                                                                  </w:divsChild>
                                                                </w:div>
                                                                <w:div w:id="1689136714">
                                                                  <w:marLeft w:val="0"/>
                                                                  <w:marRight w:val="0"/>
                                                                  <w:marTop w:val="0"/>
                                                                  <w:marBottom w:val="0"/>
                                                                  <w:divBdr>
                                                                    <w:top w:val="none" w:sz="0" w:space="0" w:color="auto"/>
                                                                    <w:left w:val="none" w:sz="0" w:space="0" w:color="auto"/>
                                                                    <w:bottom w:val="none" w:sz="0" w:space="0" w:color="auto"/>
                                                                    <w:right w:val="none" w:sz="0" w:space="0" w:color="auto"/>
                                                                  </w:divBdr>
                                                                  <w:divsChild>
                                                                    <w:div w:id="128088322">
                                                                      <w:marLeft w:val="0"/>
                                                                      <w:marRight w:val="0"/>
                                                                      <w:marTop w:val="0"/>
                                                                      <w:marBottom w:val="0"/>
                                                                      <w:divBdr>
                                                                        <w:top w:val="none" w:sz="0" w:space="0" w:color="auto"/>
                                                                        <w:left w:val="none" w:sz="0" w:space="0" w:color="auto"/>
                                                                        <w:bottom w:val="none" w:sz="0" w:space="0" w:color="auto"/>
                                                                        <w:right w:val="none" w:sz="0" w:space="0" w:color="auto"/>
                                                                      </w:divBdr>
                                                                    </w:div>
                                                                  </w:divsChild>
                                                                </w:div>
                                                                <w:div w:id="1703549482">
                                                                  <w:marLeft w:val="0"/>
                                                                  <w:marRight w:val="0"/>
                                                                  <w:marTop w:val="0"/>
                                                                  <w:marBottom w:val="0"/>
                                                                  <w:divBdr>
                                                                    <w:top w:val="none" w:sz="0" w:space="0" w:color="auto"/>
                                                                    <w:left w:val="none" w:sz="0" w:space="0" w:color="auto"/>
                                                                    <w:bottom w:val="none" w:sz="0" w:space="0" w:color="auto"/>
                                                                    <w:right w:val="none" w:sz="0" w:space="0" w:color="auto"/>
                                                                  </w:divBdr>
                                                                  <w:divsChild>
                                                                    <w:div w:id="1722510867">
                                                                      <w:marLeft w:val="0"/>
                                                                      <w:marRight w:val="0"/>
                                                                      <w:marTop w:val="0"/>
                                                                      <w:marBottom w:val="0"/>
                                                                      <w:divBdr>
                                                                        <w:top w:val="none" w:sz="0" w:space="0" w:color="auto"/>
                                                                        <w:left w:val="none" w:sz="0" w:space="0" w:color="auto"/>
                                                                        <w:bottom w:val="none" w:sz="0" w:space="0" w:color="auto"/>
                                                                        <w:right w:val="none" w:sz="0" w:space="0" w:color="auto"/>
                                                                      </w:divBdr>
                                                                    </w:div>
                                                                  </w:divsChild>
                                                                </w:div>
                                                                <w:div w:id="1815442651">
                                                                  <w:marLeft w:val="0"/>
                                                                  <w:marRight w:val="0"/>
                                                                  <w:marTop w:val="0"/>
                                                                  <w:marBottom w:val="0"/>
                                                                  <w:divBdr>
                                                                    <w:top w:val="none" w:sz="0" w:space="0" w:color="auto"/>
                                                                    <w:left w:val="none" w:sz="0" w:space="0" w:color="auto"/>
                                                                    <w:bottom w:val="none" w:sz="0" w:space="0" w:color="auto"/>
                                                                    <w:right w:val="none" w:sz="0" w:space="0" w:color="auto"/>
                                                                  </w:divBdr>
                                                                  <w:divsChild>
                                                                    <w:div w:id="731776413">
                                                                      <w:marLeft w:val="0"/>
                                                                      <w:marRight w:val="0"/>
                                                                      <w:marTop w:val="0"/>
                                                                      <w:marBottom w:val="0"/>
                                                                      <w:divBdr>
                                                                        <w:top w:val="none" w:sz="0" w:space="0" w:color="auto"/>
                                                                        <w:left w:val="none" w:sz="0" w:space="0" w:color="auto"/>
                                                                        <w:bottom w:val="none" w:sz="0" w:space="0" w:color="auto"/>
                                                                        <w:right w:val="none" w:sz="0" w:space="0" w:color="auto"/>
                                                                      </w:divBdr>
                                                                    </w:div>
                                                                  </w:divsChild>
                                                                </w:div>
                                                                <w:div w:id="1876575349">
                                                                  <w:marLeft w:val="0"/>
                                                                  <w:marRight w:val="0"/>
                                                                  <w:marTop w:val="0"/>
                                                                  <w:marBottom w:val="0"/>
                                                                  <w:divBdr>
                                                                    <w:top w:val="none" w:sz="0" w:space="0" w:color="auto"/>
                                                                    <w:left w:val="none" w:sz="0" w:space="0" w:color="auto"/>
                                                                    <w:bottom w:val="none" w:sz="0" w:space="0" w:color="auto"/>
                                                                    <w:right w:val="none" w:sz="0" w:space="0" w:color="auto"/>
                                                                  </w:divBdr>
                                                                  <w:divsChild>
                                                                    <w:div w:id="916063005">
                                                                      <w:marLeft w:val="0"/>
                                                                      <w:marRight w:val="0"/>
                                                                      <w:marTop w:val="0"/>
                                                                      <w:marBottom w:val="0"/>
                                                                      <w:divBdr>
                                                                        <w:top w:val="none" w:sz="0" w:space="0" w:color="auto"/>
                                                                        <w:left w:val="none" w:sz="0" w:space="0" w:color="auto"/>
                                                                        <w:bottom w:val="none" w:sz="0" w:space="0" w:color="auto"/>
                                                                        <w:right w:val="none" w:sz="0" w:space="0" w:color="auto"/>
                                                                      </w:divBdr>
                                                                    </w:div>
                                                                  </w:divsChild>
                                                                </w:div>
                                                                <w:div w:id="1987052186">
                                                                  <w:marLeft w:val="0"/>
                                                                  <w:marRight w:val="0"/>
                                                                  <w:marTop w:val="100"/>
                                                                  <w:marBottom w:val="100"/>
                                                                  <w:divBdr>
                                                                    <w:top w:val="none" w:sz="0" w:space="0" w:color="auto"/>
                                                                    <w:left w:val="none" w:sz="0" w:space="0" w:color="auto"/>
                                                                    <w:bottom w:val="none" w:sz="0" w:space="0" w:color="auto"/>
                                                                    <w:right w:val="none" w:sz="0" w:space="0" w:color="auto"/>
                                                                  </w:divBdr>
                                                                  <w:divsChild>
                                                                    <w:div w:id="197860914">
                                                                      <w:marLeft w:val="0"/>
                                                                      <w:marRight w:val="0"/>
                                                                      <w:marTop w:val="0"/>
                                                                      <w:marBottom w:val="0"/>
                                                                      <w:divBdr>
                                                                        <w:top w:val="none" w:sz="0" w:space="0" w:color="auto"/>
                                                                        <w:left w:val="none" w:sz="0" w:space="0" w:color="auto"/>
                                                                        <w:bottom w:val="none" w:sz="0" w:space="0" w:color="auto"/>
                                                                        <w:right w:val="none" w:sz="0" w:space="0" w:color="auto"/>
                                                                      </w:divBdr>
                                                                      <w:divsChild>
                                                                        <w:div w:id="1645963802">
                                                                          <w:marLeft w:val="0"/>
                                                                          <w:marRight w:val="0"/>
                                                                          <w:marTop w:val="0"/>
                                                                          <w:marBottom w:val="0"/>
                                                                          <w:divBdr>
                                                                            <w:top w:val="none" w:sz="0" w:space="0" w:color="auto"/>
                                                                            <w:left w:val="none" w:sz="0" w:space="0" w:color="auto"/>
                                                                            <w:bottom w:val="none" w:sz="0" w:space="0" w:color="auto"/>
                                                                            <w:right w:val="none" w:sz="0" w:space="0" w:color="auto"/>
                                                                          </w:divBdr>
                                                                          <w:divsChild>
                                                                            <w:div w:id="395671409">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 w:id="2119912455">
                                                                  <w:marLeft w:val="0"/>
                                                                  <w:marRight w:val="0"/>
                                                                  <w:marTop w:val="0"/>
                                                                  <w:marBottom w:val="0"/>
                                                                  <w:divBdr>
                                                                    <w:top w:val="none" w:sz="0" w:space="0" w:color="auto"/>
                                                                    <w:left w:val="none" w:sz="0" w:space="0" w:color="auto"/>
                                                                    <w:bottom w:val="none" w:sz="0" w:space="0" w:color="auto"/>
                                                                    <w:right w:val="none" w:sz="0" w:space="0" w:color="auto"/>
                                                                  </w:divBdr>
                                                                  <w:divsChild>
                                                                    <w:div w:id="1948586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46300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749199">
                                  <w:marLeft w:val="0"/>
                                  <w:marRight w:val="0"/>
                                  <w:marTop w:val="0"/>
                                  <w:marBottom w:val="0"/>
                                  <w:divBdr>
                                    <w:top w:val="none" w:sz="0" w:space="0" w:color="auto"/>
                                    <w:left w:val="none" w:sz="0" w:space="0" w:color="auto"/>
                                    <w:bottom w:val="none" w:sz="0" w:space="0" w:color="auto"/>
                                    <w:right w:val="none" w:sz="0" w:space="0" w:color="auto"/>
                                  </w:divBdr>
                                  <w:divsChild>
                                    <w:div w:id="517819430">
                                      <w:marLeft w:val="0"/>
                                      <w:marRight w:val="0"/>
                                      <w:marTop w:val="0"/>
                                      <w:marBottom w:val="0"/>
                                      <w:divBdr>
                                        <w:top w:val="none" w:sz="0" w:space="0" w:color="auto"/>
                                        <w:left w:val="none" w:sz="0" w:space="0" w:color="auto"/>
                                        <w:bottom w:val="none" w:sz="0" w:space="0" w:color="auto"/>
                                        <w:right w:val="none" w:sz="0" w:space="0" w:color="auto"/>
                                      </w:divBdr>
                                      <w:divsChild>
                                        <w:div w:id="1274051850">
                                          <w:marLeft w:val="0"/>
                                          <w:marRight w:val="0"/>
                                          <w:marTop w:val="0"/>
                                          <w:marBottom w:val="405"/>
                                          <w:divBdr>
                                            <w:top w:val="none" w:sz="0" w:space="0" w:color="auto"/>
                                            <w:left w:val="none" w:sz="0" w:space="0" w:color="auto"/>
                                            <w:bottom w:val="none" w:sz="0" w:space="0" w:color="auto"/>
                                            <w:right w:val="none" w:sz="0" w:space="0" w:color="auto"/>
                                          </w:divBdr>
                                          <w:divsChild>
                                            <w:div w:id="884951364">
                                              <w:marLeft w:val="0"/>
                                              <w:marRight w:val="0"/>
                                              <w:marTop w:val="0"/>
                                              <w:marBottom w:val="0"/>
                                              <w:divBdr>
                                                <w:top w:val="none" w:sz="0" w:space="0" w:color="auto"/>
                                                <w:left w:val="none" w:sz="0" w:space="0" w:color="auto"/>
                                                <w:bottom w:val="none" w:sz="0" w:space="0" w:color="auto"/>
                                                <w:right w:val="none" w:sz="0" w:space="0" w:color="auto"/>
                                              </w:divBdr>
                                              <w:divsChild>
                                                <w:div w:id="837378913">
                                                  <w:marLeft w:val="0"/>
                                                  <w:marRight w:val="0"/>
                                                  <w:marTop w:val="0"/>
                                                  <w:marBottom w:val="0"/>
                                                  <w:divBdr>
                                                    <w:top w:val="none" w:sz="0" w:space="0" w:color="auto"/>
                                                    <w:left w:val="none" w:sz="0" w:space="0" w:color="auto"/>
                                                    <w:bottom w:val="none" w:sz="0" w:space="0" w:color="auto"/>
                                                    <w:right w:val="none" w:sz="0" w:space="0" w:color="auto"/>
                                                  </w:divBdr>
                                                  <w:divsChild>
                                                    <w:div w:id="183180386">
                                                      <w:marLeft w:val="0"/>
                                                      <w:marRight w:val="0"/>
                                                      <w:marTop w:val="0"/>
                                                      <w:marBottom w:val="0"/>
                                                      <w:divBdr>
                                                        <w:top w:val="none" w:sz="0" w:space="0" w:color="auto"/>
                                                        <w:left w:val="none" w:sz="0" w:space="0" w:color="auto"/>
                                                        <w:bottom w:val="none" w:sz="0" w:space="0" w:color="auto"/>
                                                        <w:right w:val="none" w:sz="0" w:space="0" w:color="auto"/>
                                                      </w:divBdr>
                                                      <w:divsChild>
                                                        <w:div w:id="141238695">
                                                          <w:marLeft w:val="45"/>
                                                          <w:marRight w:val="45"/>
                                                          <w:marTop w:val="15"/>
                                                          <w:marBottom w:val="0"/>
                                                          <w:divBdr>
                                                            <w:top w:val="none" w:sz="0" w:space="0" w:color="auto"/>
                                                            <w:left w:val="none" w:sz="0" w:space="0" w:color="auto"/>
                                                            <w:bottom w:val="none" w:sz="0" w:space="0" w:color="auto"/>
                                                            <w:right w:val="none" w:sz="0" w:space="0" w:color="auto"/>
                                                          </w:divBdr>
                                                          <w:divsChild>
                                                            <w:div w:id="1206722749">
                                                              <w:marLeft w:val="0"/>
                                                              <w:marRight w:val="0"/>
                                                              <w:marTop w:val="0"/>
                                                              <w:marBottom w:val="0"/>
                                                              <w:divBdr>
                                                                <w:top w:val="none" w:sz="0" w:space="0" w:color="auto"/>
                                                                <w:left w:val="none" w:sz="0" w:space="0" w:color="auto"/>
                                                                <w:bottom w:val="none" w:sz="0" w:space="0" w:color="auto"/>
                                                                <w:right w:val="none" w:sz="0" w:space="0" w:color="auto"/>
                                                              </w:divBdr>
                                                            </w:div>
                                                          </w:divsChild>
                                                        </w:div>
                                                        <w:div w:id="1239630109">
                                                          <w:marLeft w:val="0"/>
                                                          <w:marRight w:val="0"/>
                                                          <w:marTop w:val="0"/>
                                                          <w:marBottom w:val="0"/>
                                                          <w:divBdr>
                                                            <w:top w:val="none" w:sz="0" w:space="0" w:color="auto"/>
                                                            <w:left w:val="none" w:sz="0" w:space="0" w:color="auto"/>
                                                            <w:bottom w:val="none" w:sz="0" w:space="0" w:color="auto"/>
                                                            <w:right w:val="none" w:sz="0" w:space="0" w:color="auto"/>
                                                          </w:divBdr>
                                                        </w:div>
                                                      </w:divsChild>
                                                    </w:div>
                                                    <w:div w:id="1531140093">
                                                      <w:marLeft w:val="0"/>
                                                      <w:marRight w:val="0"/>
                                                      <w:marTop w:val="0"/>
                                                      <w:marBottom w:val="0"/>
                                                      <w:divBdr>
                                                        <w:top w:val="none" w:sz="0" w:space="0" w:color="auto"/>
                                                        <w:left w:val="none" w:sz="0" w:space="0" w:color="auto"/>
                                                        <w:bottom w:val="none" w:sz="0" w:space="0" w:color="auto"/>
                                                        <w:right w:val="none" w:sz="0" w:space="0" w:color="auto"/>
                                                      </w:divBdr>
                                                      <w:divsChild>
                                                        <w:div w:id="2047484315">
                                                          <w:marLeft w:val="0"/>
                                                          <w:marRight w:val="0"/>
                                                          <w:marTop w:val="0"/>
                                                          <w:marBottom w:val="0"/>
                                                          <w:divBdr>
                                                            <w:top w:val="none" w:sz="0" w:space="0" w:color="auto"/>
                                                            <w:left w:val="none" w:sz="0" w:space="0" w:color="auto"/>
                                                            <w:bottom w:val="none" w:sz="0" w:space="0" w:color="auto"/>
                                                            <w:right w:val="none" w:sz="0" w:space="0" w:color="auto"/>
                                                          </w:divBdr>
                                                          <w:divsChild>
                                                            <w:div w:id="1113354885">
                                                              <w:marLeft w:val="0"/>
                                                              <w:marRight w:val="0"/>
                                                              <w:marTop w:val="0"/>
                                                              <w:marBottom w:val="0"/>
                                                              <w:divBdr>
                                                                <w:top w:val="none" w:sz="0" w:space="0" w:color="auto"/>
                                                                <w:left w:val="none" w:sz="0" w:space="0" w:color="auto"/>
                                                                <w:bottom w:val="none" w:sz="0" w:space="0" w:color="auto"/>
                                                                <w:right w:val="none" w:sz="0" w:space="0" w:color="auto"/>
                                                              </w:divBdr>
                                                            </w:div>
                                                            <w:div w:id="18363351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79529774">
                                          <w:marLeft w:val="0"/>
                                          <w:marRight w:val="0"/>
                                          <w:marTop w:val="0"/>
                                          <w:marBottom w:val="420"/>
                                          <w:divBdr>
                                            <w:top w:val="none" w:sz="0" w:space="0" w:color="auto"/>
                                            <w:left w:val="none" w:sz="0" w:space="0" w:color="auto"/>
                                            <w:bottom w:val="none" w:sz="0" w:space="0" w:color="auto"/>
                                            <w:right w:val="none" w:sz="0" w:space="0" w:color="auto"/>
                                          </w:divBdr>
                                          <w:divsChild>
                                            <w:div w:id="1127048302">
                                              <w:marLeft w:val="0"/>
                                              <w:marRight w:val="0"/>
                                              <w:marTop w:val="0"/>
                                              <w:marBottom w:val="0"/>
                                              <w:divBdr>
                                                <w:top w:val="none" w:sz="0" w:space="0" w:color="auto"/>
                                                <w:left w:val="none" w:sz="0" w:space="0" w:color="auto"/>
                                                <w:bottom w:val="none" w:sz="0" w:space="0" w:color="auto"/>
                                                <w:right w:val="none" w:sz="0" w:space="0" w:color="auto"/>
                                              </w:divBdr>
                                              <w:divsChild>
                                                <w:div w:id="648630873">
                                                  <w:marLeft w:val="0"/>
                                                  <w:marRight w:val="0"/>
                                                  <w:marTop w:val="0"/>
                                                  <w:marBottom w:val="0"/>
                                                  <w:divBdr>
                                                    <w:top w:val="none" w:sz="0" w:space="0" w:color="auto"/>
                                                    <w:left w:val="none" w:sz="0" w:space="0" w:color="auto"/>
                                                    <w:bottom w:val="none" w:sz="0" w:space="0" w:color="auto"/>
                                                    <w:right w:val="none" w:sz="0" w:space="0" w:color="auto"/>
                                                  </w:divBdr>
                                                  <w:divsChild>
                                                    <w:div w:id="769279470">
                                                      <w:marLeft w:val="0"/>
                                                      <w:marRight w:val="0"/>
                                                      <w:marTop w:val="0"/>
                                                      <w:marBottom w:val="0"/>
                                                      <w:divBdr>
                                                        <w:top w:val="none" w:sz="0" w:space="0" w:color="auto"/>
                                                        <w:left w:val="none" w:sz="0" w:space="0" w:color="auto"/>
                                                        <w:bottom w:val="none" w:sz="0" w:space="0" w:color="auto"/>
                                                        <w:right w:val="none" w:sz="0" w:space="0" w:color="auto"/>
                                                      </w:divBdr>
                                                      <w:divsChild>
                                                        <w:div w:id="1209879375">
                                                          <w:marLeft w:val="45"/>
                                                          <w:marRight w:val="45"/>
                                                          <w:marTop w:val="15"/>
                                                          <w:marBottom w:val="0"/>
                                                          <w:divBdr>
                                                            <w:top w:val="none" w:sz="0" w:space="0" w:color="auto"/>
                                                            <w:left w:val="none" w:sz="0" w:space="0" w:color="auto"/>
                                                            <w:bottom w:val="none" w:sz="0" w:space="0" w:color="auto"/>
                                                            <w:right w:val="none" w:sz="0" w:space="0" w:color="auto"/>
                                                          </w:divBdr>
                                                          <w:divsChild>
                                                            <w:div w:id="461389500">
                                                              <w:marLeft w:val="0"/>
                                                              <w:marRight w:val="0"/>
                                                              <w:marTop w:val="0"/>
                                                              <w:marBottom w:val="0"/>
                                                              <w:divBdr>
                                                                <w:top w:val="none" w:sz="0" w:space="0" w:color="auto"/>
                                                                <w:left w:val="none" w:sz="0" w:space="0" w:color="auto"/>
                                                                <w:bottom w:val="none" w:sz="0" w:space="0" w:color="auto"/>
                                                                <w:right w:val="none" w:sz="0" w:space="0" w:color="auto"/>
                                                              </w:divBdr>
                                                            </w:div>
                                                          </w:divsChild>
                                                        </w:div>
                                                        <w:div w:id="1488008857">
                                                          <w:marLeft w:val="0"/>
                                                          <w:marRight w:val="0"/>
                                                          <w:marTop w:val="0"/>
                                                          <w:marBottom w:val="0"/>
                                                          <w:divBdr>
                                                            <w:top w:val="none" w:sz="0" w:space="0" w:color="auto"/>
                                                            <w:left w:val="none" w:sz="0" w:space="0" w:color="auto"/>
                                                            <w:bottom w:val="none" w:sz="0" w:space="0" w:color="auto"/>
                                                            <w:right w:val="none" w:sz="0" w:space="0" w:color="auto"/>
                                                          </w:divBdr>
                                                        </w:div>
                                                      </w:divsChild>
                                                    </w:div>
                                                    <w:div w:id="855923643">
                                                      <w:marLeft w:val="0"/>
                                                      <w:marRight w:val="0"/>
                                                      <w:marTop w:val="0"/>
                                                      <w:marBottom w:val="0"/>
                                                      <w:divBdr>
                                                        <w:top w:val="none" w:sz="0" w:space="0" w:color="auto"/>
                                                        <w:left w:val="none" w:sz="0" w:space="0" w:color="auto"/>
                                                        <w:bottom w:val="none" w:sz="0" w:space="0" w:color="auto"/>
                                                        <w:right w:val="none" w:sz="0" w:space="0" w:color="auto"/>
                                                      </w:divBdr>
                                                      <w:divsChild>
                                                        <w:div w:id="1410224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234848317">
      <w:bodyDiv w:val="1"/>
      <w:marLeft w:val="0"/>
      <w:marRight w:val="0"/>
      <w:marTop w:val="0"/>
      <w:marBottom w:val="0"/>
      <w:divBdr>
        <w:top w:val="none" w:sz="0" w:space="0" w:color="auto"/>
        <w:left w:val="none" w:sz="0" w:space="0" w:color="auto"/>
        <w:bottom w:val="none" w:sz="0" w:space="0" w:color="auto"/>
        <w:right w:val="none" w:sz="0" w:space="0" w:color="auto"/>
      </w:divBdr>
    </w:div>
    <w:div w:id="1248854359">
      <w:bodyDiv w:val="1"/>
      <w:marLeft w:val="0"/>
      <w:marRight w:val="0"/>
      <w:marTop w:val="0"/>
      <w:marBottom w:val="0"/>
      <w:divBdr>
        <w:top w:val="none" w:sz="0" w:space="0" w:color="auto"/>
        <w:left w:val="none" w:sz="0" w:space="0" w:color="auto"/>
        <w:bottom w:val="none" w:sz="0" w:space="0" w:color="auto"/>
        <w:right w:val="none" w:sz="0" w:space="0" w:color="auto"/>
      </w:divBdr>
    </w:div>
    <w:div w:id="1256405598">
      <w:bodyDiv w:val="1"/>
      <w:marLeft w:val="0"/>
      <w:marRight w:val="0"/>
      <w:marTop w:val="0"/>
      <w:marBottom w:val="0"/>
      <w:divBdr>
        <w:top w:val="none" w:sz="0" w:space="0" w:color="auto"/>
        <w:left w:val="none" w:sz="0" w:space="0" w:color="auto"/>
        <w:bottom w:val="none" w:sz="0" w:space="0" w:color="auto"/>
        <w:right w:val="none" w:sz="0" w:space="0" w:color="auto"/>
      </w:divBdr>
    </w:div>
    <w:div w:id="1325012973">
      <w:bodyDiv w:val="1"/>
      <w:marLeft w:val="0"/>
      <w:marRight w:val="0"/>
      <w:marTop w:val="0"/>
      <w:marBottom w:val="0"/>
      <w:divBdr>
        <w:top w:val="none" w:sz="0" w:space="0" w:color="auto"/>
        <w:left w:val="none" w:sz="0" w:space="0" w:color="auto"/>
        <w:bottom w:val="none" w:sz="0" w:space="0" w:color="auto"/>
        <w:right w:val="none" w:sz="0" w:space="0" w:color="auto"/>
      </w:divBdr>
    </w:div>
    <w:div w:id="1350566563">
      <w:bodyDiv w:val="1"/>
      <w:marLeft w:val="0"/>
      <w:marRight w:val="0"/>
      <w:marTop w:val="0"/>
      <w:marBottom w:val="0"/>
      <w:divBdr>
        <w:top w:val="none" w:sz="0" w:space="0" w:color="auto"/>
        <w:left w:val="none" w:sz="0" w:space="0" w:color="auto"/>
        <w:bottom w:val="none" w:sz="0" w:space="0" w:color="auto"/>
        <w:right w:val="none" w:sz="0" w:space="0" w:color="auto"/>
      </w:divBdr>
    </w:div>
    <w:div w:id="1422023819">
      <w:bodyDiv w:val="1"/>
      <w:marLeft w:val="0"/>
      <w:marRight w:val="0"/>
      <w:marTop w:val="0"/>
      <w:marBottom w:val="0"/>
      <w:divBdr>
        <w:top w:val="none" w:sz="0" w:space="0" w:color="auto"/>
        <w:left w:val="none" w:sz="0" w:space="0" w:color="auto"/>
        <w:bottom w:val="none" w:sz="0" w:space="0" w:color="auto"/>
        <w:right w:val="none" w:sz="0" w:space="0" w:color="auto"/>
      </w:divBdr>
    </w:div>
    <w:div w:id="1435319047">
      <w:bodyDiv w:val="1"/>
      <w:marLeft w:val="0"/>
      <w:marRight w:val="0"/>
      <w:marTop w:val="0"/>
      <w:marBottom w:val="0"/>
      <w:divBdr>
        <w:top w:val="none" w:sz="0" w:space="0" w:color="auto"/>
        <w:left w:val="none" w:sz="0" w:space="0" w:color="auto"/>
        <w:bottom w:val="none" w:sz="0" w:space="0" w:color="auto"/>
        <w:right w:val="none" w:sz="0" w:space="0" w:color="auto"/>
      </w:divBdr>
    </w:div>
    <w:div w:id="1493988209">
      <w:bodyDiv w:val="1"/>
      <w:marLeft w:val="0"/>
      <w:marRight w:val="0"/>
      <w:marTop w:val="0"/>
      <w:marBottom w:val="0"/>
      <w:divBdr>
        <w:top w:val="none" w:sz="0" w:space="0" w:color="auto"/>
        <w:left w:val="none" w:sz="0" w:space="0" w:color="auto"/>
        <w:bottom w:val="none" w:sz="0" w:space="0" w:color="auto"/>
        <w:right w:val="none" w:sz="0" w:space="0" w:color="auto"/>
      </w:divBdr>
    </w:div>
    <w:div w:id="1505778876">
      <w:bodyDiv w:val="1"/>
      <w:marLeft w:val="0"/>
      <w:marRight w:val="0"/>
      <w:marTop w:val="0"/>
      <w:marBottom w:val="0"/>
      <w:divBdr>
        <w:top w:val="none" w:sz="0" w:space="0" w:color="auto"/>
        <w:left w:val="none" w:sz="0" w:space="0" w:color="auto"/>
        <w:bottom w:val="none" w:sz="0" w:space="0" w:color="auto"/>
        <w:right w:val="none" w:sz="0" w:space="0" w:color="auto"/>
      </w:divBdr>
    </w:div>
    <w:div w:id="1652060442">
      <w:bodyDiv w:val="1"/>
      <w:marLeft w:val="0"/>
      <w:marRight w:val="0"/>
      <w:marTop w:val="0"/>
      <w:marBottom w:val="0"/>
      <w:divBdr>
        <w:top w:val="none" w:sz="0" w:space="0" w:color="auto"/>
        <w:left w:val="none" w:sz="0" w:space="0" w:color="auto"/>
        <w:bottom w:val="none" w:sz="0" w:space="0" w:color="auto"/>
        <w:right w:val="none" w:sz="0" w:space="0" w:color="auto"/>
      </w:divBdr>
    </w:div>
    <w:div w:id="1667437185">
      <w:bodyDiv w:val="1"/>
      <w:marLeft w:val="0"/>
      <w:marRight w:val="0"/>
      <w:marTop w:val="0"/>
      <w:marBottom w:val="0"/>
      <w:divBdr>
        <w:top w:val="none" w:sz="0" w:space="0" w:color="auto"/>
        <w:left w:val="none" w:sz="0" w:space="0" w:color="auto"/>
        <w:bottom w:val="none" w:sz="0" w:space="0" w:color="auto"/>
        <w:right w:val="none" w:sz="0" w:space="0" w:color="auto"/>
      </w:divBdr>
    </w:div>
    <w:div w:id="1672758433">
      <w:bodyDiv w:val="1"/>
      <w:marLeft w:val="0"/>
      <w:marRight w:val="0"/>
      <w:marTop w:val="0"/>
      <w:marBottom w:val="0"/>
      <w:divBdr>
        <w:top w:val="none" w:sz="0" w:space="0" w:color="auto"/>
        <w:left w:val="none" w:sz="0" w:space="0" w:color="auto"/>
        <w:bottom w:val="none" w:sz="0" w:space="0" w:color="auto"/>
        <w:right w:val="none" w:sz="0" w:space="0" w:color="auto"/>
      </w:divBdr>
    </w:div>
    <w:div w:id="1688094483">
      <w:bodyDiv w:val="1"/>
      <w:marLeft w:val="0"/>
      <w:marRight w:val="0"/>
      <w:marTop w:val="0"/>
      <w:marBottom w:val="0"/>
      <w:divBdr>
        <w:top w:val="none" w:sz="0" w:space="0" w:color="auto"/>
        <w:left w:val="none" w:sz="0" w:space="0" w:color="auto"/>
        <w:bottom w:val="none" w:sz="0" w:space="0" w:color="auto"/>
        <w:right w:val="none" w:sz="0" w:space="0" w:color="auto"/>
      </w:divBdr>
    </w:div>
    <w:div w:id="1709835159">
      <w:bodyDiv w:val="1"/>
      <w:marLeft w:val="0"/>
      <w:marRight w:val="0"/>
      <w:marTop w:val="0"/>
      <w:marBottom w:val="0"/>
      <w:divBdr>
        <w:top w:val="none" w:sz="0" w:space="0" w:color="auto"/>
        <w:left w:val="none" w:sz="0" w:space="0" w:color="auto"/>
        <w:bottom w:val="none" w:sz="0" w:space="0" w:color="auto"/>
        <w:right w:val="none" w:sz="0" w:space="0" w:color="auto"/>
      </w:divBdr>
    </w:div>
    <w:div w:id="1755081467">
      <w:bodyDiv w:val="1"/>
      <w:marLeft w:val="0"/>
      <w:marRight w:val="0"/>
      <w:marTop w:val="0"/>
      <w:marBottom w:val="0"/>
      <w:divBdr>
        <w:top w:val="none" w:sz="0" w:space="0" w:color="auto"/>
        <w:left w:val="none" w:sz="0" w:space="0" w:color="auto"/>
        <w:bottom w:val="none" w:sz="0" w:space="0" w:color="auto"/>
        <w:right w:val="none" w:sz="0" w:space="0" w:color="auto"/>
      </w:divBdr>
    </w:div>
    <w:div w:id="1799446745">
      <w:bodyDiv w:val="1"/>
      <w:marLeft w:val="0"/>
      <w:marRight w:val="0"/>
      <w:marTop w:val="0"/>
      <w:marBottom w:val="0"/>
      <w:divBdr>
        <w:top w:val="none" w:sz="0" w:space="0" w:color="auto"/>
        <w:left w:val="none" w:sz="0" w:space="0" w:color="auto"/>
        <w:bottom w:val="none" w:sz="0" w:space="0" w:color="auto"/>
        <w:right w:val="none" w:sz="0" w:space="0" w:color="auto"/>
      </w:divBdr>
    </w:div>
    <w:div w:id="1803958546">
      <w:bodyDiv w:val="1"/>
      <w:marLeft w:val="0"/>
      <w:marRight w:val="0"/>
      <w:marTop w:val="0"/>
      <w:marBottom w:val="0"/>
      <w:divBdr>
        <w:top w:val="none" w:sz="0" w:space="0" w:color="auto"/>
        <w:left w:val="none" w:sz="0" w:space="0" w:color="auto"/>
        <w:bottom w:val="none" w:sz="0" w:space="0" w:color="auto"/>
        <w:right w:val="none" w:sz="0" w:space="0" w:color="auto"/>
      </w:divBdr>
    </w:div>
    <w:div w:id="1808743890">
      <w:bodyDiv w:val="1"/>
      <w:marLeft w:val="0"/>
      <w:marRight w:val="0"/>
      <w:marTop w:val="0"/>
      <w:marBottom w:val="0"/>
      <w:divBdr>
        <w:top w:val="none" w:sz="0" w:space="0" w:color="auto"/>
        <w:left w:val="none" w:sz="0" w:space="0" w:color="auto"/>
        <w:bottom w:val="none" w:sz="0" w:space="0" w:color="auto"/>
        <w:right w:val="none" w:sz="0" w:space="0" w:color="auto"/>
      </w:divBdr>
    </w:div>
    <w:div w:id="1871914197">
      <w:bodyDiv w:val="1"/>
      <w:marLeft w:val="0"/>
      <w:marRight w:val="0"/>
      <w:marTop w:val="0"/>
      <w:marBottom w:val="0"/>
      <w:divBdr>
        <w:top w:val="none" w:sz="0" w:space="0" w:color="auto"/>
        <w:left w:val="none" w:sz="0" w:space="0" w:color="auto"/>
        <w:bottom w:val="none" w:sz="0" w:space="0" w:color="auto"/>
        <w:right w:val="none" w:sz="0" w:space="0" w:color="auto"/>
      </w:divBdr>
    </w:div>
    <w:div w:id="1897887861">
      <w:bodyDiv w:val="1"/>
      <w:marLeft w:val="0"/>
      <w:marRight w:val="0"/>
      <w:marTop w:val="0"/>
      <w:marBottom w:val="0"/>
      <w:divBdr>
        <w:top w:val="none" w:sz="0" w:space="0" w:color="auto"/>
        <w:left w:val="none" w:sz="0" w:space="0" w:color="auto"/>
        <w:bottom w:val="none" w:sz="0" w:space="0" w:color="auto"/>
        <w:right w:val="none" w:sz="0" w:space="0" w:color="auto"/>
      </w:divBdr>
    </w:div>
    <w:div w:id="1927104554">
      <w:bodyDiv w:val="1"/>
      <w:marLeft w:val="0"/>
      <w:marRight w:val="0"/>
      <w:marTop w:val="0"/>
      <w:marBottom w:val="0"/>
      <w:divBdr>
        <w:top w:val="none" w:sz="0" w:space="0" w:color="auto"/>
        <w:left w:val="none" w:sz="0" w:space="0" w:color="auto"/>
        <w:bottom w:val="none" w:sz="0" w:space="0" w:color="auto"/>
        <w:right w:val="none" w:sz="0" w:space="0" w:color="auto"/>
      </w:divBdr>
      <w:divsChild>
        <w:div w:id="822701690">
          <w:marLeft w:val="547"/>
          <w:marRight w:val="0"/>
          <w:marTop w:val="0"/>
          <w:marBottom w:val="0"/>
          <w:divBdr>
            <w:top w:val="none" w:sz="0" w:space="0" w:color="auto"/>
            <w:left w:val="none" w:sz="0" w:space="0" w:color="auto"/>
            <w:bottom w:val="none" w:sz="0" w:space="0" w:color="auto"/>
            <w:right w:val="none" w:sz="0" w:space="0" w:color="auto"/>
          </w:divBdr>
        </w:div>
      </w:divsChild>
    </w:div>
    <w:div w:id="1933901911">
      <w:bodyDiv w:val="1"/>
      <w:marLeft w:val="0"/>
      <w:marRight w:val="0"/>
      <w:marTop w:val="0"/>
      <w:marBottom w:val="0"/>
      <w:divBdr>
        <w:top w:val="none" w:sz="0" w:space="0" w:color="auto"/>
        <w:left w:val="none" w:sz="0" w:space="0" w:color="auto"/>
        <w:bottom w:val="none" w:sz="0" w:space="0" w:color="auto"/>
        <w:right w:val="none" w:sz="0" w:space="0" w:color="auto"/>
      </w:divBdr>
    </w:div>
    <w:div w:id="1963610475">
      <w:bodyDiv w:val="1"/>
      <w:marLeft w:val="0"/>
      <w:marRight w:val="0"/>
      <w:marTop w:val="0"/>
      <w:marBottom w:val="0"/>
      <w:divBdr>
        <w:top w:val="none" w:sz="0" w:space="0" w:color="auto"/>
        <w:left w:val="none" w:sz="0" w:space="0" w:color="auto"/>
        <w:bottom w:val="none" w:sz="0" w:space="0" w:color="auto"/>
        <w:right w:val="none" w:sz="0" w:space="0" w:color="auto"/>
      </w:divBdr>
    </w:div>
    <w:div w:id="1964342664">
      <w:bodyDiv w:val="1"/>
      <w:marLeft w:val="0"/>
      <w:marRight w:val="0"/>
      <w:marTop w:val="0"/>
      <w:marBottom w:val="0"/>
      <w:divBdr>
        <w:top w:val="none" w:sz="0" w:space="0" w:color="auto"/>
        <w:left w:val="none" w:sz="0" w:space="0" w:color="auto"/>
        <w:bottom w:val="none" w:sz="0" w:space="0" w:color="auto"/>
        <w:right w:val="none" w:sz="0" w:space="0" w:color="auto"/>
      </w:divBdr>
    </w:div>
    <w:div w:id="1966698410">
      <w:bodyDiv w:val="1"/>
      <w:marLeft w:val="0"/>
      <w:marRight w:val="0"/>
      <w:marTop w:val="0"/>
      <w:marBottom w:val="0"/>
      <w:divBdr>
        <w:top w:val="none" w:sz="0" w:space="0" w:color="auto"/>
        <w:left w:val="none" w:sz="0" w:space="0" w:color="auto"/>
        <w:bottom w:val="none" w:sz="0" w:space="0" w:color="auto"/>
        <w:right w:val="none" w:sz="0" w:space="0" w:color="auto"/>
      </w:divBdr>
    </w:div>
    <w:div w:id="1990548519">
      <w:bodyDiv w:val="1"/>
      <w:marLeft w:val="0"/>
      <w:marRight w:val="0"/>
      <w:marTop w:val="0"/>
      <w:marBottom w:val="0"/>
      <w:divBdr>
        <w:top w:val="none" w:sz="0" w:space="0" w:color="auto"/>
        <w:left w:val="none" w:sz="0" w:space="0" w:color="auto"/>
        <w:bottom w:val="none" w:sz="0" w:space="0" w:color="auto"/>
        <w:right w:val="none" w:sz="0" w:space="0" w:color="auto"/>
      </w:divBdr>
    </w:div>
    <w:div w:id="2020690569">
      <w:bodyDiv w:val="1"/>
      <w:marLeft w:val="0"/>
      <w:marRight w:val="0"/>
      <w:marTop w:val="0"/>
      <w:marBottom w:val="0"/>
      <w:divBdr>
        <w:top w:val="none" w:sz="0" w:space="0" w:color="auto"/>
        <w:left w:val="none" w:sz="0" w:space="0" w:color="auto"/>
        <w:bottom w:val="none" w:sz="0" w:space="0" w:color="auto"/>
        <w:right w:val="none" w:sz="0" w:space="0" w:color="auto"/>
      </w:divBdr>
    </w:div>
    <w:div w:id="2039352781">
      <w:bodyDiv w:val="1"/>
      <w:marLeft w:val="0"/>
      <w:marRight w:val="0"/>
      <w:marTop w:val="0"/>
      <w:marBottom w:val="0"/>
      <w:divBdr>
        <w:top w:val="none" w:sz="0" w:space="0" w:color="auto"/>
        <w:left w:val="none" w:sz="0" w:space="0" w:color="auto"/>
        <w:bottom w:val="none" w:sz="0" w:space="0" w:color="auto"/>
        <w:right w:val="none" w:sz="0" w:space="0" w:color="auto"/>
      </w:divBdr>
    </w:div>
    <w:div w:id="20863399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6.xml"/><Relationship Id="rId117" Type="http://schemas.openxmlformats.org/officeDocument/2006/relationships/image" Target="media/image79.png"/><Relationship Id="rId21" Type="http://schemas.openxmlformats.org/officeDocument/2006/relationships/footer" Target="footer4.xml"/><Relationship Id="rId42" Type="http://schemas.openxmlformats.org/officeDocument/2006/relationships/image" Target="media/image21.jpeg"/><Relationship Id="rId47" Type="http://schemas.openxmlformats.org/officeDocument/2006/relationships/image" Target="media/image25.jpeg"/><Relationship Id="rId63" Type="http://schemas.openxmlformats.org/officeDocument/2006/relationships/image" Target="media/image35.jpeg"/><Relationship Id="rId68" Type="http://schemas.microsoft.com/office/2007/relationships/diagramDrawing" Target="diagrams/drawing1.xml"/><Relationship Id="rId84" Type="http://schemas.openxmlformats.org/officeDocument/2006/relationships/image" Target="media/image57.jpeg"/><Relationship Id="rId89" Type="http://schemas.openxmlformats.org/officeDocument/2006/relationships/image" Target="media/image59.jpeg"/><Relationship Id="rId112" Type="http://schemas.openxmlformats.org/officeDocument/2006/relationships/image" Target="media/image74.png"/><Relationship Id="rId133" Type="http://schemas.openxmlformats.org/officeDocument/2006/relationships/image" Target="media/image95.jpeg"/><Relationship Id="rId138" Type="http://schemas.openxmlformats.org/officeDocument/2006/relationships/image" Target="media/image100.jpeg"/><Relationship Id="rId154" Type="http://schemas.openxmlformats.org/officeDocument/2006/relationships/footer" Target="footer11.xml"/><Relationship Id="rId16" Type="http://schemas.openxmlformats.org/officeDocument/2006/relationships/header" Target="header3.xml"/><Relationship Id="rId107" Type="http://schemas.openxmlformats.org/officeDocument/2006/relationships/image" Target="media/image72.jpeg"/><Relationship Id="rId11" Type="http://schemas.openxmlformats.org/officeDocument/2006/relationships/footnotes" Target="footnotes.xml"/><Relationship Id="rId32" Type="http://schemas.openxmlformats.org/officeDocument/2006/relationships/image" Target="media/image11.emf"/><Relationship Id="rId37" Type="http://schemas.openxmlformats.org/officeDocument/2006/relationships/image" Target="media/image16.jpeg"/><Relationship Id="rId53" Type="http://schemas.openxmlformats.org/officeDocument/2006/relationships/image" Target="media/image31.png"/><Relationship Id="rId58" Type="http://schemas.openxmlformats.org/officeDocument/2006/relationships/image" Target="media/image36.png"/><Relationship Id="rId74" Type="http://schemas.openxmlformats.org/officeDocument/2006/relationships/image" Target="media/image46.png"/><Relationship Id="rId79" Type="http://schemas.openxmlformats.org/officeDocument/2006/relationships/image" Target="media/image52.jpeg"/><Relationship Id="rId102" Type="http://schemas.openxmlformats.org/officeDocument/2006/relationships/image" Target="media/image69.png"/><Relationship Id="rId123" Type="http://schemas.openxmlformats.org/officeDocument/2006/relationships/image" Target="media/image85.jpeg"/><Relationship Id="rId128" Type="http://schemas.openxmlformats.org/officeDocument/2006/relationships/image" Target="media/image90.jpeg"/><Relationship Id="rId144" Type="http://schemas.openxmlformats.org/officeDocument/2006/relationships/image" Target="media/image1020.png"/><Relationship Id="rId149" Type="http://schemas.openxmlformats.org/officeDocument/2006/relationships/hyperlink" Target="http://tyndp.entsoe.eu/tyndp2018/" TargetMode="External"/><Relationship Id="rId5" Type="http://schemas.openxmlformats.org/officeDocument/2006/relationships/customXml" Target="../customXml/item5.xml"/><Relationship Id="rId90" Type="http://schemas.openxmlformats.org/officeDocument/2006/relationships/image" Target="media/image62.jpeg"/><Relationship Id="rId95" Type="http://schemas.openxmlformats.org/officeDocument/2006/relationships/image" Target="media/image66.jpeg"/><Relationship Id="rId22" Type="http://schemas.openxmlformats.org/officeDocument/2006/relationships/header" Target="header6.xml"/><Relationship Id="rId27" Type="http://schemas.openxmlformats.org/officeDocument/2006/relationships/footer" Target="footer7.xml"/><Relationship Id="rId43" Type="http://schemas.openxmlformats.org/officeDocument/2006/relationships/image" Target="media/image22.png"/><Relationship Id="rId48" Type="http://schemas.openxmlformats.org/officeDocument/2006/relationships/image" Target="media/image26.jpeg"/><Relationship Id="rId64" Type="http://schemas.openxmlformats.org/officeDocument/2006/relationships/diagramData" Target="diagrams/data1.xml"/><Relationship Id="rId69" Type="http://schemas.openxmlformats.org/officeDocument/2006/relationships/image" Target="media/image41.png"/><Relationship Id="rId113" Type="http://schemas.openxmlformats.org/officeDocument/2006/relationships/image" Target="media/image75.png"/><Relationship Id="rId118" Type="http://schemas.openxmlformats.org/officeDocument/2006/relationships/image" Target="media/image80.png"/><Relationship Id="rId134" Type="http://schemas.openxmlformats.org/officeDocument/2006/relationships/image" Target="media/image96.jpeg"/><Relationship Id="rId139" Type="http://schemas.openxmlformats.org/officeDocument/2006/relationships/image" Target="media/image101.jpeg"/><Relationship Id="rId80" Type="http://schemas.openxmlformats.org/officeDocument/2006/relationships/image" Target="media/image53.jpeg"/><Relationship Id="rId85" Type="http://schemas.openxmlformats.org/officeDocument/2006/relationships/image" Target="media/image55.jpeg"/><Relationship Id="rId150" Type="http://schemas.openxmlformats.org/officeDocument/2006/relationships/hyperlink" Target="http://www.stat.gov.mk" TargetMode="External"/><Relationship Id="rId155" Type="http://schemas.openxmlformats.org/officeDocument/2006/relationships/header" Target="header12.xml"/><Relationship Id="rId12" Type="http://schemas.openxmlformats.org/officeDocument/2006/relationships/endnotes" Target="endnotes.xml"/><Relationship Id="rId17" Type="http://schemas.openxmlformats.org/officeDocument/2006/relationships/footer" Target="footer2.xml"/><Relationship Id="rId25" Type="http://schemas.openxmlformats.org/officeDocument/2006/relationships/header" Target="header8.xml"/><Relationship Id="rId33" Type="http://schemas.openxmlformats.org/officeDocument/2006/relationships/image" Target="media/image12.emf"/><Relationship Id="rId38" Type="http://schemas.openxmlformats.org/officeDocument/2006/relationships/image" Target="media/image17.jpeg"/><Relationship Id="rId59" Type="http://schemas.openxmlformats.org/officeDocument/2006/relationships/image" Target="media/image37.png"/><Relationship Id="rId67" Type="http://schemas.openxmlformats.org/officeDocument/2006/relationships/diagramColors" Target="diagrams/colors1.xml"/><Relationship Id="rId103" Type="http://schemas.openxmlformats.org/officeDocument/2006/relationships/image" Target="media/image70.png"/><Relationship Id="rId108" Type="http://schemas.openxmlformats.org/officeDocument/2006/relationships/hyperlink" Target="https://www.oruxmaps.com/cs/en/" TargetMode="External"/><Relationship Id="rId116" Type="http://schemas.openxmlformats.org/officeDocument/2006/relationships/image" Target="media/image78.png"/><Relationship Id="rId124" Type="http://schemas.openxmlformats.org/officeDocument/2006/relationships/image" Target="media/image86.jpeg"/><Relationship Id="rId129" Type="http://schemas.openxmlformats.org/officeDocument/2006/relationships/image" Target="media/image91.jpeg"/><Relationship Id="rId137" Type="http://schemas.openxmlformats.org/officeDocument/2006/relationships/image" Target="media/image98.emf"/><Relationship Id="rId20" Type="http://schemas.openxmlformats.org/officeDocument/2006/relationships/footer" Target="footer3.xml"/><Relationship Id="rId41" Type="http://schemas.openxmlformats.org/officeDocument/2006/relationships/image" Target="media/image20.emf"/><Relationship Id="rId54" Type="http://schemas.openxmlformats.org/officeDocument/2006/relationships/image" Target="media/image32.png"/><Relationship Id="rId62" Type="http://schemas.openxmlformats.org/officeDocument/2006/relationships/image" Target="media/image40.png"/><Relationship Id="rId70" Type="http://schemas.openxmlformats.org/officeDocument/2006/relationships/image" Target="media/image42.emf"/><Relationship Id="rId75" Type="http://schemas.openxmlformats.org/officeDocument/2006/relationships/image" Target="media/image47.png"/><Relationship Id="rId83" Type="http://schemas.openxmlformats.org/officeDocument/2006/relationships/image" Target="media/image56.jpeg"/><Relationship Id="rId88" Type="http://schemas.openxmlformats.org/officeDocument/2006/relationships/image" Target="media/image61.jpeg"/><Relationship Id="rId91" Type="http://schemas.openxmlformats.org/officeDocument/2006/relationships/image" Target="media/image64.jpeg"/><Relationship Id="rId96" Type="http://schemas.openxmlformats.org/officeDocument/2006/relationships/image" Target="media/image68.jpeg"/><Relationship Id="rId111" Type="http://schemas.openxmlformats.org/officeDocument/2006/relationships/hyperlink" Target="https://eunis.eea.europa.eu/references/2442" TargetMode="External"/><Relationship Id="rId132" Type="http://schemas.openxmlformats.org/officeDocument/2006/relationships/image" Target="media/image94.jpeg"/><Relationship Id="rId140" Type="http://schemas.openxmlformats.org/officeDocument/2006/relationships/image" Target="media/image102.png"/><Relationship Id="rId145" Type="http://schemas.openxmlformats.org/officeDocument/2006/relationships/hyperlink" Target="https://www.ebrd.com/news/2020/new-guidance-for-private-sector-on-addressing-risks-of-genderbased-violence-and-harassment.html" TargetMode="External"/><Relationship Id="rId153"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oter" Target="footer5.xml"/><Relationship Id="rId28" Type="http://schemas.openxmlformats.org/officeDocument/2006/relationships/header" Target="header9.xml"/><Relationship Id="rId36" Type="http://schemas.openxmlformats.org/officeDocument/2006/relationships/image" Target="media/image15.jpeg"/><Relationship Id="rId49" Type="http://schemas.openxmlformats.org/officeDocument/2006/relationships/image" Target="media/image27.jpeg"/><Relationship Id="rId57" Type="http://schemas.openxmlformats.org/officeDocument/2006/relationships/image" Target="media/image35.png"/><Relationship Id="rId106" Type="http://schemas.openxmlformats.org/officeDocument/2006/relationships/image" Target="media/image71.jpeg"/><Relationship Id="rId114" Type="http://schemas.openxmlformats.org/officeDocument/2006/relationships/image" Target="media/image76.png"/><Relationship Id="rId119" Type="http://schemas.openxmlformats.org/officeDocument/2006/relationships/image" Target="media/image81.jpeg"/><Relationship Id="rId127" Type="http://schemas.openxmlformats.org/officeDocument/2006/relationships/image" Target="media/image89.jpeg"/><Relationship Id="rId10" Type="http://schemas.openxmlformats.org/officeDocument/2006/relationships/webSettings" Target="webSettings.xml"/><Relationship Id="rId31" Type="http://schemas.openxmlformats.org/officeDocument/2006/relationships/image" Target="media/image10.jpeg"/><Relationship Id="rId44" Type="http://schemas.openxmlformats.org/officeDocument/2006/relationships/image" Target="media/image23.jpeg"/><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diagramLayout" Target="diagrams/layout1.xml"/><Relationship Id="rId73" Type="http://schemas.openxmlformats.org/officeDocument/2006/relationships/image" Target="media/image45.png"/><Relationship Id="rId78" Type="http://schemas.openxmlformats.org/officeDocument/2006/relationships/image" Target="media/image50.jpeg"/><Relationship Id="rId81" Type="http://schemas.openxmlformats.org/officeDocument/2006/relationships/image" Target="media/image51.jpeg"/><Relationship Id="rId86" Type="http://schemas.openxmlformats.org/officeDocument/2006/relationships/image" Target="media/image58.jpeg"/><Relationship Id="rId94" Type="http://schemas.openxmlformats.org/officeDocument/2006/relationships/image" Target="media/image63.jpeg"/><Relationship Id="rId99" Type="http://schemas.openxmlformats.org/officeDocument/2006/relationships/hyperlink" Target="https://climateknowledgeportal.worldbank.org/country/north-macedonia/vulnerability" TargetMode="External"/><Relationship Id="rId101" Type="http://schemas.openxmlformats.org/officeDocument/2006/relationships/image" Target="media/image68.png"/><Relationship Id="rId122" Type="http://schemas.openxmlformats.org/officeDocument/2006/relationships/image" Target="media/image84.jpeg"/><Relationship Id="rId130" Type="http://schemas.openxmlformats.org/officeDocument/2006/relationships/image" Target="media/image92.jpeg"/><Relationship Id="rId135" Type="http://schemas.openxmlformats.org/officeDocument/2006/relationships/image" Target="media/image99.jpeg"/><Relationship Id="rId143" Type="http://schemas.openxmlformats.org/officeDocument/2006/relationships/image" Target="media/image101.png"/><Relationship Id="rId148" Type="http://schemas.openxmlformats.org/officeDocument/2006/relationships/footer" Target="footer10.xml"/><Relationship Id="rId151" Type="http://schemas.openxmlformats.org/officeDocument/2006/relationships/hyperlink" Target="http://www.adamproject.eu" TargetMode="External"/><Relationship Id="rId156"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header" Target="header1.xml"/><Relationship Id="rId18" Type="http://schemas.openxmlformats.org/officeDocument/2006/relationships/header" Target="header4.xml"/><Relationship Id="rId39" Type="http://schemas.openxmlformats.org/officeDocument/2006/relationships/image" Target="media/image18.jpeg"/><Relationship Id="rId109" Type="http://schemas.openxmlformats.org/officeDocument/2006/relationships/hyperlink" Target="https://mementodatabase.com/" TargetMode="External"/><Relationship Id="rId34" Type="http://schemas.openxmlformats.org/officeDocument/2006/relationships/image" Target="media/image13.emf"/><Relationship Id="rId50" Type="http://schemas.openxmlformats.org/officeDocument/2006/relationships/image" Target="media/image28.emf"/><Relationship Id="rId55" Type="http://schemas.openxmlformats.org/officeDocument/2006/relationships/image" Target="media/image33.png"/><Relationship Id="rId76" Type="http://schemas.openxmlformats.org/officeDocument/2006/relationships/image" Target="media/image48.jpeg"/><Relationship Id="rId97" Type="http://schemas.openxmlformats.org/officeDocument/2006/relationships/image" Target="media/image69.jpeg"/><Relationship Id="rId104" Type="http://schemas.openxmlformats.org/officeDocument/2006/relationships/image" Target="media/image69.emf"/><Relationship Id="rId120" Type="http://schemas.openxmlformats.org/officeDocument/2006/relationships/image" Target="media/image82.png"/><Relationship Id="rId125" Type="http://schemas.openxmlformats.org/officeDocument/2006/relationships/image" Target="media/image87.jpeg"/><Relationship Id="rId141" Type="http://schemas.openxmlformats.org/officeDocument/2006/relationships/image" Target="media/image103.png"/><Relationship Id="rId146" Type="http://schemas.openxmlformats.org/officeDocument/2006/relationships/footer" Target="footer9.xml"/><Relationship Id="rId7" Type="http://schemas.openxmlformats.org/officeDocument/2006/relationships/styles" Target="styles.xml"/><Relationship Id="rId71" Type="http://schemas.openxmlformats.org/officeDocument/2006/relationships/image" Target="media/image43.png"/><Relationship Id="rId92" Type="http://schemas.openxmlformats.org/officeDocument/2006/relationships/image" Target="media/image65.jpeg"/><Relationship Id="rId2" Type="http://schemas.openxmlformats.org/officeDocument/2006/relationships/customXml" Target="../customXml/item2.xml"/><Relationship Id="rId29" Type="http://schemas.openxmlformats.org/officeDocument/2006/relationships/footer" Target="footer8.xml"/><Relationship Id="rId24" Type="http://schemas.openxmlformats.org/officeDocument/2006/relationships/header" Target="header7.xml"/><Relationship Id="rId40" Type="http://schemas.openxmlformats.org/officeDocument/2006/relationships/image" Target="media/image19.emf"/><Relationship Id="rId45" Type="http://schemas.openxmlformats.org/officeDocument/2006/relationships/image" Target="media/image24.jpeg"/><Relationship Id="rId66" Type="http://schemas.openxmlformats.org/officeDocument/2006/relationships/diagramQuickStyle" Target="diagrams/quickStyle1.xml"/><Relationship Id="rId87" Type="http://schemas.openxmlformats.org/officeDocument/2006/relationships/image" Target="media/image60.jpeg"/><Relationship Id="rId110" Type="http://schemas.openxmlformats.org/officeDocument/2006/relationships/image" Target="media/image73.jpeg"/><Relationship Id="rId115" Type="http://schemas.openxmlformats.org/officeDocument/2006/relationships/image" Target="media/image77.png"/><Relationship Id="rId131" Type="http://schemas.openxmlformats.org/officeDocument/2006/relationships/image" Target="media/image93.jpeg"/><Relationship Id="rId136" Type="http://schemas.openxmlformats.org/officeDocument/2006/relationships/image" Target="media/image97.emf"/><Relationship Id="rId157" Type="http://schemas.openxmlformats.org/officeDocument/2006/relationships/theme" Target="theme/theme1.xml"/><Relationship Id="rId61" Type="http://schemas.openxmlformats.org/officeDocument/2006/relationships/image" Target="media/image39.png"/><Relationship Id="rId82" Type="http://schemas.openxmlformats.org/officeDocument/2006/relationships/image" Target="media/image54.jpeg"/><Relationship Id="rId152" Type="http://schemas.openxmlformats.org/officeDocument/2006/relationships/header" Target="header10.xml"/><Relationship Id="rId19" Type="http://schemas.openxmlformats.org/officeDocument/2006/relationships/header" Target="header5.xml"/><Relationship Id="rId14" Type="http://schemas.openxmlformats.org/officeDocument/2006/relationships/header" Target="header2.xml"/><Relationship Id="rId30" Type="http://schemas.openxmlformats.org/officeDocument/2006/relationships/image" Target="media/image9.emf"/><Relationship Id="rId35" Type="http://schemas.openxmlformats.org/officeDocument/2006/relationships/image" Target="media/image14.jpeg"/><Relationship Id="rId56" Type="http://schemas.openxmlformats.org/officeDocument/2006/relationships/image" Target="media/image34.png"/><Relationship Id="rId77" Type="http://schemas.openxmlformats.org/officeDocument/2006/relationships/image" Target="media/image49.jpeg"/><Relationship Id="rId100" Type="http://schemas.openxmlformats.org/officeDocument/2006/relationships/image" Target="media/image67.png"/><Relationship Id="rId105" Type="http://schemas.openxmlformats.org/officeDocument/2006/relationships/image" Target="media/image70.emf"/><Relationship Id="rId126" Type="http://schemas.openxmlformats.org/officeDocument/2006/relationships/image" Target="media/image88.jpeg"/><Relationship Id="rId147" Type="http://schemas.openxmlformats.org/officeDocument/2006/relationships/image" Target="media/image104.emf"/><Relationship Id="rId8" Type="http://schemas.microsoft.com/office/2007/relationships/stylesWithEffects" Target="stylesWithEffects.xml"/><Relationship Id="rId51" Type="http://schemas.openxmlformats.org/officeDocument/2006/relationships/image" Target="media/image29.png"/><Relationship Id="rId72" Type="http://schemas.openxmlformats.org/officeDocument/2006/relationships/image" Target="media/image44.jpeg"/><Relationship Id="rId93" Type="http://schemas.openxmlformats.org/officeDocument/2006/relationships/hyperlink" Target="https://climateknowledgeportal.worldbank.org/country/north-macedonia/climate-data-projections" TargetMode="External"/><Relationship Id="rId98" Type="http://schemas.openxmlformats.org/officeDocument/2006/relationships/hyperlink" Target="https://climateknowledgeportal.worldbank.org/country/north-macedonia/vulnerability" TargetMode="External"/><Relationship Id="rId121" Type="http://schemas.openxmlformats.org/officeDocument/2006/relationships/image" Target="media/image83.png"/><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10.xml.rels><?xml version="1.0" encoding="UTF-8" standalone="yes"?>
<Relationships xmlns="http://schemas.openxmlformats.org/package/2006/relationships"><Relationship Id="rId1" Type="http://schemas.openxmlformats.org/officeDocument/2006/relationships/image" Target="media/image2.png"/></Relationships>
</file>

<file path=word/_rels/footer11.xml.rels><?xml version="1.0" encoding="UTF-8" standalone="yes"?>
<Relationships xmlns="http://schemas.openxmlformats.org/package/2006/relationships"><Relationship Id="rId1" Type="http://schemas.openxmlformats.org/officeDocument/2006/relationships/image" Target="media/image2.png"/></Relationships>
</file>

<file path=word/_rels/footer2.xml.rels><?xml version="1.0" encoding="UTF-8" standalone="yes"?>
<Relationships xmlns="http://schemas.openxmlformats.org/package/2006/relationships"><Relationship Id="rId1" Type="http://schemas.openxmlformats.org/officeDocument/2006/relationships/image" Target="media/image6.jpe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1" Type="http://schemas.openxmlformats.org/officeDocument/2006/relationships/image" Target="media/image2.png"/></Relationships>
</file>

<file path=word/_rels/footer7.xml.rels><?xml version="1.0" encoding="UTF-8" standalone="yes"?>
<Relationships xmlns="http://schemas.openxmlformats.org/package/2006/relationships"><Relationship Id="rId1" Type="http://schemas.openxmlformats.org/officeDocument/2006/relationships/image" Target="media/image2.png"/></Relationships>
</file>

<file path=word/_rels/footer8.xml.rels><?xml version="1.0" encoding="UTF-8" standalone="yes"?>
<Relationships xmlns="http://schemas.openxmlformats.org/package/2006/relationships"><Relationship Id="rId1" Type="http://schemas.openxmlformats.org/officeDocument/2006/relationships/image" Target="media/image2.png"/></Relationships>
</file>

<file path=word/_rels/footer9.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8" Type="http://schemas.openxmlformats.org/officeDocument/2006/relationships/hyperlink" Target="https://data.europa.eu/doi/10.2779/827210" TargetMode="External"/><Relationship Id="rId3" Type="http://schemas.openxmlformats.org/officeDocument/2006/relationships/hyperlink" Target="https://www.moepp.gov.mk/wp-content/uploads/2014/09/Listi%20za%20utvrduvanje%20na%20strogo%20" TargetMode="External"/><Relationship Id="rId7" Type="http://schemas.openxmlformats.org/officeDocument/2006/relationships/hyperlink" Target="http://www.weatheronline.co.uk/cgi-bin/aktframe?TYP=windrichtung&amp;ART=karte&amp;JJ=xxxx&amp;MM=02&amp;TT=19&amp;TIME=1700&amp;KEY=UK&amp;LANG=en&amp;SORT=1&amp;INT=06" TargetMode="External"/><Relationship Id="rId2" Type="http://schemas.openxmlformats.org/officeDocument/2006/relationships/hyperlink" Target="http://datazone.birdlife.org/site/mapsearch" TargetMode="External"/><Relationship Id="rId1" Type="http://schemas.openxmlformats.org/officeDocument/2006/relationships/hyperlink" Target="https://www.sciencedirect.com/topics/earth-and-planetary-sciences/radiative-forcing" TargetMode="External"/><Relationship Id="rId6" Type="http://schemas.openxmlformats.org/officeDocument/2006/relationships/hyperlink" Target="http://kultura.gov.mk/wp-content/uploads/2020/10/" TargetMode="External"/><Relationship Id="rId5" Type="http://schemas.openxmlformats.org/officeDocument/2006/relationships/hyperlink" Target="http://redlist.moepp.gov.mk/" TargetMode="External"/><Relationship Id="rId10" Type="http://schemas.openxmlformats.org/officeDocument/2006/relationships/hyperlink" Target="https://data.europa.eu/doi/10.2779/827210" TargetMode="External"/><Relationship Id="rId4" Type="http://schemas.openxmlformats.org/officeDocument/2006/relationships/hyperlink" Target="mailto:http://contact@mes.org.mk" TargetMode="External"/><Relationship Id="rId9" Type="http://schemas.openxmlformats.org/officeDocument/2006/relationships/hyperlink" Target="http://www.carpathianconvention.org/tl_files/carpathiancon/Downloads/03%20Meetings%20and%20Events/Working%20Groups/Biodiversity/9th%20meeting/Protecting%20birds%20from%20power%20lines%20focusing%20on%20countries%20of%20Danube-Carpathian%20region.pdf" TargetMode="External"/></Relationships>
</file>

<file path=word/_rels/header11.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1.wmf"/></Relationships>
</file>

<file path=word/_rels/head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pn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7.jpeg"/></Relationships>
</file>

<file path=word/_rels/header5.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jpeg"/></Relationships>
</file>

<file path=word/_rels/header6.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7.xml.rels><?xml version="1.0" encoding="UTF-8" standalone="yes"?>
<Relationships xmlns="http://schemas.openxmlformats.org/package/2006/relationships"><Relationship Id="rId1" Type="http://schemas.openxmlformats.org/officeDocument/2006/relationships/image" Target="media/image7.jpeg"/></Relationships>
</file>

<file path=word/_rels/header8.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header9.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YG\AppData\Local\Microsoft\Windows\Temporary%20Internet%20Files\Content.Outlook\HHRJW7B2\WYG%20Report%20with%20editable%20cover.dotx" TargetMode="External"/></Relationships>
</file>

<file path=word/diagrams/colors1.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94A14DB-E900-47D5-AEFF-9E1CA167CAD0}" type="doc">
      <dgm:prSet loTypeId="urn:microsoft.com/office/officeart/2005/8/layout/hierarchy4" loCatId="hierarchy" qsTypeId="urn:microsoft.com/office/officeart/2005/8/quickstyle/simple5" qsCatId="simple" csTypeId="urn:microsoft.com/office/officeart/2005/8/colors/accent0_3" csCatId="mainScheme" phldr="1"/>
      <dgm:spPr/>
      <dgm:t>
        <a:bodyPr/>
        <a:lstStyle/>
        <a:p>
          <a:endParaRPr lang="en-US"/>
        </a:p>
      </dgm:t>
    </dgm:pt>
    <dgm:pt modelId="{75B109D9-CB5E-47FC-AFFE-A024CB3499CC}">
      <dgm:prSet phldrT="[Text]"/>
      <dgm:spPr>
        <a:xfrm>
          <a:off x="0" y="0"/>
          <a:ext cx="5869413"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sr-Latn-RS">
              <a:solidFill>
                <a:sysClr val="window" lastClr="FFFFFF"/>
              </a:solidFill>
              <a:latin typeface="Calibri"/>
              <a:ea typeface="+mn-ea"/>
              <a:cs typeface="+mn-cs"/>
            </a:rPr>
            <a:t>ENTSO-E benefit categories</a:t>
          </a:r>
          <a:endParaRPr lang="en-US">
            <a:solidFill>
              <a:sysClr val="window" lastClr="FFFFFF"/>
            </a:solidFill>
            <a:latin typeface="Calibri"/>
            <a:ea typeface="+mn-ea"/>
            <a:cs typeface="+mn-cs"/>
          </a:endParaRPr>
        </a:p>
      </dgm:t>
    </dgm:pt>
    <dgm:pt modelId="{3CBB62A8-C7CA-420A-A5B6-D5FA15B7188F}" type="parTrans" cxnId="{DC9ED28F-E91A-40CE-AA8B-BC9A7F6554EB}">
      <dgm:prSet/>
      <dgm:spPr/>
      <dgm:t>
        <a:bodyPr/>
        <a:lstStyle/>
        <a:p>
          <a:endParaRPr lang="en-US"/>
        </a:p>
      </dgm:t>
    </dgm:pt>
    <dgm:pt modelId="{AD5F6216-0AE7-4A7E-B1F8-CC6CB64A6A5A}" type="sibTrans" cxnId="{DC9ED28F-E91A-40CE-AA8B-BC9A7F6554EB}">
      <dgm:prSet/>
      <dgm:spPr/>
      <dgm:t>
        <a:bodyPr/>
        <a:lstStyle/>
        <a:p>
          <a:endParaRPr lang="en-US"/>
        </a:p>
      </dgm:t>
    </dgm:pt>
    <dgm:pt modelId="{0AD944D0-AF8F-4411-AD19-6E37D08A8962}">
      <dgm:prSet phldrT="[Text]" custT="1"/>
      <dgm:spPr>
        <a:xfrm>
          <a:off x="2168" y="384540"/>
          <a:ext cx="2816417"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en-GB" sz="1100">
              <a:solidFill>
                <a:sysClr val="window" lastClr="FFFFFF"/>
              </a:solidFill>
              <a:latin typeface="Calibri"/>
              <a:ea typeface="+mn-ea"/>
              <a:cs typeface="+mn-cs"/>
            </a:rPr>
            <a:t>B1: Social-economic welfare (Euro)</a:t>
          </a:r>
          <a:endParaRPr lang="en-US" sz="1100">
            <a:solidFill>
              <a:sysClr val="window" lastClr="FFFFFF"/>
            </a:solidFill>
            <a:latin typeface="Calibri"/>
            <a:ea typeface="+mn-ea"/>
            <a:cs typeface="+mn-cs"/>
          </a:endParaRPr>
        </a:p>
      </dgm:t>
    </dgm:pt>
    <dgm:pt modelId="{5FABEF41-1947-4B8C-987D-BA9251C712FA}" type="parTrans" cxnId="{2AFF0FEB-8EF5-4852-AFD3-3EF25A1B8A57}">
      <dgm:prSet/>
      <dgm:spPr/>
      <dgm:t>
        <a:bodyPr/>
        <a:lstStyle/>
        <a:p>
          <a:endParaRPr lang="en-US"/>
        </a:p>
      </dgm:t>
    </dgm:pt>
    <dgm:pt modelId="{C65869C2-7946-4BE6-BC16-92380C50C8E2}" type="sibTrans" cxnId="{2AFF0FEB-8EF5-4852-AFD3-3EF25A1B8A57}">
      <dgm:prSet/>
      <dgm:spPr/>
      <dgm:t>
        <a:bodyPr/>
        <a:lstStyle/>
        <a:p>
          <a:endParaRPr lang="en-US"/>
        </a:p>
      </dgm:t>
    </dgm:pt>
    <dgm:pt modelId="{9AC2111D-A5FC-4879-B34D-5D50762F498E}">
      <dgm:prSet custT="1"/>
      <dgm:spPr>
        <a:xfrm>
          <a:off x="3055164" y="384540"/>
          <a:ext cx="2816417"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en-GB" sz="1100">
              <a:solidFill>
                <a:sysClr val="window" lastClr="FFFFFF"/>
              </a:solidFill>
              <a:latin typeface="Calibri"/>
              <a:ea typeface="+mn-ea"/>
              <a:cs typeface="+mn-cs"/>
            </a:rPr>
            <a:t>B2: Variation in CO</a:t>
          </a:r>
          <a:r>
            <a:rPr lang="en-GB" sz="1100" baseline="-25000">
              <a:solidFill>
                <a:sysClr val="window" lastClr="FFFFFF"/>
              </a:solidFill>
              <a:latin typeface="Calibri"/>
              <a:ea typeface="+mn-ea"/>
              <a:cs typeface="+mn-cs"/>
            </a:rPr>
            <a:t>2</a:t>
          </a:r>
          <a:r>
            <a:rPr lang="en-GB" sz="1100">
              <a:solidFill>
                <a:sysClr val="window" lastClr="FFFFFF"/>
              </a:solidFill>
              <a:latin typeface="Calibri"/>
              <a:ea typeface="+mn-ea"/>
              <a:cs typeface="+mn-cs"/>
            </a:rPr>
            <a:t> emissions (tonnes)</a:t>
          </a:r>
          <a:endParaRPr lang="en-US" sz="1100">
            <a:solidFill>
              <a:sysClr val="window" lastClr="FFFFFF"/>
            </a:solidFill>
            <a:latin typeface="Calibri"/>
            <a:ea typeface="+mn-ea"/>
            <a:cs typeface="+mn-cs"/>
          </a:endParaRPr>
        </a:p>
      </dgm:t>
    </dgm:pt>
    <dgm:pt modelId="{28C085DF-935F-4207-8342-7AD43475B1B5}" type="parTrans" cxnId="{864E8417-0C96-4A65-BFFE-6ABE545F111C}">
      <dgm:prSet/>
      <dgm:spPr/>
      <dgm:t>
        <a:bodyPr/>
        <a:lstStyle/>
        <a:p>
          <a:endParaRPr lang="en-US"/>
        </a:p>
      </dgm:t>
    </dgm:pt>
    <dgm:pt modelId="{BA762229-B363-420A-B247-D1290796D005}" type="sibTrans" cxnId="{864E8417-0C96-4A65-BFFE-6ABE545F111C}">
      <dgm:prSet/>
      <dgm:spPr/>
      <dgm:t>
        <a:bodyPr/>
        <a:lstStyle/>
        <a:p>
          <a:endParaRPr lang="en-US"/>
        </a:p>
      </dgm:t>
    </dgm:pt>
    <dgm:pt modelId="{06993BDD-892B-496B-B2A6-3B8F6F388DF5}">
      <dgm:prSet custT="1"/>
      <dgm:spPr>
        <a:xfrm>
          <a:off x="3055164" y="768598"/>
          <a:ext cx="2816417"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en-GB" sz="1100">
              <a:solidFill>
                <a:sysClr val="window" lastClr="FFFFFF"/>
              </a:solidFill>
              <a:latin typeface="Calibri"/>
              <a:ea typeface="+mn-ea"/>
              <a:cs typeface="+mn-cs"/>
            </a:rPr>
            <a:t>RES Energy Spilled (GWh)</a:t>
          </a:r>
          <a:endParaRPr lang="en-US" sz="1100">
            <a:solidFill>
              <a:sysClr val="window" lastClr="FFFFFF"/>
            </a:solidFill>
            <a:latin typeface="Calibri"/>
            <a:ea typeface="+mn-ea"/>
            <a:cs typeface="+mn-cs"/>
          </a:endParaRPr>
        </a:p>
      </dgm:t>
    </dgm:pt>
    <dgm:pt modelId="{A6FA6AD5-748D-415C-9BB7-C79AC4B46B6E}" type="parTrans" cxnId="{0FC6E0B5-57CF-4A6E-955E-2995C899506B}">
      <dgm:prSet/>
      <dgm:spPr/>
      <dgm:t>
        <a:bodyPr/>
        <a:lstStyle/>
        <a:p>
          <a:endParaRPr lang="en-US"/>
        </a:p>
      </dgm:t>
    </dgm:pt>
    <dgm:pt modelId="{5C64D1AA-A59B-4F7D-B790-590D852D8079}" type="sibTrans" cxnId="{0FC6E0B5-57CF-4A6E-955E-2995C899506B}">
      <dgm:prSet/>
      <dgm:spPr/>
      <dgm:t>
        <a:bodyPr/>
        <a:lstStyle/>
        <a:p>
          <a:endParaRPr lang="en-US"/>
        </a:p>
      </dgm:t>
    </dgm:pt>
    <dgm:pt modelId="{132DABF9-4267-4379-BEC4-226D80ED2057}">
      <dgm:prSet custT="1"/>
      <dgm:spPr>
        <a:xfrm>
          <a:off x="2168" y="768598"/>
          <a:ext cx="2816417"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en-GB" sz="1100">
              <a:solidFill>
                <a:sysClr val="window" lastClr="FFFFFF"/>
              </a:solidFill>
              <a:latin typeface="Calibri"/>
              <a:ea typeface="+mn-ea"/>
              <a:cs typeface="+mn-cs"/>
            </a:rPr>
            <a:t>B3: RES Integration benefit category (GWh)</a:t>
          </a:r>
          <a:endParaRPr lang="en-US" sz="1100">
            <a:solidFill>
              <a:sysClr val="window" lastClr="FFFFFF"/>
            </a:solidFill>
            <a:latin typeface="Calibri"/>
            <a:ea typeface="+mn-ea"/>
            <a:cs typeface="+mn-cs"/>
          </a:endParaRPr>
        </a:p>
      </dgm:t>
    </dgm:pt>
    <dgm:pt modelId="{A7CFEE56-994A-43CE-A8C6-5BCB684698BA}" type="parTrans" cxnId="{D0AE9EA6-71BC-4C1C-BAF9-421340BDC1F1}">
      <dgm:prSet/>
      <dgm:spPr/>
      <dgm:t>
        <a:bodyPr/>
        <a:lstStyle/>
        <a:p>
          <a:endParaRPr lang="en-US"/>
        </a:p>
      </dgm:t>
    </dgm:pt>
    <dgm:pt modelId="{E96C845F-4150-43CE-AAB8-E74157F6D52F}" type="sibTrans" cxnId="{D0AE9EA6-71BC-4C1C-BAF9-421340BDC1F1}">
      <dgm:prSet/>
      <dgm:spPr/>
      <dgm:t>
        <a:bodyPr/>
        <a:lstStyle/>
        <a:p>
          <a:endParaRPr lang="en-US"/>
        </a:p>
      </dgm:t>
    </dgm:pt>
    <dgm:pt modelId="{7E4D89B1-191B-474F-8C52-57094BE4051B}">
      <dgm:prSet custT="1"/>
      <dgm:spPr>
        <a:xfrm>
          <a:off x="1552662" y="1152657"/>
          <a:ext cx="2816417" cy="313711"/>
        </a:xfr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gm:spPr>
      <dgm:t>
        <a:bodyPr/>
        <a:lstStyle/>
        <a:p>
          <a:pPr>
            <a:buNone/>
          </a:pPr>
          <a:r>
            <a:rPr lang="en-GB" sz="1100">
              <a:solidFill>
                <a:sysClr val="window" lastClr="FFFFFF"/>
              </a:solidFill>
              <a:latin typeface="Calibri"/>
              <a:ea typeface="+mn-ea"/>
              <a:cs typeface="+mn-cs"/>
            </a:rPr>
            <a:t>B5 – Variation in losses (energy efficiency) (GWh/ Euro)</a:t>
          </a:r>
          <a:endParaRPr lang="en-US" sz="1100">
            <a:solidFill>
              <a:sysClr val="window" lastClr="FFFFFF"/>
            </a:solidFill>
            <a:latin typeface="Calibri"/>
            <a:ea typeface="+mn-ea"/>
            <a:cs typeface="+mn-cs"/>
          </a:endParaRPr>
        </a:p>
      </dgm:t>
    </dgm:pt>
    <dgm:pt modelId="{891A62DF-2274-4A16-AF45-5433DDE5F1DB}" type="parTrans" cxnId="{9FC970ED-0BD7-4953-9F8B-B653734AE8C1}">
      <dgm:prSet/>
      <dgm:spPr/>
      <dgm:t>
        <a:bodyPr/>
        <a:lstStyle/>
        <a:p>
          <a:endParaRPr lang="en-US"/>
        </a:p>
      </dgm:t>
    </dgm:pt>
    <dgm:pt modelId="{70F5D8B4-E2EB-4DA8-801A-1F448947C3EE}" type="sibTrans" cxnId="{9FC970ED-0BD7-4953-9F8B-B653734AE8C1}">
      <dgm:prSet/>
      <dgm:spPr/>
      <dgm:t>
        <a:bodyPr/>
        <a:lstStyle/>
        <a:p>
          <a:endParaRPr lang="en-US"/>
        </a:p>
      </dgm:t>
    </dgm:pt>
    <dgm:pt modelId="{C029D58E-660F-443D-AC0A-19948EECC78F}" type="pres">
      <dgm:prSet presAssocID="{694A14DB-E900-47D5-AEFF-9E1CA167CAD0}" presName="Name0" presStyleCnt="0">
        <dgm:presLayoutVars>
          <dgm:chPref val="1"/>
          <dgm:dir/>
          <dgm:animOne val="branch"/>
          <dgm:animLvl val="lvl"/>
          <dgm:resizeHandles/>
        </dgm:presLayoutVars>
      </dgm:prSet>
      <dgm:spPr/>
      <dgm:t>
        <a:bodyPr/>
        <a:lstStyle/>
        <a:p>
          <a:endParaRPr lang="en-US"/>
        </a:p>
      </dgm:t>
    </dgm:pt>
    <dgm:pt modelId="{6FB1032A-6900-4CBB-8CBB-27421463D992}" type="pres">
      <dgm:prSet presAssocID="{75B109D9-CB5E-47FC-AFFE-A024CB3499CC}" presName="vertOne" presStyleCnt="0"/>
      <dgm:spPr/>
    </dgm:pt>
    <dgm:pt modelId="{049945DF-F75C-4CB3-9063-E966F4F05A81}" type="pres">
      <dgm:prSet presAssocID="{75B109D9-CB5E-47FC-AFFE-A024CB3499CC}" presName="txOne" presStyleLbl="node0" presStyleIdx="0" presStyleCnt="1" custLinFactY="-7492" custLinFactNeighborX="-338" custLinFactNeighborY="-100000">
        <dgm:presLayoutVars>
          <dgm:chPref val="3"/>
        </dgm:presLayoutVars>
      </dgm:prSet>
      <dgm:spPr>
        <a:prstGeom prst="roundRect">
          <a:avLst>
            <a:gd name="adj" fmla="val 10000"/>
          </a:avLst>
        </a:prstGeom>
      </dgm:spPr>
      <dgm:t>
        <a:bodyPr/>
        <a:lstStyle/>
        <a:p>
          <a:endParaRPr lang="en-US"/>
        </a:p>
      </dgm:t>
    </dgm:pt>
    <dgm:pt modelId="{FBD0C14F-F16B-4E75-B737-42A6B8744856}" type="pres">
      <dgm:prSet presAssocID="{75B109D9-CB5E-47FC-AFFE-A024CB3499CC}" presName="parTransOne" presStyleCnt="0"/>
      <dgm:spPr/>
    </dgm:pt>
    <dgm:pt modelId="{078F2A1C-A73A-4113-BA28-2790CCBF8E20}" type="pres">
      <dgm:prSet presAssocID="{75B109D9-CB5E-47FC-AFFE-A024CB3499CC}" presName="horzOne" presStyleCnt="0"/>
      <dgm:spPr/>
    </dgm:pt>
    <dgm:pt modelId="{FDC6EE63-0263-432E-AF72-F9325E9AFD03}" type="pres">
      <dgm:prSet presAssocID="{0AD944D0-AF8F-4411-AD19-6E37D08A8962}" presName="vertTwo" presStyleCnt="0"/>
      <dgm:spPr/>
    </dgm:pt>
    <dgm:pt modelId="{88B248DC-B07A-43CD-B174-4AD8E53CB457}" type="pres">
      <dgm:prSet presAssocID="{0AD944D0-AF8F-4411-AD19-6E37D08A8962}" presName="txTwo" presStyleLbl="node2" presStyleIdx="0" presStyleCnt="2">
        <dgm:presLayoutVars>
          <dgm:chPref val="3"/>
        </dgm:presLayoutVars>
      </dgm:prSet>
      <dgm:spPr>
        <a:prstGeom prst="roundRect">
          <a:avLst>
            <a:gd name="adj" fmla="val 10000"/>
          </a:avLst>
        </a:prstGeom>
      </dgm:spPr>
      <dgm:t>
        <a:bodyPr/>
        <a:lstStyle/>
        <a:p>
          <a:endParaRPr lang="en-US"/>
        </a:p>
      </dgm:t>
    </dgm:pt>
    <dgm:pt modelId="{AF01BF59-E6F3-45A2-BC1B-842E9D1EA480}" type="pres">
      <dgm:prSet presAssocID="{0AD944D0-AF8F-4411-AD19-6E37D08A8962}" presName="parTransTwo" presStyleCnt="0"/>
      <dgm:spPr/>
    </dgm:pt>
    <dgm:pt modelId="{816628B7-B1E8-4EF5-8134-545F68BF2756}" type="pres">
      <dgm:prSet presAssocID="{0AD944D0-AF8F-4411-AD19-6E37D08A8962}" presName="horzTwo" presStyleCnt="0"/>
      <dgm:spPr/>
    </dgm:pt>
    <dgm:pt modelId="{F7E437EC-2033-4D70-972C-5805A8D30828}" type="pres">
      <dgm:prSet presAssocID="{132DABF9-4267-4379-BEC4-226D80ED2057}" presName="vertThree" presStyleCnt="0"/>
      <dgm:spPr/>
    </dgm:pt>
    <dgm:pt modelId="{A1DAFD96-35BD-4E7C-98AB-AEB46790E150}" type="pres">
      <dgm:prSet presAssocID="{132DABF9-4267-4379-BEC4-226D80ED2057}" presName="txThree" presStyleLbl="node3" presStyleIdx="0" presStyleCnt="2">
        <dgm:presLayoutVars>
          <dgm:chPref val="3"/>
        </dgm:presLayoutVars>
      </dgm:prSet>
      <dgm:spPr>
        <a:prstGeom prst="roundRect">
          <a:avLst>
            <a:gd name="adj" fmla="val 10000"/>
          </a:avLst>
        </a:prstGeom>
      </dgm:spPr>
      <dgm:t>
        <a:bodyPr/>
        <a:lstStyle/>
        <a:p>
          <a:endParaRPr lang="en-US"/>
        </a:p>
      </dgm:t>
    </dgm:pt>
    <dgm:pt modelId="{7B6E20A6-3E8C-46EF-AF8C-D3C47A3AA2E8}" type="pres">
      <dgm:prSet presAssocID="{132DABF9-4267-4379-BEC4-226D80ED2057}" presName="parTransThree" presStyleCnt="0"/>
      <dgm:spPr/>
    </dgm:pt>
    <dgm:pt modelId="{DD2B56B4-2D3D-4501-A965-AF1CDA44D508}" type="pres">
      <dgm:prSet presAssocID="{132DABF9-4267-4379-BEC4-226D80ED2057}" presName="horzThree" presStyleCnt="0"/>
      <dgm:spPr/>
    </dgm:pt>
    <dgm:pt modelId="{B392C9E4-9BC1-4D5D-BE95-F665DEA9548A}" type="pres">
      <dgm:prSet presAssocID="{7E4D89B1-191B-474F-8C52-57094BE4051B}" presName="vertFour" presStyleCnt="0">
        <dgm:presLayoutVars>
          <dgm:chPref val="3"/>
        </dgm:presLayoutVars>
      </dgm:prSet>
      <dgm:spPr/>
    </dgm:pt>
    <dgm:pt modelId="{3A9CE8A3-00DF-4801-BCD7-CE6B42FBBEBD}" type="pres">
      <dgm:prSet presAssocID="{7E4D89B1-191B-474F-8C52-57094BE4051B}" presName="txFour" presStyleLbl="node4" presStyleIdx="0" presStyleCnt="1" custLinFactNeighborX="55052">
        <dgm:presLayoutVars>
          <dgm:chPref val="3"/>
        </dgm:presLayoutVars>
      </dgm:prSet>
      <dgm:spPr>
        <a:prstGeom prst="roundRect">
          <a:avLst>
            <a:gd name="adj" fmla="val 10000"/>
          </a:avLst>
        </a:prstGeom>
      </dgm:spPr>
      <dgm:t>
        <a:bodyPr/>
        <a:lstStyle/>
        <a:p>
          <a:endParaRPr lang="en-US"/>
        </a:p>
      </dgm:t>
    </dgm:pt>
    <dgm:pt modelId="{B69FB4CD-476A-4D5A-AFCD-FD8D0A7D2C35}" type="pres">
      <dgm:prSet presAssocID="{7E4D89B1-191B-474F-8C52-57094BE4051B}" presName="horzFour" presStyleCnt="0"/>
      <dgm:spPr/>
    </dgm:pt>
    <dgm:pt modelId="{B977BF7C-BE31-44A4-93A0-AA24CD98CD32}" type="pres">
      <dgm:prSet presAssocID="{C65869C2-7946-4BE6-BC16-92380C50C8E2}" presName="sibSpaceTwo" presStyleCnt="0"/>
      <dgm:spPr/>
    </dgm:pt>
    <dgm:pt modelId="{1E5025DC-3778-4BEB-9A53-19105453FA8E}" type="pres">
      <dgm:prSet presAssocID="{9AC2111D-A5FC-4879-B34D-5D50762F498E}" presName="vertTwo" presStyleCnt="0"/>
      <dgm:spPr/>
    </dgm:pt>
    <dgm:pt modelId="{8D9858EC-1C38-468D-AF79-3FFC4F993D37}" type="pres">
      <dgm:prSet presAssocID="{9AC2111D-A5FC-4879-B34D-5D50762F498E}" presName="txTwo" presStyleLbl="node2" presStyleIdx="1" presStyleCnt="2">
        <dgm:presLayoutVars>
          <dgm:chPref val="3"/>
        </dgm:presLayoutVars>
      </dgm:prSet>
      <dgm:spPr>
        <a:prstGeom prst="roundRect">
          <a:avLst>
            <a:gd name="adj" fmla="val 10000"/>
          </a:avLst>
        </a:prstGeom>
      </dgm:spPr>
      <dgm:t>
        <a:bodyPr/>
        <a:lstStyle/>
        <a:p>
          <a:endParaRPr lang="en-US"/>
        </a:p>
      </dgm:t>
    </dgm:pt>
    <dgm:pt modelId="{BC6BAD5B-CDCC-4310-ACFA-482637ADEE3B}" type="pres">
      <dgm:prSet presAssocID="{9AC2111D-A5FC-4879-B34D-5D50762F498E}" presName="parTransTwo" presStyleCnt="0"/>
      <dgm:spPr/>
    </dgm:pt>
    <dgm:pt modelId="{A89E6A56-42C0-4C5A-BB9F-ABB07C8F49C4}" type="pres">
      <dgm:prSet presAssocID="{9AC2111D-A5FC-4879-B34D-5D50762F498E}" presName="horzTwo" presStyleCnt="0"/>
      <dgm:spPr/>
    </dgm:pt>
    <dgm:pt modelId="{32C6569B-9228-48FC-BE44-037D6784EAD2}" type="pres">
      <dgm:prSet presAssocID="{06993BDD-892B-496B-B2A6-3B8F6F388DF5}" presName="vertThree" presStyleCnt="0"/>
      <dgm:spPr/>
    </dgm:pt>
    <dgm:pt modelId="{969EC576-6366-45C4-AC9A-6DC2CF8F1604}" type="pres">
      <dgm:prSet presAssocID="{06993BDD-892B-496B-B2A6-3B8F6F388DF5}" presName="txThree" presStyleLbl="node3" presStyleIdx="1" presStyleCnt="2">
        <dgm:presLayoutVars>
          <dgm:chPref val="3"/>
        </dgm:presLayoutVars>
      </dgm:prSet>
      <dgm:spPr>
        <a:prstGeom prst="roundRect">
          <a:avLst>
            <a:gd name="adj" fmla="val 10000"/>
          </a:avLst>
        </a:prstGeom>
      </dgm:spPr>
      <dgm:t>
        <a:bodyPr/>
        <a:lstStyle/>
        <a:p>
          <a:endParaRPr lang="en-US"/>
        </a:p>
      </dgm:t>
    </dgm:pt>
    <dgm:pt modelId="{26092D94-351D-4EA1-8145-008E6401CAF4}" type="pres">
      <dgm:prSet presAssocID="{06993BDD-892B-496B-B2A6-3B8F6F388DF5}" presName="horzThree" presStyleCnt="0"/>
      <dgm:spPr/>
    </dgm:pt>
  </dgm:ptLst>
  <dgm:cxnLst>
    <dgm:cxn modelId="{D0AE9EA6-71BC-4C1C-BAF9-421340BDC1F1}" srcId="{0AD944D0-AF8F-4411-AD19-6E37D08A8962}" destId="{132DABF9-4267-4379-BEC4-226D80ED2057}" srcOrd="0" destOrd="0" parTransId="{A7CFEE56-994A-43CE-A8C6-5BCB684698BA}" sibTransId="{E96C845F-4150-43CE-AAB8-E74157F6D52F}"/>
    <dgm:cxn modelId="{CAFE934D-412C-46F8-A57F-437C8F605A63}" type="presOf" srcId="{06993BDD-892B-496B-B2A6-3B8F6F388DF5}" destId="{969EC576-6366-45C4-AC9A-6DC2CF8F1604}" srcOrd="0" destOrd="0" presId="urn:microsoft.com/office/officeart/2005/8/layout/hierarchy4"/>
    <dgm:cxn modelId="{DC9ED28F-E91A-40CE-AA8B-BC9A7F6554EB}" srcId="{694A14DB-E900-47D5-AEFF-9E1CA167CAD0}" destId="{75B109D9-CB5E-47FC-AFFE-A024CB3499CC}" srcOrd="0" destOrd="0" parTransId="{3CBB62A8-C7CA-420A-A5B6-D5FA15B7188F}" sibTransId="{AD5F6216-0AE7-4A7E-B1F8-CC6CB64A6A5A}"/>
    <dgm:cxn modelId="{0FC6E0B5-57CF-4A6E-955E-2995C899506B}" srcId="{9AC2111D-A5FC-4879-B34D-5D50762F498E}" destId="{06993BDD-892B-496B-B2A6-3B8F6F388DF5}" srcOrd="0" destOrd="0" parTransId="{A6FA6AD5-748D-415C-9BB7-C79AC4B46B6E}" sibTransId="{5C64D1AA-A59B-4F7D-B790-590D852D8079}"/>
    <dgm:cxn modelId="{9FC970ED-0BD7-4953-9F8B-B653734AE8C1}" srcId="{132DABF9-4267-4379-BEC4-226D80ED2057}" destId="{7E4D89B1-191B-474F-8C52-57094BE4051B}" srcOrd="0" destOrd="0" parTransId="{891A62DF-2274-4A16-AF45-5433DDE5F1DB}" sibTransId="{70F5D8B4-E2EB-4DA8-801A-1F448947C3EE}"/>
    <dgm:cxn modelId="{C787F6E8-B366-460E-ADBE-3CFF3591392D}" type="presOf" srcId="{75B109D9-CB5E-47FC-AFFE-A024CB3499CC}" destId="{049945DF-F75C-4CB3-9063-E966F4F05A81}" srcOrd="0" destOrd="0" presId="urn:microsoft.com/office/officeart/2005/8/layout/hierarchy4"/>
    <dgm:cxn modelId="{2A6B9F7A-805F-4A33-9AF0-B619D73EA006}" type="presOf" srcId="{132DABF9-4267-4379-BEC4-226D80ED2057}" destId="{A1DAFD96-35BD-4E7C-98AB-AEB46790E150}" srcOrd="0" destOrd="0" presId="urn:microsoft.com/office/officeart/2005/8/layout/hierarchy4"/>
    <dgm:cxn modelId="{8839AD71-A2D5-40BA-B99D-EA99D5931299}" type="presOf" srcId="{9AC2111D-A5FC-4879-B34D-5D50762F498E}" destId="{8D9858EC-1C38-468D-AF79-3FFC4F993D37}" srcOrd="0" destOrd="0" presId="urn:microsoft.com/office/officeart/2005/8/layout/hierarchy4"/>
    <dgm:cxn modelId="{2AFF0FEB-8EF5-4852-AFD3-3EF25A1B8A57}" srcId="{75B109D9-CB5E-47FC-AFFE-A024CB3499CC}" destId="{0AD944D0-AF8F-4411-AD19-6E37D08A8962}" srcOrd="0" destOrd="0" parTransId="{5FABEF41-1947-4B8C-987D-BA9251C712FA}" sibTransId="{C65869C2-7946-4BE6-BC16-92380C50C8E2}"/>
    <dgm:cxn modelId="{864E8417-0C96-4A65-BFFE-6ABE545F111C}" srcId="{75B109D9-CB5E-47FC-AFFE-A024CB3499CC}" destId="{9AC2111D-A5FC-4879-B34D-5D50762F498E}" srcOrd="1" destOrd="0" parTransId="{28C085DF-935F-4207-8342-7AD43475B1B5}" sibTransId="{BA762229-B363-420A-B247-D1290796D005}"/>
    <dgm:cxn modelId="{D8B39EA2-975B-494D-8182-F7D07D5B2AAA}" type="presOf" srcId="{7E4D89B1-191B-474F-8C52-57094BE4051B}" destId="{3A9CE8A3-00DF-4801-BCD7-CE6B42FBBEBD}" srcOrd="0" destOrd="0" presId="urn:microsoft.com/office/officeart/2005/8/layout/hierarchy4"/>
    <dgm:cxn modelId="{67A655C5-9633-4F7E-A1C2-8791A27DD418}" type="presOf" srcId="{0AD944D0-AF8F-4411-AD19-6E37D08A8962}" destId="{88B248DC-B07A-43CD-B174-4AD8E53CB457}" srcOrd="0" destOrd="0" presId="urn:microsoft.com/office/officeart/2005/8/layout/hierarchy4"/>
    <dgm:cxn modelId="{CEE3F2EA-CA7F-4366-81CE-17EDB3085C41}" type="presOf" srcId="{694A14DB-E900-47D5-AEFF-9E1CA167CAD0}" destId="{C029D58E-660F-443D-AC0A-19948EECC78F}" srcOrd="0" destOrd="0" presId="urn:microsoft.com/office/officeart/2005/8/layout/hierarchy4"/>
    <dgm:cxn modelId="{9160289C-530F-4828-88FB-2C30EC6D8897}" type="presParOf" srcId="{C029D58E-660F-443D-AC0A-19948EECC78F}" destId="{6FB1032A-6900-4CBB-8CBB-27421463D992}" srcOrd="0" destOrd="0" presId="urn:microsoft.com/office/officeart/2005/8/layout/hierarchy4"/>
    <dgm:cxn modelId="{D41D0641-D6B5-4804-930F-FBC4927879AF}" type="presParOf" srcId="{6FB1032A-6900-4CBB-8CBB-27421463D992}" destId="{049945DF-F75C-4CB3-9063-E966F4F05A81}" srcOrd="0" destOrd="0" presId="urn:microsoft.com/office/officeart/2005/8/layout/hierarchy4"/>
    <dgm:cxn modelId="{C2BF6A2D-19BA-44E3-A45A-318447851408}" type="presParOf" srcId="{6FB1032A-6900-4CBB-8CBB-27421463D992}" destId="{FBD0C14F-F16B-4E75-B737-42A6B8744856}" srcOrd="1" destOrd="0" presId="urn:microsoft.com/office/officeart/2005/8/layout/hierarchy4"/>
    <dgm:cxn modelId="{A734DC6E-713F-42F3-89B4-890D64864F11}" type="presParOf" srcId="{6FB1032A-6900-4CBB-8CBB-27421463D992}" destId="{078F2A1C-A73A-4113-BA28-2790CCBF8E20}" srcOrd="2" destOrd="0" presId="urn:microsoft.com/office/officeart/2005/8/layout/hierarchy4"/>
    <dgm:cxn modelId="{88195C87-C1D9-42F1-A564-DA5873C01235}" type="presParOf" srcId="{078F2A1C-A73A-4113-BA28-2790CCBF8E20}" destId="{FDC6EE63-0263-432E-AF72-F9325E9AFD03}" srcOrd="0" destOrd="0" presId="urn:microsoft.com/office/officeart/2005/8/layout/hierarchy4"/>
    <dgm:cxn modelId="{A721F151-C466-48EA-8834-FDC722BD3641}" type="presParOf" srcId="{FDC6EE63-0263-432E-AF72-F9325E9AFD03}" destId="{88B248DC-B07A-43CD-B174-4AD8E53CB457}" srcOrd="0" destOrd="0" presId="urn:microsoft.com/office/officeart/2005/8/layout/hierarchy4"/>
    <dgm:cxn modelId="{5EA5765E-7B2C-40D1-8030-D1CB52524E28}" type="presParOf" srcId="{FDC6EE63-0263-432E-AF72-F9325E9AFD03}" destId="{AF01BF59-E6F3-45A2-BC1B-842E9D1EA480}" srcOrd="1" destOrd="0" presId="urn:microsoft.com/office/officeart/2005/8/layout/hierarchy4"/>
    <dgm:cxn modelId="{884889B9-2DDC-4D1B-9429-19EB3518901E}" type="presParOf" srcId="{FDC6EE63-0263-432E-AF72-F9325E9AFD03}" destId="{816628B7-B1E8-4EF5-8134-545F68BF2756}" srcOrd="2" destOrd="0" presId="urn:microsoft.com/office/officeart/2005/8/layout/hierarchy4"/>
    <dgm:cxn modelId="{9288C571-83D4-4EF2-B681-81A071D914F4}" type="presParOf" srcId="{816628B7-B1E8-4EF5-8134-545F68BF2756}" destId="{F7E437EC-2033-4D70-972C-5805A8D30828}" srcOrd="0" destOrd="0" presId="urn:microsoft.com/office/officeart/2005/8/layout/hierarchy4"/>
    <dgm:cxn modelId="{FB2868A8-1A65-4B7C-823A-CD4E1EF51778}" type="presParOf" srcId="{F7E437EC-2033-4D70-972C-5805A8D30828}" destId="{A1DAFD96-35BD-4E7C-98AB-AEB46790E150}" srcOrd="0" destOrd="0" presId="urn:microsoft.com/office/officeart/2005/8/layout/hierarchy4"/>
    <dgm:cxn modelId="{3691D5EC-9ACE-4766-850E-3153B10D694D}" type="presParOf" srcId="{F7E437EC-2033-4D70-972C-5805A8D30828}" destId="{7B6E20A6-3E8C-46EF-AF8C-D3C47A3AA2E8}" srcOrd="1" destOrd="0" presId="urn:microsoft.com/office/officeart/2005/8/layout/hierarchy4"/>
    <dgm:cxn modelId="{059B8973-643C-485A-AE32-62AE5EA6F72A}" type="presParOf" srcId="{F7E437EC-2033-4D70-972C-5805A8D30828}" destId="{DD2B56B4-2D3D-4501-A965-AF1CDA44D508}" srcOrd="2" destOrd="0" presId="urn:microsoft.com/office/officeart/2005/8/layout/hierarchy4"/>
    <dgm:cxn modelId="{0B79D60E-CB4A-4D7C-B50E-3827AAF8EE26}" type="presParOf" srcId="{DD2B56B4-2D3D-4501-A965-AF1CDA44D508}" destId="{B392C9E4-9BC1-4D5D-BE95-F665DEA9548A}" srcOrd="0" destOrd="0" presId="urn:microsoft.com/office/officeart/2005/8/layout/hierarchy4"/>
    <dgm:cxn modelId="{D821AD13-8A83-4538-8E27-4C70ECC4B64E}" type="presParOf" srcId="{B392C9E4-9BC1-4D5D-BE95-F665DEA9548A}" destId="{3A9CE8A3-00DF-4801-BCD7-CE6B42FBBEBD}" srcOrd="0" destOrd="0" presId="urn:microsoft.com/office/officeart/2005/8/layout/hierarchy4"/>
    <dgm:cxn modelId="{DD224522-87CE-4539-ABE5-461D14D6A698}" type="presParOf" srcId="{B392C9E4-9BC1-4D5D-BE95-F665DEA9548A}" destId="{B69FB4CD-476A-4D5A-AFCD-FD8D0A7D2C35}" srcOrd="1" destOrd="0" presId="urn:microsoft.com/office/officeart/2005/8/layout/hierarchy4"/>
    <dgm:cxn modelId="{71419AB0-89D6-43F0-AA75-09DC0FFF0CFB}" type="presParOf" srcId="{078F2A1C-A73A-4113-BA28-2790CCBF8E20}" destId="{B977BF7C-BE31-44A4-93A0-AA24CD98CD32}" srcOrd="1" destOrd="0" presId="urn:microsoft.com/office/officeart/2005/8/layout/hierarchy4"/>
    <dgm:cxn modelId="{71A8DF05-3A90-44AE-80EC-D3A98AB4E0D5}" type="presParOf" srcId="{078F2A1C-A73A-4113-BA28-2790CCBF8E20}" destId="{1E5025DC-3778-4BEB-9A53-19105453FA8E}" srcOrd="2" destOrd="0" presId="urn:microsoft.com/office/officeart/2005/8/layout/hierarchy4"/>
    <dgm:cxn modelId="{AE03295E-75FF-4184-A53F-5DFBE04B28ED}" type="presParOf" srcId="{1E5025DC-3778-4BEB-9A53-19105453FA8E}" destId="{8D9858EC-1C38-468D-AF79-3FFC4F993D37}" srcOrd="0" destOrd="0" presId="urn:microsoft.com/office/officeart/2005/8/layout/hierarchy4"/>
    <dgm:cxn modelId="{2A3AA66F-6FA7-42CA-81E4-DCB0B618FA0B}" type="presParOf" srcId="{1E5025DC-3778-4BEB-9A53-19105453FA8E}" destId="{BC6BAD5B-CDCC-4310-ACFA-482637ADEE3B}" srcOrd="1" destOrd="0" presId="urn:microsoft.com/office/officeart/2005/8/layout/hierarchy4"/>
    <dgm:cxn modelId="{F18BDA02-CDF0-4D3F-9556-23577F0FB70E}" type="presParOf" srcId="{1E5025DC-3778-4BEB-9A53-19105453FA8E}" destId="{A89E6A56-42C0-4C5A-BB9F-ABB07C8F49C4}" srcOrd="2" destOrd="0" presId="urn:microsoft.com/office/officeart/2005/8/layout/hierarchy4"/>
    <dgm:cxn modelId="{99FCCEE5-A89E-4C28-93C6-740F061D8B9A}" type="presParOf" srcId="{A89E6A56-42C0-4C5A-BB9F-ABB07C8F49C4}" destId="{32C6569B-9228-48FC-BE44-037D6784EAD2}" srcOrd="0" destOrd="0" presId="urn:microsoft.com/office/officeart/2005/8/layout/hierarchy4"/>
    <dgm:cxn modelId="{BBF2BB06-DB76-4E92-B903-70C0518EEAC1}" type="presParOf" srcId="{32C6569B-9228-48FC-BE44-037D6784EAD2}" destId="{969EC576-6366-45C4-AC9A-6DC2CF8F1604}" srcOrd="0" destOrd="0" presId="urn:microsoft.com/office/officeart/2005/8/layout/hierarchy4"/>
    <dgm:cxn modelId="{0672A936-276A-48FC-8A38-A25D0A1C4026}" type="presParOf" srcId="{32C6569B-9228-48FC-BE44-037D6784EAD2}" destId="{26092D94-351D-4EA1-8145-008E6401CAF4}" srcOrd="1" destOrd="0" presId="urn:microsoft.com/office/officeart/2005/8/layout/hierarchy4"/>
  </dgm:cxnLst>
  <dgm:bg/>
  <dgm:whole/>
  <dgm:extLst>
    <a:ext uri="http://schemas.microsoft.com/office/drawing/2008/diagram">
      <dsp:dataModelExt xmlns:dsp="http://schemas.microsoft.com/office/drawing/2008/diagram" relId="rId6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49945DF-F75C-4CB3-9063-E966F4F05A81}">
      <dsp:nvSpPr>
        <dsp:cNvPr id="0" name=""/>
        <dsp:cNvSpPr/>
      </dsp:nvSpPr>
      <dsp:spPr>
        <a:xfrm>
          <a:off x="0" y="0"/>
          <a:ext cx="5870048" cy="314390"/>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9530" tIns="49530" rIns="49530" bIns="49530" numCol="1" spcCol="1270" anchor="ctr" anchorCtr="0">
          <a:noAutofit/>
        </a:bodyPr>
        <a:lstStyle/>
        <a:p>
          <a:pPr lvl="0" algn="ctr" defTabSz="577850">
            <a:lnSpc>
              <a:spcPct val="90000"/>
            </a:lnSpc>
            <a:spcBef>
              <a:spcPct val="0"/>
            </a:spcBef>
            <a:spcAft>
              <a:spcPct val="35000"/>
            </a:spcAft>
            <a:buNone/>
          </a:pPr>
          <a:r>
            <a:rPr lang="sr-Latn-RS" sz="1300" kern="1200">
              <a:solidFill>
                <a:sysClr val="window" lastClr="FFFFFF"/>
              </a:solidFill>
              <a:latin typeface="Calibri"/>
              <a:ea typeface="+mn-ea"/>
              <a:cs typeface="+mn-cs"/>
            </a:rPr>
            <a:t>ENTSO-E benefit categories</a:t>
          </a:r>
          <a:endParaRPr lang="en-US" sz="1300" kern="1200">
            <a:solidFill>
              <a:sysClr val="window" lastClr="FFFFFF"/>
            </a:solidFill>
            <a:latin typeface="Calibri"/>
            <a:ea typeface="+mn-ea"/>
            <a:cs typeface="+mn-cs"/>
          </a:endParaRPr>
        </a:p>
      </dsp:txBody>
      <dsp:txXfrm>
        <a:off x="9208" y="9208"/>
        <a:ext cx="5851632" cy="295974"/>
      </dsp:txXfrm>
    </dsp:sp>
    <dsp:sp modelId="{88B248DC-B07A-43CD-B174-4AD8E53CB457}">
      <dsp:nvSpPr>
        <dsp:cNvPr id="0" name=""/>
        <dsp:cNvSpPr/>
      </dsp:nvSpPr>
      <dsp:spPr>
        <a:xfrm>
          <a:off x="2168" y="385444"/>
          <a:ext cx="2816721" cy="314390"/>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buNone/>
          </a:pPr>
          <a:r>
            <a:rPr lang="en-GB" sz="1100" kern="1200">
              <a:solidFill>
                <a:sysClr val="window" lastClr="FFFFFF"/>
              </a:solidFill>
              <a:latin typeface="Calibri"/>
              <a:ea typeface="+mn-ea"/>
              <a:cs typeface="+mn-cs"/>
            </a:rPr>
            <a:t>B1: Social-economic welfare (Euro)</a:t>
          </a:r>
          <a:endParaRPr lang="en-US" sz="1100" kern="1200">
            <a:solidFill>
              <a:sysClr val="window" lastClr="FFFFFF"/>
            </a:solidFill>
            <a:latin typeface="Calibri"/>
            <a:ea typeface="+mn-ea"/>
            <a:cs typeface="+mn-cs"/>
          </a:endParaRPr>
        </a:p>
      </dsp:txBody>
      <dsp:txXfrm>
        <a:off x="11376" y="394652"/>
        <a:ext cx="2798305" cy="295974"/>
      </dsp:txXfrm>
    </dsp:sp>
    <dsp:sp modelId="{A1DAFD96-35BD-4E7C-98AB-AEB46790E150}">
      <dsp:nvSpPr>
        <dsp:cNvPr id="0" name=""/>
        <dsp:cNvSpPr/>
      </dsp:nvSpPr>
      <dsp:spPr>
        <a:xfrm>
          <a:off x="2168" y="770189"/>
          <a:ext cx="2816721" cy="314390"/>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buNone/>
          </a:pPr>
          <a:r>
            <a:rPr lang="en-GB" sz="1100" kern="1200">
              <a:solidFill>
                <a:sysClr val="window" lastClr="FFFFFF"/>
              </a:solidFill>
              <a:latin typeface="Calibri"/>
              <a:ea typeface="+mn-ea"/>
              <a:cs typeface="+mn-cs"/>
            </a:rPr>
            <a:t>B3: RES Integration benefit category (GWh)</a:t>
          </a:r>
          <a:endParaRPr lang="en-US" sz="1100" kern="1200">
            <a:solidFill>
              <a:sysClr val="window" lastClr="FFFFFF"/>
            </a:solidFill>
            <a:latin typeface="Calibri"/>
            <a:ea typeface="+mn-ea"/>
            <a:cs typeface="+mn-cs"/>
          </a:endParaRPr>
        </a:p>
      </dsp:txBody>
      <dsp:txXfrm>
        <a:off x="11376" y="779397"/>
        <a:ext cx="2798305" cy="295974"/>
      </dsp:txXfrm>
    </dsp:sp>
    <dsp:sp modelId="{3A9CE8A3-00DF-4801-BCD7-CE6B42FBBEBD}">
      <dsp:nvSpPr>
        <dsp:cNvPr id="0" name=""/>
        <dsp:cNvSpPr/>
      </dsp:nvSpPr>
      <dsp:spPr>
        <a:xfrm>
          <a:off x="1552830" y="1154935"/>
          <a:ext cx="2816721" cy="314390"/>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buNone/>
          </a:pPr>
          <a:r>
            <a:rPr lang="en-GB" sz="1100" kern="1200">
              <a:solidFill>
                <a:sysClr val="window" lastClr="FFFFFF"/>
              </a:solidFill>
              <a:latin typeface="Calibri"/>
              <a:ea typeface="+mn-ea"/>
              <a:cs typeface="+mn-cs"/>
            </a:rPr>
            <a:t>B5 – Variation in losses (energy efficiency) (GWh/ Euro)</a:t>
          </a:r>
          <a:endParaRPr lang="en-US" sz="1100" kern="1200">
            <a:solidFill>
              <a:sysClr val="window" lastClr="FFFFFF"/>
            </a:solidFill>
            <a:latin typeface="Calibri"/>
            <a:ea typeface="+mn-ea"/>
            <a:cs typeface="+mn-cs"/>
          </a:endParaRPr>
        </a:p>
      </dsp:txBody>
      <dsp:txXfrm>
        <a:off x="1562038" y="1164143"/>
        <a:ext cx="2798305" cy="295974"/>
      </dsp:txXfrm>
    </dsp:sp>
    <dsp:sp modelId="{8D9858EC-1C38-468D-AF79-3FFC4F993D37}">
      <dsp:nvSpPr>
        <dsp:cNvPr id="0" name=""/>
        <dsp:cNvSpPr/>
      </dsp:nvSpPr>
      <dsp:spPr>
        <a:xfrm>
          <a:off x="3055494" y="385444"/>
          <a:ext cx="2816721" cy="314390"/>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buNone/>
          </a:pPr>
          <a:r>
            <a:rPr lang="en-GB" sz="1100" kern="1200">
              <a:solidFill>
                <a:sysClr val="window" lastClr="FFFFFF"/>
              </a:solidFill>
              <a:latin typeface="Calibri"/>
              <a:ea typeface="+mn-ea"/>
              <a:cs typeface="+mn-cs"/>
            </a:rPr>
            <a:t>B2: Variation in CO</a:t>
          </a:r>
          <a:r>
            <a:rPr lang="en-GB" sz="1100" kern="1200" baseline="-25000">
              <a:solidFill>
                <a:sysClr val="window" lastClr="FFFFFF"/>
              </a:solidFill>
              <a:latin typeface="Calibri"/>
              <a:ea typeface="+mn-ea"/>
              <a:cs typeface="+mn-cs"/>
            </a:rPr>
            <a:t>2</a:t>
          </a:r>
          <a:r>
            <a:rPr lang="en-GB" sz="1100" kern="1200">
              <a:solidFill>
                <a:sysClr val="window" lastClr="FFFFFF"/>
              </a:solidFill>
              <a:latin typeface="Calibri"/>
              <a:ea typeface="+mn-ea"/>
              <a:cs typeface="+mn-cs"/>
            </a:rPr>
            <a:t> emissions (tonnes)</a:t>
          </a:r>
          <a:endParaRPr lang="en-US" sz="1100" kern="1200">
            <a:solidFill>
              <a:sysClr val="window" lastClr="FFFFFF"/>
            </a:solidFill>
            <a:latin typeface="Calibri"/>
            <a:ea typeface="+mn-ea"/>
            <a:cs typeface="+mn-cs"/>
          </a:endParaRPr>
        </a:p>
      </dsp:txBody>
      <dsp:txXfrm>
        <a:off x="3064702" y="394652"/>
        <a:ext cx="2798305" cy="295974"/>
      </dsp:txXfrm>
    </dsp:sp>
    <dsp:sp modelId="{969EC576-6366-45C4-AC9A-6DC2CF8F1604}">
      <dsp:nvSpPr>
        <dsp:cNvPr id="0" name=""/>
        <dsp:cNvSpPr/>
      </dsp:nvSpPr>
      <dsp:spPr>
        <a:xfrm>
          <a:off x="3055494" y="770189"/>
          <a:ext cx="2816721" cy="314390"/>
        </a:xfrm>
        <a:prstGeom prst="roundRect">
          <a:avLst>
            <a:gd name="adj" fmla="val 10000"/>
          </a:avLst>
        </a:prstGeom>
        <a:gradFill rotWithShape="0">
          <a:gsLst>
            <a:gs pos="0">
              <a:srgbClr val="44546A">
                <a:hueOff val="0"/>
                <a:satOff val="0"/>
                <a:lumOff val="0"/>
                <a:alphaOff val="0"/>
                <a:satMod val="103000"/>
                <a:lumMod val="102000"/>
                <a:tint val="94000"/>
              </a:srgbClr>
            </a:gs>
            <a:gs pos="50000">
              <a:srgbClr val="44546A">
                <a:hueOff val="0"/>
                <a:satOff val="0"/>
                <a:lumOff val="0"/>
                <a:alphaOff val="0"/>
                <a:satMod val="110000"/>
                <a:lumMod val="100000"/>
                <a:shade val="100000"/>
              </a:srgbClr>
            </a:gs>
            <a:gs pos="100000">
              <a:srgbClr val="44546A">
                <a:hueOff val="0"/>
                <a:satOff val="0"/>
                <a:lumOff val="0"/>
                <a:alphaOff val="0"/>
                <a:lumMod val="99000"/>
                <a:satMod val="120000"/>
                <a:shade val="78000"/>
              </a:srgb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88950">
            <a:lnSpc>
              <a:spcPct val="90000"/>
            </a:lnSpc>
            <a:spcBef>
              <a:spcPct val="0"/>
            </a:spcBef>
            <a:spcAft>
              <a:spcPct val="35000"/>
            </a:spcAft>
            <a:buNone/>
          </a:pPr>
          <a:r>
            <a:rPr lang="en-GB" sz="1100" kern="1200">
              <a:solidFill>
                <a:sysClr val="window" lastClr="FFFFFF"/>
              </a:solidFill>
              <a:latin typeface="Calibri"/>
              <a:ea typeface="+mn-ea"/>
              <a:cs typeface="+mn-cs"/>
            </a:rPr>
            <a:t>RES Energy Spilled (GWh)</a:t>
          </a:r>
          <a:endParaRPr lang="en-US" sz="1100" kern="1200">
            <a:solidFill>
              <a:sysClr val="window" lastClr="FFFFFF"/>
            </a:solidFill>
            <a:latin typeface="Calibri"/>
            <a:ea typeface="+mn-ea"/>
            <a:cs typeface="+mn-cs"/>
          </a:endParaRPr>
        </a:p>
      </dsp:txBody>
      <dsp:txXfrm>
        <a:off x="3064702" y="779397"/>
        <a:ext cx="2798305" cy="295974"/>
      </dsp:txXfrm>
    </dsp:sp>
  </dsp:spTree>
</dsp:drawing>
</file>

<file path=word/diagrams/layout1.xml><?xml version="1.0" encoding="utf-8"?>
<dgm:layoutDef xmlns:dgm="http://schemas.openxmlformats.org/drawingml/2006/diagram" xmlns:a="http://schemas.openxmlformats.org/drawingml/2006/main" uniqueId="urn:microsoft.com/office/officeart/2005/8/layout/hierarchy4">
  <dgm:title val=""/>
  <dgm:desc val=""/>
  <dgm:catLst>
    <dgm:cat type="hierarchy" pri="4000"/>
    <dgm:cat type="list" pri="24000"/>
    <dgm:cat type="relationship" pri="10000"/>
  </dgm:catLst>
  <dgm:sampData>
    <dgm:dataModel>
      <dgm:ptLst>
        <dgm:pt modelId="0" type="doc"/>
        <dgm:pt modelId="1">
          <dgm:prSet phldr="1"/>
        </dgm:pt>
        <dgm:pt modelId="2">
          <dgm:prSet phldr="1"/>
        </dgm:pt>
        <dgm:pt modelId="21">
          <dgm:prSet phldr="1"/>
        </dgm:pt>
        <dgm:pt modelId="22">
          <dgm:prSet phldr="1"/>
        </dgm:pt>
        <dgm:pt modelId="3">
          <dgm:prSet phldr="1"/>
        </dgm:pt>
        <dgm:pt modelId="31">
          <dgm:prSet phldr="1"/>
        </dgm:pt>
      </dgm:ptLst>
      <dgm:cxnLst>
        <dgm:cxn modelId="4" srcId="0" destId="1" srcOrd="0" destOrd="0"/>
        <dgm:cxn modelId="5" srcId="1" destId="2" srcOrd="0" destOrd="0"/>
        <dgm:cxn modelId="6" srcId="1" destId="3" srcOrd="1" destOrd="0"/>
        <dgm:cxn modelId="23" srcId="2" destId="21" srcOrd="0" destOrd="0"/>
        <dgm:cxn modelId="24" srcId="2" destId="22" srcOrd="1" destOrd="0"/>
        <dgm:cxn modelId="33" srcId="3" destId="31" srcOrd="0" destOrd="0"/>
      </dgm:cxnLst>
      <dgm:bg/>
      <dgm:whole/>
    </dgm:dataModel>
  </dgm:sampData>
  <dgm:styleData>
    <dgm:dataModel>
      <dgm:ptLst>
        <dgm:pt modelId="0" type="doc"/>
        <dgm:pt modelId="1"/>
        <dgm:pt modelId="11"/>
        <dgm:pt modelId="12"/>
      </dgm:ptLst>
      <dgm:cxnLst>
        <dgm:cxn modelId="2" srcId="0" destId="1" srcOrd="0" destOrd="0"/>
        <dgm:cxn modelId="13" srcId="1" destId="11" srcOrd="0" destOrd="0"/>
        <dgm:cxn modelId="14" srcId="1" destId="12" srcOrd="1" destOrd="0"/>
      </dgm:cxnLst>
      <dgm:bg/>
      <dgm:whole/>
    </dgm:dataModel>
  </dgm:styleData>
  <dgm:clrData>
    <dgm:dataModel>
      <dgm:ptLst>
        <dgm:pt modelId="0" type="doc"/>
        <dgm:pt modelId="1"/>
        <dgm:pt modelId="2"/>
        <dgm:pt modelId="21"/>
        <dgm:pt modelId="211"/>
        <dgm:pt modelId="3"/>
        <dgm:pt modelId="31"/>
        <dgm:pt modelId="311"/>
      </dgm:ptLst>
      <dgm:cxnLst>
        <dgm:cxn modelId="4" srcId="0" destId="1" srcOrd="0" destOrd="0"/>
        <dgm:cxn modelId="5" srcId="1" destId="2" srcOrd="0" destOrd="0"/>
        <dgm:cxn modelId="6" srcId="1" destId="3" srcOrd="1" destOrd="0"/>
        <dgm:cxn modelId="23" srcId="2" destId="21" srcOrd="0" destOrd="0"/>
        <dgm:cxn modelId="24" srcId="21" destId="211" srcOrd="0" destOrd="0"/>
        <dgm:cxn modelId="33" srcId="3" destId="31" srcOrd="0" destOrd="0"/>
        <dgm:cxn modelId="34" srcId="31" destId="311" srcOrd="0" destOrd="0"/>
      </dgm:cxnLst>
      <dgm:bg/>
      <dgm:whole/>
    </dgm:dataModel>
  </dgm:clrData>
  <dgm:layoutNode name="Name0">
    <dgm:varLst>
      <dgm:chPref val="1"/>
      <dgm:dir/>
      <dgm:animOne val="branch"/>
      <dgm:animLvl val="lvl"/>
      <dgm:resizeHandles/>
    </dgm:varLst>
    <dgm:choose name="Name1">
      <dgm:if name="Name2" func="var" arg="dir" op="equ" val="norm">
        <dgm:alg type="lin">
          <dgm:param type="linDir" val="fromL"/>
          <dgm:param type="nodeVertAlign" val="t"/>
        </dgm:alg>
      </dgm:if>
      <dgm:else name="Name3">
        <dgm:alg type="lin">
          <dgm:param type="linDir" val="fromR"/>
          <dgm:param type="nodeVertAlign" val="t"/>
        </dgm:alg>
      </dgm:else>
    </dgm:choose>
    <dgm:shape xmlns:r="http://schemas.openxmlformats.org/officeDocument/2006/relationships" r:blip="">
      <dgm:adjLst/>
    </dgm:shape>
    <dgm:presOf/>
    <dgm:constrLst>
      <dgm:constr type="w" for="ch" forName="vertOne" refType="w"/>
      <dgm:constr type="w" for="des" forName="horzOne" refType="w"/>
      <dgm:constr type="w" for="des" forName="txOne" refType="w"/>
      <dgm:constr type="w" for="des" forName="vertTwo" refType="w"/>
      <dgm:constr type="w" for="des" forName="horzTwo" refType="w"/>
      <dgm:constr type="w" for="des" forName="txTwo" refType="w"/>
      <dgm:constr type="w" for="des" forName="vertThree" refType="w"/>
      <dgm:constr type="w" for="des" forName="horzThree" refType="w"/>
      <dgm:constr type="w" for="des" forName="txThree" refType="w"/>
      <dgm:constr type="w" for="des" forName="vertFour" refType="w"/>
      <dgm:constr type="w" for="des" forName="horzFour" refType="w"/>
      <dgm:constr type="w" for="des" forName="txFour" refType="w"/>
      <dgm:constr type="h" for="des" ptType="node" op="equ"/>
      <dgm:constr type="h" for="des" forName="txOne" refType="h"/>
      <dgm:constr type="userH" for="des" ptType="node" refType="h" refFor="des" refForName="txOne"/>
      <dgm:constr type="primFontSz" for="des" forName="txOne" val="65"/>
      <dgm:constr type="primFontSz" for="des" forName="txTwo" val="65"/>
      <dgm:constr type="primFontSz" for="des" forName="txTwo" refType="primFontSz" refFor="des" refForName="txOne" op="lte"/>
      <dgm:constr type="primFontSz" for="des" forName="txThree" val="65"/>
      <dgm:constr type="primFontSz" for="des" forName="txThree" refType="primFontSz" refFor="des" refForName="txOne" op="lte"/>
      <dgm:constr type="primFontSz" for="des" forName="txThree" refType="primFontSz" refFor="des" refForName="txTwo" op="lte"/>
      <dgm:constr type="primFontSz" for="des" forName="txFour" val="65"/>
      <dgm:constr type="primFontSz" for="des" forName="txFour" refType="primFontSz" refFor="des" refForName="txOne" op="lte"/>
      <dgm:constr type="primFontSz" for="des" forName="txFour" refType="primFontSz" refFor="des" refForName="txTwo" op="lte"/>
      <dgm:constr type="primFontSz" for="des" forName="txFour" refType="primFontSz" refFor="des" refForName="txThree" op="lte"/>
      <dgm:constr type="w" for="des" forName="sibSpaceOne" refType="w" fact="0.168"/>
      <dgm:constr type="w" for="des" forName="sibSpaceTwo" refType="w" refFor="des" refForName="sibSpaceOne" op="equ" fact="0.5"/>
      <dgm:constr type="w" for="des" forName="sibSpaceThree" refType="w" refFor="des" refForName="sibSpaceTwo" op="equ" fact="0.5"/>
      <dgm:constr type="w" for="des" forName="sibSpaceFour" refType="w" refFor="des" refForName="sibSpaceThree" op="equ" fact="0.5"/>
      <dgm:constr type="h" for="des" forName="parTransOne" refType="w" fact="0.056"/>
      <dgm:constr type="h" for="des" forName="parTransTwo" refType="h" refFor="des" refForName="parTransOne" op="equ"/>
      <dgm:constr type="h" for="des" forName="parTransThree" refType="h" refFor="des" refForName="parTransTwo" op="equ"/>
      <dgm:constr type="h" for="des" forName="parTransFour" refType="h" refFor="des" refForName="parTransThree" op="equ"/>
    </dgm:constrLst>
    <dgm:ruleLst/>
    <dgm:forEach name="Name4" axis="ch" ptType="node">
      <dgm:layoutNode name="vertOne">
        <dgm:alg type="lin">
          <dgm:param type="linDir" val="fromT"/>
        </dgm:alg>
        <dgm:shape xmlns:r="http://schemas.openxmlformats.org/officeDocument/2006/relationships" r:blip="">
          <dgm:adjLst/>
        </dgm:shape>
        <dgm:presOf/>
        <dgm:constrLst>
          <dgm:constr type="w" for="ch" forName="txOne" refType="w" refFor="ch" refForName="horzOne" op="gte"/>
        </dgm:constrLst>
        <dgm:ruleLst/>
        <dgm:layoutNode name="txOne" styleLbl="node0">
          <dgm:varLst>
            <dgm:chPref val="3"/>
          </dgm:varLst>
          <dgm:alg type="tx"/>
          <dgm:shape xmlns:r="http://schemas.openxmlformats.org/officeDocument/2006/relationships" type="roundRect" r:blip="">
            <dgm:adjLst>
              <dgm:adj idx="1" val="0.1"/>
            </dgm:adjLst>
          </dgm:shape>
          <dgm:presOf axis="self"/>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5">
          <dgm:if name="Name6" axis="des" ptType="node" func="cnt" op="gt" val="0">
            <dgm:layoutNode name="parTransOne">
              <dgm:alg type="sp"/>
              <dgm:shape xmlns:r="http://schemas.openxmlformats.org/officeDocument/2006/relationships" r:blip="">
                <dgm:adjLst/>
              </dgm:shape>
              <dgm:presOf/>
              <dgm:constrLst/>
              <dgm:ruleLst/>
            </dgm:layoutNode>
          </dgm:if>
          <dgm:else name="Name7"/>
        </dgm:choose>
        <dgm:layoutNode name="horzOne">
          <dgm:choose name="Name8">
            <dgm:if name="Name9" func="var" arg="dir" op="equ" val="norm">
              <dgm:alg type="lin">
                <dgm:param type="linDir" val="fromL"/>
                <dgm:param type="nodeVertAlign" val="t"/>
              </dgm:alg>
            </dgm:if>
            <dgm:else name="Name1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1" axis="ch" ptType="node">
            <dgm:layoutNode name="vertTwo">
              <dgm:alg type="lin">
                <dgm:param type="linDir" val="fromT"/>
              </dgm:alg>
              <dgm:shape xmlns:r="http://schemas.openxmlformats.org/officeDocument/2006/relationships" r:blip="">
                <dgm:adjLst/>
              </dgm:shape>
              <dgm:presOf/>
              <dgm:constrLst>
                <dgm:constr type="w" for="ch" forName="txTwo" refType="w" refFor="ch" refForName="horzTwo" op="gte"/>
              </dgm:constrLst>
              <dgm:ruleLst/>
              <dgm:layoutNode name="txTwo">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2">
                <dgm:if name="Name13" axis="des" ptType="node" func="cnt" op="gt" val="0">
                  <dgm:layoutNode name="parTransTwo">
                    <dgm:alg type="sp"/>
                    <dgm:shape xmlns:r="http://schemas.openxmlformats.org/officeDocument/2006/relationships" r:blip="">
                      <dgm:adjLst/>
                    </dgm:shape>
                    <dgm:presOf/>
                    <dgm:constrLst/>
                    <dgm:ruleLst/>
                  </dgm:layoutNode>
                </dgm:if>
                <dgm:else name="Name14"/>
              </dgm:choose>
              <dgm:layoutNode name="horzTwo">
                <dgm:choose name="Name15">
                  <dgm:if name="Name16" func="var" arg="dir" op="equ" val="norm">
                    <dgm:alg type="lin">
                      <dgm:param type="linDir" val="fromL"/>
                      <dgm:param type="nodeVertAlign" val="t"/>
                    </dgm:alg>
                  </dgm:if>
                  <dgm:else name="Name17">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18" axis="ch" ptType="node">
                  <dgm:layoutNode name="vertThree">
                    <dgm:alg type="lin">
                      <dgm:param type="linDir" val="fromT"/>
                    </dgm:alg>
                    <dgm:shape xmlns:r="http://schemas.openxmlformats.org/officeDocument/2006/relationships" r:blip="">
                      <dgm:adjLst/>
                    </dgm:shape>
                    <dgm:presOf/>
                    <dgm:constrLst>
                      <dgm:constr type="w" for="ch" forName="txThree" refType="w" refFor="ch" refForName="horzThree" op="gte"/>
                    </dgm:constrLst>
                    <dgm:ruleLst/>
                    <dgm:layoutNode name="txThree">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9">
                      <dgm:if name="Name20" axis="des" ptType="node" func="cnt" op="gt" val="0">
                        <dgm:layoutNode name="parTransThree">
                          <dgm:alg type="sp"/>
                          <dgm:shape xmlns:r="http://schemas.openxmlformats.org/officeDocument/2006/relationships" r:blip="">
                            <dgm:adjLst/>
                          </dgm:shape>
                          <dgm:presOf/>
                          <dgm:constrLst/>
                          <dgm:ruleLst/>
                        </dgm:layoutNode>
                      </dgm:if>
                      <dgm:else name="Name21"/>
                    </dgm:choose>
                    <dgm:layoutNode name="horzThree">
                      <dgm:choose name="Name22">
                        <dgm:if name="Name23" func="var" arg="dir" op="equ" val="norm">
                          <dgm:alg type="lin">
                            <dgm:param type="linDir" val="fromL"/>
                            <dgm:param type="nodeVertAlign" val="t"/>
                          </dgm:alg>
                        </dgm:if>
                        <dgm:else name="Name24">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repeat" axis="ch" ptType="node">
                        <dgm:layoutNode name="vertFour">
                          <dgm:varLst>
                            <dgm:chPref val="3"/>
                          </dgm:varLst>
                          <dgm:alg type="lin">
                            <dgm:param type="linDir" val="fromT"/>
                          </dgm:alg>
                          <dgm:shape xmlns:r="http://schemas.openxmlformats.org/officeDocument/2006/relationships" r:blip="">
                            <dgm:adjLst/>
                          </dgm:shape>
                          <dgm:presOf/>
                          <dgm:constrLst>
                            <dgm:constr type="w" for="ch" forName="txFour" refType="w" refFor="ch" refForName="horzFour" op="gte"/>
                          </dgm:constrLst>
                          <dgm:ruleLst/>
                          <dgm:layoutNode name="txFour">
                            <dgm:varLst>
                              <dgm:chPref val="3"/>
                            </dgm:varLst>
                            <dgm:alg type="tx"/>
                            <dgm:shape xmlns:r="http://schemas.openxmlformats.org/officeDocument/2006/relationships" type="roundRect" r:blip="">
                              <dgm:adjLst>
                                <dgm:adj idx="1" val="0.1"/>
                              </dgm:adjLst>
                            </dgm:shape>
                            <dgm:presOf axis="self"/>
                            <dgm:constrLst>
                              <dgm:constr type="userH"/>
                              <dgm:constr type="h" refType="userH"/>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25">
                            <dgm:if name="Name26" axis="des" ptType="node" func="cnt" op="gt" val="0">
                              <dgm:layoutNode name="parTransFour">
                                <dgm:alg type="sp"/>
                                <dgm:shape xmlns:r="http://schemas.openxmlformats.org/officeDocument/2006/relationships" r:blip="">
                                  <dgm:adjLst/>
                                </dgm:shape>
                                <dgm:presOf/>
                                <dgm:constrLst/>
                                <dgm:ruleLst/>
                              </dgm:layoutNode>
                            </dgm:if>
                            <dgm:else name="Name27"/>
                          </dgm:choose>
                          <dgm:layoutNode name="horzFour">
                            <dgm:choose name="Name28">
                              <dgm:if name="Name29" func="var" arg="dir" op="equ" val="norm">
                                <dgm:alg type="lin">
                                  <dgm:param type="linDir" val="fromL"/>
                                  <dgm:param type="nodeVertAlign" val="t"/>
                                </dgm:alg>
                              </dgm:if>
                              <dgm:else name="Name30">
                                <dgm:alg type="lin">
                                  <dgm:param type="linDir" val="fromR"/>
                                  <dgm:param type="nodeVertAlign" val="t"/>
                                </dgm:alg>
                              </dgm:else>
                            </dgm:choose>
                            <dgm:shape xmlns:r="http://schemas.openxmlformats.org/officeDocument/2006/relationships" r:blip="">
                              <dgm:adjLst/>
                            </dgm:shape>
                            <dgm:presOf/>
                            <dgm:constrLst/>
                            <dgm:ruleLst>
                              <dgm:rule type="w" val="INF" fact="NaN" max="NaN"/>
                            </dgm:ruleLst>
                            <dgm:forEach name="Name31" ref="repeat"/>
                          </dgm:layoutNode>
                        </dgm:layoutNode>
                        <dgm:choose name="Name32">
                          <dgm:if name="Name33" axis="self" ptType="node" func="revPos" op="gte" val="2">
                            <dgm:forEach name="Name34" axis="followSib" ptType="sibTrans" cnt="1">
                              <dgm:layoutNode name="sibSpaceFour">
                                <dgm:alg type="sp"/>
                                <dgm:shape xmlns:r="http://schemas.openxmlformats.org/officeDocument/2006/relationships" r:blip="">
                                  <dgm:adjLst/>
                                </dgm:shape>
                                <dgm:presOf/>
                                <dgm:constrLst/>
                                <dgm:ruleLst/>
                              </dgm:layoutNode>
                            </dgm:forEach>
                          </dgm:if>
                          <dgm:else name="Name35"/>
                        </dgm:choose>
                      </dgm:forEach>
                    </dgm:layoutNode>
                  </dgm:layoutNode>
                  <dgm:choose name="Name36">
                    <dgm:if name="Name37" axis="self" ptType="node" func="revPos" op="gte" val="2">
                      <dgm:forEach name="Name38" axis="followSib" ptType="sibTrans" cnt="1">
                        <dgm:layoutNode name="sibSpaceThree">
                          <dgm:alg type="sp"/>
                          <dgm:shape xmlns:r="http://schemas.openxmlformats.org/officeDocument/2006/relationships" r:blip="">
                            <dgm:adjLst/>
                          </dgm:shape>
                          <dgm:presOf/>
                          <dgm:constrLst/>
                          <dgm:ruleLst/>
                        </dgm:layoutNode>
                      </dgm:forEach>
                    </dgm:if>
                    <dgm:else name="Name39"/>
                  </dgm:choose>
                </dgm:forEach>
              </dgm:layoutNode>
            </dgm:layoutNode>
            <dgm:choose name="Name40">
              <dgm:if name="Name41" axis="self" ptType="node" func="revPos" op="gte" val="2">
                <dgm:forEach name="Name42" axis="followSib" ptType="sibTrans" cnt="1">
                  <dgm:layoutNode name="sibSpaceTwo">
                    <dgm:alg type="sp"/>
                    <dgm:shape xmlns:r="http://schemas.openxmlformats.org/officeDocument/2006/relationships" r:blip="">
                      <dgm:adjLst/>
                    </dgm:shape>
                    <dgm:presOf/>
                    <dgm:constrLst/>
                    <dgm:ruleLst/>
                  </dgm:layoutNode>
                </dgm:forEach>
              </dgm:if>
              <dgm:else name="Name43"/>
            </dgm:choose>
          </dgm:forEach>
        </dgm:layoutNode>
      </dgm:layoutNode>
      <dgm:choose name="Name44">
        <dgm:if name="Name45" axis="self" ptType="node" func="revPos" op="gte" val="2">
          <dgm:forEach name="Name46" axis="followSib" ptType="sibTrans" cnt="1">
            <dgm:layoutNode name="sibSpaceOne">
              <dgm:alg type="sp"/>
              <dgm:shape xmlns:r="http://schemas.openxmlformats.org/officeDocument/2006/relationships" r:blip="">
                <dgm:adjLst/>
              </dgm:shape>
              <dgm:presOf/>
              <dgm:constrLst/>
              <dgm:ruleLst/>
            </dgm:layoutNode>
          </dgm:forEach>
        </dgm:if>
        <dgm:else name="Name47"/>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DFC1F2D5D412145895B372EE30D1476" ma:contentTypeVersion="18" ma:contentTypeDescription="Create a new document." ma:contentTypeScope="" ma:versionID="c3d1b92d3ea7a8839a096c6575d0d3a3">
  <xsd:schema xmlns:xsd="http://www.w3.org/2001/XMLSchema" xmlns:xs="http://www.w3.org/2001/XMLSchema" xmlns:p="http://schemas.microsoft.com/office/2006/metadata/properties" xmlns:ns1="http://schemas.microsoft.com/sharepoint/v3" xmlns:ns2="14a4c7eb-f6e3-410b-8bc7-bcbd463cc259" xmlns:ns3="198f3a57-6bf6-4746-a3af-d88405e89332" targetNamespace="http://schemas.microsoft.com/office/2006/metadata/properties" ma:root="true" ma:fieldsID="ce896213dc4056d581bca937cf7d71de" ns1:_="" ns2:_="" ns3:_="">
    <xsd:import namespace="http://schemas.microsoft.com/sharepoint/v3"/>
    <xsd:import namespace="14a4c7eb-f6e3-410b-8bc7-bcbd463cc259"/>
    <xsd:import namespace="198f3a57-6bf6-4746-a3af-d88405e8933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4" nillable="true" ma:displayName="Unified Compliance Policy Properties" ma:hidden="true" ma:internalName="_ip_UnifiedCompliancePolicyProperties">
      <xsd:simpleType>
        <xsd:restriction base="dms:Note"/>
      </xsd:simpleType>
    </xsd:element>
    <xsd:element name="_ip_UnifiedCompliancePolicyUIAction" ma:index="1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a4c7eb-f6e3-410b-8bc7-bcbd463cc25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dd5f4a5-f25a-477f-9e2f-199529010064"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98f3a57-6bf6-4746-a3af-d88405e8933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e44b1cb0-ce57-4710-bb2a-41faeaa72cb6}" ma:internalName="TaxCatchAll" ma:showField="CatchAllData" ma:web="198f3a57-6bf6-4746-a3af-d88405e8933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isl xmlns:xsi="http://www.w3.org/2001/XMLSchema-instance" xmlns:xsd="http://www.w3.org/2001/XMLSchema" xmlns="http://www.boldonjames.com/2008/01/sie/internal/label" sislVersion="0" policy="1d45786f-a737-4735-8af6-df12fb6939a2" origin="userSelected"/>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198f3a57-6bf6-4746-a3af-d88405e89332" xsi:nil="true"/>
    <_ip_UnifiedCompliancePolicyProperties xmlns="http://schemas.microsoft.com/sharepoint/v3" xsi:nil="true"/>
    <lcf76f155ced4ddcb4097134ff3c332f xmlns="14a4c7eb-f6e3-410b-8bc7-bcbd463cc259">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7AECB23-7D3F-485D-943A-BEE5DE3D01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14a4c7eb-f6e3-410b-8bc7-bcbd463cc259"/>
    <ds:schemaRef ds:uri="198f3a57-6bf6-4746-a3af-d88405e893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7E2213-FC3B-4464-96CD-94133C0DBCA4}">
  <ds:schemaRefs>
    <ds:schemaRef ds:uri="http://www.w3.org/2001/XMLSchema"/>
    <ds:schemaRef ds:uri="http://www.boldonjames.com/2008/01/sie/internal/label"/>
  </ds:schemaRefs>
</ds:datastoreItem>
</file>

<file path=customXml/itemProps3.xml><?xml version="1.0" encoding="utf-8"?>
<ds:datastoreItem xmlns:ds="http://schemas.openxmlformats.org/officeDocument/2006/customXml" ds:itemID="{2CD76DD3-0546-44EE-BCA3-28705BE593E3}">
  <ds:schemaRefs>
    <ds:schemaRef ds:uri="http://schemas.microsoft.com/office/2006/metadata/properties"/>
    <ds:schemaRef ds:uri="http://schemas.microsoft.com/office/infopath/2007/PartnerControls"/>
    <ds:schemaRef ds:uri="http://schemas.microsoft.com/sharepoint/v3"/>
    <ds:schemaRef ds:uri="198f3a57-6bf6-4746-a3af-d88405e89332"/>
    <ds:schemaRef ds:uri="14a4c7eb-f6e3-410b-8bc7-bcbd463cc259"/>
  </ds:schemaRefs>
</ds:datastoreItem>
</file>

<file path=customXml/itemProps4.xml><?xml version="1.0" encoding="utf-8"?>
<ds:datastoreItem xmlns:ds="http://schemas.openxmlformats.org/officeDocument/2006/customXml" ds:itemID="{B4219516-DB37-4788-AC81-4E396C31A545}">
  <ds:schemaRefs>
    <ds:schemaRef ds:uri="http://schemas.microsoft.com/sharepoint/v3/contenttype/forms"/>
  </ds:schemaRefs>
</ds:datastoreItem>
</file>

<file path=customXml/itemProps5.xml><?xml version="1.0" encoding="utf-8"?>
<ds:datastoreItem xmlns:ds="http://schemas.openxmlformats.org/officeDocument/2006/customXml" ds:itemID="{50039730-BEFB-4264-B73C-6493DB316B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WYG Report with editable cover</Template>
  <TotalTime>122</TotalTime>
  <Pages>1</Pages>
  <Words>82535</Words>
  <Characters>470452</Characters>
  <Application>Microsoft Office Word</Application>
  <DocSecurity>0</DocSecurity>
  <Lines>3920</Lines>
  <Paragraphs>1103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Manager>Konstantin Siderovski</Manager>
  <Company>EMPIRIA EMS, Skopje, Macedonia</Company>
  <LinksUpToDate>false</LinksUpToDate>
  <CharactersWithSpaces>551884</CharactersWithSpaces>
  <SharedDoc>false</SharedDoc>
  <HLinks>
    <vt:vector size="972" baseType="variant">
      <vt:variant>
        <vt:i4>1114161</vt:i4>
      </vt:variant>
      <vt:variant>
        <vt:i4>968</vt:i4>
      </vt:variant>
      <vt:variant>
        <vt:i4>0</vt:i4>
      </vt:variant>
      <vt:variant>
        <vt:i4>5</vt:i4>
      </vt:variant>
      <vt:variant>
        <vt:lpwstr/>
      </vt:variant>
      <vt:variant>
        <vt:lpwstr>_Toc77796971</vt:lpwstr>
      </vt:variant>
      <vt:variant>
        <vt:i4>1048625</vt:i4>
      </vt:variant>
      <vt:variant>
        <vt:i4>962</vt:i4>
      </vt:variant>
      <vt:variant>
        <vt:i4>0</vt:i4>
      </vt:variant>
      <vt:variant>
        <vt:i4>5</vt:i4>
      </vt:variant>
      <vt:variant>
        <vt:lpwstr/>
      </vt:variant>
      <vt:variant>
        <vt:lpwstr>_Toc77796970</vt:lpwstr>
      </vt:variant>
      <vt:variant>
        <vt:i4>1638448</vt:i4>
      </vt:variant>
      <vt:variant>
        <vt:i4>956</vt:i4>
      </vt:variant>
      <vt:variant>
        <vt:i4>0</vt:i4>
      </vt:variant>
      <vt:variant>
        <vt:i4>5</vt:i4>
      </vt:variant>
      <vt:variant>
        <vt:lpwstr/>
      </vt:variant>
      <vt:variant>
        <vt:lpwstr>_Toc77796969</vt:lpwstr>
      </vt:variant>
      <vt:variant>
        <vt:i4>1572912</vt:i4>
      </vt:variant>
      <vt:variant>
        <vt:i4>950</vt:i4>
      </vt:variant>
      <vt:variant>
        <vt:i4>0</vt:i4>
      </vt:variant>
      <vt:variant>
        <vt:i4>5</vt:i4>
      </vt:variant>
      <vt:variant>
        <vt:lpwstr/>
      </vt:variant>
      <vt:variant>
        <vt:lpwstr>_Toc77796968</vt:lpwstr>
      </vt:variant>
      <vt:variant>
        <vt:i4>1507376</vt:i4>
      </vt:variant>
      <vt:variant>
        <vt:i4>944</vt:i4>
      </vt:variant>
      <vt:variant>
        <vt:i4>0</vt:i4>
      </vt:variant>
      <vt:variant>
        <vt:i4>5</vt:i4>
      </vt:variant>
      <vt:variant>
        <vt:lpwstr/>
      </vt:variant>
      <vt:variant>
        <vt:lpwstr>_Toc77796967</vt:lpwstr>
      </vt:variant>
      <vt:variant>
        <vt:i4>1441840</vt:i4>
      </vt:variant>
      <vt:variant>
        <vt:i4>938</vt:i4>
      </vt:variant>
      <vt:variant>
        <vt:i4>0</vt:i4>
      </vt:variant>
      <vt:variant>
        <vt:i4>5</vt:i4>
      </vt:variant>
      <vt:variant>
        <vt:lpwstr/>
      </vt:variant>
      <vt:variant>
        <vt:lpwstr>_Toc77796966</vt:lpwstr>
      </vt:variant>
      <vt:variant>
        <vt:i4>1376304</vt:i4>
      </vt:variant>
      <vt:variant>
        <vt:i4>932</vt:i4>
      </vt:variant>
      <vt:variant>
        <vt:i4>0</vt:i4>
      </vt:variant>
      <vt:variant>
        <vt:i4>5</vt:i4>
      </vt:variant>
      <vt:variant>
        <vt:lpwstr/>
      </vt:variant>
      <vt:variant>
        <vt:lpwstr>_Toc77796965</vt:lpwstr>
      </vt:variant>
      <vt:variant>
        <vt:i4>1310768</vt:i4>
      </vt:variant>
      <vt:variant>
        <vt:i4>926</vt:i4>
      </vt:variant>
      <vt:variant>
        <vt:i4>0</vt:i4>
      </vt:variant>
      <vt:variant>
        <vt:i4>5</vt:i4>
      </vt:variant>
      <vt:variant>
        <vt:lpwstr/>
      </vt:variant>
      <vt:variant>
        <vt:lpwstr>_Toc77796964</vt:lpwstr>
      </vt:variant>
      <vt:variant>
        <vt:i4>1245232</vt:i4>
      </vt:variant>
      <vt:variant>
        <vt:i4>920</vt:i4>
      </vt:variant>
      <vt:variant>
        <vt:i4>0</vt:i4>
      </vt:variant>
      <vt:variant>
        <vt:i4>5</vt:i4>
      </vt:variant>
      <vt:variant>
        <vt:lpwstr/>
      </vt:variant>
      <vt:variant>
        <vt:lpwstr>_Toc77796963</vt:lpwstr>
      </vt:variant>
      <vt:variant>
        <vt:i4>1179696</vt:i4>
      </vt:variant>
      <vt:variant>
        <vt:i4>914</vt:i4>
      </vt:variant>
      <vt:variant>
        <vt:i4>0</vt:i4>
      </vt:variant>
      <vt:variant>
        <vt:i4>5</vt:i4>
      </vt:variant>
      <vt:variant>
        <vt:lpwstr/>
      </vt:variant>
      <vt:variant>
        <vt:lpwstr>_Toc77796962</vt:lpwstr>
      </vt:variant>
      <vt:variant>
        <vt:i4>1114160</vt:i4>
      </vt:variant>
      <vt:variant>
        <vt:i4>908</vt:i4>
      </vt:variant>
      <vt:variant>
        <vt:i4>0</vt:i4>
      </vt:variant>
      <vt:variant>
        <vt:i4>5</vt:i4>
      </vt:variant>
      <vt:variant>
        <vt:lpwstr/>
      </vt:variant>
      <vt:variant>
        <vt:lpwstr>_Toc77796961</vt:lpwstr>
      </vt:variant>
      <vt:variant>
        <vt:i4>1048624</vt:i4>
      </vt:variant>
      <vt:variant>
        <vt:i4>902</vt:i4>
      </vt:variant>
      <vt:variant>
        <vt:i4>0</vt:i4>
      </vt:variant>
      <vt:variant>
        <vt:i4>5</vt:i4>
      </vt:variant>
      <vt:variant>
        <vt:lpwstr/>
      </vt:variant>
      <vt:variant>
        <vt:lpwstr>_Toc77796960</vt:lpwstr>
      </vt:variant>
      <vt:variant>
        <vt:i4>1638451</vt:i4>
      </vt:variant>
      <vt:variant>
        <vt:i4>896</vt:i4>
      </vt:variant>
      <vt:variant>
        <vt:i4>0</vt:i4>
      </vt:variant>
      <vt:variant>
        <vt:i4>5</vt:i4>
      </vt:variant>
      <vt:variant>
        <vt:lpwstr/>
      </vt:variant>
      <vt:variant>
        <vt:lpwstr>_Toc77796959</vt:lpwstr>
      </vt:variant>
      <vt:variant>
        <vt:i4>1572915</vt:i4>
      </vt:variant>
      <vt:variant>
        <vt:i4>890</vt:i4>
      </vt:variant>
      <vt:variant>
        <vt:i4>0</vt:i4>
      </vt:variant>
      <vt:variant>
        <vt:i4>5</vt:i4>
      </vt:variant>
      <vt:variant>
        <vt:lpwstr/>
      </vt:variant>
      <vt:variant>
        <vt:lpwstr>_Toc77796958</vt:lpwstr>
      </vt:variant>
      <vt:variant>
        <vt:i4>1507379</vt:i4>
      </vt:variant>
      <vt:variant>
        <vt:i4>884</vt:i4>
      </vt:variant>
      <vt:variant>
        <vt:i4>0</vt:i4>
      </vt:variant>
      <vt:variant>
        <vt:i4>5</vt:i4>
      </vt:variant>
      <vt:variant>
        <vt:lpwstr/>
      </vt:variant>
      <vt:variant>
        <vt:lpwstr>_Toc77796957</vt:lpwstr>
      </vt:variant>
      <vt:variant>
        <vt:i4>1441843</vt:i4>
      </vt:variant>
      <vt:variant>
        <vt:i4>878</vt:i4>
      </vt:variant>
      <vt:variant>
        <vt:i4>0</vt:i4>
      </vt:variant>
      <vt:variant>
        <vt:i4>5</vt:i4>
      </vt:variant>
      <vt:variant>
        <vt:lpwstr/>
      </vt:variant>
      <vt:variant>
        <vt:lpwstr>_Toc77796956</vt:lpwstr>
      </vt:variant>
      <vt:variant>
        <vt:i4>1376307</vt:i4>
      </vt:variant>
      <vt:variant>
        <vt:i4>872</vt:i4>
      </vt:variant>
      <vt:variant>
        <vt:i4>0</vt:i4>
      </vt:variant>
      <vt:variant>
        <vt:i4>5</vt:i4>
      </vt:variant>
      <vt:variant>
        <vt:lpwstr/>
      </vt:variant>
      <vt:variant>
        <vt:lpwstr>_Toc77796955</vt:lpwstr>
      </vt:variant>
      <vt:variant>
        <vt:i4>1310771</vt:i4>
      </vt:variant>
      <vt:variant>
        <vt:i4>866</vt:i4>
      </vt:variant>
      <vt:variant>
        <vt:i4>0</vt:i4>
      </vt:variant>
      <vt:variant>
        <vt:i4>5</vt:i4>
      </vt:variant>
      <vt:variant>
        <vt:lpwstr/>
      </vt:variant>
      <vt:variant>
        <vt:lpwstr>_Toc77796954</vt:lpwstr>
      </vt:variant>
      <vt:variant>
        <vt:i4>1245235</vt:i4>
      </vt:variant>
      <vt:variant>
        <vt:i4>860</vt:i4>
      </vt:variant>
      <vt:variant>
        <vt:i4>0</vt:i4>
      </vt:variant>
      <vt:variant>
        <vt:i4>5</vt:i4>
      </vt:variant>
      <vt:variant>
        <vt:lpwstr/>
      </vt:variant>
      <vt:variant>
        <vt:lpwstr>_Toc77796953</vt:lpwstr>
      </vt:variant>
      <vt:variant>
        <vt:i4>1179699</vt:i4>
      </vt:variant>
      <vt:variant>
        <vt:i4>854</vt:i4>
      </vt:variant>
      <vt:variant>
        <vt:i4>0</vt:i4>
      </vt:variant>
      <vt:variant>
        <vt:i4>5</vt:i4>
      </vt:variant>
      <vt:variant>
        <vt:lpwstr/>
      </vt:variant>
      <vt:variant>
        <vt:lpwstr>_Toc77796952</vt:lpwstr>
      </vt:variant>
      <vt:variant>
        <vt:i4>1114163</vt:i4>
      </vt:variant>
      <vt:variant>
        <vt:i4>848</vt:i4>
      </vt:variant>
      <vt:variant>
        <vt:i4>0</vt:i4>
      </vt:variant>
      <vt:variant>
        <vt:i4>5</vt:i4>
      </vt:variant>
      <vt:variant>
        <vt:lpwstr/>
      </vt:variant>
      <vt:variant>
        <vt:lpwstr>_Toc77796951</vt:lpwstr>
      </vt:variant>
      <vt:variant>
        <vt:i4>1048627</vt:i4>
      </vt:variant>
      <vt:variant>
        <vt:i4>842</vt:i4>
      </vt:variant>
      <vt:variant>
        <vt:i4>0</vt:i4>
      </vt:variant>
      <vt:variant>
        <vt:i4>5</vt:i4>
      </vt:variant>
      <vt:variant>
        <vt:lpwstr/>
      </vt:variant>
      <vt:variant>
        <vt:lpwstr>_Toc77796950</vt:lpwstr>
      </vt:variant>
      <vt:variant>
        <vt:i4>1638450</vt:i4>
      </vt:variant>
      <vt:variant>
        <vt:i4>836</vt:i4>
      </vt:variant>
      <vt:variant>
        <vt:i4>0</vt:i4>
      </vt:variant>
      <vt:variant>
        <vt:i4>5</vt:i4>
      </vt:variant>
      <vt:variant>
        <vt:lpwstr/>
      </vt:variant>
      <vt:variant>
        <vt:lpwstr>_Toc77796949</vt:lpwstr>
      </vt:variant>
      <vt:variant>
        <vt:i4>1572914</vt:i4>
      </vt:variant>
      <vt:variant>
        <vt:i4>830</vt:i4>
      </vt:variant>
      <vt:variant>
        <vt:i4>0</vt:i4>
      </vt:variant>
      <vt:variant>
        <vt:i4>5</vt:i4>
      </vt:variant>
      <vt:variant>
        <vt:lpwstr/>
      </vt:variant>
      <vt:variant>
        <vt:lpwstr>_Toc77796948</vt:lpwstr>
      </vt:variant>
      <vt:variant>
        <vt:i4>1507378</vt:i4>
      </vt:variant>
      <vt:variant>
        <vt:i4>824</vt:i4>
      </vt:variant>
      <vt:variant>
        <vt:i4>0</vt:i4>
      </vt:variant>
      <vt:variant>
        <vt:i4>5</vt:i4>
      </vt:variant>
      <vt:variant>
        <vt:lpwstr/>
      </vt:variant>
      <vt:variant>
        <vt:lpwstr>_Toc77796947</vt:lpwstr>
      </vt:variant>
      <vt:variant>
        <vt:i4>1441842</vt:i4>
      </vt:variant>
      <vt:variant>
        <vt:i4>818</vt:i4>
      </vt:variant>
      <vt:variant>
        <vt:i4>0</vt:i4>
      </vt:variant>
      <vt:variant>
        <vt:i4>5</vt:i4>
      </vt:variant>
      <vt:variant>
        <vt:lpwstr/>
      </vt:variant>
      <vt:variant>
        <vt:lpwstr>_Toc77796946</vt:lpwstr>
      </vt:variant>
      <vt:variant>
        <vt:i4>1376306</vt:i4>
      </vt:variant>
      <vt:variant>
        <vt:i4>812</vt:i4>
      </vt:variant>
      <vt:variant>
        <vt:i4>0</vt:i4>
      </vt:variant>
      <vt:variant>
        <vt:i4>5</vt:i4>
      </vt:variant>
      <vt:variant>
        <vt:lpwstr/>
      </vt:variant>
      <vt:variant>
        <vt:lpwstr>_Toc77796945</vt:lpwstr>
      </vt:variant>
      <vt:variant>
        <vt:i4>1310770</vt:i4>
      </vt:variant>
      <vt:variant>
        <vt:i4>806</vt:i4>
      </vt:variant>
      <vt:variant>
        <vt:i4>0</vt:i4>
      </vt:variant>
      <vt:variant>
        <vt:i4>5</vt:i4>
      </vt:variant>
      <vt:variant>
        <vt:lpwstr/>
      </vt:variant>
      <vt:variant>
        <vt:lpwstr>_Toc77796944</vt:lpwstr>
      </vt:variant>
      <vt:variant>
        <vt:i4>1245234</vt:i4>
      </vt:variant>
      <vt:variant>
        <vt:i4>800</vt:i4>
      </vt:variant>
      <vt:variant>
        <vt:i4>0</vt:i4>
      </vt:variant>
      <vt:variant>
        <vt:i4>5</vt:i4>
      </vt:variant>
      <vt:variant>
        <vt:lpwstr/>
      </vt:variant>
      <vt:variant>
        <vt:lpwstr>_Toc77796943</vt:lpwstr>
      </vt:variant>
      <vt:variant>
        <vt:i4>1179698</vt:i4>
      </vt:variant>
      <vt:variant>
        <vt:i4>794</vt:i4>
      </vt:variant>
      <vt:variant>
        <vt:i4>0</vt:i4>
      </vt:variant>
      <vt:variant>
        <vt:i4>5</vt:i4>
      </vt:variant>
      <vt:variant>
        <vt:lpwstr/>
      </vt:variant>
      <vt:variant>
        <vt:lpwstr>_Toc77796942</vt:lpwstr>
      </vt:variant>
      <vt:variant>
        <vt:i4>1114162</vt:i4>
      </vt:variant>
      <vt:variant>
        <vt:i4>788</vt:i4>
      </vt:variant>
      <vt:variant>
        <vt:i4>0</vt:i4>
      </vt:variant>
      <vt:variant>
        <vt:i4>5</vt:i4>
      </vt:variant>
      <vt:variant>
        <vt:lpwstr/>
      </vt:variant>
      <vt:variant>
        <vt:lpwstr>_Toc77796941</vt:lpwstr>
      </vt:variant>
      <vt:variant>
        <vt:i4>1048626</vt:i4>
      </vt:variant>
      <vt:variant>
        <vt:i4>782</vt:i4>
      </vt:variant>
      <vt:variant>
        <vt:i4>0</vt:i4>
      </vt:variant>
      <vt:variant>
        <vt:i4>5</vt:i4>
      </vt:variant>
      <vt:variant>
        <vt:lpwstr/>
      </vt:variant>
      <vt:variant>
        <vt:lpwstr>_Toc77796940</vt:lpwstr>
      </vt:variant>
      <vt:variant>
        <vt:i4>1638453</vt:i4>
      </vt:variant>
      <vt:variant>
        <vt:i4>776</vt:i4>
      </vt:variant>
      <vt:variant>
        <vt:i4>0</vt:i4>
      </vt:variant>
      <vt:variant>
        <vt:i4>5</vt:i4>
      </vt:variant>
      <vt:variant>
        <vt:lpwstr/>
      </vt:variant>
      <vt:variant>
        <vt:lpwstr>_Toc77796939</vt:lpwstr>
      </vt:variant>
      <vt:variant>
        <vt:i4>1572917</vt:i4>
      </vt:variant>
      <vt:variant>
        <vt:i4>767</vt:i4>
      </vt:variant>
      <vt:variant>
        <vt:i4>0</vt:i4>
      </vt:variant>
      <vt:variant>
        <vt:i4>5</vt:i4>
      </vt:variant>
      <vt:variant>
        <vt:lpwstr/>
      </vt:variant>
      <vt:variant>
        <vt:lpwstr>_Toc77796938</vt:lpwstr>
      </vt:variant>
      <vt:variant>
        <vt:i4>1507381</vt:i4>
      </vt:variant>
      <vt:variant>
        <vt:i4>761</vt:i4>
      </vt:variant>
      <vt:variant>
        <vt:i4>0</vt:i4>
      </vt:variant>
      <vt:variant>
        <vt:i4>5</vt:i4>
      </vt:variant>
      <vt:variant>
        <vt:lpwstr/>
      </vt:variant>
      <vt:variant>
        <vt:lpwstr>_Toc77796937</vt:lpwstr>
      </vt:variant>
      <vt:variant>
        <vt:i4>1441845</vt:i4>
      </vt:variant>
      <vt:variant>
        <vt:i4>755</vt:i4>
      </vt:variant>
      <vt:variant>
        <vt:i4>0</vt:i4>
      </vt:variant>
      <vt:variant>
        <vt:i4>5</vt:i4>
      </vt:variant>
      <vt:variant>
        <vt:lpwstr/>
      </vt:variant>
      <vt:variant>
        <vt:lpwstr>_Toc77796936</vt:lpwstr>
      </vt:variant>
      <vt:variant>
        <vt:i4>1376309</vt:i4>
      </vt:variant>
      <vt:variant>
        <vt:i4>749</vt:i4>
      </vt:variant>
      <vt:variant>
        <vt:i4>0</vt:i4>
      </vt:variant>
      <vt:variant>
        <vt:i4>5</vt:i4>
      </vt:variant>
      <vt:variant>
        <vt:lpwstr/>
      </vt:variant>
      <vt:variant>
        <vt:lpwstr>_Toc77796935</vt:lpwstr>
      </vt:variant>
      <vt:variant>
        <vt:i4>1310773</vt:i4>
      </vt:variant>
      <vt:variant>
        <vt:i4>743</vt:i4>
      </vt:variant>
      <vt:variant>
        <vt:i4>0</vt:i4>
      </vt:variant>
      <vt:variant>
        <vt:i4>5</vt:i4>
      </vt:variant>
      <vt:variant>
        <vt:lpwstr/>
      </vt:variant>
      <vt:variant>
        <vt:lpwstr>_Toc77796934</vt:lpwstr>
      </vt:variant>
      <vt:variant>
        <vt:i4>1245237</vt:i4>
      </vt:variant>
      <vt:variant>
        <vt:i4>737</vt:i4>
      </vt:variant>
      <vt:variant>
        <vt:i4>0</vt:i4>
      </vt:variant>
      <vt:variant>
        <vt:i4>5</vt:i4>
      </vt:variant>
      <vt:variant>
        <vt:lpwstr/>
      </vt:variant>
      <vt:variant>
        <vt:lpwstr>_Toc77796933</vt:lpwstr>
      </vt:variant>
      <vt:variant>
        <vt:i4>1179701</vt:i4>
      </vt:variant>
      <vt:variant>
        <vt:i4>731</vt:i4>
      </vt:variant>
      <vt:variant>
        <vt:i4>0</vt:i4>
      </vt:variant>
      <vt:variant>
        <vt:i4>5</vt:i4>
      </vt:variant>
      <vt:variant>
        <vt:lpwstr/>
      </vt:variant>
      <vt:variant>
        <vt:lpwstr>_Toc77796932</vt:lpwstr>
      </vt:variant>
      <vt:variant>
        <vt:i4>1114165</vt:i4>
      </vt:variant>
      <vt:variant>
        <vt:i4>725</vt:i4>
      </vt:variant>
      <vt:variant>
        <vt:i4>0</vt:i4>
      </vt:variant>
      <vt:variant>
        <vt:i4>5</vt:i4>
      </vt:variant>
      <vt:variant>
        <vt:lpwstr/>
      </vt:variant>
      <vt:variant>
        <vt:lpwstr>_Toc77796931</vt:lpwstr>
      </vt:variant>
      <vt:variant>
        <vt:i4>1048629</vt:i4>
      </vt:variant>
      <vt:variant>
        <vt:i4>719</vt:i4>
      </vt:variant>
      <vt:variant>
        <vt:i4>0</vt:i4>
      </vt:variant>
      <vt:variant>
        <vt:i4>5</vt:i4>
      </vt:variant>
      <vt:variant>
        <vt:lpwstr/>
      </vt:variant>
      <vt:variant>
        <vt:lpwstr>_Toc77796930</vt:lpwstr>
      </vt:variant>
      <vt:variant>
        <vt:i4>1638452</vt:i4>
      </vt:variant>
      <vt:variant>
        <vt:i4>713</vt:i4>
      </vt:variant>
      <vt:variant>
        <vt:i4>0</vt:i4>
      </vt:variant>
      <vt:variant>
        <vt:i4>5</vt:i4>
      </vt:variant>
      <vt:variant>
        <vt:lpwstr/>
      </vt:variant>
      <vt:variant>
        <vt:lpwstr>_Toc77796929</vt:lpwstr>
      </vt:variant>
      <vt:variant>
        <vt:i4>1572916</vt:i4>
      </vt:variant>
      <vt:variant>
        <vt:i4>707</vt:i4>
      </vt:variant>
      <vt:variant>
        <vt:i4>0</vt:i4>
      </vt:variant>
      <vt:variant>
        <vt:i4>5</vt:i4>
      </vt:variant>
      <vt:variant>
        <vt:lpwstr/>
      </vt:variant>
      <vt:variant>
        <vt:lpwstr>_Toc77796928</vt:lpwstr>
      </vt:variant>
      <vt:variant>
        <vt:i4>1507380</vt:i4>
      </vt:variant>
      <vt:variant>
        <vt:i4>701</vt:i4>
      </vt:variant>
      <vt:variant>
        <vt:i4>0</vt:i4>
      </vt:variant>
      <vt:variant>
        <vt:i4>5</vt:i4>
      </vt:variant>
      <vt:variant>
        <vt:lpwstr/>
      </vt:variant>
      <vt:variant>
        <vt:lpwstr>_Toc77796927</vt:lpwstr>
      </vt:variant>
      <vt:variant>
        <vt:i4>1441844</vt:i4>
      </vt:variant>
      <vt:variant>
        <vt:i4>695</vt:i4>
      </vt:variant>
      <vt:variant>
        <vt:i4>0</vt:i4>
      </vt:variant>
      <vt:variant>
        <vt:i4>5</vt:i4>
      </vt:variant>
      <vt:variant>
        <vt:lpwstr/>
      </vt:variant>
      <vt:variant>
        <vt:lpwstr>_Toc77796926</vt:lpwstr>
      </vt:variant>
      <vt:variant>
        <vt:i4>1376308</vt:i4>
      </vt:variant>
      <vt:variant>
        <vt:i4>689</vt:i4>
      </vt:variant>
      <vt:variant>
        <vt:i4>0</vt:i4>
      </vt:variant>
      <vt:variant>
        <vt:i4>5</vt:i4>
      </vt:variant>
      <vt:variant>
        <vt:lpwstr/>
      </vt:variant>
      <vt:variant>
        <vt:lpwstr>_Toc77796925</vt:lpwstr>
      </vt:variant>
      <vt:variant>
        <vt:i4>1310772</vt:i4>
      </vt:variant>
      <vt:variant>
        <vt:i4>683</vt:i4>
      </vt:variant>
      <vt:variant>
        <vt:i4>0</vt:i4>
      </vt:variant>
      <vt:variant>
        <vt:i4>5</vt:i4>
      </vt:variant>
      <vt:variant>
        <vt:lpwstr/>
      </vt:variant>
      <vt:variant>
        <vt:lpwstr>_Toc77796924</vt:lpwstr>
      </vt:variant>
      <vt:variant>
        <vt:i4>1245236</vt:i4>
      </vt:variant>
      <vt:variant>
        <vt:i4>677</vt:i4>
      </vt:variant>
      <vt:variant>
        <vt:i4>0</vt:i4>
      </vt:variant>
      <vt:variant>
        <vt:i4>5</vt:i4>
      </vt:variant>
      <vt:variant>
        <vt:lpwstr/>
      </vt:variant>
      <vt:variant>
        <vt:lpwstr>_Toc77796923</vt:lpwstr>
      </vt:variant>
      <vt:variant>
        <vt:i4>1179700</vt:i4>
      </vt:variant>
      <vt:variant>
        <vt:i4>671</vt:i4>
      </vt:variant>
      <vt:variant>
        <vt:i4>0</vt:i4>
      </vt:variant>
      <vt:variant>
        <vt:i4>5</vt:i4>
      </vt:variant>
      <vt:variant>
        <vt:lpwstr/>
      </vt:variant>
      <vt:variant>
        <vt:lpwstr>_Toc77796922</vt:lpwstr>
      </vt:variant>
      <vt:variant>
        <vt:i4>1114164</vt:i4>
      </vt:variant>
      <vt:variant>
        <vt:i4>665</vt:i4>
      </vt:variant>
      <vt:variant>
        <vt:i4>0</vt:i4>
      </vt:variant>
      <vt:variant>
        <vt:i4>5</vt:i4>
      </vt:variant>
      <vt:variant>
        <vt:lpwstr/>
      </vt:variant>
      <vt:variant>
        <vt:lpwstr>_Toc77796921</vt:lpwstr>
      </vt:variant>
      <vt:variant>
        <vt:i4>1048628</vt:i4>
      </vt:variant>
      <vt:variant>
        <vt:i4>659</vt:i4>
      </vt:variant>
      <vt:variant>
        <vt:i4>0</vt:i4>
      </vt:variant>
      <vt:variant>
        <vt:i4>5</vt:i4>
      </vt:variant>
      <vt:variant>
        <vt:lpwstr/>
      </vt:variant>
      <vt:variant>
        <vt:lpwstr>_Toc77796920</vt:lpwstr>
      </vt:variant>
      <vt:variant>
        <vt:i4>1638455</vt:i4>
      </vt:variant>
      <vt:variant>
        <vt:i4>653</vt:i4>
      </vt:variant>
      <vt:variant>
        <vt:i4>0</vt:i4>
      </vt:variant>
      <vt:variant>
        <vt:i4>5</vt:i4>
      </vt:variant>
      <vt:variant>
        <vt:lpwstr/>
      </vt:variant>
      <vt:variant>
        <vt:lpwstr>_Toc77796919</vt:lpwstr>
      </vt:variant>
      <vt:variant>
        <vt:i4>1572919</vt:i4>
      </vt:variant>
      <vt:variant>
        <vt:i4>647</vt:i4>
      </vt:variant>
      <vt:variant>
        <vt:i4>0</vt:i4>
      </vt:variant>
      <vt:variant>
        <vt:i4>5</vt:i4>
      </vt:variant>
      <vt:variant>
        <vt:lpwstr/>
      </vt:variant>
      <vt:variant>
        <vt:lpwstr>_Toc77796918</vt:lpwstr>
      </vt:variant>
      <vt:variant>
        <vt:i4>1507383</vt:i4>
      </vt:variant>
      <vt:variant>
        <vt:i4>641</vt:i4>
      </vt:variant>
      <vt:variant>
        <vt:i4>0</vt:i4>
      </vt:variant>
      <vt:variant>
        <vt:i4>5</vt:i4>
      </vt:variant>
      <vt:variant>
        <vt:lpwstr/>
      </vt:variant>
      <vt:variant>
        <vt:lpwstr>_Toc77796917</vt:lpwstr>
      </vt:variant>
      <vt:variant>
        <vt:i4>1441847</vt:i4>
      </vt:variant>
      <vt:variant>
        <vt:i4>635</vt:i4>
      </vt:variant>
      <vt:variant>
        <vt:i4>0</vt:i4>
      </vt:variant>
      <vt:variant>
        <vt:i4>5</vt:i4>
      </vt:variant>
      <vt:variant>
        <vt:lpwstr/>
      </vt:variant>
      <vt:variant>
        <vt:lpwstr>_Toc77796916</vt:lpwstr>
      </vt:variant>
      <vt:variant>
        <vt:i4>1376311</vt:i4>
      </vt:variant>
      <vt:variant>
        <vt:i4>629</vt:i4>
      </vt:variant>
      <vt:variant>
        <vt:i4>0</vt:i4>
      </vt:variant>
      <vt:variant>
        <vt:i4>5</vt:i4>
      </vt:variant>
      <vt:variant>
        <vt:lpwstr/>
      </vt:variant>
      <vt:variant>
        <vt:lpwstr>_Toc77796915</vt:lpwstr>
      </vt:variant>
      <vt:variant>
        <vt:i4>1310775</vt:i4>
      </vt:variant>
      <vt:variant>
        <vt:i4>623</vt:i4>
      </vt:variant>
      <vt:variant>
        <vt:i4>0</vt:i4>
      </vt:variant>
      <vt:variant>
        <vt:i4>5</vt:i4>
      </vt:variant>
      <vt:variant>
        <vt:lpwstr/>
      </vt:variant>
      <vt:variant>
        <vt:lpwstr>_Toc77796914</vt:lpwstr>
      </vt:variant>
      <vt:variant>
        <vt:i4>1245239</vt:i4>
      </vt:variant>
      <vt:variant>
        <vt:i4>617</vt:i4>
      </vt:variant>
      <vt:variant>
        <vt:i4>0</vt:i4>
      </vt:variant>
      <vt:variant>
        <vt:i4>5</vt:i4>
      </vt:variant>
      <vt:variant>
        <vt:lpwstr/>
      </vt:variant>
      <vt:variant>
        <vt:lpwstr>_Toc77796913</vt:lpwstr>
      </vt:variant>
      <vt:variant>
        <vt:i4>1179703</vt:i4>
      </vt:variant>
      <vt:variant>
        <vt:i4>611</vt:i4>
      </vt:variant>
      <vt:variant>
        <vt:i4>0</vt:i4>
      </vt:variant>
      <vt:variant>
        <vt:i4>5</vt:i4>
      </vt:variant>
      <vt:variant>
        <vt:lpwstr/>
      </vt:variant>
      <vt:variant>
        <vt:lpwstr>_Toc77796912</vt:lpwstr>
      </vt:variant>
      <vt:variant>
        <vt:i4>1114167</vt:i4>
      </vt:variant>
      <vt:variant>
        <vt:i4>605</vt:i4>
      </vt:variant>
      <vt:variant>
        <vt:i4>0</vt:i4>
      </vt:variant>
      <vt:variant>
        <vt:i4>5</vt:i4>
      </vt:variant>
      <vt:variant>
        <vt:lpwstr/>
      </vt:variant>
      <vt:variant>
        <vt:lpwstr>_Toc77796911</vt:lpwstr>
      </vt:variant>
      <vt:variant>
        <vt:i4>1048631</vt:i4>
      </vt:variant>
      <vt:variant>
        <vt:i4>599</vt:i4>
      </vt:variant>
      <vt:variant>
        <vt:i4>0</vt:i4>
      </vt:variant>
      <vt:variant>
        <vt:i4>5</vt:i4>
      </vt:variant>
      <vt:variant>
        <vt:lpwstr/>
      </vt:variant>
      <vt:variant>
        <vt:lpwstr>_Toc77796910</vt:lpwstr>
      </vt:variant>
      <vt:variant>
        <vt:i4>1638454</vt:i4>
      </vt:variant>
      <vt:variant>
        <vt:i4>593</vt:i4>
      </vt:variant>
      <vt:variant>
        <vt:i4>0</vt:i4>
      </vt:variant>
      <vt:variant>
        <vt:i4>5</vt:i4>
      </vt:variant>
      <vt:variant>
        <vt:lpwstr/>
      </vt:variant>
      <vt:variant>
        <vt:lpwstr>_Toc77796909</vt:lpwstr>
      </vt:variant>
      <vt:variant>
        <vt:i4>1572918</vt:i4>
      </vt:variant>
      <vt:variant>
        <vt:i4>587</vt:i4>
      </vt:variant>
      <vt:variant>
        <vt:i4>0</vt:i4>
      </vt:variant>
      <vt:variant>
        <vt:i4>5</vt:i4>
      </vt:variant>
      <vt:variant>
        <vt:lpwstr/>
      </vt:variant>
      <vt:variant>
        <vt:lpwstr>_Toc77796908</vt:lpwstr>
      </vt:variant>
      <vt:variant>
        <vt:i4>1507382</vt:i4>
      </vt:variant>
      <vt:variant>
        <vt:i4>581</vt:i4>
      </vt:variant>
      <vt:variant>
        <vt:i4>0</vt:i4>
      </vt:variant>
      <vt:variant>
        <vt:i4>5</vt:i4>
      </vt:variant>
      <vt:variant>
        <vt:lpwstr/>
      </vt:variant>
      <vt:variant>
        <vt:lpwstr>_Toc77796907</vt:lpwstr>
      </vt:variant>
      <vt:variant>
        <vt:i4>1441846</vt:i4>
      </vt:variant>
      <vt:variant>
        <vt:i4>575</vt:i4>
      </vt:variant>
      <vt:variant>
        <vt:i4>0</vt:i4>
      </vt:variant>
      <vt:variant>
        <vt:i4>5</vt:i4>
      </vt:variant>
      <vt:variant>
        <vt:lpwstr/>
      </vt:variant>
      <vt:variant>
        <vt:lpwstr>_Toc77796906</vt:lpwstr>
      </vt:variant>
      <vt:variant>
        <vt:i4>1376310</vt:i4>
      </vt:variant>
      <vt:variant>
        <vt:i4>569</vt:i4>
      </vt:variant>
      <vt:variant>
        <vt:i4>0</vt:i4>
      </vt:variant>
      <vt:variant>
        <vt:i4>5</vt:i4>
      </vt:variant>
      <vt:variant>
        <vt:lpwstr/>
      </vt:variant>
      <vt:variant>
        <vt:lpwstr>_Toc77796905</vt:lpwstr>
      </vt:variant>
      <vt:variant>
        <vt:i4>1310774</vt:i4>
      </vt:variant>
      <vt:variant>
        <vt:i4>563</vt:i4>
      </vt:variant>
      <vt:variant>
        <vt:i4>0</vt:i4>
      </vt:variant>
      <vt:variant>
        <vt:i4>5</vt:i4>
      </vt:variant>
      <vt:variant>
        <vt:lpwstr/>
      </vt:variant>
      <vt:variant>
        <vt:lpwstr>_Toc77796904</vt:lpwstr>
      </vt:variant>
      <vt:variant>
        <vt:i4>1245238</vt:i4>
      </vt:variant>
      <vt:variant>
        <vt:i4>557</vt:i4>
      </vt:variant>
      <vt:variant>
        <vt:i4>0</vt:i4>
      </vt:variant>
      <vt:variant>
        <vt:i4>5</vt:i4>
      </vt:variant>
      <vt:variant>
        <vt:lpwstr/>
      </vt:variant>
      <vt:variant>
        <vt:lpwstr>_Toc77796903</vt:lpwstr>
      </vt:variant>
      <vt:variant>
        <vt:i4>1179702</vt:i4>
      </vt:variant>
      <vt:variant>
        <vt:i4>551</vt:i4>
      </vt:variant>
      <vt:variant>
        <vt:i4>0</vt:i4>
      </vt:variant>
      <vt:variant>
        <vt:i4>5</vt:i4>
      </vt:variant>
      <vt:variant>
        <vt:lpwstr/>
      </vt:variant>
      <vt:variant>
        <vt:lpwstr>_Toc77796902</vt:lpwstr>
      </vt:variant>
      <vt:variant>
        <vt:i4>1114166</vt:i4>
      </vt:variant>
      <vt:variant>
        <vt:i4>545</vt:i4>
      </vt:variant>
      <vt:variant>
        <vt:i4>0</vt:i4>
      </vt:variant>
      <vt:variant>
        <vt:i4>5</vt:i4>
      </vt:variant>
      <vt:variant>
        <vt:lpwstr/>
      </vt:variant>
      <vt:variant>
        <vt:lpwstr>_Toc77796901</vt:lpwstr>
      </vt:variant>
      <vt:variant>
        <vt:i4>1048630</vt:i4>
      </vt:variant>
      <vt:variant>
        <vt:i4>539</vt:i4>
      </vt:variant>
      <vt:variant>
        <vt:i4>0</vt:i4>
      </vt:variant>
      <vt:variant>
        <vt:i4>5</vt:i4>
      </vt:variant>
      <vt:variant>
        <vt:lpwstr/>
      </vt:variant>
      <vt:variant>
        <vt:lpwstr>_Toc77796900</vt:lpwstr>
      </vt:variant>
      <vt:variant>
        <vt:i4>1572927</vt:i4>
      </vt:variant>
      <vt:variant>
        <vt:i4>533</vt:i4>
      </vt:variant>
      <vt:variant>
        <vt:i4>0</vt:i4>
      </vt:variant>
      <vt:variant>
        <vt:i4>5</vt:i4>
      </vt:variant>
      <vt:variant>
        <vt:lpwstr/>
      </vt:variant>
      <vt:variant>
        <vt:lpwstr>_Toc77796899</vt:lpwstr>
      </vt:variant>
      <vt:variant>
        <vt:i4>1638463</vt:i4>
      </vt:variant>
      <vt:variant>
        <vt:i4>527</vt:i4>
      </vt:variant>
      <vt:variant>
        <vt:i4>0</vt:i4>
      </vt:variant>
      <vt:variant>
        <vt:i4>5</vt:i4>
      </vt:variant>
      <vt:variant>
        <vt:lpwstr/>
      </vt:variant>
      <vt:variant>
        <vt:lpwstr>_Toc77796898</vt:lpwstr>
      </vt:variant>
      <vt:variant>
        <vt:i4>1441855</vt:i4>
      </vt:variant>
      <vt:variant>
        <vt:i4>521</vt:i4>
      </vt:variant>
      <vt:variant>
        <vt:i4>0</vt:i4>
      </vt:variant>
      <vt:variant>
        <vt:i4>5</vt:i4>
      </vt:variant>
      <vt:variant>
        <vt:lpwstr/>
      </vt:variant>
      <vt:variant>
        <vt:lpwstr>_Toc77796897</vt:lpwstr>
      </vt:variant>
      <vt:variant>
        <vt:i4>1507391</vt:i4>
      </vt:variant>
      <vt:variant>
        <vt:i4>515</vt:i4>
      </vt:variant>
      <vt:variant>
        <vt:i4>0</vt:i4>
      </vt:variant>
      <vt:variant>
        <vt:i4>5</vt:i4>
      </vt:variant>
      <vt:variant>
        <vt:lpwstr/>
      </vt:variant>
      <vt:variant>
        <vt:lpwstr>_Toc77796896</vt:lpwstr>
      </vt:variant>
      <vt:variant>
        <vt:i4>1310783</vt:i4>
      </vt:variant>
      <vt:variant>
        <vt:i4>509</vt:i4>
      </vt:variant>
      <vt:variant>
        <vt:i4>0</vt:i4>
      </vt:variant>
      <vt:variant>
        <vt:i4>5</vt:i4>
      </vt:variant>
      <vt:variant>
        <vt:lpwstr/>
      </vt:variant>
      <vt:variant>
        <vt:lpwstr>_Toc77796895</vt:lpwstr>
      </vt:variant>
      <vt:variant>
        <vt:i4>1376319</vt:i4>
      </vt:variant>
      <vt:variant>
        <vt:i4>503</vt:i4>
      </vt:variant>
      <vt:variant>
        <vt:i4>0</vt:i4>
      </vt:variant>
      <vt:variant>
        <vt:i4>5</vt:i4>
      </vt:variant>
      <vt:variant>
        <vt:lpwstr/>
      </vt:variant>
      <vt:variant>
        <vt:lpwstr>_Toc77796894</vt:lpwstr>
      </vt:variant>
      <vt:variant>
        <vt:i4>1179711</vt:i4>
      </vt:variant>
      <vt:variant>
        <vt:i4>497</vt:i4>
      </vt:variant>
      <vt:variant>
        <vt:i4>0</vt:i4>
      </vt:variant>
      <vt:variant>
        <vt:i4>5</vt:i4>
      </vt:variant>
      <vt:variant>
        <vt:lpwstr/>
      </vt:variant>
      <vt:variant>
        <vt:lpwstr>_Toc77796893</vt:lpwstr>
      </vt:variant>
      <vt:variant>
        <vt:i4>1245247</vt:i4>
      </vt:variant>
      <vt:variant>
        <vt:i4>491</vt:i4>
      </vt:variant>
      <vt:variant>
        <vt:i4>0</vt:i4>
      </vt:variant>
      <vt:variant>
        <vt:i4>5</vt:i4>
      </vt:variant>
      <vt:variant>
        <vt:lpwstr/>
      </vt:variant>
      <vt:variant>
        <vt:lpwstr>_Toc77796892</vt:lpwstr>
      </vt:variant>
      <vt:variant>
        <vt:i4>1048639</vt:i4>
      </vt:variant>
      <vt:variant>
        <vt:i4>485</vt:i4>
      </vt:variant>
      <vt:variant>
        <vt:i4>0</vt:i4>
      </vt:variant>
      <vt:variant>
        <vt:i4>5</vt:i4>
      </vt:variant>
      <vt:variant>
        <vt:lpwstr/>
      </vt:variant>
      <vt:variant>
        <vt:lpwstr>_Toc77796891</vt:lpwstr>
      </vt:variant>
      <vt:variant>
        <vt:i4>1114175</vt:i4>
      </vt:variant>
      <vt:variant>
        <vt:i4>479</vt:i4>
      </vt:variant>
      <vt:variant>
        <vt:i4>0</vt:i4>
      </vt:variant>
      <vt:variant>
        <vt:i4>5</vt:i4>
      </vt:variant>
      <vt:variant>
        <vt:lpwstr/>
      </vt:variant>
      <vt:variant>
        <vt:lpwstr>_Toc77796890</vt:lpwstr>
      </vt:variant>
      <vt:variant>
        <vt:i4>1572926</vt:i4>
      </vt:variant>
      <vt:variant>
        <vt:i4>473</vt:i4>
      </vt:variant>
      <vt:variant>
        <vt:i4>0</vt:i4>
      </vt:variant>
      <vt:variant>
        <vt:i4>5</vt:i4>
      </vt:variant>
      <vt:variant>
        <vt:lpwstr/>
      </vt:variant>
      <vt:variant>
        <vt:lpwstr>_Toc77796889</vt:lpwstr>
      </vt:variant>
      <vt:variant>
        <vt:i4>1638462</vt:i4>
      </vt:variant>
      <vt:variant>
        <vt:i4>467</vt:i4>
      </vt:variant>
      <vt:variant>
        <vt:i4>0</vt:i4>
      </vt:variant>
      <vt:variant>
        <vt:i4>5</vt:i4>
      </vt:variant>
      <vt:variant>
        <vt:lpwstr/>
      </vt:variant>
      <vt:variant>
        <vt:lpwstr>_Toc77796888</vt:lpwstr>
      </vt:variant>
      <vt:variant>
        <vt:i4>1441854</vt:i4>
      </vt:variant>
      <vt:variant>
        <vt:i4>461</vt:i4>
      </vt:variant>
      <vt:variant>
        <vt:i4>0</vt:i4>
      </vt:variant>
      <vt:variant>
        <vt:i4>5</vt:i4>
      </vt:variant>
      <vt:variant>
        <vt:lpwstr/>
      </vt:variant>
      <vt:variant>
        <vt:lpwstr>_Toc77796887</vt:lpwstr>
      </vt:variant>
      <vt:variant>
        <vt:i4>1507390</vt:i4>
      </vt:variant>
      <vt:variant>
        <vt:i4>455</vt:i4>
      </vt:variant>
      <vt:variant>
        <vt:i4>0</vt:i4>
      </vt:variant>
      <vt:variant>
        <vt:i4>5</vt:i4>
      </vt:variant>
      <vt:variant>
        <vt:lpwstr/>
      </vt:variant>
      <vt:variant>
        <vt:lpwstr>_Toc77796886</vt:lpwstr>
      </vt:variant>
      <vt:variant>
        <vt:i4>1310782</vt:i4>
      </vt:variant>
      <vt:variant>
        <vt:i4>449</vt:i4>
      </vt:variant>
      <vt:variant>
        <vt:i4>0</vt:i4>
      </vt:variant>
      <vt:variant>
        <vt:i4>5</vt:i4>
      </vt:variant>
      <vt:variant>
        <vt:lpwstr/>
      </vt:variant>
      <vt:variant>
        <vt:lpwstr>_Toc77796885</vt:lpwstr>
      </vt:variant>
      <vt:variant>
        <vt:i4>1376318</vt:i4>
      </vt:variant>
      <vt:variant>
        <vt:i4>443</vt:i4>
      </vt:variant>
      <vt:variant>
        <vt:i4>0</vt:i4>
      </vt:variant>
      <vt:variant>
        <vt:i4>5</vt:i4>
      </vt:variant>
      <vt:variant>
        <vt:lpwstr/>
      </vt:variant>
      <vt:variant>
        <vt:lpwstr>_Toc77796884</vt:lpwstr>
      </vt:variant>
      <vt:variant>
        <vt:i4>1179710</vt:i4>
      </vt:variant>
      <vt:variant>
        <vt:i4>437</vt:i4>
      </vt:variant>
      <vt:variant>
        <vt:i4>0</vt:i4>
      </vt:variant>
      <vt:variant>
        <vt:i4>5</vt:i4>
      </vt:variant>
      <vt:variant>
        <vt:lpwstr/>
      </vt:variant>
      <vt:variant>
        <vt:lpwstr>_Toc77796883</vt:lpwstr>
      </vt:variant>
      <vt:variant>
        <vt:i4>1245246</vt:i4>
      </vt:variant>
      <vt:variant>
        <vt:i4>431</vt:i4>
      </vt:variant>
      <vt:variant>
        <vt:i4>0</vt:i4>
      </vt:variant>
      <vt:variant>
        <vt:i4>5</vt:i4>
      </vt:variant>
      <vt:variant>
        <vt:lpwstr/>
      </vt:variant>
      <vt:variant>
        <vt:lpwstr>_Toc77796882</vt:lpwstr>
      </vt:variant>
      <vt:variant>
        <vt:i4>1048638</vt:i4>
      </vt:variant>
      <vt:variant>
        <vt:i4>425</vt:i4>
      </vt:variant>
      <vt:variant>
        <vt:i4>0</vt:i4>
      </vt:variant>
      <vt:variant>
        <vt:i4>5</vt:i4>
      </vt:variant>
      <vt:variant>
        <vt:lpwstr/>
      </vt:variant>
      <vt:variant>
        <vt:lpwstr>_Toc77796881</vt:lpwstr>
      </vt:variant>
      <vt:variant>
        <vt:i4>1114174</vt:i4>
      </vt:variant>
      <vt:variant>
        <vt:i4>419</vt:i4>
      </vt:variant>
      <vt:variant>
        <vt:i4>0</vt:i4>
      </vt:variant>
      <vt:variant>
        <vt:i4>5</vt:i4>
      </vt:variant>
      <vt:variant>
        <vt:lpwstr/>
      </vt:variant>
      <vt:variant>
        <vt:lpwstr>_Toc77796880</vt:lpwstr>
      </vt:variant>
      <vt:variant>
        <vt:i4>1572913</vt:i4>
      </vt:variant>
      <vt:variant>
        <vt:i4>410</vt:i4>
      </vt:variant>
      <vt:variant>
        <vt:i4>0</vt:i4>
      </vt:variant>
      <vt:variant>
        <vt:i4>5</vt:i4>
      </vt:variant>
      <vt:variant>
        <vt:lpwstr/>
      </vt:variant>
      <vt:variant>
        <vt:lpwstr>_Toc77796879</vt:lpwstr>
      </vt:variant>
      <vt:variant>
        <vt:i4>1638449</vt:i4>
      </vt:variant>
      <vt:variant>
        <vt:i4>404</vt:i4>
      </vt:variant>
      <vt:variant>
        <vt:i4>0</vt:i4>
      </vt:variant>
      <vt:variant>
        <vt:i4>5</vt:i4>
      </vt:variant>
      <vt:variant>
        <vt:lpwstr/>
      </vt:variant>
      <vt:variant>
        <vt:lpwstr>_Toc77796878</vt:lpwstr>
      </vt:variant>
      <vt:variant>
        <vt:i4>1441841</vt:i4>
      </vt:variant>
      <vt:variant>
        <vt:i4>398</vt:i4>
      </vt:variant>
      <vt:variant>
        <vt:i4>0</vt:i4>
      </vt:variant>
      <vt:variant>
        <vt:i4>5</vt:i4>
      </vt:variant>
      <vt:variant>
        <vt:lpwstr/>
      </vt:variant>
      <vt:variant>
        <vt:lpwstr>_Toc77796877</vt:lpwstr>
      </vt:variant>
      <vt:variant>
        <vt:i4>1507377</vt:i4>
      </vt:variant>
      <vt:variant>
        <vt:i4>392</vt:i4>
      </vt:variant>
      <vt:variant>
        <vt:i4>0</vt:i4>
      </vt:variant>
      <vt:variant>
        <vt:i4>5</vt:i4>
      </vt:variant>
      <vt:variant>
        <vt:lpwstr/>
      </vt:variant>
      <vt:variant>
        <vt:lpwstr>_Toc77796876</vt:lpwstr>
      </vt:variant>
      <vt:variant>
        <vt:i4>1310769</vt:i4>
      </vt:variant>
      <vt:variant>
        <vt:i4>386</vt:i4>
      </vt:variant>
      <vt:variant>
        <vt:i4>0</vt:i4>
      </vt:variant>
      <vt:variant>
        <vt:i4>5</vt:i4>
      </vt:variant>
      <vt:variant>
        <vt:lpwstr/>
      </vt:variant>
      <vt:variant>
        <vt:lpwstr>_Toc77796875</vt:lpwstr>
      </vt:variant>
      <vt:variant>
        <vt:i4>1376305</vt:i4>
      </vt:variant>
      <vt:variant>
        <vt:i4>380</vt:i4>
      </vt:variant>
      <vt:variant>
        <vt:i4>0</vt:i4>
      </vt:variant>
      <vt:variant>
        <vt:i4>5</vt:i4>
      </vt:variant>
      <vt:variant>
        <vt:lpwstr/>
      </vt:variant>
      <vt:variant>
        <vt:lpwstr>_Toc77796874</vt:lpwstr>
      </vt:variant>
      <vt:variant>
        <vt:i4>1179697</vt:i4>
      </vt:variant>
      <vt:variant>
        <vt:i4>374</vt:i4>
      </vt:variant>
      <vt:variant>
        <vt:i4>0</vt:i4>
      </vt:variant>
      <vt:variant>
        <vt:i4>5</vt:i4>
      </vt:variant>
      <vt:variant>
        <vt:lpwstr/>
      </vt:variant>
      <vt:variant>
        <vt:lpwstr>_Toc77796873</vt:lpwstr>
      </vt:variant>
      <vt:variant>
        <vt:i4>1245233</vt:i4>
      </vt:variant>
      <vt:variant>
        <vt:i4>368</vt:i4>
      </vt:variant>
      <vt:variant>
        <vt:i4>0</vt:i4>
      </vt:variant>
      <vt:variant>
        <vt:i4>5</vt:i4>
      </vt:variant>
      <vt:variant>
        <vt:lpwstr/>
      </vt:variant>
      <vt:variant>
        <vt:lpwstr>_Toc77796872</vt:lpwstr>
      </vt:variant>
      <vt:variant>
        <vt:i4>1048625</vt:i4>
      </vt:variant>
      <vt:variant>
        <vt:i4>362</vt:i4>
      </vt:variant>
      <vt:variant>
        <vt:i4>0</vt:i4>
      </vt:variant>
      <vt:variant>
        <vt:i4>5</vt:i4>
      </vt:variant>
      <vt:variant>
        <vt:lpwstr/>
      </vt:variant>
      <vt:variant>
        <vt:lpwstr>_Toc77796871</vt:lpwstr>
      </vt:variant>
      <vt:variant>
        <vt:i4>1114161</vt:i4>
      </vt:variant>
      <vt:variant>
        <vt:i4>356</vt:i4>
      </vt:variant>
      <vt:variant>
        <vt:i4>0</vt:i4>
      </vt:variant>
      <vt:variant>
        <vt:i4>5</vt:i4>
      </vt:variant>
      <vt:variant>
        <vt:lpwstr/>
      </vt:variant>
      <vt:variant>
        <vt:lpwstr>_Toc77796870</vt:lpwstr>
      </vt:variant>
      <vt:variant>
        <vt:i4>1572912</vt:i4>
      </vt:variant>
      <vt:variant>
        <vt:i4>350</vt:i4>
      </vt:variant>
      <vt:variant>
        <vt:i4>0</vt:i4>
      </vt:variant>
      <vt:variant>
        <vt:i4>5</vt:i4>
      </vt:variant>
      <vt:variant>
        <vt:lpwstr/>
      </vt:variant>
      <vt:variant>
        <vt:lpwstr>_Toc77796869</vt:lpwstr>
      </vt:variant>
      <vt:variant>
        <vt:i4>1638448</vt:i4>
      </vt:variant>
      <vt:variant>
        <vt:i4>344</vt:i4>
      </vt:variant>
      <vt:variant>
        <vt:i4>0</vt:i4>
      </vt:variant>
      <vt:variant>
        <vt:i4>5</vt:i4>
      </vt:variant>
      <vt:variant>
        <vt:lpwstr/>
      </vt:variant>
      <vt:variant>
        <vt:lpwstr>_Toc77796868</vt:lpwstr>
      </vt:variant>
      <vt:variant>
        <vt:i4>1441840</vt:i4>
      </vt:variant>
      <vt:variant>
        <vt:i4>338</vt:i4>
      </vt:variant>
      <vt:variant>
        <vt:i4>0</vt:i4>
      </vt:variant>
      <vt:variant>
        <vt:i4>5</vt:i4>
      </vt:variant>
      <vt:variant>
        <vt:lpwstr/>
      </vt:variant>
      <vt:variant>
        <vt:lpwstr>_Toc77796867</vt:lpwstr>
      </vt:variant>
      <vt:variant>
        <vt:i4>1507376</vt:i4>
      </vt:variant>
      <vt:variant>
        <vt:i4>332</vt:i4>
      </vt:variant>
      <vt:variant>
        <vt:i4>0</vt:i4>
      </vt:variant>
      <vt:variant>
        <vt:i4>5</vt:i4>
      </vt:variant>
      <vt:variant>
        <vt:lpwstr/>
      </vt:variant>
      <vt:variant>
        <vt:lpwstr>_Toc77796866</vt:lpwstr>
      </vt:variant>
      <vt:variant>
        <vt:i4>1310768</vt:i4>
      </vt:variant>
      <vt:variant>
        <vt:i4>326</vt:i4>
      </vt:variant>
      <vt:variant>
        <vt:i4>0</vt:i4>
      </vt:variant>
      <vt:variant>
        <vt:i4>5</vt:i4>
      </vt:variant>
      <vt:variant>
        <vt:lpwstr/>
      </vt:variant>
      <vt:variant>
        <vt:lpwstr>_Toc77796865</vt:lpwstr>
      </vt:variant>
      <vt:variant>
        <vt:i4>1376304</vt:i4>
      </vt:variant>
      <vt:variant>
        <vt:i4>320</vt:i4>
      </vt:variant>
      <vt:variant>
        <vt:i4>0</vt:i4>
      </vt:variant>
      <vt:variant>
        <vt:i4>5</vt:i4>
      </vt:variant>
      <vt:variant>
        <vt:lpwstr/>
      </vt:variant>
      <vt:variant>
        <vt:lpwstr>_Toc77796864</vt:lpwstr>
      </vt:variant>
      <vt:variant>
        <vt:i4>1179696</vt:i4>
      </vt:variant>
      <vt:variant>
        <vt:i4>314</vt:i4>
      </vt:variant>
      <vt:variant>
        <vt:i4>0</vt:i4>
      </vt:variant>
      <vt:variant>
        <vt:i4>5</vt:i4>
      </vt:variant>
      <vt:variant>
        <vt:lpwstr/>
      </vt:variant>
      <vt:variant>
        <vt:lpwstr>_Toc77796863</vt:lpwstr>
      </vt:variant>
      <vt:variant>
        <vt:i4>1245232</vt:i4>
      </vt:variant>
      <vt:variant>
        <vt:i4>308</vt:i4>
      </vt:variant>
      <vt:variant>
        <vt:i4>0</vt:i4>
      </vt:variant>
      <vt:variant>
        <vt:i4>5</vt:i4>
      </vt:variant>
      <vt:variant>
        <vt:lpwstr/>
      </vt:variant>
      <vt:variant>
        <vt:lpwstr>_Toc77796862</vt:lpwstr>
      </vt:variant>
      <vt:variant>
        <vt:i4>1048624</vt:i4>
      </vt:variant>
      <vt:variant>
        <vt:i4>302</vt:i4>
      </vt:variant>
      <vt:variant>
        <vt:i4>0</vt:i4>
      </vt:variant>
      <vt:variant>
        <vt:i4>5</vt:i4>
      </vt:variant>
      <vt:variant>
        <vt:lpwstr/>
      </vt:variant>
      <vt:variant>
        <vt:lpwstr>_Toc77796861</vt:lpwstr>
      </vt:variant>
      <vt:variant>
        <vt:i4>1114160</vt:i4>
      </vt:variant>
      <vt:variant>
        <vt:i4>296</vt:i4>
      </vt:variant>
      <vt:variant>
        <vt:i4>0</vt:i4>
      </vt:variant>
      <vt:variant>
        <vt:i4>5</vt:i4>
      </vt:variant>
      <vt:variant>
        <vt:lpwstr/>
      </vt:variant>
      <vt:variant>
        <vt:lpwstr>_Toc77796860</vt:lpwstr>
      </vt:variant>
      <vt:variant>
        <vt:i4>1572915</vt:i4>
      </vt:variant>
      <vt:variant>
        <vt:i4>290</vt:i4>
      </vt:variant>
      <vt:variant>
        <vt:i4>0</vt:i4>
      </vt:variant>
      <vt:variant>
        <vt:i4>5</vt:i4>
      </vt:variant>
      <vt:variant>
        <vt:lpwstr/>
      </vt:variant>
      <vt:variant>
        <vt:lpwstr>_Toc77796859</vt:lpwstr>
      </vt:variant>
      <vt:variant>
        <vt:i4>1638451</vt:i4>
      </vt:variant>
      <vt:variant>
        <vt:i4>284</vt:i4>
      </vt:variant>
      <vt:variant>
        <vt:i4>0</vt:i4>
      </vt:variant>
      <vt:variant>
        <vt:i4>5</vt:i4>
      </vt:variant>
      <vt:variant>
        <vt:lpwstr/>
      </vt:variant>
      <vt:variant>
        <vt:lpwstr>_Toc77796858</vt:lpwstr>
      </vt:variant>
      <vt:variant>
        <vt:i4>1441843</vt:i4>
      </vt:variant>
      <vt:variant>
        <vt:i4>278</vt:i4>
      </vt:variant>
      <vt:variant>
        <vt:i4>0</vt:i4>
      </vt:variant>
      <vt:variant>
        <vt:i4>5</vt:i4>
      </vt:variant>
      <vt:variant>
        <vt:lpwstr/>
      </vt:variant>
      <vt:variant>
        <vt:lpwstr>_Toc77796857</vt:lpwstr>
      </vt:variant>
      <vt:variant>
        <vt:i4>1507379</vt:i4>
      </vt:variant>
      <vt:variant>
        <vt:i4>272</vt:i4>
      </vt:variant>
      <vt:variant>
        <vt:i4>0</vt:i4>
      </vt:variant>
      <vt:variant>
        <vt:i4>5</vt:i4>
      </vt:variant>
      <vt:variant>
        <vt:lpwstr/>
      </vt:variant>
      <vt:variant>
        <vt:lpwstr>_Toc77796856</vt:lpwstr>
      </vt:variant>
      <vt:variant>
        <vt:i4>1310771</vt:i4>
      </vt:variant>
      <vt:variant>
        <vt:i4>266</vt:i4>
      </vt:variant>
      <vt:variant>
        <vt:i4>0</vt:i4>
      </vt:variant>
      <vt:variant>
        <vt:i4>5</vt:i4>
      </vt:variant>
      <vt:variant>
        <vt:lpwstr/>
      </vt:variant>
      <vt:variant>
        <vt:lpwstr>_Toc77796855</vt:lpwstr>
      </vt:variant>
      <vt:variant>
        <vt:i4>1376307</vt:i4>
      </vt:variant>
      <vt:variant>
        <vt:i4>260</vt:i4>
      </vt:variant>
      <vt:variant>
        <vt:i4>0</vt:i4>
      </vt:variant>
      <vt:variant>
        <vt:i4>5</vt:i4>
      </vt:variant>
      <vt:variant>
        <vt:lpwstr/>
      </vt:variant>
      <vt:variant>
        <vt:lpwstr>_Toc77796854</vt:lpwstr>
      </vt:variant>
      <vt:variant>
        <vt:i4>1179699</vt:i4>
      </vt:variant>
      <vt:variant>
        <vt:i4>254</vt:i4>
      </vt:variant>
      <vt:variant>
        <vt:i4>0</vt:i4>
      </vt:variant>
      <vt:variant>
        <vt:i4>5</vt:i4>
      </vt:variant>
      <vt:variant>
        <vt:lpwstr/>
      </vt:variant>
      <vt:variant>
        <vt:lpwstr>_Toc77796853</vt:lpwstr>
      </vt:variant>
      <vt:variant>
        <vt:i4>1245235</vt:i4>
      </vt:variant>
      <vt:variant>
        <vt:i4>248</vt:i4>
      </vt:variant>
      <vt:variant>
        <vt:i4>0</vt:i4>
      </vt:variant>
      <vt:variant>
        <vt:i4>5</vt:i4>
      </vt:variant>
      <vt:variant>
        <vt:lpwstr/>
      </vt:variant>
      <vt:variant>
        <vt:lpwstr>_Toc77796852</vt:lpwstr>
      </vt:variant>
      <vt:variant>
        <vt:i4>1048627</vt:i4>
      </vt:variant>
      <vt:variant>
        <vt:i4>242</vt:i4>
      </vt:variant>
      <vt:variant>
        <vt:i4>0</vt:i4>
      </vt:variant>
      <vt:variant>
        <vt:i4>5</vt:i4>
      </vt:variant>
      <vt:variant>
        <vt:lpwstr/>
      </vt:variant>
      <vt:variant>
        <vt:lpwstr>_Toc77796851</vt:lpwstr>
      </vt:variant>
      <vt:variant>
        <vt:i4>1114163</vt:i4>
      </vt:variant>
      <vt:variant>
        <vt:i4>236</vt:i4>
      </vt:variant>
      <vt:variant>
        <vt:i4>0</vt:i4>
      </vt:variant>
      <vt:variant>
        <vt:i4>5</vt:i4>
      </vt:variant>
      <vt:variant>
        <vt:lpwstr/>
      </vt:variant>
      <vt:variant>
        <vt:lpwstr>_Toc77796850</vt:lpwstr>
      </vt:variant>
      <vt:variant>
        <vt:i4>1572914</vt:i4>
      </vt:variant>
      <vt:variant>
        <vt:i4>230</vt:i4>
      </vt:variant>
      <vt:variant>
        <vt:i4>0</vt:i4>
      </vt:variant>
      <vt:variant>
        <vt:i4>5</vt:i4>
      </vt:variant>
      <vt:variant>
        <vt:lpwstr/>
      </vt:variant>
      <vt:variant>
        <vt:lpwstr>_Toc77796849</vt:lpwstr>
      </vt:variant>
      <vt:variant>
        <vt:i4>1638450</vt:i4>
      </vt:variant>
      <vt:variant>
        <vt:i4>224</vt:i4>
      </vt:variant>
      <vt:variant>
        <vt:i4>0</vt:i4>
      </vt:variant>
      <vt:variant>
        <vt:i4>5</vt:i4>
      </vt:variant>
      <vt:variant>
        <vt:lpwstr/>
      </vt:variant>
      <vt:variant>
        <vt:lpwstr>_Toc77796848</vt:lpwstr>
      </vt:variant>
      <vt:variant>
        <vt:i4>1441842</vt:i4>
      </vt:variant>
      <vt:variant>
        <vt:i4>218</vt:i4>
      </vt:variant>
      <vt:variant>
        <vt:i4>0</vt:i4>
      </vt:variant>
      <vt:variant>
        <vt:i4>5</vt:i4>
      </vt:variant>
      <vt:variant>
        <vt:lpwstr/>
      </vt:variant>
      <vt:variant>
        <vt:lpwstr>_Toc77796847</vt:lpwstr>
      </vt:variant>
      <vt:variant>
        <vt:i4>1507378</vt:i4>
      </vt:variant>
      <vt:variant>
        <vt:i4>212</vt:i4>
      </vt:variant>
      <vt:variant>
        <vt:i4>0</vt:i4>
      </vt:variant>
      <vt:variant>
        <vt:i4>5</vt:i4>
      </vt:variant>
      <vt:variant>
        <vt:lpwstr/>
      </vt:variant>
      <vt:variant>
        <vt:lpwstr>_Toc77796846</vt:lpwstr>
      </vt:variant>
      <vt:variant>
        <vt:i4>1310770</vt:i4>
      </vt:variant>
      <vt:variant>
        <vt:i4>206</vt:i4>
      </vt:variant>
      <vt:variant>
        <vt:i4>0</vt:i4>
      </vt:variant>
      <vt:variant>
        <vt:i4>5</vt:i4>
      </vt:variant>
      <vt:variant>
        <vt:lpwstr/>
      </vt:variant>
      <vt:variant>
        <vt:lpwstr>_Toc77796845</vt:lpwstr>
      </vt:variant>
      <vt:variant>
        <vt:i4>1376306</vt:i4>
      </vt:variant>
      <vt:variant>
        <vt:i4>200</vt:i4>
      </vt:variant>
      <vt:variant>
        <vt:i4>0</vt:i4>
      </vt:variant>
      <vt:variant>
        <vt:i4>5</vt:i4>
      </vt:variant>
      <vt:variant>
        <vt:lpwstr/>
      </vt:variant>
      <vt:variant>
        <vt:lpwstr>_Toc77796844</vt:lpwstr>
      </vt:variant>
      <vt:variant>
        <vt:i4>1179698</vt:i4>
      </vt:variant>
      <vt:variant>
        <vt:i4>194</vt:i4>
      </vt:variant>
      <vt:variant>
        <vt:i4>0</vt:i4>
      </vt:variant>
      <vt:variant>
        <vt:i4>5</vt:i4>
      </vt:variant>
      <vt:variant>
        <vt:lpwstr/>
      </vt:variant>
      <vt:variant>
        <vt:lpwstr>_Toc77796843</vt:lpwstr>
      </vt:variant>
      <vt:variant>
        <vt:i4>1245234</vt:i4>
      </vt:variant>
      <vt:variant>
        <vt:i4>188</vt:i4>
      </vt:variant>
      <vt:variant>
        <vt:i4>0</vt:i4>
      </vt:variant>
      <vt:variant>
        <vt:i4>5</vt:i4>
      </vt:variant>
      <vt:variant>
        <vt:lpwstr/>
      </vt:variant>
      <vt:variant>
        <vt:lpwstr>_Toc77796842</vt:lpwstr>
      </vt:variant>
      <vt:variant>
        <vt:i4>1048626</vt:i4>
      </vt:variant>
      <vt:variant>
        <vt:i4>182</vt:i4>
      </vt:variant>
      <vt:variant>
        <vt:i4>0</vt:i4>
      </vt:variant>
      <vt:variant>
        <vt:i4>5</vt:i4>
      </vt:variant>
      <vt:variant>
        <vt:lpwstr/>
      </vt:variant>
      <vt:variant>
        <vt:lpwstr>_Toc77796841</vt:lpwstr>
      </vt:variant>
      <vt:variant>
        <vt:i4>1114162</vt:i4>
      </vt:variant>
      <vt:variant>
        <vt:i4>176</vt:i4>
      </vt:variant>
      <vt:variant>
        <vt:i4>0</vt:i4>
      </vt:variant>
      <vt:variant>
        <vt:i4>5</vt:i4>
      </vt:variant>
      <vt:variant>
        <vt:lpwstr/>
      </vt:variant>
      <vt:variant>
        <vt:lpwstr>_Toc77796840</vt:lpwstr>
      </vt:variant>
      <vt:variant>
        <vt:i4>1572917</vt:i4>
      </vt:variant>
      <vt:variant>
        <vt:i4>170</vt:i4>
      </vt:variant>
      <vt:variant>
        <vt:i4>0</vt:i4>
      </vt:variant>
      <vt:variant>
        <vt:i4>5</vt:i4>
      </vt:variant>
      <vt:variant>
        <vt:lpwstr/>
      </vt:variant>
      <vt:variant>
        <vt:lpwstr>_Toc77796839</vt:lpwstr>
      </vt:variant>
      <vt:variant>
        <vt:i4>1638453</vt:i4>
      </vt:variant>
      <vt:variant>
        <vt:i4>164</vt:i4>
      </vt:variant>
      <vt:variant>
        <vt:i4>0</vt:i4>
      </vt:variant>
      <vt:variant>
        <vt:i4>5</vt:i4>
      </vt:variant>
      <vt:variant>
        <vt:lpwstr/>
      </vt:variant>
      <vt:variant>
        <vt:lpwstr>_Toc77796838</vt:lpwstr>
      </vt:variant>
      <vt:variant>
        <vt:i4>1441845</vt:i4>
      </vt:variant>
      <vt:variant>
        <vt:i4>158</vt:i4>
      </vt:variant>
      <vt:variant>
        <vt:i4>0</vt:i4>
      </vt:variant>
      <vt:variant>
        <vt:i4>5</vt:i4>
      </vt:variant>
      <vt:variant>
        <vt:lpwstr/>
      </vt:variant>
      <vt:variant>
        <vt:lpwstr>_Toc77796837</vt:lpwstr>
      </vt:variant>
      <vt:variant>
        <vt:i4>1507381</vt:i4>
      </vt:variant>
      <vt:variant>
        <vt:i4>152</vt:i4>
      </vt:variant>
      <vt:variant>
        <vt:i4>0</vt:i4>
      </vt:variant>
      <vt:variant>
        <vt:i4>5</vt:i4>
      </vt:variant>
      <vt:variant>
        <vt:lpwstr/>
      </vt:variant>
      <vt:variant>
        <vt:lpwstr>_Toc77796836</vt:lpwstr>
      </vt:variant>
      <vt:variant>
        <vt:i4>1310773</vt:i4>
      </vt:variant>
      <vt:variant>
        <vt:i4>146</vt:i4>
      </vt:variant>
      <vt:variant>
        <vt:i4>0</vt:i4>
      </vt:variant>
      <vt:variant>
        <vt:i4>5</vt:i4>
      </vt:variant>
      <vt:variant>
        <vt:lpwstr/>
      </vt:variant>
      <vt:variant>
        <vt:lpwstr>_Toc77796835</vt:lpwstr>
      </vt:variant>
      <vt:variant>
        <vt:i4>1376309</vt:i4>
      </vt:variant>
      <vt:variant>
        <vt:i4>140</vt:i4>
      </vt:variant>
      <vt:variant>
        <vt:i4>0</vt:i4>
      </vt:variant>
      <vt:variant>
        <vt:i4>5</vt:i4>
      </vt:variant>
      <vt:variant>
        <vt:lpwstr/>
      </vt:variant>
      <vt:variant>
        <vt:lpwstr>_Toc77796834</vt:lpwstr>
      </vt:variant>
      <vt:variant>
        <vt:i4>1179701</vt:i4>
      </vt:variant>
      <vt:variant>
        <vt:i4>134</vt:i4>
      </vt:variant>
      <vt:variant>
        <vt:i4>0</vt:i4>
      </vt:variant>
      <vt:variant>
        <vt:i4>5</vt:i4>
      </vt:variant>
      <vt:variant>
        <vt:lpwstr/>
      </vt:variant>
      <vt:variant>
        <vt:lpwstr>_Toc77796833</vt:lpwstr>
      </vt:variant>
      <vt:variant>
        <vt:i4>1245237</vt:i4>
      </vt:variant>
      <vt:variant>
        <vt:i4>128</vt:i4>
      </vt:variant>
      <vt:variant>
        <vt:i4>0</vt:i4>
      </vt:variant>
      <vt:variant>
        <vt:i4>5</vt:i4>
      </vt:variant>
      <vt:variant>
        <vt:lpwstr/>
      </vt:variant>
      <vt:variant>
        <vt:lpwstr>_Toc77796832</vt:lpwstr>
      </vt:variant>
      <vt:variant>
        <vt:i4>1048629</vt:i4>
      </vt:variant>
      <vt:variant>
        <vt:i4>122</vt:i4>
      </vt:variant>
      <vt:variant>
        <vt:i4>0</vt:i4>
      </vt:variant>
      <vt:variant>
        <vt:i4>5</vt:i4>
      </vt:variant>
      <vt:variant>
        <vt:lpwstr/>
      </vt:variant>
      <vt:variant>
        <vt:lpwstr>_Toc77796831</vt:lpwstr>
      </vt:variant>
      <vt:variant>
        <vt:i4>1114165</vt:i4>
      </vt:variant>
      <vt:variant>
        <vt:i4>116</vt:i4>
      </vt:variant>
      <vt:variant>
        <vt:i4>0</vt:i4>
      </vt:variant>
      <vt:variant>
        <vt:i4>5</vt:i4>
      </vt:variant>
      <vt:variant>
        <vt:lpwstr/>
      </vt:variant>
      <vt:variant>
        <vt:lpwstr>_Toc77796830</vt:lpwstr>
      </vt:variant>
      <vt:variant>
        <vt:i4>1572916</vt:i4>
      </vt:variant>
      <vt:variant>
        <vt:i4>110</vt:i4>
      </vt:variant>
      <vt:variant>
        <vt:i4>0</vt:i4>
      </vt:variant>
      <vt:variant>
        <vt:i4>5</vt:i4>
      </vt:variant>
      <vt:variant>
        <vt:lpwstr/>
      </vt:variant>
      <vt:variant>
        <vt:lpwstr>_Toc77796829</vt:lpwstr>
      </vt:variant>
      <vt:variant>
        <vt:i4>1638452</vt:i4>
      </vt:variant>
      <vt:variant>
        <vt:i4>104</vt:i4>
      </vt:variant>
      <vt:variant>
        <vt:i4>0</vt:i4>
      </vt:variant>
      <vt:variant>
        <vt:i4>5</vt:i4>
      </vt:variant>
      <vt:variant>
        <vt:lpwstr/>
      </vt:variant>
      <vt:variant>
        <vt:lpwstr>_Toc77796828</vt:lpwstr>
      </vt:variant>
      <vt:variant>
        <vt:i4>1441844</vt:i4>
      </vt:variant>
      <vt:variant>
        <vt:i4>98</vt:i4>
      </vt:variant>
      <vt:variant>
        <vt:i4>0</vt:i4>
      </vt:variant>
      <vt:variant>
        <vt:i4>5</vt:i4>
      </vt:variant>
      <vt:variant>
        <vt:lpwstr/>
      </vt:variant>
      <vt:variant>
        <vt:lpwstr>_Toc77796827</vt:lpwstr>
      </vt:variant>
      <vt:variant>
        <vt:i4>1507380</vt:i4>
      </vt:variant>
      <vt:variant>
        <vt:i4>92</vt:i4>
      </vt:variant>
      <vt:variant>
        <vt:i4>0</vt:i4>
      </vt:variant>
      <vt:variant>
        <vt:i4>5</vt:i4>
      </vt:variant>
      <vt:variant>
        <vt:lpwstr/>
      </vt:variant>
      <vt:variant>
        <vt:lpwstr>_Toc77796826</vt:lpwstr>
      </vt:variant>
      <vt:variant>
        <vt:i4>1310772</vt:i4>
      </vt:variant>
      <vt:variant>
        <vt:i4>86</vt:i4>
      </vt:variant>
      <vt:variant>
        <vt:i4>0</vt:i4>
      </vt:variant>
      <vt:variant>
        <vt:i4>5</vt:i4>
      </vt:variant>
      <vt:variant>
        <vt:lpwstr/>
      </vt:variant>
      <vt:variant>
        <vt:lpwstr>_Toc77796825</vt:lpwstr>
      </vt:variant>
      <vt:variant>
        <vt:i4>1376308</vt:i4>
      </vt:variant>
      <vt:variant>
        <vt:i4>80</vt:i4>
      </vt:variant>
      <vt:variant>
        <vt:i4>0</vt:i4>
      </vt:variant>
      <vt:variant>
        <vt:i4>5</vt:i4>
      </vt:variant>
      <vt:variant>
        <vt:lpwstr/>
      </vt:variant>
      <vt:variant>
        <vt:lpwstr>_Toc77796824</vt:lpwstr>
      </vt:variant>
      <vt:variant>
        <vt:i4>1179700</vt:i4>
      </vt:variant>
      <vt:variant>
        <vt:i4>74</vt:i4>
      </vt:variant>
      <vt:variant>
        <vt:i4>0</vt:i4>
      </vt:variant>
      <vt:variant>
        <vt:i4>5</vt:i4>
      </vt:variant>
      <vt:variant>
        <vt:lpwstr/>
      </vt:variant>
      <vt:variant>
        <vt:lpwstr>_Toc77796823</vt:lpwstr>
      </vt:variant>
      <vt:variant>
        <vt:i4>1245236</vt:i4>
      </vt:variant>
      <vt:variant>
        <vt:i4>68</vt:i4>
      </vt:variant>
      <vt:variant>
        <vt:i4>0</vt:i4>
      </vt:variant>
      <vt:variant>
        <vt:i4>5</vt:i4>
      </vt:variant>
      <vt:variant>
        <vt:lpwstr/>
      </vt:variant>
      <vt:variant>
        <vt:lpwstr>_Toc77796822</vt:lpwstr>
      </vt:variant>
      <vt:variant>
        <vt:i4>1048628</vt:i4>
      </vt:variant>
      <vt:variant>
        <vt:i4>62</vt:i4>
      </vt:variant>
      <vt:variant>
        <vt:i4>0</vt:i4>
      </vt:variant>
      <vt:variant>
        <vt:i4>5</vt:i4>
      </vt:variant>
      <vt:variant>
        <vt:lpwstr/>
      </vt:variant>
      <vt:variant>
        <vt:lpwstr>_Toc77796821</vt:lpwstr>
      </vt:variant>
      <vt:variant>
        <vt:i4>1114164</vt:i4>
      </vt:variant>
      <vt:variant>
        <vt:i4>56</vt:i4>
      </vt:variant>
      <vt:variant>
        <vt:i4>0</vt:i4>
      </vt:variant>
      <vt:variant>
        <vt:i4>5</vt:i4>
      </vt:variant>
      <vt:variant>
        <vt:lpwstr/>
      </vt:variant>
      <vt:variant>
        <vt:lpwstr>_Toc77796820</vt:lpwstr>
      </vt:variant>
      <vt:variant>
        <vt:i4>1572919</vt:i4>
      </vt:variant>
      <vt:variant>
        <vt:i4>50</vt:i4>
      </vt:variant>
      <vt:variant>
        <vt:i4>0</vt:i4>
      </vt:variant>
      <vt:variant>
        <vt:i4>5</vt:i4>
      </vt:variant>
      <vt:variant>
        <vt:lpwstr/>
      </vt:variant>
      <vt:variant>
        <vt:lpwstr>_Toc77796819</vt:lpwstr>
      </vt:variant>
      <vt:variant>
        <vt:i4>1638455</vt:i4>
      </vt:variant>
      <vt:variant>
        <vt:i4>44</vt:i4>
      </vt:variant>
      <vt:variant>
        <vt:i4>0</vt:i4>
      </vt:variant>
      <vt:variant>
        <vt:i4>5</vt:i4>
      </vt:variant>
      <vt:variant>
        <vt:lpwstr/>
      </vt:variant>
      <vt:variant>
        <vt:lpwstr>_Toc77796818</vt:lpwstr>
      </vt:variant>
      <vt:variant>
        <vt:i4>1441847</vt:i4>
      </vt:variant>
      <vt:variant>
        <vt:i4>38</vt:i4>
      </vt:variant>
      <vt:variant>
        <vt:i4>0</vt:i4>
      </vt:variant>
      <vt:variant>
        <vt:i4>5</vt:i4>
      </vt:variant>
      <vt:variant>
        <vt:lpwstr/>
      </vt:variant>
      <vt:variant>
        <vt:lpwstr>_Toc77796817</vt:lpwstr>
      </vt:variant>
      <vt:variant>
        <vt:i4>1507383</vt:i4>
      </vt:variant>
      <vt:variant>
        <vt:i4>32</vt:i4>
      </vt:variant>
      <vt:variant>
        <vt:i4>0</vt:i4>
      </vt:variant>
      <vt:variant>
        <vt:i4>5</vt:i4>
      </vt:variant>
      <vt:variant>
        <vt:lpwstr/>
      </vt:variant>
      <vt:variant>
        <vt:lpwstr>_Toc77796816</vt:lpwstr>
      </vt:variant>
      <vt:variant>
        <vt:i4>1310775</vt:i4>
      </vt:variant>
      <vt:variant>
        <vt:i4>26</vt:i4>
      </vt:variant>
      <vt:variant>
        <vt:i4>0</vt:i4>
      </vt:variant>
      <vt:variant>
        <vt:i4>5</vt:i4>
      </vt:variant>
      <vt:variant>
        <vt:lpwstr/>
      </vt:variant>
      <vt:variant>
        <vt:lpwstr>_Toc77796815</vt:lpwstr>
      </vt:variant>
      <vt:variant>
        <vt:i4>1376311</vt:i4>
      </vt:variant>
      <vt:variant>
        <vt:i4>20</vt:i4>
      </vt:variant>
      <vt:variant>
        <vt:i4>0</vt:i4>
      </vt:variant>
      <vt:variant>
        <vt:i4>5</vt:i4>
      </vt:variant>
      <vt:variant>
        <vt:lpwstr/>
      </vt:variant>
      <vt:variant>
        <vt:lpwstr>_Toc77796814</vt:lpwstr>
      </vt:variant>
      <vt:variant>
        <vt:i4>1179703</vt:i4>
      </vt:variant>
      <vt:variant>
        <vt:i4>14</vt:i4>
      </vt:variant>
      <vt:variant>
        <vt:i4>0</vt:i4>
      </vt:variant>
      <vt:variant>
        <vt:i4>5</vt:i4>
      </vt:variant>
      <vt:variant>
        <vt:lpwstr/>
      </vt:variant>
      <vt:variant>
        <vt:lpwstr>_Toc77796813</vt:lpwstr>
      </vt:variant>
      <vt:variant>
        <vt:i4>1245239</vt:i4>
      </vt:variant>
      <vt:variant>
        <vt:i4>8</vt:i4>
      </vt:variant>
      <vt:variant>
        <vt:i4>0</vt:i4>
      </vt:variant>
      <vt:variant>
        <vt:i4>5</vt:i4>
      </vt:variant>
      <vt:variant>
        <vt:lpwstr/>
      </vt:variant>
      <vt:variant>
        <vt:lpwstr>_Toc77796812</vt:lpwstr>
      </vt:variant>
      <vt:variant>
        <vt:i4>1048631</vt:i4>
      </vt:variant>
      <vt:variant>
        <vt:i4>2</vt:i4>
      </vt:variant>
      <vt:variant>
        <vt:i4>0</vt:i4>
      </vt:variant>
      <vt:variant>
        <vt:i4>5</vt:i4>
      </vt:variant>
      <vt:variant>
        <vt:lpwstr/>
      </vt:variant>
      <vt:variant>
        <vt:lpwstr>_Toc77796811</vt:lpwstr>
      </vt:variant>
      <vt:variant>
        <vt:i4>1245211</vt:i4>
      </vt:variant>
      <vt:variant>
        <vt:i4>3</vt:i4>
      </vt:variant>
      <vt:variant>
        <vt:i4>0</vt:i4>
      </vt:variant>
      <vt:variant>
        <vt:i4>5</vt:i4>
      </vt:variant>
      <vt:variant>
        <vt:lpwstr>http://kultura.gov.mk/wp-content/uploads/2020/10/</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Konstantin Siderovski</dc:creator>
  <cp:keywords>[EBRD]</cp:keywords>
  <cp:lastModifiedBy>Kokan</cp:lastModifiedBy>
  <cp:revision>19</cp:revision>
  <cp:lastPrinted>2019-12-13T14:59:00Z</cp:lastPrinted>
  <dcterms:created xsi:type="dcterms:W3CDTF">2022-08-31T12:12:00Z</dcterms:created>
  <dcterms:modified xsi:type="dcterms:W3CDTF">2022-10-26T10:41:00Z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0x010100AD5EED50597CEA41B15757EDD20957F6</vt:lpwstr>
  </property>
  <property fmtid="{D5CDD505-2E9C-101B-9397-08002B2CF9AE}" pid="3" name="docIndexRef">
    <vt:lpwstr>b3399164-2092-45c4-b246-ac05e145a8e1</vt:lpwstr>
  </property>
  <property fmtid="{D5CDD505-2E9C-101B-9397-08002B2CF9AE}" pid="4" name="bjSaver">
    <vt:lpwstr>Tej5A/NIAMYzm67/7JXsRZjCdkxronbc</vt:lpwstr>
  </property>
  <property fmtid="{D5CDD505-2E9C-101B-9397-08002B2CF9AE}" pid="5" name="bjDocumentSecurityLabel">
    <vt:lpwstr>This item has no classification</vt:lpwstr>
  </property>
  <property fmtid="{D5CDD505-2E9C-101B-9397-08002B2CF9AE}" pid="6" name="Order">
    <vt:lpwstr>18820200.0000000</vt:lpwstr>
  </property>
  <property fmtid="{D5CDD505-2E9C-101B-9397-08002B2CF9AE}" pid="7" name="MediaServiceImageTags">
    <vt:lpwstr/>
  </property>
</Properties>
</file>